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177C6">
      <w:pPr>
        <w:rPr>
          <w:rFonts w:ascii="Times New Roman" w:hAnsi="Times New Roman" w:eastAsia="宋体" w:cs="Times New Roman"/>
          <w:b/>
          <w:color w:val="000000"/>
          <w:kern w:val="2"/>
          <w:sz w:val="24"/>
          <w:szCs w:val="24"/>
          <w:highlight w:val="none"/>
        </w:rPr>
      </w:pPr>
      <w:bookmarkStart w:id="1" w:name="_GoBack"/>
      <w:bookmarkEnd w:id="1"/>
    </w:p>
    <w:p w14:paraId="36C94CE1">
      <w:pPr>
        <w:widowControl w:val="0"/>
        <w:wordWrap w:val="0"/>
        <w:jc w:val="both"/>
        <w:outlineLvl w:val="3"/>
        <w:rPr>
          <w:rFonts w:ascii="Times New Roman" w:hAnsi="Times New Roman" w:eastAsia="宋体" w:cs="Times New Roman"/>
          <w:b/>
          <w:color w:val="000000"/>
          <w:kern w:val="2"/>
          <w:sz w:val="24"/>
          <w:szCs w:val="24"/>
          <w:highlight w:val="none"/>
        </w:rPr>
      </w:pPr>
      <w:r>
        <w:rPr>
          <w:rFonts w:ascii="Times New Roman" w:hAnsi="Times New Roman" w:eastAsia="宋体" w:cs="Times New Roman"/>
          <w:b/>
          <w:color w:val="000000"/>
          <w:kern w:val="2"/>
          <w:sz w:val="24"/>
          <w:szCs w:val="24"/>
          <w:highlight w:val="none"/>
        </w:rPr>
        <w:t>附件1：</w:t>
      </w:r>
      <w:bookmarkStart w:id="0" w:name="_Toc404712451"/>
      <w:r>
        <w:rPr>
          <w:rFonts w:ascii="Times New Roman" w:hAnsi="Times New Roman" w:eastAsia="宋体" w:cs="Times New Roman"/>
          <w:b/>
          <w:color w:val="000000"/>
          <w:kern w:val="2"/>
          <w:sz w:val="24"/>
          <w:szCs w:val="24"/>
          <w:highlight w:val="none"/>
        </w:rPr>
        <w:t>资格审查条件</w:t>
      </w:r>
      <w:bookmarkEnd w:id="0"/>
    </w:p>
    <w:p w14:paraId="1DCCD1D3">
      <w:pPr>
        <w:widowControl w:val="0"/>
        <w:wordWrap w:val="0"/>
        <w:jc w:val="both"/>
        <w:rPr>
          <w:rFonts w:ascii="Times New Roman" w:hAnsi="Times New Roman" w:eastAsia="宋体" w:cs="Times New Roman"/>
          <w:b/>
          <w:color w:val="000000"/>
          <w:kern w:val="2"/>
          <w:sz w:val="28"/>
          <w:szCs w:val="28"/>
          <w:highlight w:val="none"/>
        </w:rPr>
      </w:pPr>
    </w:p>
    <w:p w14:paraId="490790BA">
      <w:pPr>
        <w:widowControl w:val="0"/>
        <w:wordWrap w:val="0"/>
        <w:jc w:val="center"/>
        <w:rPr>
          <w:rFonts w:ascii="Times New Roman" w:hAnsi="Times New Roman" w:eastAsia="宋体" w:cs="Times New Roman"/>
          <w:color w:val="000000"/>
          <w:kern w:val="2"/>
          <w:sz w:val="21"/>
          <w:szCs w:val="22"/>
          <w:highlight w:val="none"/>
        </w:rPr>
      </w:pPr>
      <w:r>
        <w:rPr>
          <w:rFonts w:ascii="Times New Roman" w:hAnsi="Times New Roman" w:eastAsia="宋体" w:cs="Times New Roman"/>
          <w:b/>
          <w:color w:val="000000"/>
          <w:kern w:val="2"/>
          <w:sz w:val="24"/>
          <w:szCs w:val="22"/>
          <w:highlight w:val="none"/>
        </w:rPr>
        <w:t>附录1  资格审查条件（资质最低要求）</w:t>
      </w:r>
    </w:p>
    <w:tbl>
      <w:tblPr>
        <w:tblStyle w:val="4"/>
        <w:tblpPr w:leftFromText="181" w:rightFromText="181" w:vertAnchor="text" w:horzAnchor="margin" w:tblpXSpec="center" w:tblpY="30"/>
        <w:tblW w:w="5072"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28" w:type="dxa"/>
          <w:left w:w="28" w:type="dxa"/>
          <w:bottom w:w="28" w:type="dxa"/>
          <w:right w:w="28" w:type="dxa"/>
        </w:tblCellMar>
      </w:tblPr>
      <w:tblGrid>
        <w:gridCol w:w="9166"/>
      </w:tblGrid>
      <w:tr w14:paraId="6F722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483" w:hRule="atLeast"/>
          <w:tblHeader/>
        </w:trPr>
        <w:tc>
          <w:tcPr>
            <w:tcW w:w="5000" w:type="pct"/>
            <w:noWrap w:val="0"/>
            <w:vAlign w:val="center"/>
          </w:tcPr>
          <w:p w14:paraId="45D3DDD2">
            <w:pPr>
              <w:widowControl w:val="0"/>
              <w:wordWrap w:val="0"/>
              <w:adjustRightInd w:val="0"/>
              <w:snapToGrid w:val="0"/>
              <w:jc w:val="center"/>
              <w:rPr>
                <w:rFonts w:ascii="Times New Roman" w:hAnsi="Times New Roman" w:eastAsia="宋体" w:cs="Times New Roman"/>
                <w:b/>
                <w:bCs/>
                <w:color w:val="000000"/>
                <w:kern w:val="2"/>
                <w:sz w:val="21"/>
                <w:szCs w:val="21"/>
                <w:highlight w:val="none"/>
              </w:rPr>
            </w:pPr>
            <w:r>
              <w:rPr>
                <w:rFonts w:ascii="Times New Roman" w:hAnsi="Times New Roman" w:eastAsia="宋体" w:cs="Times New Roman"/>
                <w:b/>
                <w:bCs/>
                <w:color w:val="000000"/>
                <w:kern w:val="2"/>
                <w:sz w:val="21"/>
                <w:szCs w:val="21"/>
                <w:highlight w:val="none"/>
              </w:rPr>
              <w:t>资质要求</w:t>
            </w:r>
          </w:p>
        </w:tc>
      </w:tr>
      <w:tr w14:paraId="66BEC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872" w:hRule="atLeast"/>
        </w:trPr>
        <w:tc>
          <w:tcPr>
            <w:tcW w:w="5000" w:type="pct"/>
            <w:noWrap w:val="0"/>
            <w:vAlign w:val="center"/>
          </w:tcPr>
          <w:p w14:paraId="4F5CDBF8">
            <w:pPr>
              <w:widowControl w:val="0"/>
              <w:wordWrap w:val="0"/>
              <w:adjustRightInd w:val="0"/>
              <w:snapToGrid w:val="0"/>
              <w:jc w:val="both"/>
              <w:rPr>
                <w:rFonts w:hint="eastAsia" w:ascii="Times New Roman" w:hAnsi="Times New Roman" w:eastAsia="宋体" w:cs="Times New Roman"/>
                <w:color w:val="000000"/>
                <w:kern w:val="2"/>
                <w:sz w:val="21"/>
                <w:szCs w:val="22"/>
                <w:highlight w:val="none"/>
                <w:lang w:eastAsia="zh-CN"/>
              </w:rPr>
            </w:pPr>
            <w:r>
              <w:rPr>
                <w:rFonts w:hint="eastAsia" w:ascii="Times New Roman" w:hAnsi="Times New Roman" w:eastAsia="宋体" w:cs="Times New Roman"/>
                <w:color w:val="000000"/>
                <w:kern w:val="2"/>
                <w:sz w:val="21"/>
                <w:szCs w:val="22"/>
                <w:highlight w:val="none"/>
                <w:lang w:eastAsia="zh-CN"/>
              </w:rPr>
              <w:t>投标人为中华人民共和国境内的法人或其他组织，持有有效的营业执照的所投设备制造商。</w:t>
            </w:r>
          </w:p>
        </w:tc>
      </w:tr>
    </w:tbl>
    <w:p w14:paraId="3D4579CB">
      <w:pPr>
        <w:widowControl w:val="0"/>
        <w:wordWrap w:val="0"/>
        <w:jc w:val="center"/>
        <w:rPr>
          <w:rFonts w:ascii="Times New Roman" w:hAnsi="Times New Roman" w:eastAsia="宋体" w:cs="Times New Roman"/>
          <w:b/>
          <w:color w:val="000000"/>
          <w:kern w:val="2"/>
          <w:sz w:val="24"/>
          <w:szCs w:val="22"/>
          <w:highlight w:val="none"/>
        </w:rPr>
      </w:pPr>
    </w:p>
    <w:p w14:paraId="247B600D">
      <w:pPr>
        <w:widowControl w:val="0"/>
        <w:wordWrap w:val="0"/>
        <w:jc w:val="center"/>
        <w:rPr>
          <w:rFonts w:ascii="Times New Roman" w:hAnsi="Times New Roman" w:eastAsia="宋体" w:cs="Times New Roman"/>
          <w:b/>
          <w:color w:val="000000"/>
          <w:kern w:val="2"/>
          <w:sz w:val="24"/>
          <w:szCs w:val="22"/>
          <w:highlight w:val="none"/>
        </w:rPr>
      </w:pPr>
    </w:p>
    <w:p w14:paraId="4DD29A4E">
      <w:pPr>
        <w:widowControl w:val="0"/>
        <w:wordWrap w:val="0"/>
        <w:jc w:val="both"/>
        <w:rPr>
          <w:rFonts w:ascii="Times New Roman" w:hAnsi="Times New Roman" w:eastAsia="宋体" w:cs="Times New Roman"/>
          <w:b/>
          <w:color w:val="000000"/>
          <w:kern w:val="2"/>
          <w:sz w:val="24"/>
          <w:szCs w:val="22"/>
          <w:highlight w:val="none"/>
        </w:rPr>
      </w:pPr>
    </w:p>
    <w:p w14:paraId="30196222">
      <w:pPr>
        <w:widowControl w:val="0"/>
        <w:wordWrap w:val="0"/>
        <w:jc w:val="center"/>
        <w:rPr>
          <w:rFonts w:ascii="Times New Roman" w:hAnsi="Times New Roman" w:eastAsia="宋体" w:cs="Times New Roman"/>
          <w:b/>
          <w:color w:val="000000"/>
          <w:kern w:val="2"/>
          <w:sz w:val="24"/>
          <w:szCs w:val="22"/>
          <w:highlight w:val="none"/>
        </w:rPr>
      </w:pPr>
      <w:r>
        <w:rPr>
          <w:rFonts w:ascii="Times New Roman" w:hAnsi="Times New Roman" w:eastAsia="宋体" w:cs="Times New Roman"/>
          <w:b/>
          <w:color w:val="000000"/>
          <w:kern w:val="2"/>
          <w:sz w:val="24"/>
          <w:szCs w:val="22"/>
          <w:highlight w:val="none"/>
        </w:rPr>
        <w:t>附录</w:t>
      </w:r>
      <w:r>
        <w:rPr>
          <w:rFonts w:hint="eastAsia" w:ascii="Times New Roman" w:hAnsi="Times New Roman" w:eastAsia="宋体" w:cs="Times New Roman"/>
          <w:b/>
          <w:color w:val="000000"/>
          <w:kern w:val="2"/>
          <w:sz w:val="24"/>
          <w:szCs w:val="22"/>
          <w:highlight w:val="none"/>
          <w:lang w:val="en-US" w:eastAsia="zh-CN"/>
        </w:rPr>
        <w:t>2</w:t>
      </w:r>
      <w:r>
        <w:rPr>
          <w:rFonts w:ascii="Times New Roman" w:hAnsi="Times New Roman" w:eastAsia="宋体" w:cs="Times New Roman"/>
          <w:b/>
          <w:color w:val="000000"/>
          <w:kern w:val="2"/>
          <w:sz w:val="24"/>
          <w:szCs w:val="22"/>
          <w:highlight w:val="none"/>
        </w:rPr>
        <w:t xml:space="preserve">  资格审查条件（业绩最低要求）</w:t>
      </w:r>
    </w:p>
    <w:tbl>
      <w:tblPr>
        <w:tblStyle w:val="4"/>
        <w:tblW w:w="5128" w:type="pct"/>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20"/>
      </w:tblGrid>
      <w:tr w14:paraId="33FA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000" w:type="pct"/>
            <w:noWrap w:val="0"/>
            <w:vAlign w:val="center"/>
          </w:tcPr>
          <w:p w14:paraId="34F5D396">
            <w:pPr>
              <w:widowControl w:val="0"/>
              <w:wordWrap w:val="0"/>
              <w:adjustRightInd w:val="0"/>
              <w:snapToGrid w:val="0"/>
              <w:jc w:val="center"/>
              <w:rPr>
                <w:rFonts w:ascii="Times New Roman" w:hAnsi="Times New Roman" w:eastAsia="宋体" w:cs="Times New Roman"/>
                <w:b/>
                <w:color w:val="000000"/>
                <w:kern w:val="2"/>
                <w:sz w:val="21"/>
                <w:szCs w:val="21"/>
                <w:highlight w:val="none"/>
                <w:shd w:val="clear" w:color="auto" w:fill="FFFFFF"/>
              </w:rPr>
            </w:pPr>
            <w:r>
              <w:rPr>
                <w:rFonts w:ascii="Times New Roman" w:hAnsi="Times New Roman" w:eastAsia="宋体" w:cs="Times New Roman"/>
                <w:b/>
                <w:color w:val="000000"/>
                <w:kern w:val="2"/>
                <w:sz w:val="21"/>
                <w:szCs w:val="21"/>
                <w:highlight w:val="none"/>
                <w:shd w:val="clear" w:color="auto" w:fill="FFFFFF"/>
              </w:rPr>
              <w:t>业绩要求</w:t>
            </w:r>
          </w:p>
        </w:tc>
      </w:tr>
      <w:tr w14:paraId="4463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5" w:hRule="atLeast"/>
        </w:trPr>
        <w:tc>
          <w:tcPr>
            <w:tcW w:w="5000" w:type="pct"/>
            <w:noWrap w:val="0"/>
            <w:vAlign w:val="center"/>
          </w:tcPr>
          <w:p w14:paraId="3321081E">
            <w:pPr>
              <w:widowControl w:val="0"/>
              <w:spacing w:before="141"/>
              <w:ind w:right="1" w:rightChars="0"/>
              <w:jc w:val="both"/>
              <w:rPr>
                <w:rFonts w:hint="default"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近三年内（2023年10月1日至今，以合同签订时间为准）累计完成过不少于45台（含）所投品牌加油机的供货业绩。</w:t>
            </w:r>
          </w:p>
        </w:tc>
      </w:tr>
    </w:tbl>
    <w:p w14:paraId="69E0A6D4">
      <w:pPr>
        <w:widowControl w:val="0"/>
        <w:wordWrap w:val="0"/>
        <w:jc w:val="center"/>
        <w:rPr>
          <w:rFonts w:ascii="Times New Roman" w:hAnsi="Times New Roman" w:eastAsia="宋体" w:cs="Times New Roman"/>
          <w:b/>
          <w:color w:val="000000"/>
          <w:kern w:val="2"/>
          <w:sz w:val="24"/>
          <w:szCs w:val="22"/>
          <w:highlight w:val="none"/>
        </w:rPr>
      </w:pPr>
    </w:p>
    <w:p w14:paraId="39BDCCBC">
      <w:pPr>
        <w:widowControl w:val="0"/>
        <w:wordWrap w:val="0"/>
        <w:jc w:val="center"/>
        <w:rPr>
          <w:rFonts w:ascii="Times New Roman" w:hAnsi="Times New Roman" w:eastAsia="宋体" w:cs="Times New Roman"/>
          <w:b/>
          <w:color w:val="000000"/>
          <w:kern w:val="2"/>
          <w:sz w:val="24"/>
          <w:szCs w:val="22"/>
          <w:highlight w:val="none"/>
        </w:rPr>
      </w:pPr>
    </w:p>
    <w:p w14:paraId="4EE3B51D">
      <w:pPr>
        <w:widowControl w:val="0"/>
        <w:wordWrap w:val="0"/>
        <w:jc w:val="center"/>
        <w:rPr>
          <w:rFonts w:ascii="Times New Roman" w:hAnsi="Times New Roman" w:eastAsia="宋体" w:cs="Times New Roman"/>
          <w:b/>
          <w:color w:val="000000"/>
          <w:kern w:val="2"/>
          <w:sz w:val="24"/>
          <w:szCs w:val="22"/>
          <w:highlight w:val="none"/>
        </w:rPr>
      </w:pPr>
    </w:p>
    <w:p w14:paraId="6A8AAAB2">
      <w:pPr>
        <w:widowControl w:val="0"/>
        <w:wordWrap w:val="0"/>
        <w:jc w:val="center"/>
        <w:rPr>
          <w:rFonts w:ascii="Times New Roman" w:hAnsi="Times New Roman" w:eastAsia="宋体" w:cs="Times New Roman"/>
          <w:color w:val="000000"/>
          <w:kern w:val="2"/>
          <w:sz w:val="21"/>
          <w:szCs w:val="22"/>
          <w:highlight w:val="none"/>
        </w:rPr>
      </w:pPr>
      <w:r>
        <w:rPr>
          <w:rFonts w:ascii="Times New Roman" w:hAnsi="Times New Roman" w:eastAsia="宋体" w:cs="Times New Roman"/>
          <w:b/>
          <w:color w:val="000000"/>
          <w:kern w:val="2"/>
          <w:sz w:val="24"/>
          <w:szCs w:val="22"/>
          <w:highlight w:val="none"/>
        </w:rPr>
        <w:t>附录3  资格审查条件（信誉最低要求）</w:t>
      </w:r>
    </w:p>
    <w:tbl>
      <w:tblPr>
        <w:tblStyle w:val="4"/>
        <w:tblW w:w="501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214"/>
      </w:tblGrid>
      <w:tr w14:paraId="4B2FA5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center"/>
        </w:trPr>
        <w:tc>
          <w:tcPr>
            <w:tcW w:w="5000" w:type="pct"/>
            <w:noWrap w:val="0"/>
            <w:vAlign w:val="center"/>
          </w:tcPr>
          <w:p w14:paraId="0D514E4B">
            <w:pPr>
              <w:widowControl w:val="0"/>
              <w:wordWrap w:val="0"/>
              <w:adjustRightInd w:val="0"/>
              <w:snapToGrid w:val="0"/>
              <w:jc w:val="center"/>
              <w:rPr>
                <w:rFonts w:ascii="Times New Roman" w:hAnsi="Times New Roman" w:eastAsia="宋体" w:cs="Times New Roman"/>
                <w:b/>
                <w:color w:val="000000"/>
                <w:kern w:val="2"/>
                <w:sz w:val="21"/>
                <w:szCs w:val="21"/>
                <w:highlight w:val="none"/>
              </w:rPr>
            </w:pPr>
            <w:r>
              <w:rPr>
                <w:rFonts w:ascii="Times New Roman" w:hAnsi="Times New Roman" w:eastAsia="宋体" w:cs="Times New Roman"/>
                <w:b/>
                <w:color w:val="000000"/>
                <w:kern w:val="2"/>
                <w:sz w:val="21"/>
                <w:szCs w:val="21"/>
                <w:highlight w:val="none"/>
              </w:rPr>
              <w:t>信誉要求</w:t>
            </w:r>
          </w:p>
        </w:tc>
      </w:tr>
      <w:tr w14:paraId="07AA67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59" w:hRule="atLeast"/>
          <w:jc w:val="center"/>
        </w:trPr>
        <w:tc>
          <w:tcPr>
            <w:tcW w:w="5000" w:type="pct"/>
            <w:noWrap w:val="0"/>
            <w:vAlign w:val="center"/>
          </w:tcPr>
          <w:p w14:paraId="327590D3">
            <w:pPr>
              <w:widowControl w:val="0"/>
              <w:wordWrap w:val="0"/>
              <w:jc w:val="both"/>
              <w:rPr>
                <w:rFonts w:ascii="Times New Roman" w:hAnsi="Times New Roman" w:eastAsia="宋体" w:cs="Times New Roman"/>
                <w:color w:val="000000"/>
                <w:kern w:val="2"/>
                <w:sz w:val="21"/>
                <w:szCs w:val="22"/>
                <w:highlight w:val="none"/>
              </w:rPr>
            </w:pPr>
            <w:r>
              <w:rPr>
                <w:rFonts w:hint="eastAsia" w:ascii="Times New Roman" w:hAnsi="Times New Roman" w:eastAsia="宋体" w:cs="Times New Roman"/>
                <w:color w:val="000000"/>
                <w:kern w:val="2"/>
                <w:sz w:val="21"/>
                <w:szCs w:val="22"/>
                <w:highlight w:val="none"/>
              </w:rPr>
              <w:t>投标人过去1年（2025年10月1日至今）中不曾在加油机供货合同中违约而被驱逐或因投标人自身的原因而使合同被解除</w:t>
            </w:r>
            <w:r>
              <w:rPr>
                <w:rFonts w:ascii="Times New Roman" w:hAnsi="Times New Roman" w:eastAsia="宋体" w:cs="Times New Roman"/>
                <w:color w:val="000000"/>
                <w:kern w:val="2"/>
                <w:sz w:val="21"/>
                <w:szCs w:val="22"/>
                <w:highlight w:val="none"/>
              </w:rPr>
              <w:t>。</w:t>
            </w:r>
          </w:p>
        </w:tc>
      </w:tr>
    </w:tbl>
    <w:p w14:paraId="362A890F">
      <w:pPr>
        <w:widowControl/>
        <w:jc w:val="left"/>
        <w:rPr>
          <w:rFonts w:hint="eastAsia" w:ascii="宋体" w:hAnsi="宋体" w:eastAsia="宋体" w:cs="Arial"/>
          <w:b/>
          <w:kern w:val="0"/>
          <w:sz w:val="21"/>
          <w:szCs w:val="21"/>
        </w:rPr>
      </w:pPr>
      <w:r>
        <w:rPr>
          <w:rFonts w:hint="eastAsia" w:ascii="宋体" w:hAnsi="宋体" w:eastAsia="宋体" w:cs="Arial"/>
          <w:b/>
          <w:kern w:val="0"/>
          <w:sz w:val="21"/>
          <w:szCs w:val="21"/>
        </w:rPr>
        <w:br w:type="page"/>
      </w:r>
    </w:p>
    <w:p w14:paraId="2C2A92B5">
      <w:pPr>
        <w:widowControl/>
        <w:jc w:val="left"/>
        <w:rPr>
          <w:rFonts w:ascii="Calibri" w:hAnsi="Calibri" w:eastAsia="等线" w:cs="Arial"/>
          <w:b/>
          <w:color w:val="000000"/>
          <w:kern w:val="0"/>
          <w:sz w:val="24"/>
          <w:szCs w:val="24"/>
          <w:highlight w:val="none"/>
        </w:rPr>
      </w:pPr>
      <w:r>
        <w:rPr>
          <w:rFonts w:ascii="Calibri" w:hAnsi="Calibri" w:eastAsia="等线" w:cs="Arial"/>
          <w:b/>
          <w:color w:val="000000"/>
          <w:kern w:val="0"/>
          <w:sz w:val="24"/>
          <w:szCs w:val="24"/>
          <w:highlight w:val="none"/>
        </w:rPr>
        <w:t>附件2：评标办法</w:t>
      </w:r>
    </w:p>
    <w:p w14:paraId="19B57075">
      <w:pPr>
        <w:widowControl w:val="0"/>
        <w:wordWrap w:val="0"/>
        <w:adjustRightInd w:val="0"/>
        <w:snapToGrid w:val="0"/>
        <w:jc w:val="center"/>
        <w:rPr>
          <w:rFonts w:hint="eastAsia" w:ascii="宋体" w:hAnsi="宋体" w:eastAsia="宋体" w:cs="Arial"/>
          <w:b/>
          <w:kern w:val="0"/>
          <w:sz w:val="24"/>
          <w:szCs w:val="24"/>
        </w:rPr>
      </w:pPr>
      <w:r>
        <w:rPr>
          <w:rFonts w:hint="eastAsia" w:ascii="宋体" w:hAnsi="宋体" w:eastAsia="宋体" w:cs="Arial"/>
          <w:b/>
          <w:kern w:val="0"/>
          <w:sz w:val="24"/>
          <w:szCs w:val="24"/>
        </w:rPr>
        <w:t>评标办法前附表</w:t>
      </w:r>
    </w:p>
    <w:tbl>
      <w:tblPr>
        <w:tblStyle w:val="4"/>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2A82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75B90404">
            <w:pPr>
              <w:widowControl/>
              <w:adjustRightInd w:val="0"/>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条款号</w:t>
            </w:r>
          </w:p>
        </w:tc>
        <w:tc>
          <w:tcPr>
            <w:tcW w:w="7197" w:type="dxa"/>
            <w:vAlign w:val="center"/>
          </w:tcPr>
          <w:p w14:paraId="62A286F4">
            <w:pPr>
              <w:widowControl/>
              <w:adjustRightInd w:val="0"/>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评审因素与标准</w:t>
            </w:r>
          </w:p>
        </w:tc>
      </w:tr>
      <w:tr w14:paraId="0128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57" w:hRule="atLeast"/>
          <w:jc w:val="center"/>
        </w:trPr>
        <w:tc>
          <w:tcPr>
            <w:tcW w:w="1143" w:type="dxa"/>
            <w:vAlign w:val="center"/>
          </w:tcPr>
          <w:p w14:paraId="2881502B">
            <w:pPr>
              <w:widowControl/>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1</w:t>
            </w:r>
          </w:p>
        </w:tc>
        <w:tc>
          <w:tcPr>
            <w:tcW w:w="1317" w:type="dxa"/>
            <w:vAlign w:val="center"/>
          </w:tcPr>
          <w:p w14:paraId="00FF2584">
            <w:pPr>
              <w:widowControl/>
              <w:snapToGrid w:val="0"/>
              <w:spacing w:line="320" w:lineRule="exact"/>
              <w:jc w:val="center"/>
              <w:rPr>
                <w:rFonts w:hint="eastAsia" w:ascii="宋体" w:hAnsi="宋体" w:eastAsia="宋体" w:cs="宋体"/>
                <w:b/>
                <w:kern w:val="0"/>
                <w:sz w:val="21"/>
                <w:szCs w:val="21"/>
              </w:rPr>
            </w:pPr>
            <w:r>
              <w:rPr>
                <w:rFonts w:hint="eastAsia" w:ascii="宋体" w:hAnsi="宋体" w:eastAsia="宋体" w:cs="宋体"/>
                <w:kern w:val="0"/>
                <w:sz w:val="21"/>
                <w:szCs w:val="21"/>
              </w:rPr>
              <w:t>评标办法</w:t>
            </w:r>
          </w:p>
        </w:tc>
        <w:tc>
          <w:tcPr>
            <w:tcW w:w="7197" w:type="dxa"/>
            <w:vAlign w:val="center"/>
          </w:tcPr>
          <w:p w14:paraId="6DAF49FA">
            <w:pPr>
              <w:widowControl w:val="0"/>
              <w:wordWrap w:val="0"/>
              <w:adjustRightInd w:val="0"/>
              <w:snapToGrid w:val="0"/>
              <w:spacing w:line="320" w:lineRule="exact"/>
              <w:jc w:val="left"/>
              <w:rPr>
                <w:rFonts w:hint="eastAsia" w:ascii="宋体" w:hAnsi="宋体" w:eastAsia="宋体" w:cs="Arial"/>
                <w:kern w:val="0"/>
                <w:sz w:val="21"/>
                <w:szCs w:val="21"/>
              </w:rPr>
            </w:pPr>
            <w:r>
              <w:rPr>
                <w:rFonts w:hint="eastAsia" w:ascii="宋体" w:hAnsi="宋体" w:eastAsia="宋体" w:cs="Arial"/>
                <w:kern w:val="0"/>
                <w:sz w:val="21"/>
                <w:szCs w:val="21"/>
              </w:rPr>
              <w:t>本条修改为：</w:t>
            </w:r>
          </w:p>
          <w:p w14:paraId="3E561C4D">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本次评标采用技术评分最低标价法，双信封形式。</w:t>
            </w:r>
          </w:p>
          <w:p w14:paraId="53603694">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评标委员会对满足招标文件实质性要求的投标文件第一个信封，按照本章第2.2款规定的评分标准进行打分，并按综合得分由高到低顺序确定前3名投标人进入第二个信封评审。若综合得分相同，以技术部分得分高的投标人优先，技术部分得分也相同的，以技术部分（明标）得分高的投标人优先；技术部分（明标）得分也相同的，以满足资格审查条件（业绩最低要求）累计合同金额高的投标人优先。</w:t>
            </w:r>
          </w:p>
          <w:p w14:paraId="0DB5FDF6">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未通过第</w:t>
            </w:r>
            <w:r>
              <w:rPr>
                <w:rFonts w:hint="eastAsia" w:ascii="宋体" w:hAnsi="宋体" w:eastAsia="宋体" w:cs="Arial"/>
                <w:kern w:val="0"/>
                <w:sz w:val="21"/>
                <w:szCs w:val="21"/>
                <w:lang w:val="en-US" w:eastAsia="zh-CN"/>
              </w:rPr>
              <w:t>一个</w:t>
            </w:r>
            <w:r>
              <w:rPr>
                <w:rFonts w:hint="eastAsia" w:ascii="宋体" w:hAnsi="宋体" w:eastAsia="宋体" w:cs="Arial"/>
                <w:kern w:val="0"/>
                <w:sz w:val="21"/>
                <w:szCs w:val="21"/>
              </w:rPr>
              <w:t>信封评审或综合得分未进入前3名的投标人，其第二信封在整个评标期间不再开封，不随任何因素发生变化。</w:t>
            </w:r>
          </w:p>
          <w:p w14:paraId="26C7EFF1">
            <w:pPr>
              <w:widowControl/>
              <w:snapToGrid w:val="0"/>
              <w:spacing w:line="320" w:lineRule="exact"/>
              <w:ind w:firstLine="420" w:firstLineChars="200"/>
              <w:jc w:val="left"/>
              <w:rPr>
                <w:rFonts w:ascii="宋体" w:hAnsi="宋体" w:eastAsia="宋体" w:cs="Arial"/>
                <w:kern w:val="0"/>
                <w:sz w:val="21"/>
                <w:szCs w:val="21"/>
              </w:rPr>
            </w:pPr>
            <w:r>
              <w:rPr>
                <w:rFonts w:hint="eastAsia" w:ascii="宋体" w:hAnsi="宋体" w:eastAsia="宋体" w:cs="Arial"/>
                <w:kern w:val="0"/>
                <w:sz w:val="21"/>
                <w:szCs w:val="21"/>
              </w:rPr>
              <w:t>当通过第一个信封</w:t>
            </w:r>
            <w:r>
              <w:rPr>
                <w:rFonts w:hint="eastAsia" w:ascii="宋体" w:hAnsi="宋体" w:eastAsia="宋体" w:cs="Arial"/>
                <w:kern w:val="0"/>
                <w:sz w:val="21"/>
                <w:szCs w:val="21"/>
                <w:lang w:val="en-US" w:eastAsia="zh-CN"/>
              </w:rPr>
              <w:t>初步</w:t>
            </w:r>
            <w:r>
              <w:rPr>
                <w:rFonts w:hint="eastAsia" w:ascii="宋体" w:hAnsi="宋体" w:eastAsia="宋体" w:cs="Arial"/>
                <w:kern w:val="0"/>
                <w:sz w:val="21"/>
                <w:szCs w:val="21"/>
              </w:rPr>
              <w:t>评审的投标人少于3个时，评标委员会可以否决全部投标；未否决全部投标的，评标委员会应当在评标报告中阐明理由；</w:t>
            </w:r>
          </w:p>
          <w:p w14:paraId="1CC9B89C">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当通过第一个信封</w:t>
            </w:r>
            <w:r>
              <w:rPr>
                <w:rFonts w:hint="eastAsia" w:ascii="宋体" w:hAnsi="宋体" w:eastAsia="宋体" w:cs="Arial"/>
                <w:kern w:val="0"/>
                <w:sz w:val="21"/>
                <w:szCs w:val="21"/>
                <w:lang w:val="en-US" w:eastAsia="zh-CN"/>
              </w:rPr>
              <w:t>初步</w:t>
            </w:r>
            <w:r>
              <w:rPr>
                <w:rFonts w:hint="eastAsia" w:ascii="宋体" w:hAnsi="宋体" w:eastAsia="宋体" w:cs="Arial"/>
                <w:kern w:val="0"/>
                <w:sz w:val="21"/>
                <w:szCs w:val="21"/>
              </w:rPr>
              <w:t>评审的投标人未超过3个时，且评标委员会按照上述要求未否决全部投标的，可不再进行详细评审打分，均进入第二个信封评审；</w:t>
            </w:r>
          </w:p>
          <w:p w14:paraId="3C418232">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当通过第二个信封报价文件评审的投标人少于3个的，评标委员会可以否决全部投标；未否决全部投标的，评标委员会应当在评标报告中阐明理由并推荐中标候选人。</w:t>
            </w:r>
          </w:p>
          <w:p w14:paraId="5080096C">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评标委员会按评标价由低到高的顺序，向招标人推荐1-3个中标候选人。</w:t>
            </w:r>
          </w:p>
          <w:p w14:paraId="0FA3C9EE">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评标价相等时，评标委员会依次按照以下优先顺序推荐中标候选人：</w:t>
            </w:r>
          </w:p>
          <w:p w14:paraId="7D8FB9F5">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（1）技术得分较高的投标人优先；</w:t>
            </w:r>
          </w:p>
          <w:p w14:paraId="1AACD039">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（2）第一个信封技术部分（明标）得分较高的优先；</w:t>
            </w:r>
          </w:p>
          <w:p w14:paraId="0FEB1E13">
            <w:pPr>
              <w:widowControl/>
              <w:snapToGrid w:val="0"/>
              <w:spacing w:line="320" w:lineRule="exact"/>
              <w:ind w:firstLine="420" w:firstLineChars="200"/>
              <w:jc w:val="left"/>
              <w:rPr>
                <w:rFonts w:hint="eastAsia" w:ascii="宋体" w:hAnsi="宋体" w:eastAsia="宋体" w:cs="Arial"/>
                <w:kern w:val="0"/>
                <w:sz w:val="21"/>
                <w:szCs w:val="21"/>
              </w:rPr>
            </w:pPr>
            <w:r>
              <w:rPr>
                <w:rFonts w:hint="eastAsia" w:ascii="宋体" w:hAnsi="宋体" w:eastAsia="宋体" w:cs="Arial"/>
                <w:kern w:val="0"/>
                <w:sz w:val="21"/>
                <w:szCs w:val="21"/>
              </w:rPr>
              <w:t>（3）满足资格审查条件（业绩最低要求）累计合同金额高的投标人优先；</w:t>
            </w:r>
          </w:p>
        </w:tc>
      </w:tr>
      <w:tr w14:paraId="3CEB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39B29FD6">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2.1.1</w:t>
            </w:r>
          </w:p>
          <w:p w14:paraId="56F8926A">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2.1.3</w:t>
            </w:r>
          </w:p>
        </w:tc>
        <w:tc>
          <w:tcPr>
            <w:tcW w:w="1317" w:type="dxa"/>
            <w:vAlign w:val="center"/>
          </w:tcPr>
          <w:p w14:paraId="01D7A95A">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形式评审与响应性评审标准</w:t>
            </w:r>
          </w:p>
        </w:tc>
        <w:tc>
          <w:tcPr>
            <w:tcW w:w="7197" w:type="dxa"/>
            <w:vAlign w:val="center"/>
          </w:tcPr>
          <w:p w14:paraId="61F0A77D">
            <w:pPr>
              <w:widowControl/>
              <w:snapToGrid w:val="0"/>
              <w:spacing w:line="320" w:lineRule="exact"/>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第一个信封（商务文件）评审标准：</w:t>
            </w:r>
          </w:p>
          <w:p w14:paraId="187A002D">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（1）投标文件按照招标文件规定的格式、内容填写，字迹清晰可辨：</w:t>
            </w:r>
          </w:p>
          <w:p w14:paraId="1BEF8BC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a.投标函按照招标文件规定填报了招标人名称</w:t>
            </w:r>
            <w:r>
              <w:rPr>
                <w:rFonts w:hint="eastAsia" w:ascii="宋体" w:hAnsi="宋体" w:eastAsia="宋体" w:cs="宋体"/>
                <w:color w:val="0000FF"/>
                <w:kern w:val="0"/>
                <w:sz w:val="21"/>
                <w:szCs w:val="21"/>
              </w:rPr>
              <w:t>、</w:t>
            </w:r>
            <w:r>
              <w:rPr>
                <w:rFonts w:hint="eastAsia" w:ascii="宋体" w:hAnsi="宋体" w:eastAsia="宋体" w:cs="宋体"/>
                <w:kern w:val="0"/>
                <w:sz w:val="21"/>
                <w:szCs w:val="21"/>
              </w:rPr>
              <w:t>补遗书编号（如有）、交货地点、交货期和质量标准；</w:t>
            </w:r>
          </w:p>
          <w:p w14:paraId="2475F9D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b.投标文件组成齐全完整，内容均按规定填写；</w:t>
            </w:r>
          </w:p>
          <w:p w14:paraId="2FDF121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（2）投标文件上法定代表人或其委托代理人的签字、投标人的单位章盖章齐全，符合招标文件规定：</w:t>
            </w:r>
          </w:p>
          <w:p w14:paraId="79116938">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（3）投标人按照招标文件的规定提供了投标保证金，满足投标人须知3.4.1规定。</w:t>
            </w:r>
          </w:p>
          <w:p w14:paraId="7E20BF83">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（4）投标人法定代表人授权委托代理人签署投标文件的，须提交授权委托书，授权委托书的签字盖章符合招标文件规定。</w:t>
            </w:r>
          </w:p>
          <w:p w14:paraId="47B22898">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（5）投标人法定代表人亲自签署投标文件的，提供了法定代表人身份证明,法定代表人身份证明的签字盖章符合招标文件规定。</w:t>
            </w:r>
          </w:p>
          <w:p w14:paraId="799084DD">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（6）投标人未以联合体形式投标。</w:t>
            </w:r>
          </w:p>
          <w:p w14:paraId="0575CA32">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（7）投标人未对本项目进行分包。</w:t>
            </w:r>
          </w:p>
          <w:p w14:paraId="7929BB2F">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（8）同一投标人未提交两个以上不同的投标文件。</w:t>
            </w:r>
          </w:p>
          <w:p w14:paraId="63B3E4ED">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（9）投标文件中未出现有关投标报价的内容。</w:t>
            </w:r>
          </w:p>
          <w:p w14:paraId="6567F6D8">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（10）投标文件载明的招标项目完成期限未超过招标文件规定的时限。</w:t>
            </w:r>
          </w:p>
          <w:p w14:paraId="696DBD4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（11）投标文件对招标文件的实质性要求和条件作出响应。</w:t>
            </w:r>
          </w:p>
          <w:p w14:paraId="32B54B6D">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（12）投标文件中投标设备的主要技术指标满足招标文件（供货要求中带★的条款）的要求，并按照招标文件1.11.3款规定提供相关材料。</w:t>
            </w:r>
          </w:p>
          <w:p w14:paraId="1F63FA2E">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（13）权利义务符合招标文件规定：</w:t>
            </w:r>
          </w:p>
          <w:p w14:paraId="6AEEA4E0">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a．投标人应接受招标文件规定的风险划分原则，未提出新的风险划分办法；</w:t>
            </w:r>
          </w:p>
          <w:p w14:paraId="6F08CEE2">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b．投标人未增加发包人的责任范围，或减少投标人义务；</w:t>
            </w:r>
          </w:p>
          <w:p w14:paraId="157E244A">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c．投标人未提出不同的验收、计量、支付办法；</w:t>
            </w:r>
          </w:p>
          <w:p w14:paraId="465C962F">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d．投标人对合同纠纷、事故处理办法未提出异议；</w:t>
            </w:r>
          </w:p>
          <w:p w14:paraId="25F457A2">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e．投标人在投标活动中无欺诈行为；</w:t>
            </w:r>
          </w:p>
          <w:p w14:paraId="57900CE4">
            <w:pPr>
              <w:widowControl/>
              <w:snapToGrid w:val="0"/>
              <w:spacing w:line="320" w:lineRule="exact"/>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 xml:space="preserve">f．投标人未对合同条款有重要保留。 </w:t>
            </w:r>
          </w:p>
          <w:p w14:paraId="5958EFBB">
            <w:pPr>
              <w:widowControl/>
              <w:snapToGrid w:val="0"/>
              <w:spacing w:line="320" w:lineRule="exact"/>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 xml:space="preserve">第一个信封（技术文件）评审标准： </w:t>
            </w:r>
          </w:p>
          <w:p w14:paraId="7CDA5E5A">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技术部分（暗标）编制符合招标文件第二章“投标人须知”第 3.7.3 款的规定。</w:t>
            </w:r>
          </w:p>
          <w:p w14:paraId="213FBA2C">
            <w:pPr>
              <w:widowControl/>
              <w:snapToGrid w:val="0"/>
              <w:spacing w:line="320" w:lineRule="exact"/>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第二个信封（报价文件）评审标准：</w:t>
            </w:r>
          </w:p>
          <w:p w14:paraId="7658B671">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（1）投标文件按照招标文件规定的格式、内容填写，字迹清晰可辨：</w:t>
            </w:r>
          </w:p>
          <w:p w14:paraId="0EC527FC">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a.投标函按照招标文件规定填报了招标人名称、补遗书编号（如有）、投标报价和分项报价（包括大写金额和小写金额）；</w:t>
            </w:r>
          </w:p>
          <w:p w14:paraId="3CAC8436">
            <w:pPr>
              <w:widowControl w:val="0"/>
              <w:snapToGrid w:val="0"/>
              <w:spacing w:line="320" w:lineRule="exact"/>
              <w:jc w:val="both"/>
              <w:rPr>
                <w:rFonts w:hint="eastAsia" w:ascii="宋体" w:hAnsi="宋体" w:eastAsia="宋体" w:cs="宋体"/>
                <w:kern w:val="28"/>
                <w:sz w:val="21"/>
                <w:szCs w:val="21"/>
              </w:rPr>
            </w:pPr>
            <w:r>
              <w:rPr>
                <w:rFonts w:hint="eastAsia" w:ascii="宋体" w:hAnsi="宋体" w:eastAsia="宋体" w:cs="宋体"/>
                <w:kern w:val="28"/>
                <w:sz w:val="21"/>
                <w:szCs w:val="21"/>
              </w:rPr>
              <w:t>b．报价说明文字与招标文件规定一致，未进行实质性修改和删减；</w:t>
            </w:r>
          </w:p>
          <w:p w14:paraId="21BF256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c.投标文件组成齐全完整，内容均按规定填写。</w:t>
            </w:r>
          </w:p>
          <w:p w14:paraId="1B36C3A5">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（2）投标文件上法定代表人或委托代理人的签字、投标人的单位章盖章齐全，符合招标文件规定。</w:t>
            </w:r>
          </w:p>
          <w:p w14:paraId="052A29A2">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（3）投标报价和分项报价未超过招标文件设定的最高投标限价和分项最高投标限价。</w:t>
            </w:r>
          </w:p>
          <w:p w14:paraId="6A4094AA">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（4）投标报价的大写金额能够确定具体数值。</w:t>
            </w:r>
          </w:p>
          <w:p w14:paraId="29C89C9C">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（5）同一投标人未提交两个及以上不同的投标报价或分项报价。</w:t>
            </w:r>
          </w:p>
          <w:p w14:paraId="510E0996">
            <w:pPr>
              <w:widowControl/>
              <w:snapToGrid w:val="0"/>
              <w:spacing w:line="320" w:lineRule="exact"/>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（6）分项报价表中合计金额与投标函大写金额一致。</w:t>
            </w:r>
          </w:p>
        </w:tc>
      </w:tr>
      <w:tr w14:paraId="3179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4916EFE8">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2.1.2</w:t>
            </w:r>
          </w:p>
        </w:tc>
        <w:tc>
          <w:tcPr>
            <w:tcW w:w="1317" w:type="dxa"/>
            <w:vAlign w:val="center"/>
          </w:tcPr>
          <w:p w14:paraId="70B6C1D9">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资格评审标准</w:t>
            </w:r>
          </w:p>
        </w:tc>
        <w:tc>
          <w:tcPr>
            <w:tcW w:w="7197" w:type="dxa"/>
            <w:vAlign w:val="center"/>
          </w:tcPr>
          <w:p w14:paraId="44FF5B63">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（1）投标人具备有效的企业营业执照和基本账户开户许可证（或基本存款账户信息）；</w:t>
            </w:r>
          </w:p>
          <w:p w14:paraId="1E2FC577">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（2）投标人的资质符合招标文件规定；</w:t>
            </w:r>
          </w:p>
          <w:p w14:paraId="51CA06A3">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（3）投标人的类似项目业绩符合招标文件规定；</w:t>
            </w:r>
          </w:p>
          <w:p w14:paraId="31FCA90A">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（4）投标人的信誉符合招标文件规定；</w:t>
            </w:r>
          </w:p>
          <w:p w14:paraId="6C3D0BA3">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（5）投标人不存在第二章“投标人须知”第1.4.3项规定的任何一种情形。</w:t>
            </w:r>
          </w:p>
        </w:tc>
      </w:tr>
      <w:tr w14:paraId="52FD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17258C50">
            <w:pPr>
              <w:widowControl/>
              <w:adjustRightInd w:val="0"/>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条款号</w:t>
            </w:r>
          </w:p>
        </w:tc>
        <w:tc>
          <w:tcPr>
            <w:tcW w:w="1317" w:type="dxa"/>
            <w:vAlign w:val="center"/>
          </w:tcPr>
          <w:p w14:paraId="743E4256">
            <w:pPr>
              <w:widowControl/>
              <w:adjustRightInd w:val="0"/>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条款内容</w:t>
            </w:r>
          </w:p>
        </w:tc>
        <w:tc>
          <w:tcPr>
            <w:tcW w:w="7197" w:type="dxa"/>
            <w:vAlign w:val="center"/>
          </w:tcPr>
          <w:p w14:paraId="28C89257">
            <w:pPr>
              <w:widowControl/>
              <w:adjustRightInd w:val="0"/>
              <w:snapToGrid w:val="0"/>
              <w:spacing w:line="320" w:lineRule="exact"/>
              <w:jc w:val="center"/>
              <w:rPr>
                <w:rFonts w:hint="eastAsia" w:ascii="宋体" w:hAnsi="宋体" w:eastAsia="宋体" w:cs="宋体"/>
                <w:b/>
                <w:kern w:val="0"/>
                <w:sz w:val="21"/>
                <w:szCs w:val="21"/>
              </w:rPr>
            </w:pPr>
            <w:r>
              <w:rPr>
                <w:rFonts w:hint="eastAsia" w:ascii="宋体" w:hAnsi="宋体" w:eastAsia="宋体" w:cs="宋体"/>
                <w:b/>
                <w:kern w:val="0"/>
                <w:sz w:val="21"/>
                <w:szCs w:val="21"/>
              </w:rPr>
              <w:t>编列内容</w:t>
            </w:r>
          </w:p>
        </w:tc>
      </w:tr>
      <w:tr w14:paraId="7134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6B5FF08F">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2.2.1</w:t>
            </w:r>
          </w:p>
        </w:tc>
        <w:tc>
          <w:tcPr>
            <w:tcW w:w="1317" w:type="dxa"/>
            <w:vAlign w:val="center"/>
          </w:tcPr>
          <w:p w14:paraId="40F1B9F6">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第一个信封分值构成</w:t>
            </w:r>
          </w:p>
          <w:p w14:paraId="01A6BD02">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（总分100分）</w:t>
            </w:r>
          </w:p>
        </w:tc>
        <w:tc>
          <w:tcPr>
            <w:tcW w:w="7197" w:type="dxa"/>
            <w:vAlign w:val="center"/>
          </w:tcPr>
          <w:p w14:paraId="5F751007">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商务部分：20分</w:t>
            </w:r>
          </w:p>
          <w:p w14:paraId="55B74C39">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技术部分：80分</w:t>
            </w:r>
          </w:p>
          <w:p w14:paraId="6A682112">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其他评分因素：0分</w:t>
            </w:r>
          </w:p>
        </w:tc>
      </w:tr>
      <w:tr w14:paraId="0F58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54486729">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2.2.3</w:t>
            </w:r>
          </w:p>
        </w:tc>
        <w:tc>
          <w:tcPr>
            <w:tcW w:w="1317" w:type="dxa"/>
            <w:vAlign w:val="center"/>
          </w:tcPr>
          <w:p w14:paraId="158DEBF5">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第二个信封详细评审标准</w:t>
            </w:r>
          </w:p>
        </w:tc>
        <w:tc>
          <w:tcPr>
            <w:tcW w:w="7197" w:type="dxa"/>
            <w:vAlign w:val="center"/>
          </w:tcPr>
          <w:p w14:paraId="4FC5E608">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评标价计算公式：</w:t>
            </w:r>
          </w:p>
          <w:p w14:paraId="3C91CF4F">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评标价=投标函文字报价。</w:t>
            </w:r>
          </w:p>
        </w:tc>
      </w:tr>
      <w:tr w14:paraId="5330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4F246A7B">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3.2.4</w:t>
            </w:r>
          </w:p>
        </w:tc>
        <w:tc>
          <w:tcPr>
            <w:tcW w:w="1317" w:type="dxa"/>
            <w:vAlign w:val="center"/>
          </w:tcPr>
          <w:p w14:paraId="0D592AA3">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通过第一个信封详细评审的投标人数量</w:t>
            </w:r>
          </w:p>
        </w:tc>
        <w:tc>
          <w:tcPr>
            <w:tcW w:w="7197" w:type="dxa"/>
            <w:vAlign w:val="center"/>
          </w:tcPr>
          <w:p w14:paraId="3ABBB245">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按照投标人的综合得分由高到低排序，选择前3名进入第二信封评审。</w:t>
            </w:r>
          </w:p>
        </w:tc>
      </w:tr>
      <w:tr w14:paraId="6531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7C636F90">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3.5</w:t>
            </w:r>
          </w:p>
        </w:tc>
        <w:tc>
          <w:tcPr>
            <w:tcW w:w="8514" w:type="dxa"/>
            <w:gridSpan w:val="2"/>
            <w:vAlign w:val="center"/>
          </w:tcPr>
          <w:p w14:paraId="5C70D663">
            <w:pPr>
              <w:widowControl w:val="0"/>
              <w:snapToGrid w:val="0"/>
              <w:spacing w:line="320" w:lineRule="exact"/>
              <w:jc w:val="both"/>
              <w:rPr>
                <w:rFonts w:hint="eastAsia" w:ascii="宋体" w:hAnsi="宋体" w:eastAsia="宋体" w:cs="宋体"/>
                <w:kern w:val="2"/>
                <w:sz w:val="21"/>
                <w:szCs w:val="21"/>
              </w:rPr>
            </w:pPr>
            <w:r>
              <w:rPr>
                <w:rFonts w:hint="eastAsia" w:ascii="宋体" w:hAnsi="宋体" w:eastAsia="宋体" w:cs="宋体"/>
                <w:kern w:val="2"/>
                <w:sz w:val="21"/>
                <w:szCs w:val="21"/>
              </w:rPr>
              <w:t>本款修改为：</w:t>
            </w:r>
          </w:p>
          <w:p w14:paraId="77E80C3C">
            <w:pPr>
              <w:widowControl/>
              <w:adjustRightInd w:val="0"/>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评标委员会发现</w:t>
            </w:r>
            <w:r>
              <w:rPr>
                <w:rFonts w:hint="eastAsia" w:ascii="宋体" w:hAnsi="宋体" w:eastAsia="宋体" w:cs="宋体"/>
                <w:b/>
                <w:bCs/>
                <w:kern w:val="0"/>
                <w:sz w:val="21"/>
                <w:szCs w:val="21"/>
              </w:rPr>
              <w:t>投标人的投标报价低于通过第二信封形式和响应评审的全部投标人投标报价平均值的50%（含）</w:t>
            </w:r>
            <w:r>
              <w:rPr>
                <w:rFonts w:hint="eastAsia" w:ascii="宋体" w:hAnsi="宋体" w:eastAsia="宋体" w:cs="宋体"/>
                <w:kern w:val="0"/>
                <w:sz w:val="21"/>
                <w:szCs w:val="21"/>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r>
              <w:rPr>
                <w:rFonts w:hint="eastAsia" w:ascii="宋体" w:hAnsi="宋体" w:eastAsia="宋体" w:cs="宋体"/>
                <w:kern w:val="2"/>
                <w:sz w:val="21"/>
                <w:szCs w:val="21"/>
              </w:rPr>
              <w:t>。</w:t>
            </w:r>
          </w:p>
        </w:tc>
      </w:tr>
      <w:tr w14:paraId="7F66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6E12F88B">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3.6.1</w:t>
            </w:r>
          </w:p>
        </w:tc>
        <w:tc>
          <w:tcPr>
            <w:tcW w:w="1317" w:type="dxa"/>
            <w:vAlign w:val="center"/>
          </w:tcPr>
          <w:p w14:paraId="4A92A53D">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bCs/>
                <w:kern w:val="0"/>
                <w:sz w:val="21"/>
                <w:szCs w:val="21"/>
              </w:rPr>
              <w:t>投标文件相关信息的核查</w:t>
            </w:r>
          </w:p>
        </w:tc>
        <w:tc>
          <w:tcPr>
            <w:tcW w:w="7197" w:type="dxa"/>
            <w:vAlign w:val="center"/>
          </w:tcPr>
          <w:p w14:paraId="0E8C009E">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本款修改为:</w:t>
            </w:r>
          </w:p>
          <w:p w14:paraId="7D7AB888">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1.评标委员会在评标过程中将对投标人的信誉情况进行查询。如投标人存在下列情形之一的，评标委员会应否决其投标。</w:t>
            </w:r>
          </w:p>
          <w:p w14:paraId="5A37DB84">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(1)在国家企业信用信息公示系统(https://www.gsxt.gov.cn/)中被列入严重违法失信名单(黑名单)(不含分公司）；</w:t>
            </w:r>
          </w:p>
          <w:p w14:paraId="2DB24F22">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(2)在“信用中国"网站(http://www.creditchina.gov.cn/)中被列入经营(活动)异常名录、重大税收违法失信主体名单和政府采购严重违法失信行为记录名单(均不含分公司)；</w:t>
            </w:r>
          </w:p>
          <w:p w14:paraId="4F6D78EA">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(3)在中国执行信息公开网(zxgk.court.gov.cn)中被列入失信被执行人(不含分公司)。</w:t>
            </w:r>
          </w:p>
          <w:p w14:paraId="3D8C7564">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1006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4E88E7B2">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3.6.3</w:t>
            </w:r>
          </w:p>
        </w:tc>
        <w:tc>
          <w:tcPr>
            <w:tcW w:w="1317" w:type="dxa"/>
            <w:vAlign w:val="center"/>
          </w:tcPr>
          <w:p w14:paraId="503CEF84">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投标人异常投标情形的核查</w:t>
            </w:r>
          </w:p>
        </w:tc>
        <w:tc>
          <w:tcPr>
            <w:tcW w:w="7197" w:type="dxa"/>
            <w:vAlign w:val="center"/>
          </w:tcPr>
          <w:p w14:paraId="524B1D14">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宋体"/>
                <w:kern w:val="2"/>
                <w:sz w:val="21"/>
                <w:szCs w:val="21"/>
              </w:rPr>
              <w:t>补充本款：</w:t>
            </w:r>
          </w:p>
          <w:p w14:paraId="4E986C0B">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情形，并否决其投标。</w:t>
            </w:r>
          </w:p>
          <w:p w14:paraId="27801012">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有下列情形之一的，属于投标文件异常一致或投标活动异常关联等异常投标情形：</w:t>
            </w:r>
          </w:p>
          <w:p w14:paraId="46D42AF9">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（1）投标人投标文件制作机器码雷同；</w:t>
            </w:r>
          </w:p>
          <w:p w14:paraId="27C23517">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（2）投标文件创建标识码雷同；</w:t>
            </w:r>
          </w:p>
          <w:p w14:paraId="70750455">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（3）投标文件制作计算机MAC地址雷同；</w:t>
            </w:r>
          </w:p>
          <w:p w14:paraId="0D07C776">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（4）投标文件制作计算机硬盘序列号雷同；</w:t>
            </w:r>
          </w:p>
          <w:p w14:paraId="4EDE44E2">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（5）投标文件上传IP地址雷同；</w:t>
            </w:r>
          </w:p>
          <w:p w14:paraId="129C2277">
            <w:pPr>
              <w:widowControl/>
              <w:snapToGrid w:val="0"/>
              <w:spacing w:line="32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（6）投标文件解密IP地址雷同。</w:t>
            </w:r>
          </w:p>
        </w:tc>
      </w:tr>
      <w:tr w14:paraId="423B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0DC014BC">
            <w:pPr>
              <w:widowControl/>
              <w:autoSpaceDE w:val="0"/>
              <w:autoSpaceDN w:val="0"/>
              <w:adjustRightInd w:val="0"/>
              <w:snapToGrid w:val="0"/>
              <w:spacing w:line="320" w:lineRule="exact"/>
              <w:ind w:right="-20"/>
              <w:jc w:val="center"/>
              <w:rPr>
                <w:rFonts w:hint="eastAsia" w:ascii="宋体" w:hAnsi="宋体" w:eastAsia="宋体" w:cs="宋体"/>
                <w:kern w:val="0"/>
                <w:sz w:val="21"/>
                <w:szCs w:val="21"/>
              </w:rPr>
            </w:pPr>
            <w:r>
              <w:rPr>
                <w:rFonts w:hint="eastAsia" w:ascii="宋体" w:hAnsi="宋体" w:eastAsia="宋体" w:cs="微软雅黑"/>
                <w:kern w:val="0"/>
                <w:sz w:val="21"/>
                <w:szCs w:val="21"/>
              </w:rPr>
              <w:t>3.8.1</w:t>
            </w:r>
          </w:p>
        </w:tc>
        <w:tc>
          <w:tcPr>
            <w:tcW w:w="1317" w:type="dxa"/>
            <w:vAlign w:val="center"/>
          </w:tcPr>
          <w:p w14:paraId="1BF8B5E5">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Arial"/>
                <w:kern w:val="0"/>
                <w:sz w:val="21"/>
                <w:szCs w:val="21"/>
              </w:rPr>
              <w:t>中标候选人的确定</w:t>
            </w:r>
          </w:p>
        </w:tc>
        <w:tc>
          <w:tcPr>
            <w:tcW w:w="7197" w:type="dxa"/>
            <w:vAlign w:val="center"/>
          </w:tcPr>
          <w:p w14:paraId="1D4554BB">
            <w:pPr>
              <w:widowControl/>
              <w:snapToGrid w:val="0"/>
              <w:spacing w:line="320" w:lineRule="exact"/>
              <w:jc w:val="left"/>
              <w:rPr>
                <w:rFonts w:hint="eastAsia" w:ascii="宋体" w:hAnsi="宋体" w:eastAsia="宋体" w:cs="宋体"/>
                <w:kern w:val="0"/>
                <w:sz w:val="21"/>
                <w:szCs w:val="21"/>
              </w:rPr>
            </w:pPr>
            <w:r>
              <w:rPr>
                <w:rFonts w:hint="eastAsia" w:ascii="宋体" w:hAnsi="宋体" w:eastAsia="宋体" w:cs="Arial"/>
                <w:kern w:val="0"/>
                <w:sz w:val="21"/>
                <w:szCs w:val="21"/>
              </w:rPr>
              <w:t>评标委员会按照评标价由低到高的顺序，向招标人推荐1-3名中标候选人。</w:t>
            </w:r>
          </w:p>
        </w:tc>
      </w:tr>
    </w:tbl>
    <w:p w14:paraId="419AEAF4">
      <w:pPr>
        <w:widowControl/>
        <w:jc w:val="left"/>
        <w:rPr>
          <w:rFonts w:hint="eastAsia" w:ascii="宋体" w:hAnsi="宋体" w:eastAsia="宋体" w:cs="Arial"/>
          <w:kern w:val="0"/>
          <w:sz w:val="21"/>
          <w:szCs w:val="21"/>
        </w:rPr>
      </w:pPr>
      <w:r>
        <w:rPr>
          <w:rFonts w:ascii="宋体" w:hAnsi="宋体" w:eastAsia="宋体" w:cs="Arial"/>
          <w:kern w:val="0"/>
          <w:sz w:val="21"/>
          <w:szCs w:val="21"/>
        </w:rPr>
        <w:br w:type="page"/>
      </w:r>
    </w:p>
    <w:p w14:paraId="40454FC2">
      <w:pPr>
        <w:widowControl/>
        <w:adjustRightInd w:val="0"/>
        <w:snapToGrid w:val="0"/>
        <w:spacing w:line="360" w:lineRule="auto"/>
        <w:jc w:val="left"/>
        <w:textAlignment w:val="baseline"/>
        <w:rPr>
          <w:rFonts w:hint="eastAsia" w:ascii="宋体" w:hAnsi="宋体" w:eastAsia="等线" w:cs="Arial"/>
          <w:b/>
          <w:bCs/>
          <w:snapToGrid w:val="0"/>
          <w:kern w:val="0"/>
          <w:sz w:val="21"/>
          <w:szCs w:val="21"/>
        </w:rPr>
      </w:pPr>
      <w:r>
        <w:rPr>
          <w:rFonts w:hint="eastAsia" w:ascii="宋体" w:hAnsi="宋体" w:eastAsia="等线" w:cs="Arial"/>
          <w:b/>
          <w:bCs/>
          <w:snapToGrid w:val="0"/>
          <w:kern w:val="0"/>
          <w:sz w:val="21"/>
          <w:szCs w:val="21"/>
        </w:rPr>
        <w:t>评分标准</w:t>
      </w:r>
    </w:p>
    <w:tbl>
      <w:tblPr>
        <w:tblStyle w:val="4"/>
        <w:tblpPr w:leftFromText="180" w:rightFromText="180" w:vertAnchor="text" w:tblpXSpec="center" w:tblpY="1"/>
        <w:tblOverlap w:val="never"/>
        <w:tblW w:w="9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150"/>
        <w:gridCol w:w="1050"/>
        <w:gridCol w:w="767"/>
        <w:gridCol w:w="6011"/>
      </w:tblGrid>
      <w:tr w14:paraId="4D97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12" w:type="dxa"/>
            <w:vAlign w:val="center"/>
          </w:tcPr>
          <w:p w14:paraId="1B58E1FD">
            <w:pPr>
              <w:widowControl w:val="0"/>
              <w:snapToGrid w:val="0"/>
              <w:spacing w:line="320" w:lineRule="exact"/>
              <w:jc w:val="center"/>
              <w:textAlignment w:val="baseline"/>
              <w:rPr>
                <w:rFonts w:hint="eastAsia" w:ascii="宋体" w:hAnsi="宋体" w:eastAsia="宋体" w:cs="宋体"/>
                <w:kern w:val="0"/>
                <w:sz w:val="21"/>
                <w:szCs w:val="21"/>
                <w:lang w:val="en-US" w:eastAsia="zh-CN" w:bidi="ar-SA"/>
              </w:rPr>
            </w:pPr>
            <w:r>
              <w:rPr>
                <w:rFonts w:hint="eastAsia" w:ascii="宋体" w:hAnsi="宋体" w:eastAsia="宋体" w:cs="宋体"/>
                <w:kern w:val="2"/>
                <w:sz w:val="21"/>
                <w:szCs w:val="21"/>
                <w:lang w:val="en-US" w:eastAsia="zh-CN" w:bidi="ar-SA"/>
              </w:rPr>
              <w:t>条款号</w:t>
            </w:r>
          </w:p>
        </w:tc>
        <w:tc>
          <w:tcPr>
            <w:tcW w:w="1150" w:type="dxa"/>
            <w:vAlign w:val="center"/>
          </w:tcPr>
          <w:p w14:paraId="6A63628A">
            <w:pPr>
              <w:widowControl w:val="0"/>
              <w:snapToGrid w:val="0"/>
              <w:spacing w:line="320" w:lineRule="exact"/>
              <w:jc w:val="center"/>
              <w:textAlignment w:val="baseline"/>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评分</w:t>
            </w:r>
          </w:p>
          <w:p w14:paraId="0FBFFEFB">
            <w:pPr>
              <w:widowControl w:val="0"/>
              <w:snapToGrid w:val="0"/>
              <w:spacing w:line="320" w:lineRule="exact"/>
              <w:jc w:val="center"/>
              <w:textAlignment w:val="baseline"/>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因素</w:t>
            </w:r>
          </w:p>
        </w:tc>
        <w:tc>
          <w:tcPr>
            <w:tcW w:w="1050" w:type="dxa"/>
            <w:vAlign w:val="center"/>
          </w:tcPr>
          <w:p w14:paraId="50CD2A40">
            <w:pPr>
              <w:widowControl/>
              <w:adjustRightInd w:val="0"/>
              <w:snapToGrid w:val="0"/>
              <w:spacing w:line="320" w:lineRule="exact"/>
              <w:jc w:val="center"/>
              <w:rPr>
                <w:rFonts w:hint="eastAsia" w:ascii="宋体" w:hAnsi="宋体" w:eastAsia="宋体" w:cs="宋体"/>
                <w:kern w:val="0"/>
                <w:sz w:val="21"/>
                <w:szCs w:val="21"/>
                <w:u w:val="single"/>
              </w:rPr>
            </w:pPr>
            <w:r>
              <w:rPr>
                <w:rFonts w:hint="eastAsia" w:ascii="宋体" w:hAnsi="宋体" w:eastAsia="宋体" w:cs="宋体"/>
                <w:kern w:val="0"/>
                <w:sz w:val="21"/>
                <w:szCs w:val="21"/>
              </w:rPr>
              <w:t>评分因素</w:t>
            </w:r>
          </w:p>
        </w:tc>
        <w:tc>
          <w:tcPr>
            <w:tcW w:w="767" w:type="dxa"/>
            <w:vAlign w:val="center"/>
          </w:tcPr>
          <w:p w14:paraId="73D6E9D4">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spacing w:val="-3"/>
                <w:kern w:val="0"/>
                <w:sz w:val="21"/>
                <w:szCs w:val="21"/>
              </w:rPr>
              <w:t>分</w:t>
            </w:r>
            <w:r>
              <w:rPr>
                <w:rFonts w:hint="eastAsia" w:ascii="宋体" w:hAnsi="宋体" w:eastAsia="宋体" w:cs="宋体"/>
                <w:spacing w:val="-2"/>
                <w:kern w:val="0"/>
                <w:sz w:val="21"/>
                <w:szCs w:val="21"/>
              </w:rPr>
              <w:t>值</w:t>
            </w:r>
          </w:p>
        </w:tc>
        <w:tc>
          <w:tcPr>
            <w:tcW w:w="6011" w:type="dxa"/>
            <w:vAlign w:val="center"/>
          </w:tcPr>
          <w:p w14:paraId="179CD04E">
            <w:pPr>
              <w:widowControl/>
              <w:snapToGrid w:val="0"/>
              <w:spacing w:line="320" w:lineRule="exact"/>
              <w:jc w:val="center"/>
              <w:rPr>
                <w:rFonts w:hint="eastAsia" w:ascii="宋体" w:hAnsi="宋体" w:eastAsia="宋体" w:cs="宋体"/>
                <w:spacing w:val="-3"/>
                <w:kern w:val="0"/>
                <w:sz w:val="21"/>
                <w:szCs w:val="21"/>
              </w:rPr>
            </w:pPr>
            <w:r>
              <w:rPr>
                <w:rFonts w:hint="eastAsia" w:ascii="宋体" w:hAnsi="宋体" w:eastAsia="宋体" w:cs="宋体"/>
                <w:spacing w:val="-1"/>
                <w:kern w:val="0"/>
                <w:sz w:val="21"/>
                <w:szCs w:val="21"/>
              </w:rPr>
              <w:t>评分</w:t>
            </w:r>
            <w:r>
              <w:rPr>
                <w:rFonts w:hint="eastAsia" w:ascii="宋体" w:hAnsi="宋体" w:eastAsia="宋体" w:cs="宋体"/>
                <w:kern w:val="0"/>
                <w:sz w:val="21"/>
                <w:szCs w:val="21"/>
              </w:rPr>
              <w:t>标准</w:t>
            </w:r>
          </w:p>
        </w:tc>
      </w:tr>
      <w:tr w14:paraId="6E9B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12" w:type="dxa"/>
            <w:vMerge w:val="restart"/>
            <w:vAlign w:val="center"/>
          </w:tcPr>
          <w:p w14:paraId="25407F2E">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2.2.2</w:t>
            </w:r>
          </w:p>
          <w:p w14:paraId="533B396A">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1150" w:type="dxa"/>
            <w:vMerge w:val="restart"/>
            <w:vAlign w:val="center"/>
          </w:tcPr>
          <w:p w14:paraId="1A483B8F">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商务部分（20分）</w:t>
            </w:r>
          </w:p>
        </w:tc>
        <w:tc>
          <w:tcPr>
            <w:tcW w:w="1050" w:type="dxa"/>
            <w:vMerge w:val="restart"/>
            <w:vAlign w:val="center"/>
          </w:tcPr>
          <w:p w14:paraId="580E4848">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业绩</w:t>
            </w:r>
          </w:p>
        </w:tc>
        <w:tc>
          <w:tcPr>
            <w:tcW w:w="767" w:type="dxa"/>
            <w:vMerge w:val="restart"/>
            <w:vAlign w:val="center"/>
          </w:tcPr>
          <w:p w14:paraId="2151D24B">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20分</w:t>
            </w:r>
          </w:p>
        </w:tc>
        <w:tc>
          <w:tcPr>
            <w:tcW w:w="6011" w:type="dxa"/>
            <w:vAlign w:val="center"/>
          </w:tcPr>
          <w:p w14:paraId="6909687F">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满足招标公告投标人资格要求(业绩要求)得12分；</w:t>
            </w:r>
          </w:p>
        </w:tc>
      </w:tr>
      <w:tr w14:paraId="1C63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812" w:type="dxa"/>
            <w:vMerge w:val="continue"/>
            <w:vAlign w:val="center"/>
          </w:tcPr>
          <w:p w14:paraId="27CE02F5">
            <w:pPr>
              <w:widowControl/>
              <w:snapToGrid w:val="0"/>
              <w:spacing w:line="320" w:lineRule="exact"/>
              <w:jc w:val="center"/>
              <w:rPr>
                <w:rFonts w:hint="eastAsia" w:ascii="宋体" w:hAnsi="宋体" w:eastAsia="宋体" w:cs="宋体"/>
                <w:kern w:val="0"/>
                <w:sz w:val="21"/>
                <w:szCs w:val="21"/>
              </w:rPr>
            </w:pPr>
          </w:p>
        </w:tc>
        <w:tc>
          <w:tcPr>
            <w:tcW w:w="1150" w:type="dxa"/>
            <w:vMerge w:val="continue"/>
            <w:vAlign w:val="center"/>
          </w:tcPr>
          <w:p w14:paraId="0E7E9B79">
            <w:pPr>
              <w:widowControl/>
              <w:snapToGrid w:val="0"/>
              <w:spacing w:line="320" w:lineRule="exact"/>
              <w:jc w:val="center"/>
              <w:rPr>
                <w:rFonts w:hint="eastAsia" w:ascii="宋体" w:hAnsi="宋体" w:eastAsia="宋体" w:cs="宋体"/>
                <w:kern w:val="0"/>
                <w:sz w:val="21"/>
                <w:szCs w:val="21"/>
              </w:rPr>
            </w:pPr>
          </w:p>
        </w:tc>
        <w:tc>
          <w:tcPr>
            <w:tcW w:w="1050" w:type="dxa"/>
            <w:vMerge w:val="continue"/>
            <w:vAlign w:val="center"/>
          </w:tcPr>
          <w:p w14:paraId="542C5011">
            <w:pPr>
              <w:widowControl/>
              <w:adjustRightInd w:val="0"/>
              <w:snapToGrid w:val="0"/>
              <w:spacing w:line="320" w:lineRule="exact"/>
              <w:jc w:val="center"/>
              <w:rPr>
                <w:rFonts w:hint="eastAsia" w:ascii="宋体" w:hAnsi="宋体" w:eastAsia="宋体" w:cs="宋体"/>
                <w:kern w:val="0"/>
                <w:sz w:val="21"/>
                <w:szCs w:val="21"/>
              </w:rPr>
            </w:pPr>
          </w:p>
        </w:tc>
        <w:tc>
          <w:tcPr>
            <w:tcW w:w="767" w:type="dxa"/>
            <w:vMerge w:val="continue"/>
            <w:vAlign w:val="center"/>
          </w:tcPr>
          <w:p w14:paraId="558E4626">
            <w:pPr>
              <w:widowControl/>
              <w:snapToGrid w:val="0"/>
              <w:spacing w:line="320" w:lineRule="exact"/>
              <w:jc w:val="center"/>
              <w:rPr>
                <w:rFonts w:hint="eastAsia" w:ascii="宋体" w:hAnsi="宋体" w:eastAsia="宋体" w:cs="宋体"/>
                <w:kern w:val="0"/>
                <w:sz w:val="21"/>
                <w:szCs w:val="21"/>
              </w:rPr>
            </w:pPr>
          </w:p>
        </w:tc>
        <w:tc>
          <w:tcPr>
            <w:tcW w:w="6011" w:type="dxa"/>
            <w:vAlign w:val="center"/>
          </w:tcPr>
          <w:p w14:paraId="7DF6FFCB">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color w:val="auto"/>
                <w:kern w:val="0"/>
                <w:sz w:val="21"/>
                <w:szCs w:val="21"/>
                <w:highlight w:val="none"/>
                <w:lang w:val="en-US" w:eastAsia="zh-CN"/>
              </w:rPr>
              <w:t>每增加1项满足资格审查条件（业绩最低要求）的供货业绩加2分</w:t>
            </w:r>
            <w:r>
              <w:rPr>
                <w:rFonts w:hint="eastAsia" w:ascii="宋体" w:hAnsi="宋体" w:eastAsia="宋体" w:cs="宋体"/>
                <w:kern w:val="0"/>
                <w:sz w:val="21"/>
                <w:szCs w:val="21"/>
              </w:rPr>
              <w:t>，本项最高加8分。</w:t>
            </w:r>
          </w:p>
        </w:tc>
      </w:tr>
      <w:tr w14:paraId="14E2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812" w:type="dxa"/>
            <w:vMerge w:val="restart"/>
            <w:vAlign w:val="center"/>
          </w:tcPr>
          <w:p w14:paraId="50BBA17A">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2.2.2</w:t>
            </w:r>
          </w:p>
          <w:p w14:paraId="6565913F">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1150" w:type="dxa"/>
            <w:vMerge w:val="restart"/>
            <w:vAlign w:val="center"/>
          </w:tcPr>
          <w:p w14:paraId="7005CD95">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技术部分</w:t>
            </w:r>
          </w:p>
          <w:p w14:paraId="4052D1E1">
            <w:pPr>
              <w:widowControl w:val="0"/>
              <w:snapToGrid w:val="0"/>
              <w:spacing w:after="0" w:line="320" w:lineRule="exac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（80分）</w:t>
            </w:r>
          </w:p>
        </w:tc>
        <w:tc>
          <w:tcPr>
            <w:tcW w:w="1050" w:type="dxa"/>
            <w:vAlign w:val="center"/>
          </w:tcPr>
          <w:p w14:paraId="5A620971">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投标设备整体评价</w:t>
            </w:r>
          </w:p>
        </w:tc>
        <w:tc>
          <w:tcPr>
            <w:tcW w:w="767" w:type="dxa"/>
            <w:vAlign w:val="center"/>
          </w:tcPr>
          <w:p w14:paraId="54D0621A">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20分</w:t>
            </w:r>
          </w:p>
        </w:tc>
        <w:tc>
          <w:tcPr>
            <w:tcW w:w="6011" w:type="dxa"/>
            <w:vAlign w:val="center"/>
          </w:tcPr>
          <w:p w14:paraId="4BC730F9">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1.设备整体性能优越、功能齐全、完善，自动化水平高，完全满足招标文件要求，得16-20分；</w:t>
            </w:r>
          </w:p>
          <w:p w14:paraId="574288DB">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2.设备整体性能较高、功能较齐全、较完善，自动化水平较高，满足招标文件要求，得12-16分；</w:t>
            </w:r>
          </w:p>
          <w:p w14:paraId="4A956D6C">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3.设备整体性能一般，功能一般，自动化水平一般，基本满足招标文件要求，得12分。</w:t>
            </w:r>
          </w:p>
        </w:tc>
      </w:tr>
      <w:tr w14:paraId="5429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12" w:type="dxa"/>
            <w:vMerge w:val="continue"/>
            <w:vAlign w:val="center"/>
          </w:tcPr>
          <w:p w14:paraId="00E88658">
            <w:pPr>
              <w:widowControl/>
              <w:snapToGrid w:val="0"/>
              <w:spacing w:line="320" w:lineRule="exact"/>
              <w:jc w:val="center"/>
              <w:rPr>
                <w:rFonts w:hint="eastAsia" w:ascii="宋体" w:hAnsi="宋体" w:eastAsia="宋体" w:cs="宋体"/>
                <w:kern w:val="0"/>
                <w:sz w:val="21"/>
                <w:szCs w:val="21"/>
              </w:rPr>
            </w:pPr>
          </w:p>
        </w:tc>
        <w:tc>
          <w:tcPr>
            <w:tcW w:w="1150" w:type="dxa"/>
            <w:vMerge w:val="continue"/>
            <w:vAlign w:val="center"/>
          </w:tcPr>
          <w:p w14:paraId="0DD02BFF">
            <w:pPr>
              <w:widowControl/>
              <w:snapToGrid w:val="0"/>
              <w:spacing w:line="320" w:lineRule="exact"/>
              <w:jc w:val="center"/>
              <w:rPr>
                <w:rFonts w:hint="eastAsia" w:ascii="宋体" w:hAnsi="宋体" w:eastAsia="宋体" w:cs="宋体"/>
                <w:kern w:val="0"/>
                <w:sz w:val="21"/>
                <w:szCs w:val="21"/>
              </w:rPr>
            </w:pPr>
          </w:p>
        </w:tc>
        <w:tc>
          <w:tcPr>
            <w:tcW w:w="1050" w:type="dxa"/>
            <w:vAlign w:val="center"/>
          </w:tcPr>
          <w:p w14:paraId="36C20E89">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投标设备技术性能指标响应程度</w:t>
            </w:r>
          </w:p>
        </w:tc>
        <w:tc>
          <w:tcPr>
            <w:tcW w:w="767" w:type="dxa"/>
            <w:vAlign w:val="center"/>
          </w:tcPr>
          <w:p w14:paraId="176C49AC">
            <w:pPr>
              <w:widowControl/>
              <w:snapToGrid w:val="0"/>
              <w:spacing w:line="320" w:lineRule="exact"/>
              <w:jc w:val="center"/>
              <w:rPr>
                <w:rFonts w:hint="eastAsia" w:ascii="宋体" w:hAnsi="宋体" w:eastAsia="宋体" w:cs="宋体"/>
                <w:kern w:val="0"/>
                <w:sz w:val="21"/>
                <w:szCs w:val="21"/>
                <w:u w:val="single"/>
              </w:rPr>
            </w:pPr>
            <w:r>
              <w:rPr>
                <w:rFonts w:hint="eastAsia" w:ascii="宋体" w:hAnsi="宋体" w:eastAsia="宋体" w:cs="宋体"/>
                <w:kern w:val="0"/>
                <w:sz w:val="21"/>
                <w:szCs w:val="21"/>
              </w:rPr>
              <w:t>20分</w:t>
            </w:r>
          </w:p>
        </w:tc>
        <w:tc>
          <w:tcPr>
            <w:tcW w:w="6011" w:type="dxa"/>
          </w:tcPr>
          <w:p w14:paraId="15D81F01">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1.投标产品选型合理，主要组成部件的技术性能参数指标高，实用性强、产品设计科学合理、质量可靠，得16-20分；</w:t>
            </w:r>
          </w:p>
          <w:p w14:paraId="2157C2CB">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2.投标产品选型较合理，主要组成部件的技术性能参数指标较高，实用性较强、产品设计较合理、质量较可靠，得12-16分；</w:t>
            </w:r>
          </w:p>
          <w:p w14:paraId="381B1BCD">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3.投标产品选型一般，主要组成部件的技术性能参数指标一般，实用性一般、产品设计一般、质量一般，得12分。</w:t>
            </w:r>
          </w:p>
        </w:tc>
      </w:tr>
      <w:tr w14:paraId="259D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812" w:type="dxa"/>
            <w:vMerge w:val="continue"/>
            <w:vAlign w:val="center"/>
          </w:tcPr>
          <w:p w14:paraId="60556E76">
            <w:pPr>
              <w:widowControl/>
              <w:snapToGrid w:val="0"/>
              <w:spacing w:line="320" w:lineRule="exact"/>
              <w:jc w:val="center"/>
              <w:rPr>
                <w:rFonts w:hint="eastAsia" w:ascii="宋体" w:hAnsi="宋体" w:eastAsia="宋体" w:cs="宋体"/>
                <w:kern w:val="0"/>
                <w:sz w:val="21"/>
                <w:szCs w:val="21"/>
              </w:rPr>
            </w:pPr>
          </w:p>
        </w:tc>
        <w:tc>
          <w:tcPr>
            <w:tcW w:w="1150" w:type="dxa"/>
            <w:vMerge w:val="continue"/>
            <w:vAlign w:val="center"/>
          </w:tcPr>
          <w:p w14:paraId="1D30D1DE">
            <w:pPr>
              <w:widowControl/>
              <w:snapToGrid w:val="0"/>
              <w:spacing w:line="320" w:lineRule="exact"/>
              <w:jc w:val="center"/>
              <w:rPr>
                <w:rFonts w:hint="eastAsia" w:ascii="宋体" w:hAnsi="宋体" w:eastAsia="宋体" w:cs="宋体"/>
                <w:kern w:val="0"/>
                <w:sz w:val="21"/>
                <w:szCs w:val="21"/>
              </w:rPr>
            </w:pPr>
          </w:p>
        </w:tc>
        <w:tc>
          <w:tcPr>
            <w:tcW w:w="1050" w:type="dxa"/>
            <w:vAlign w:val="center"/>
          </w:tcPr>
          <w:p w14:paraId="2CD61CFA">
            <w:pPr>
              <w:widowControl/>
              <w:adjustRightInd w:val="0"/>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供货能力及进度保障</w:t>
            </w:r>
            <w:r>
              <w:rPr>
                <w:rFonts w:hint="eastAsia" w:ascii="宋体" w:hAnsi="宋体" w:eastAsia="宋体" w:cs="宋体"/>
                <w:b/>
                <w:bCs/>
                <w:kern w:val="0"/>
                <w:sz w:val="21"/>
                <w:szCs w:val="21"/>
              </w:rPr>
              <w:t>（暗标）</w:t>
            </w:r>
          </w:p>
        </w:tc>
        <w:tc>
          <w:tcPr>
            <w:tcW w:w="767" w:type="dxa"/>
            <w:vAlign w:val="center"/>
          </w:tcPr>
          <w:p w14:paraId="19C6B1F0">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20分</w:t>
            </w:r>
          </w:p>
        </w:tc>
        <w:tc>
          <w:tcPr>
            <w:tcW w:w="6011" w:type="dxa"/>
          </w:tcPr>
          <w:p w14:paraId="67CCD80F">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1.投标人提供的供货方案切实可行、供货能力强、交货进度有保障、能够保质保量的完成供货，针对供货过程中的特殊情况有预案，得16-20分；</w:t>
            </w:r>
          </w:p>
          <w:p w14:paraId="609E69CF">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2.投标人提供的供货方案可行、供货能力较强、交货进度满足招标文件要求，得12-16分；</w:t>
            </w:r>
          </w:p>
          <w:p w14:paraId="11C97BAF">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3.投标人提供的供货方案一般、供货能力一般、交货进度基本满足招标文件要求，得12分。</w:t>
            </w:r>
          </w:p>
        </w:tc>
      </w:tr>
      <w:tr w14:paraId="718C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12" w:type="dxa"/>
            <w:vMerge w:val="continue"/>
            <w:vAlign w:val="center"/>
          </w:tcPr>
          <w:p w14:paraId="17ED05C3">
            <w:pPr>
              <w:widowControl/>
              <w:snapToGrid w:val="0"/>
              <w:spacing w:line="320" w:lineRule="exact"/>
              <w:jc w:val="center"/>
              <w:rPr>
                <w:rFonts w:hint="eastAsia" w:ascii="宋体" w:hAnsi="宋体" w:eastAsia="宋体" w:cs="宋体"/>
                <w:kern w:val="0"/>
                <w:sz w:val="21"/>
                <w:szCs w:val="21"/>
              </w:rPr>
            </w:pPr>
          </w:p>
        </w:tc>
        <w:tc>
          <w:tcPr>
            <w:tcW w:w="1150" w:type="dxa"/>
            <w:vMerge w:val="continue"/>
            <w:vAlign w:val="center"/>
          </w:tcPr>
          <w:p w14:paraId="1B29EC14">
            <w:pPr>
              <w:widowControl/>
              <w:snapToGrid w:val="0"/>
              <w:spacing w:line="320" w:lineRule="exact"/>
              <w:jc w:val="center"/>
              <w:rPr>
                <w:rFonts w:hint="eastAsia" w:ascii="宋体" w:hAnsi="宋体" w:eastAsia="宋体" w:cs="宋体"/>
                <w:kern w:val="0"/>
                <w:sz w:val="21"/>
                <w:szCs w:val="21"/>
              </w:rPr>
            </w:pPr>
          </w:p>
        </w:tc>
        <w:tc>
          <w:tcPr>
            <w:tcW w:w="1050" w:type="dxa"/>
            <w:vAlign w:val="center"/>
          </w:tcPr>
          <w:p w14:paraId="7069713E">
            <w:pPr>
              <w:widowControl w:val="0"/>
              <w:autoSpaceDE w:val="0"/>
              <w:autoSpaceDN w:val="0"/>
              <w:snapToGrid w:val="0"/>
              <w:spacing w:line="320" w:lineRule="exact"/>
              <w:jc w:val="center"/>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技术服务及质保期服务</w:t>
            </w:r>
          </w:p>
          <w:p w14:paraId="132AF844">
            <w:pPr>
              <w:widowControl w:val="0"/>
              <w:autoSpaceDE w:val="0"/>
              <w:autoSpaceDN w:val="0"/>
              <w:snapToGrid w:val="0"/>
              <w:spacing w:line="320" w:lineRule="exact"/>
              <w:jc w:val="center"/>
              <w:rPr>
                <w:rFonts w:hint="eastAsia" w:ascii="宋体" w:hAnsi="宋体" w:eastAsia="宋体" w:cs="宋体"/>
                <w:kern w:val="0"/>
                <w:sz w:val="21"/>
                <w:szCs w:val="21"/>
                <w:lang w:val="zh-CN" w:eastAsia="zh-CN" w:bidi="zh-CN"/>
              </w:rPr>
            </w:pPr>
            <w:r>
              <w:rPr>
                <w:rFonts w:hint="eastAsia" w:ascii="宋体" w:hAnsi="宋体" w:eastAsia="宋体" w:cs="宋体"/>
                <w:b/>
                <w:bCs/>
                <w:kern w:val="0"/>
                <w:sz w:val="21"/>
                <w:szCs w:val="21"/>
                <w:lang w:val="zh-CN" w:eastAsia="zh-CN" w:bidi="zh-CN"/>
              </w:rPr>
              <w:t>（暗标）</w:t>
            </w:r>
          </w:p>
        </w:tc>
        <w:tc>
          <w:tcPr>
            <w:tcW w:w="767" w:type="dxa"/>
            <w:vAlign w:val="center"/>
          </w:tcPr>
          <w:p w14:paraId="126EC710">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rPr>
              <w:t>20分</w:t>
            </w:r>
          </w:p>
        </w:tc>
        <w:tc>
          <w:tcPr>
            <w:tcW w:w="6011" w:type="dxa"/>
            <w:vAlign w:val="center"/>
          </w:tcPr>
          <w:p w14:paraId="2D62420B">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lang w:val="zh-CN"/>
              </w:rPr>
              <w:t>服务方案切实可行，针对性强，</w:t>
            </w:r>
            <w:r>
              <w:rPr>
                <w:rFonts w:hint="eastAsia" w:ascii="宋体" w:hAnsi="宋体" w:eastAsia="宋体" w:cs="宋体"/>
                <w:kern w:val="0"/>
                <w:sz w:val="21"/>
                <w:szCs w:val="21"/>
              </w:rPr>
              <w:t>服务体系完善</w:t>
            </w:r>
            <w:r>
              <w:rPr>
                <w:rFonts w:hint="eastAsia" w:ascii="宋体" w:hAnsi="宋体" w:eastAsia="宋体" w:cs="宋体"/>
                <w:kern w:val="0"/>
                <w:sz w:val="21"/>
                <w:szCs w:val="21"/>
                <w:lang w:val="zh-CN"/>
              </w:rPr>
              <w:t>，得</w:t>
            </w:r>
            <w:r>
              <w:rPr>
                <w:rFonts w:hint="eastAsia" w:ascii="宋体" w:hAnsi="宋体" w:eastAsia="宋体" w:cs="宋体"/>
                <w:kern w:val="0"/>
                <w:sz w:val="21"/>
                <w:szCs w:val="21"/>
              </w:rPr>
              <w:t>16</w:t>
            </w:r>
            <w:r>
              <w:rPr>
                <w:rFonts w:hint="eastAsia" w:ascii="宋体" w:hAnsi="宋体" w:eastAsia="宋体" w:cs="宋体"/>
                <w:kern w:val="0"/>
                <w:sz w:val="21"/>
                <w:szCs w:val="21"/>
                <w:lang w:val="zh-CN"/>
              </w:rPr>
              <w:t>-</w:t>
            </w:r>
            <w:r>
              <w:rPr>
                <w:rFonts w:hint="eastAsia" w:ascii="宋体" w:hAnsi="宋体" w:eastAsia="宋体" w:cs="宋体"/>
                <w:kern w:val="0"/>
                <w:sz w:val="21"/>
                <w:szCs w:val="21"/>
              </w:rPr>
              <w:t>20</w:t>
            </w:r>
            <w:r>
              <w:rPr>
                <w:rFonts w:hint="eastAsia" w:ascii="宋体" w:hAnsi="宋体" w:eastAsia="宋体" w:cs="宋体"/>
                <w:kern w:val="0"/>
                <w:sz w:val="21"/>
                <w:szCs w:val="21"/>
                <w:lang w:val="zh-CN"/>
              </w:rPr>
              <w:t>分；</w:t>
            </w:r>
          </w:p>
          <w:p w14:paraId="1D966128">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lang w:val="zh-CN"/>
              </w:rPr>
              <w:t>服务方案较切实可行，针对性较强，</w:t>
            </w:r>
            <w:r>
              <w:rPr>
                <w:rFonts w:hint="eastAsia" w:ascii="宋体" w:hAnsi="宋体" w:eastAsia="宋体" w:cs="宋体"/>
                <w:kern w:val="0"/>
                <w:sz w:val="21"/>
                <w:szCs w:val="21"/>
              </w:rPr>
              <w:t>服务体系较完善</w:t>
            </w:r>
            <w:r>
              <w:rPr>
                <w:rFonts w:hint="eastAsia" w:ascii="宋体" w:hAnsi="宋体" w:eastAsia="宋体" w:cs="宋体"/>
                <w:kern w:val="0"/>
                <w:sz w:val="21"/>
                <w:szCs w:val="21"/>
                <w:lang w:val="zh-CN"/>
              </w:rPr>
              <w:t>，得</w:t>
            </w:r>
            <w:r>
              <w:rPr>
                <w:rFonts w:hint="eastAsia" w:ascii="宋体" w:hAnsi="宋体" w:eastAsia="宋体" w:cs="宋体"/>
                <w:kern w:val="0"/>
                <w:sz w:val="21"/>
                <w:szCs w:val="21"/>
              </w:rPr>
              <w:t>12</w:t>
            </w:r>
            <w:r>
              <w:rPr>
                <w:rFonts w:hint="eastAsia" w:ascii="宋体" w:hAnsi="宋体" w:eastAsia="宋体" w:cs="宋体"/>
                <w:kern w:val="0"/>
                <w:sz w:val="21"/>
                <w:szCs w:val="21"/>
                <w:lang w:val="zh-CN"/>
              </w:rPr>
              <w:t>-</w:t>
            </w:r>
            <w:r>
              <w:rPr>
                <w:rFonts w:hint="eastAsia" w:ascii="宋体" w:hAnsi="宋体" w:eastAsia="宋体" w:cs="宋体"/>
                <w:kern w:val="0"/>
                <w:sz w:val="21"/>
                <w:szCs w:val="21"/>
              </w:rPr>
              <w:t>16</w:t>
            </w:r>
            <w:r>
              <w:rPr>
                <w:rFonts w:hint="eastAsia" w:ascii="宋体" w:hAnsi="宋体" w:eastAsia="宋体" w:cs="宋体"/>
                <w:kern w:val="0"/>
                <w:sz w:val="21"/>
                <w:szCs w:val="21"/>
                <w:lang w:val="zh-CN"/>
              </w:rPr>
              <w:t>分；</w:t>
            </w:r>
          </w:p>
          <w:p w14:paraId="628338BE">
            <w:pPr>
              <w:widowControl/>
              <w:snapToGrid w:val="0"/>
              <w:spacing w:line="320" w:lineRule="exact"/>
              <w:ind w:right="113"/>
              <w:jc w:val="left"/>
              <w:rPr>
                <w:rFonts w:hint="eastAsia" w:ascii="宋体" w:hAnsi="宋体" w:eastAsia="宋体" w:cs="宋体"/>
                <w:kern w:val="0"/>
                <w:sz w:val="21"/>
                <w:szCs w:val="21"/>
              </w:rPr>
            </w:pPr>
            <w:r>
              <w:rPr>
                <w:rFonts w:hint="eastAsia" w:ascii="宋体" w:hAnsi="宋体" w:eastAsia="宋体" w:cs="宋体"/>
                <w:kern w:val="0"/>
                <w:sz w:val="21"/>
                <w:szCs w:val="21"/>
                <w:lang w:val="zh-CN"/>
              </w:rPr>
              <w:t>服务方案基本可行，</w:t>
            </w:r>
            <w:r>
              <w:rPr>
                <w:rFonts w:hint="eastAsia" w:ascii="宋体" w:hAnsi="宋体" w:eastAsia="宋体" w:cs="宋体"/>
                <w:kern w:val="0"/>
                <w:sz w:val="21"/>
                <w:szCs w:val="21"/>
              </w:rPr>
              <w:t>服务体系基本完善</w:t>
            </w:r>
            <w:r>
              <w:rPr>
                <w:rFonts w:hint="eastAsia" w:ascii="宋体" w:hAnsi="宋体" w:eastAsia="宋体" w:cs="宋体"/>
                <w:kern w:val="0"/>
                <w:sz w:val="21"/>
                <w:szCs w:val="21"/>
                <w:lang w:val="zh-CN"/>
              </w:rPr>
              <w:t>，得</w:t>
            </w:r>
            <w:r>
              <w:rPr>
                <w:rFonts w:hint="eastAsia" w:ascii="宋体" w:hAnsi="宋体" w:eastAsia="宋体" w:cs="宋体"/>
                <w:kern w:val="0"/>
                <w:sz w:val="21"/>
                <w:szCs w:val="21"/>
              </w:rPr>
              <w:t>12</w:t>
            </w:r>
            <w:r>
              <w:rPr>
                <w:rFonts w:hint="eastAsia" w:ascii="宋体" w:hAnsi="宋体" w:eastAsia="宋体" w:cs="宋体"/>
                <w:kern w:val="0"/>
                <w:sz w:val="21"/>
                <w:szCs w:val="21"/>
                <w:lang w:val="zh-CN"/>
              </w:rPr>
              <w:t>分；</w:t>
            </w:r>
          </w:p>
        </w:tc>
      </w:tr>
      <w:tr w14:paraId="740C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12" w:type="dxa"/>
            <w:tcBorders>
              <w:bottom w:val="single" w:color="auto" w:sz="4" w:space="0"/>
            </w:tcBorders>
            <w:vAlign w:val="center"/>
          </w:tcPr>
          <w:p w14:paraId="182AEB2C">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2.2.2</w:t>
            </w:r>
          </w:p>
          <w:p w14:paraId="0992D6E4">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1150" w:type="dxa"/>
            <w:tcBorders>
              <w:bottom w:val="single" w:color="auto" w:sz="4" w:space="0"/>
            </w:tcBorders>
            <w:vAlign w:val="center"/>
          </w:tcPr>
          <w:p w14:paraId="6303F94F">
            <w:pPr>
              <w:widowControl/>
              <w:snapToGrid w:val="0"/>
              <w:spacing w:line="320" w:lineRule="exact"/>
              <w:ind w:left="126" w:hanging="126" w:hangingChars="60"/>
              <w:jc w:val="center"/>
              <w:rPr>
                <w:rFonts w:hint="eastAsia" w:ascii="宋体" w:hAnsi="宋体" w:eastAsia="宋体" w:cs="宋体"/>
                <w:kern w:val="0"/>
                <w:sz w:val="21"/>
                <w:szCs w:val="21"/>
              </w:rPr>
            </w:pPr>
            <w:r>
              <w:rPr>
                <w:rFonts w:hint="eastAsia" w:ascii="宋体" w:hAnsi="宋体" w:eastAsia="宋体" w:cs="宋体"/>
                <w:kern w:val="0"/>
                <w:sz w:val="21"/>
                <w:szCs w:val="21"/>
              </w:rPr>
              <w:t>其他评分因素</w:t>
            </w:r>
          </w:p>
        </w:tc>
        <w:tc>
          <w:tcPr>
            <w:tcW w:w="7828" w:type="dxa"/>
            <w:gridSpan w:val="3"/>
            <w:tcBorders>
              <w:bottom w:val="single" w:color="auto" w:sz="4" w:space="0"/>
            </w:tcBorders>
            <w:vAlign w:val="center"/>
          </w:tcPr>
          <w:p w14:paraId="5BDF1914">
            <w:pPr>
              <w:widowControl/>
              <w:snapToGrid w:val="0"/>
              <w:spacing w:line="32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无</w:t>
            </w:r>
          </w:p>
        </w:tc>
      </w:tr>
    </w:tbl>
    <w:p w14:paraId="30159541">
      <w:pPr>
        <w:widowControl w:val="0"/>
        <w:adjustRightInd w:val="0"/>
        <w:snapToGrid w:val="0"/>
        <w:jc w:val="left"/>
        <w:textAlignment w:val="baseline"/>
        <w:rPr>
          <w:rFonts w:hint="eastAsia" w:ascii="宋体" w:hAnsi="宋体" w:eastAsia="宋体" w:cs="Times New Roman"/>
          <w:snapToGrid w:val="0"/>
          <w:kern w:val="0"/>
          <w:sz w:val="21"/>
          <w:szCs w:val="21"/>
          <w:lang w:val="en-US" w:eastAsia="zh-CN" w:bidi="ar-SA"/>
        </w:rPr>
      </w:pPr>
      <w:r>
        <w:rPr>
          <w:rFonts w:ascii="宋体" w:hAnsi="宋体" w:eastAsia="宋体" w:cs="Times New Roman"/>
          <w:snapToGrid w:val="0"/>
          <w:kern w:val="0"/>
          <w:sz w:val="21"/>
          <w:szCs w:val="21"/>
          <w:lang w:val="en-US" w:eastAsia="zh-CN" w:bidi="ar-SA"/>
        </w:rPr>
        <w:t>注：</w:t>
      </w:r>
    </w:p>
    <w:p w14:paraId="61A27D2F">
      <w:pPr>
        <w:widowControl w:val="0"/>
        <w:adjustRightInd w:val="0"/>
        <w:snapToGrid w:val="0"/>
        <w:jc w:val="left"/>
        <w:textAlignment w:val="baseline"/>
        <w:rPr>
          <w:rFonts w:hint="eastAsia" w:ascii="宋体" w:hAnsi="宋体" w:eastAsia="宋体" w:cs="Times New Roman"/>
          <w:snapToGrid w:val="0"/>
          <w:kern w:val="0"/>
          <w:sz w:val="21"/>
          <w:szCs w:val="21"/>
          <w:lang w:val="en-US" w:eastAsia="zh-CN" w:bidi="ar-SA"/>
        </w:rPr>
      </w:pPr>
      <w:r>
        <w:rPr>
          <w:rFonts w:ascii="宋体" w:hAnsi="宋体" w:eastAsia="宋体" w:cs="Times New Roman"/>
          <w:snapToGrid w:val="0"/>
          <w:kern w:val="0"/>
          <w:sz w:val="21"/>
          <w:szCs w:val="21"/>
          <w:lang w:val="en-US" w:eastAsia="zh-CN" w:bidi="ar-SA"/>
        </w:rPr>
        <w:t>1、评委打分保留1位小数</w:t>
      </w:r>
      <w:r>
        <w:rPr>
          <w:rFonts w:hint="eastAsia" w:ascii="宋体" w:hAnsi="宋体" w:eastAsia="宋体" w:cs="Times New Roman"/>
          <w:snapToGrid w:val="0"/>
          <w:kern w:val="0"/>
          <w:sz w:val="21"/>
          <w:szCs w:val="21"/>
          <w:lang w:val="en-US" w:eastAsia="zh-CN" w:bidi="ar-SA"/>
        </w:rPr>
        <w:t>，各评分因素得分应以评标委员会各成员的打分平均值确定，保留两位小数，第三位四舍五入。</w:t>
      </w:r>
    </w:p>
    <w:p w14:paraId="2BB45416">
      <w:r>
        <w:rPr>
          <w:rFonts w:ascii="宋体" w:hAnsi="宋体" w:eastAsia="宋体" w:cs="Times New Roman"/>
          <w:snapToGrid w:val="0"/>
          <w:kern w:val="0"/>
          <w:sz w:val="21"/>
          <w:szCs w:val="21"/>
        </w:rPr>
        <w:t>2、</w:t>
      </w:r>
      <w:r>
        <w:rPr>
          <w:rFonts w:hint="eastAsia" w:ascii="宋体" w:hAnsi="宋体" w:eastAsia="宋体" w:cs="Times New Roman"/>
          <w:snapToGrid w:val="0"/>
          <w:kern w:val="0"/>
          <w:sz w:val="21"/>
          <w:szCs w:val="21"/>
        </w:rPr>
        <w:t>第2.2.2（2）项评标委员会成员对某一项评分因素的评分低于权重分值 60%的，应在评标报告中作出说明。评审因素细分项缺项则该项得0分。</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E650C"/>
    <w:multiLevelType w:val="multilevel"/>
    <w:tmpl w:val="4C6E650C"/>
    <w:lvl w:ilvl="0" w:tentative="0">
      <w:start w:val="1"/>
      <w:numFmt w:val="decimal"/>
      <w:pStyle w:val="3"/>
      <w:suff w:val="space"/>
      <w:lvlText w:val="%1."/>
      <w:lvlJc w:val="left"/>
      <w:pPr>
        <w:tabs>
          <w:tab w:val="left" w:pos="0"/>
        </w:tabs>
        <w:ind w:left="0" w:firstLine="0"/>
      </w:pPr>
      <w:rPr>
        <w:rFonts w:hint="default" w:ascii="Times New Roman" w:hAnsi="Times New Roman" w:eastAsia="宋体"/>
        <w:b/>
        <w:i w:val="0"/>
        <w:sz w:val="21"/>
        <w:szCs w:val="21"/>
      </w:rPr>
    </w:lvl>
    <w:lvl w:ilvl="1" w:tentative="0">
      <w:start w:val="1"/>
      <w:numFmt w:val="decimal"/>
      <w:pStyle w:val="2"/>
      <w:suff w:val="space"/>
      <w:lvlText w:val="%1.%2"/>
      <w:lvlJc w:val="left"/>
      <w:pPr>
        <w:tabs>
          <w:tab w:val="left" w:pos="0"/>
        </w:tabs>
        <w:ind w:left="240" w:firstLine="0"/>
      </w:pPr>
      <w:rPr>
        <w:rFonts w:hint="default" w:ascii="Times New Roman" w:hAnsi="Times New Roman" w:eastAsia="宋体"/>
        <w:b/>
        <w:i w:val="0"/>
        <w:sz w:val="21"/>
        <w:szCs w:val="21"/>
      </w:rPr>
    </w:lvl>
    <w:lvl w:ilvl="2" w:tentative="0">
      <w:start w:val="1"/>
      <w:numFmt w:val="decimal"/>
      <w:suff w:val="space"/>
      <w:lvlText w:val="%1.%2.%3"/>
      <w:lvlJc w:val="left"/>
      <w:pPr>
        <w:ind w:left="993" w:firstLine="0"/>
      </w:pPr>
      <w:rPr>
        <w:rFonts w:hint="default" w:ascii="Times New Roman" w:hAnsi="Times New Roman" w:eastAsia="宋体"/>
        <w:b/>
        <w:i w:val="0"/>
        <w:sz w:val="32"/>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6923F2"/>
    <w:rsid w:val="2F8266AE"/>
    <w:rsid w:val="313B650B"/>
    <w:rsid w:val="4F7C6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240"/>
      <w:outlineLvl w:val="1"/>
    </w:pPr>
    <w:rPr>
      <w:rFonts w:ascii="Arial" w:hAnsi="Arial" w:eastAsia="黑体"/>
      <w:b/>
      <w:sz w:val="32"/>
    </w:rPr>
  </w:style>
  <w:style w:type="paragraph" w:styleId="3">
    <w:name w:val="heading 3"/>
    <w:basedOn w:val="1"/>
    <w:next w:val="1"/>
    <w:semiHidden/>
    <w:unhideWhenUsed/>
    <w:qFormat/>
    <w:uiPriority w:val="0"/>
    <w:pPr>
      <w:keepNext/>
      <w:keepLines/>
      <w:numPr>
        <w:ilvl w:val="0"/>
        <w:numId w:val="1"/>
      </w:numPr>
      <w:spacing w:before="50" w:after="50" w:line="416" w:lineRule="auto"/>
      <w:outlineLvl w:val="2"/>
    </w:pPr>
    <w:rPr>
      <w:rFonts w:ascii="宋体" w:hAnsi="宋体" w:eastAsia="宋体" w:cs="Times New Roman"/>
      <w:b/>
      <w:bCs/>
      <w:sz w:val="21"/>
      <w:szCs w:val="21"/>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5693</Words>
  <Characters>6289</Characters>
  <Lines>0</Lines>
  <Paragraphs>0</Paragraphs>
  <TotalTime>0</TotalTime>
  <ScaleCrop>false</ScaleCrop>
  <LinksUpToDate>false</LinksUpToDate>
  <CharactersWithSpaces>6326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2025-07-30T08:06:00Z</dcterms:created>
  <dc:creator>zjyd-2</dc:creator>
  <cp:lastModifiedBy>冯士峰</cp:lastModifiedBy>
  <dcterms:modified xsi:type="dcterms:W3CDTF">2026-10-29T02:32:54Z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CF58DBFDBD8A45269F9CDECC14BC5366_12</vt:lpwstr>
  </property>
  <property fmtid="{D5CDD505-2E9C-101B-9397-08002B2CF9AE}" pid="4" name="KSOTemplateDocerSaveRecord">
    <vt:lpwstr>eyJoZGlkIjoiMjNhMGNiNzBmYzRmYmU1YWU1ZDVjYzI3MTI0YTIzZjQiLCJ1c2VySWQiOiIxNjg3ODQzOTczIn0=</vt:lpwstr>
  </property>
</Properties>
</file>