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E7AA9">
      <w:pPr>
        <w:shd w:val="clear" w:fill="FFFFFF"/>
        <w:wordWrap w:val="0"/>
        <w:outlineLvl w:val="3"/>
        <w:rPr>
          <w:rFonts w:ascii="Times New Roman" w:hAnsi="Times New Roman" w:eastAsia="宋体" w:cs="Times New Roman"/>
          <w:b/>
          <w:color w:val="000000"/>
          <w:sz w:val="24"/>
          <w:szCs w:val="24"/>
          <w:highlight w:val="none"/>
        </w:rPr>
      </w:pPr>
      <w:bookmarkStart w:id="1" w:name="_GoBack"/>
      <w:bookmarkEnd w:id="1"/>
      <w:r>
        <w:rPr>
          <w:rFonts w:ascii="Times New Roman" w:hAnsi="Times New Roman" w:eastAsia="宋体" w:cs="Times New Roman"/>
          <w:b/>
          <w:color w:val="000000"/>
          <w:sz w:val="24"/>
          <w:szCs w:val="24"/>
          <w:highlight w:val="none"/>
        </w:rPr>
        <w:t>附件1：</w:t>
      </w:r>
      <w:bookmarkStart w:id="0" w:name="_Toc404712451"/>
      <w:r>
        <w:rPr>
          <w:rFonts w:ascii="Times New Roman" w:hAnsi="Times New Roman" w:eastAsia="宋体" w:cs="Times New Roman"/>
          <w:b/>
          <w:color w:val="000000"/>
          <w:sz w:val="24"/>
          <w:szCs w:val="24"/>
          <w:highlight w:val="none"/>
        </w:rPr>
        <w:t>资格审查条件</w:t>
      </w:r>
      <w:bookmarkEnd w:id="0"/>
    </w:p>
    <w:p w14:paraId="2E71D428">
      <w:pPr>
        <w:shd w:val="clear" w:fill="FFFFFF"/>
        <w:wordWrap w:val="0"/>
        <w:rPr>
          <w:rFonts w:ascii="Times New Roman" w:hAnsi="Times New Roman" w:eastAsia="宋体" w:cs="Times New Roman"/>
          <w:b/>
          <w:color w:val="000000"/>
          <w:sz w:val="28"/>
          <w:szCs w:val="28"/>
          <w:highlight w:val="none"/>
        </w:rPr>
      </w:pPr>
    </w:p>
    <w:p w14:paraId="3DFE0904">
      <w:pPr>
        <w:shd w:val="clear" w:fill="FFFFFF"/>
        <w:wordWrap w:val="0"/>
        <w:jc w:val="center"/>
        <w:rPr>
          <w:rFonts w:ascii="Times New Roman" w:hAnsi="Times New Roman" w:eastAsia="宋体" w:cs="Times New Roman"/>
          <w:color w:val="000000"/>
          <w:szCs w:val="22"/>
          <w:highlight w:val="none"/>
        </w:rPr>
      </w:pPr>
      <w:r>
        <w:rPr>
          <w:rFonts w:ascii="Times New Roman" w:hAnsi="Times New Roman" w:eastAsia="宋体" w:cs="Times New Roman"/>
          <w:b/>
          <w:color w:val="000000"/>
          <w:sz w:val="24"/>
          <w:szCs w:val="22"/>
          <w:highlight w:val="none"/>
        </w:rPr>
        <w:t>附录1  资格审查条件（资质最低要求）</w:t>
      </w:r>
    </w:p>
    <w:tbl>
      <w:tblPr>
        <w:tblStyle w:val="5"/>
        <w:tblpPr w:leftFromText="181" w:rightFromText="181" w:vertAnchor="text" w:horzAnchor="margin" w:tblpXSpec="center" w:tblpY="30"/>
        <w:tblW w:w="881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28" w:type="dxa"/>
          <w:bottom w:w="28" w:type="dxa"/>
          <w:right w:w="28" w:type="dxa"/>
        </w:tblCellMar>
      </w:tblPr>
      <w:tblGrid>
        <w:gridCol w:w="1011"/>
        <w:gridCol w:w="7801"/>
      </w:tblGrid>
      <w:tr w14:paraId="33D43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542" w:hRule="atLeast"/>
          <w:tblHeader/>
          <w:jc w:val="center"/>
        </w:trPr>
        <w:tc>
          <w:tcPr>
            <w:tcW w:w="1011" w:type="dxa"/>
            <w:tcBorders>
              <w:left w:val="single" w:color="auto" w:sz="4" w:space="0"/>
            </w:tcBorders>
            <w:vAlign w:val="center"/>
          </w:tcPr>
          <w:p w14:paraId="6863B144">
            <w:pPr>
              <w:shd w:val="clear" w:fill="FFFFFF"/>
              <w:wordWrap w:val="0"/>
              <w:adjustRightInd w:val="0"/>
              <w:snapToGrid w:val="0"/>
              <w:jc w:val="center"/>
              <w:rPr>
                <w:rFonts w:ascii="Times New Roman" w:hAnsi="Times New Roman" w:eastAsia="宋体" w:cs="Times New Roman"/>
                <w:b/>
                <w:color w:val="000000"/>
                <w:szCs w:val="21"/>
                <w:highlight w:val="none"/>
                <w:shd w:val="clear" w:color="auto" w:fill="FFFFFF"/>
              </w:rPr>
            </w:pPr>
            <w:r>
              <w:rPr>
                <w:rFonts w:hint="eastAsia" w:ascii="Times New Roman" w:hAnsi="Times New Roman" w:eastAsia="宋体" w:cs="Times New Roman"/>
                <w:b/>
                <w:color w:val="000000"/>
                <w:szCs w:val="21"/>
                <w:highlight w:val="none"/>
                <w:shd w:val="clear" w:color="auto" w:fill="FFFFFF"/>
              </w:rPr>
              <w:t>标段</w:t>
            </w:r>
          </w:p>
        </w:tc>
        <w:tc>
          <w:tcPr>
            <w:tcW w:w="7801" w:type="dxa"/>
            <w:tcBorders>
              <w:left w:val="single" w:color="auto" w:sz="4" w:space="0"/>
            </w:tcBorders>
            <w:vAlign w:val="center"/>
          </w:tcPr>
          <w:p w14:paraId="39EFA96E">
            <w:pPr>
              <w:shd w:val="clear" w:fill="FFFFFF"/>
              <w:wordWrap w:val="0"/>
              <w:adjustRightInd w:val="0"/>
              <w:snapToGrid w:val="0"/>
              <w:jc w:val="center"/>
              <w:rPr>
                <w:rFonts w:ascii="Times New Roman" w:hAnsi="Times New Roman" w:eastAsia="宋体" w:cs="Times New Roman"/>
                <w:b/>
                <w:bCs/>
                <w:color w:val="000000"/>
                <w:szCs w:val="21"/>
                <w:highlight w:val="none"/>
              </w:rPr>
            </w:pPr>
            <w:r>
              <w:rPr>
                <w:rFonts w:ascii="Times New Roman" w:hAnsi="Times New Roman" w:eastAsia="宋体" w:cs="Times New Roman"/>
                <w:b/>
                <w:bCs/>
                <w:color w:val="000000"/>
                <w:szCs w:val="21"/>
                <w:highlight w:val="none"/>
              </w:rPr>
              <w:t>资质要求</w:t>
            </w:r>
          </w:p>
        </w:tc>
      </w:tr>
      <w:tr w14:paraId="686BB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979" w:hRule="exact"/>
          <w:jc w:val="center"/>
        </w:trPr>
        <w:tc>
          <w:tcPr>
            <w:tcW w:w="1011" w:type="dxa"/>
            <w:tcBorders>
              <w:left w:val="single" w:color="auto" w:sz="4" w:space="0"/>
              <w:bottom w:val="single" w:color="auto" w:sz="4" w:space="0"/>
            </w:tcBorders>
            <w:vAlign w:val="center"/>
          </w:tcPr>
          <w:p w14:paraId="6E40DE72">
            <w:pPr>
              <w:shd w:val="clear" w:fill="FFFFFF"/>
              <w:wordWrap w:val="0"/>
              <w:adjustRightInd w:val="0"/>
              <w:snapToGrid w:val="0"/>
              <w:jc w:val="center"/>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一、二</w:t>
            </w:r>
          </w:p>
        </w:tc>
        <w:tc>
          <w:tcPr>
            <w:tcW w:w="7801" w:type="dxa"/>
            <w:tcBorders>
              <w:left w:val="single" w:color="auto" w:sz="4" w:space="0"/>
            </w:tcBorders>
            <w:vAlign w:val="center"/>
          </w:tcPr>
          <w:p w14:paraId="603E9262">
            <w:pPr>
              <w:shd w:val="clear" w:fill="FFFFFF"/>
              <w:adjustRightInd w:val="0"/>
              <w:snapToGrid w:val="0"/>
              <w:rPr>
                <w:rFonts w:ascii="宋体" w:hAnsi="宋体" w:eastAsia="宋体" w:cs="宋体"/>
                <w:color w:val="000000"/>
                <w:szCs w:val="21"/>
                <w:highlight w:val="none"/>
              </w:rPr>
            </w:pPr>
            <w:r>
              <w:rPr>
                <w:rFonts w:hint="eastAsia" w:ascii="宋体" w:hAnsi="宋体" w:eastAsia="宋体" w:cs="Times New Roman"/>
                <w:bCs w:val="0"/>
                <w:color w:val="000000"/>
                <w:kern w:val="2"/>
                <w:sz w:val="21"/>
                <w:szCs w:val="21"/>
                <w:highlight w:val="none"/>
                <w:lang w:val="en-US" w:eastAsia="zh-CN" w:bidi="ar-SA"/>
              </w:rPr>
              <w:t>投标人为</w:t>
            </w:r>
            <w:r>
              <w:rPr>
                <w:rFonts w:hint="eastAsia" w:ascii="宋体" w:hAnsi="宋体" w:eastAsia="宋体" w:cs="Times New Roman"/>
                <w:color w:val="000000"/>
                <w:szCs w:val="21"/>
                <w:highlight w:val="none"/>
              </w:rPr>
              <w:t>中华人民共和国境内的法人或其他组织，持有有效的营业执照</w:t>
            </w:r>
            <w:r>
              <w:rPr>
                <w:rFonts w:hint="eastAsia" w:ascii="宋体" w:hAnsi="宋体" w:eastAsia="宋体" w:cs="Times New Roman"/>
                <w:color w:val="000000"/>
                <w:szCs w:val="21"/>
                <w:highlight w:val="none"/>
                <w:lang w:eastAsia="zh-CN"/>
              </w:rPr>
              <w:t>的</w:t>
            </w:r>
            <w:r>
              <w:rPr>
                <w:rFonts w:hint="eastAsia" w:ascii="宋体" w:hAnsi="宋体" w:eastAsia="宋体" w:cs="Times New Roman"/>
                <w:color w:val="000000"/>
                <w:szCs w:val="21"/>
                <w:highlight w:val="none"/>
                <w:lang w:val="en-US" w:eastAsia="zh-CN"/>
              </w:rPr>
              <w:t>设备制造商</w:t>
            </w:r>
            <w:r>
              <w:rPr>
                <w:rFonts w:hint="eastAsia" w:ascii="宋体" w:hAnsi="宋体" w:eastAsia="宋体" w:cs="宋体"/>
                <w:color w:val="000000"/>
                <w:szCs w:val="21"/>
                <w:highlight w:val="none"/>
              </w:rPr>
              <w:t>；</w:t>
            </w:r>
          </w:p>
        </w:tc>
      </w:tr>
      <w:tr w14:paraId="0BEBA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1552" w:hRule="exact"/>
          <w:jc w:val="center"/>
        </w:trPr>
        <w:tc>
          <w:tcPr>
            <w:tcW w:w="1011" w:type="dxa"/>
            <w:tcBorders>
              <w:top w:val="single" w:color="auto" w:sz="4" w:space="0"/>
              <w:left w:val="single" w:color="auto" w:sz="4" w:space="0"/>
              <w:bottom w:val="single" w:color="auto" w:sz="4" w:space="0"/>
            </w:tcBorders>
            <w:vAlign w:val="center"/>
          </w:tcPr>
          <w:p w14:paraId="7E95EE31">
            <w:pPr>
              <w:shd w:val="clear" w:fill="FFFFFF"/>
              <w:wordWrap w:val="0"/>
              <w:adjustRightInd w:val="0"/>
              <w:snapToGrid w:val="0"/>
              <w:jc w:val="center"/>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三、四</w:t>
            </w:r>
          </w:p>
        </w:tc>
        <w:tc>
          <w:tcPr>
            <w:tcW w:w="7801" w:type="dxa"/>
            <w:tcBorders>
              <w:left w:val="single" w:color="auto" w:sz="4" w:space="0"/>
            </w:tcBorders>
            <w:vAlign w:val="center"/>
          </w:tcPr>
          <w:p w14:paraId="2BFBD867">
            <w:pPr>
              <w:widowControl/>
              <w:shd w:val="clear" w:fill="FFFFFF"/>
              <w:adjustRightInd w:val="0"/>
              <w:snapToGrid w:val="0"/>
              <w:spacing w:line="240" w:lineRule="auto"/>
              <w:jc w:val="both"/>
              <w:rPr>
                <w:rFonts w:hint="eastAsia" w:ascii="宋体" w:hAnsi="宋体" w:eastAsia="宋体" w:cs="Times New Roman"/>
                <w:bCs w:val="0"/>
                <w:color w:val="000000"/>
                <w:kern w:val="2"/>
                <w:sz w:val="21"/>
                <w:szCs w:val="21"/>
                <w:highlight w:val="none"/>
                <w:lang w:val="en-US" w:eastAsia="zh-CN" w:bidi="ar-SA"/>
              </w:rPr>
            </w:pPr>
            <w:r>
              <w:rPr>
                <w:rFonts w:hint="eastAsia" w:ascii="宋体" w:hAnsi="宋体" w:eastAsia="宋体" w:cs="Times New Roman"/>
                <w:bCs w:val="0"/>
                <w:color w:val="000000"/>
                <w:kern w:val="2"/>
                <w:sz w:val="21"/>
                <w:szCs w:val="21"/>
                <w:highlight w:val="none"/>
                <w:lang w:val="en-US" w:eastAsia="zh-CN" w:bidi="ar-SA"/>
              </w:rPr>
              <w:t>制造商:投标人为中华人民共和国境内合法注册的独立法人或其他组织，具有独立承担民事责任能力，具有独立订立合同的权利的设备制造商。</w:t>
            </w:r>
          </w:p>
          <w:p w14:paraId="7D421F67">
            <w:pPr>
              <w:widowControl/>
              <w:shd w:val="clear" w:fill="FFFFFF"/>
              <w:adjustRightInd w:val="0"/>
              <w:snapToGrid w:val="0"/>
              <w:spacing w:line="240" w:lineRule="auto"/>
              <w:jc w:val="both"/>
              <w:rPr>
                <w:rFonts w:hint="eastAsia" w:ascii="宋体" w:hAnsi="宋体" w:eastAsia="宋体" w:cs="宋体"/>
                <w:bCs/>
                <w:color w:val="000000"/>
                <w:kern w:val="0"/>
                <w:sz w:val="21"/>
                <w:szCs w:val="21"/>
                <w:highlight w:val="none"/>
                <w:lang w:val="en-US" w:eastAsia="zh-CN" w:bidi="ar-SA"/>
              </w:rPr>
            </w:pPr>
            <w:r>
              <w:rPr>
                <w:rFonts w:hint="eastAsia" w:ascii="宋体" w:hAnsi="宋体" w:eastAsia="宋体" w:cs="Times New Roman"/>
                <w:bCs w:val="0"/>
                <w:color w:val="000000"/>
                <w:kern w:val="2"/>
                <w:sz w:val="21"/>
                <w:szCs w:val="21"/>
                <w:highlight w:val="none"/>
                <w:lang w:val="en-US" w:eastAsia="zh-CN" w:bidi="ar-SA"/>
              </w:rPr>
              <w:t>代理商:投标人为中华人民共和国境内合法注册的独立法人或其他组织，</w:t>
            </w:r>
            <w:r>
              <w:rPr>
                <w:rFonts w:hint="eastAsia" w:ascii="宋体" w:hAnsi="宋体" w:eastAsia="宋体" w:cs="Times New Roman"/>
                <w:bCs/>
                <w:color w:val="000000"/>
                <w:kern w:val="0"/>
                <w:sz w:val="21"/>
                <w:szCs w:val="21"/>
                <w:highlight w:val="none"/>
                <w:lang w:val="en-US" w:eastAsia="zh-CN" w:bidi="ar-SA"/>
              </w:rPr>
              <w:t>持有有效的营业执照</w:t>
            </w:r>
            <w:r>
              <w:rPr>
                <w:rFonts w:hint="eastAsia" w:ascii="宋体" w:hAnsi="宋体" w:eastAsia="宋体" w:cs="Times New Roman"/>
                <w:bCs w:val="0"/>
                <w:color w:val="000000"/>
                <w:kern w:val="2"/>
                <w:sz w:val="21"/>
                <w:szCs w:val="21"/>
                <w:highlight w:val="none"/>
                <w:lang w:val="en-US" w:eastAsia="zh-CN" w:bidi="ar-SA"/>
              </w:rPr>
              <w:t>；具有制造商出具的针对本招标项目所投标设备的唯一授权书（仅适用于招标公告附件3：采购清单标</w:t>
            </w:r>
            <w:r>
              <w:rPr>
                <w:rFonts w:hint="eastAsia" w:ascii="宋体" w:hAnsi="宋体" w:eastAsia="宋体" w:cs="宋体"/>
                <w:bCs/>
                <w:i w:val="0"/>
                <w:iCs w:val="0"/>
                <w:color w:val="000000"/>
                <w:kern w:val="0"/>
                <w:sz w:val="28"/>
                <w:szCs w:val="28"/>
                <w:highlight w:val="none"/>
                <w:u w:val="none"/>
                <w:lang w:val="en-US" w:eastAsia="zh-CN" w:bidi="ar"/>
              </w:rPr>
              <w:t>*</w:t>
            </w:r>
            <w:r>
              <w:rPr>
                <w:rFonts w:hint="eastAsia" w:ascii="宋体" w:hAnsi="宋体" w:eastAsia="宋体" w:cs="宋体"/>
                <w:bCs/>
                <w:i w:val="0"/>
                <w:iCs w:val="0"/>
                <w:color w:val="000000"/>
                <w:kern w:val="0"/>
                <w:sz w:val="21"/>
                <w:szCs w:val="21"/>
                <w:highlight w:val="none"/>
                <w:u w:val="none"/>
                <w:lang w:val="en-US" w:eastAsia="zh-CN" w:bidi="ar"/>
              </w:rPr>
              <w:t>项设备</w:t>
            </w:r>
            <w:r>
              <w:rPr>
                <w:rFonts w:hint="eastAsia" w:ascii="宋体" w:hAnsi="宋体" w:eastAsia="宋体" w:cs="Times New Roman"/>
                <w:bCs w:val="0"/>
                <w:color w:val="000000"/>
                <w:kern w:val="2"/>
                <w:sz w:val="21"/>
                <w:szCs w:val="21"/>
                <w:highlight w:val="none"/>
                <w:lang w:val="en-US" w:eastAsia="zh-CN" w:bidi="ar-SA"/>
              </w:rPr>
              <w:t>），且该制造商满足前述关于“制造商”的要求。</w:t>
            </w:r>
          </w:p>
        </w:tc>
      </w:tr>
    </w:tbl>
    <w:p w14:paraId="5537A6F5">
      <w:pPr>
        <w:shd w:val="clear" w:fill="FFFFFF"/>
        <w:wordWrap w:val="0"/>
        <w:jc w:val="center"/>
        <w:rPr>
          <w:rFonts w:ascii="Times New Roman" w:hAnsi="Times New Roman" w:eastAsia="宋体" w:cs="Times New Roman"/>
          <w:b/>
          <w:color w:val="000000"/>
          <w:sz w:val="24"/>
          <w:szCs w:val="22"/>
          <w:highlight w:val="none"/>
        </w:rPr>
      </w:pPr>
    </w:p>
    <w:p w14:paraId="10D5D059">
      <w:pPr>
        <w:shd w:val="clear" w:fill="FFFFFF"/>
        <w:wordWrap w:val="0"/>
        <w:jc w:val="center"/>
        <w:rPr>
          <w:rFonts w:ascii="Times New Roman" w:hAnsi="Times New Roman" w:eastAsia="宋体" w:cs="Times New Roman"/>
          <w:b/>
          <w:color w:val="000000"/>
          <w:sz w:val="24"/>
          <w:szCs w:val="22"/>
          <w:highlight w:val="none"/>
        </w:rPr>
      </w:pPr>
    </w:p>
    <w:p w14:paraId="473FAE88">
      <w:pPr>
        <w:shd w:val="clear" w:fill="FFFFFF"/>
        <w:wordWrap w:val="0"/>
        <w:jc w:val="center"/>
        <w:rPr>
          <w:rFonts w:ascii="Times New Roman" w:hAnsi="Times New Roman" w:eastAsia="宋体" w:cs="Times New Roman"/>
          <w:b/>
          <w:color w:val="000000"/>
          <w:sz w:val="24"/>
          <w:szCs w:val="22"/>
          <w:highlight w:val="none"/>
        </w:rPr>
      </w:pPr>
      <w:r>
        <w:rPr>
          <w:rFonts w:ascii="Times New Roman" w:hAnsi="Times New Roman" w:eastAsia="宋体" w:cs="Times New Roman"/>
          <w:b/>
          <w:color w:val="000000"/>
          <w:sz w:val="24"/>
          <w:szCs w:val="22"/>
          <w:highlight w:val="none"/>
        </w:rPr>
        <w:t>附录</w:t>
      </w:r>
      <w:r>
        <w:rPr>
          <w:rFonts w:hint="eastAsia" w:ascii="Times New Roman" w:hAnsi="Times New Roman" w:eastAsia="宋体" w:cs="Times New Roman"/>
          <w:b/>
          <w:color w:val="000000"/>
          <w:sz w:val="24"/>
          <w:szCs w:val="22"/>
          <w:highlight w:val="none"/>
        </w:rPr>
        <w:t>2</w:t>
      </w:r>
      <w:r>
        <w:rPr>
          <w:rFonts w:ascii="Times New Roman" w:hAnsi="Times New Roman" w:eastAsia="宋体" w:cs="Times New Roman"/>
          <w:b/>
          <w:color w:val="000000"/>
          <w:sz w:val="24"/>
          <w:szCs w:val="22"/>
          <w:highlight w:val="none"/>
        </w:rPr>
        <w:t xml:space="preserve">  资格审查条件（业绩最低要求）</w:t>
      </w:r>
    </w:p>
    <w:tbl>
      <w:tblPr>
        <w:tblStyle w:val="5"/>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72"/>
        <w:gridCol w:w="7859"/>
      </w:tblGrid>
      <w:tr w14:paraId="1A1B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1072" w:type="dxa"/>
            <w:vAlign w:val="center"/>
          </w:tcPr>
          <w:p w14:paraId="73D915FD">
            <w:pPr>
              <w:shd w:val="clear" w:fill="FFFFFF"/>
              <w:wordWrap w:val="0"/>
              <w:adjustRightInd w:val="0"/>
              <w:snapToGrid w:val="0"/>
              <w:jc w:val="center"/>
              <w:rPr>
                <w:rFonts w:ascii="Times New Roman" w:hAnsi="Times New Roman" w:eastAsia="宋体" w:cs="Times New Roman"/>
                <w:b/>
                <w:color w:val="000000"/>
                <w:szCs w:val="21"/>
                <w:highlight w:val="none"/>
                <w:shd w:val="clear" w:color="auto" w:fill="FFFFFF"/>
              </w:rPr>
            </w:pPr>
            <w:r>
              <w:rPr>
                <w:rFonts w:hint="eastAsia" w:ascii="Times New Roman" w:hAnsi="Times New Roman" w:eastAsia="宋体" w:cs="Times New Roman"/>
                <w:b/>
                <w:color w:val="000000"/>
                <w:szCs w:val="21"/>
                <w:highlight w:val="none"/>
                <w:shd w:val="clear" w:color="auto" w:fill="FFFFFF"/>
              </w:rPr>
              <w:t>标段</w:t>
            </w:r>
          </w:p>
        </w:tc>
        <w:tc>
          <w:tcPr>
            <w:tcW w:w="7859" w:type="dxa"/>
            <w:vAlign w:val="center"/>
          </w:tcPr>
          <w:p w14:paraId="09F3B149">
            <w:pPr>
              <w:shd w:val="clear" w:fill="FFFFFF"/>
              <w:wordWrap w:val="0"/>
              <w:adjustRightInd w:val="0"/>
              <w:snapToGrid w:val="0"/>
              <w:jc w:val="center"/>
              <w:rPr>
                <w:rFonts w:ascii="Times New Roman" w:hAnsi="Times New Roman" w:eastAsia="宋体" w:cs="Times New Roman"/>
                <w:b/>
                <w:color w:val="000000"/>
                <w:szCs w:val="21"/>
                <w:highlight w:val="none"/>
                <w:shd w:val="clear" w:color="auto" w:fill="FFFFFF"/>
              </w:rPr>
            </w:pPr>
            <w:r>
              <w:rPr>
                <w:rFonts w:ascii="Times New Roman" w:hAnsi="Times New Roman" w:eastAsia="宋体" w:cs="Times New Roman"/>
                <w:b/>
                <w:color w:val="000000"/>
                <w:szCs w:val="21"/>
                <w:highlight w:val="none"/>
                <w:shd w:val="clear" w:color="auto" w:fill="FFFFFF"/>
              </w:rPr>
              <w:t>业绩要求</w:t>
            </w:r>
          </w:p>
        </w:tc>
      </w:tr>
      <w:tr w14:paraId="16B8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exact"/>
          <w:jc w:val="center"/>
        </w:trPr>
        <w:tc>
          <w:tcPr>
            <w:tcW w:w="1072" w:type="dxa"/>
            <w:vAlign w:val="center"/>
          </w:tcPr>
          <w:p w14:paraId="60DD5BF8">
            <w:pPr>
              <w:shd w:val="clear" w:fill="FFFFFF"/>
              <w:wordWrap w:val="0"/>
              <w:adjustRightInd w:val="0"/>
              <w:snapToGrid w:val="0"/>
              <w:jc w:val="center"/>
              <w:rPr>
                <w:rFonts w:ascii="Times New Roman" w:hAnsi="Times New Roman" w:eastAsia="宋体" w:cs="Times New Roman"/>
                <w:color w:val="000000"/>
                <w:szCs w:val="21"/>
                <w:highlight w:val="none"/>
                <w:shd w:val="clear" w:color="auto" w:fill="FFFFFF"/>
                <w:lang w:eastAsia="zh-CN"/>
              </w:rPr>
            </w:pPr>
            <w:r>
              <w:rPr>
                <w:rFonts w:hint="eastAsia" w:ascii="宋体" w:hAnsi="宋体" w:eastAsia="宋体" w:cs="宋体"/>
                <w:color w:val="000000"/>
                <w:szCs w:val="21"/>
                <w:highlight w:val="none"/>
                <w:lang w:val="en-US" w:eastAsia="zh-CN"/>
              </w:rPr>
              <w:t>一</w:t>
            </w:r>
          </w:p>
        </w:tc>
        <w:tc>
          <w:tcPr>
            <w:tcW w:w="7859" w:type="dxa"/>
            <w:vAlign w:val="center"/>
          </w:tcPr>
          <w:p w14:paraId="5055B763">
            <w:pPr>
              <w:widowControl w:val="0"/>
              <w:shd w:val="clear" w:fill="FFFFFF"/>
              <w:snapToGrid w:val="0"/>
              <w:jc w:val="left"/>
              <w:rPr>
                <w:rFonts w:ascii="Times New Roman" w:hAnsi="Times New Roman" w:eastAsia="宋体" w:cs="Times New Roman"/>
                <w:color w:val="000000"/>
                <w:kern w:val="2"/>
                <w:sz w:val="21"/>
                <w:szCs w:val="22"/>
                <w:highlight w:val="none"/>
                <w:lang w:val="en-US" w:eastAsia="zh-CN" w:bidi="ar-SA"/>
              </w:rPr>
            </w:pPr>
            <w:r>
              <w:rPr>
                <w:rFonts w:hint="eastAsia" w:ascii="Times New Roman" w:hAnsi="Times New Roman" w:eastAsia="宋体" w:cs="Times New Roman"/>
                <w:color w:val="000000"/>
                <w:kern w:val="2"/>
                <w:sz w:val="21"/>
                <w:szCs w:val="22"/>
                <w:highlight w:val="none"/>
                <w:lang w:val="en-US" w:eastAsia="zh-CN" w:bidi="ar-SA"/>
              </w:rPr>
              <w:t>投标人近3年内(2023年10月1日至投标截止时间，以合同签订时间为准)，具有一项所投品牌的可变信息标志供货业绩。</w:t>
            </w:r>
          </w:p>
        </w:tc>
      </w:tr>
      <w:tr w14:paraId="577E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5" w:hRule="exact"/>
          <w:jc w:val="center"/>
        </w:trPr>
        <w:tc>
          <w:tcPr>
            <w:tcW w:w="1072" w:type="dxa"/>
            <w:vAlign w:val="center"/>
          </w:tcPr>
          <w:p w14:paraId="649CE05F">
            <w:pPr>
              <w:shd w:val="clear" w:fill="FFFFFF"/>
              <w:wordWrap w:val="0"/>
              <w:adjustRightInd w:val="0"/>
              <w:snapToGrid w:val="0"/>
              <w:jc w:val="center"/>
              <w:rPr>
                <w:rFonts w:ascii="Times New Roman" w:hAnsi="Times New Roman" w:eastAsia="宋体" w:cs="Times New Roman"/>
                <w:color w:val="000000"/>
                <w:szCs w:val="21"/>
                <w:highlight w:val="none"/>
                <w:shd w:val="clear" w:color="auto" w:fill="FFFFFF"/>
                <w:lang w:eastAsia="zh-CN"/>
              </w:rPr>
            </w:pPr>
            <w:r>
              <w:rPr>
                <w:rFonts w:hint="eastAsia" w:ascii="宋体" w:hAnsi="宋体" w:eastAsia="宋体" w:cs="宋体"/>
                <w:color w:val="000000"/>
                <w:szCs w:val="21"/>
                <w:highlight w:val="none"/>
                <w:lang w:val="en-US" w:eastAsia="zh-CN"/>
              </w:rPr>
              <w:t>二</w:t>
            </w:r>
          </w:p>
        </w:tc>
        <w:tc>
          <w:tcPr>
            <w:tcW w:w="7859" w:type="dxa"/>
            <w:vAlign w:val="center"/>
          </w:tcPr>
          <w:p w14:paraId="176E17C3">
            <w:pPr>
              <w:widowControl w:val="0"/>
              <w:shd w:val="clear" w:fill="FFFFFF"/>
              <w:snapToGrid w:val="0"/>
              <w:jc w:val="left"/>
              <w:rPr>
                <w:rFonts w:ascii="Times New Roman" w:hAnsi="Times New Roman" w:eastAsia="宋体" w:cs="Times New Roman"/>
                <w:color w:val="000000"/>
                <w:kern w:val="2"/>
                <w:sz w:val="21"/>
                <w:szCs w:val="22"/>
                <w:highlight w:val="none"/>
                <w:lang w:val="en-US" w:eastAsia="zh-CN" w:bidi="ar-SA"/>
              </w:rPr>
            </w:pPr>
            <w:r>
              <w:rPr>
                <w:rFonts w:hint="eastAsia" w:ascii="Times New Roman" w:hAnsi="Times New Roman" w:eastAsia="宋体" w:cs="Times New Roman"/>
                <w:color w:val="000000"/>
                <w:kern w:val="2"/>
                <w:sz w:val="21"/>
                <w:szCs w:val="22"/>
                <w:highlight w:val="none"/>
                <w:lang w:val="en-US" w:eastAsia="zh-CN" w:bidi="ar-SA"/>
              </w:rPr>
              <w:t>投标人近3年内(2023年10月1日至投标截止时间，以合同签订时间为准)，具有一项所投品牌的路线诱导装置供货业绩。</w:t>
            </w:r>
          </w:p>
        </w:tc>
      </w:tr>
      <w:tr w14:paraId="3539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3" w:hRule="exact"/>
          <w:jc w:val="center"/>
        </w:trPr>
        <w:tc>
          <w:tcPr>
            <w:tcW w:w="1072" w:type="dxa"/>
            <w:vAlign w:val="center"/>
          </w:tcPr>
          <w:p w14:paraId="03ED0BC7">
            <w:pPr>
              <w:shd w:val="clear" w:fill="FFFFFF"/>
              <w:wordWrap w:val="0"/>
              <w:adjustRightInd w:val="0"/>
              <w:snapToGrid w:val="0"/>
              <w:jc w:val="center"/>
              <w:rPr>
                <w:rFonts w:ascii="Times New Roman" w:hAnsi="Times New Roman" w:eastAsia="宋体" w:cs="Times New Roman"/>
                <w:color w:val="000000"/>
                <w:szCs w:val="21"/>
                <w:highlight w:val="none"/>
                <w:shd w:val="clear" w:color="auto" w:fill="FFFFFF"/>
                <w:lang w:eastAsia="zh-CN"/>
              </w:rPr>
            </w:pPr>
            <w:r>
              <w:rPr>
                <w:rFonts w:hint="eastAsia" w:ascii="宋体" w:hAnsi="宋体" w:eastAsia="宋体" w:cs="宋体"/>
                <w:color w:val="000000"/>
                <w:szCs w:val="21"/>
                <w:highlight w:val="none"/>
                <w:lang w:val="en-US" w:eastAsia="zh-CN"/>
              </w:rPr>
              <w:t>三</w:t>
            </w:r>
          </w:p>
        </w:tc>
        <w:tc>
          <w:tcPr>
            <w:tcW w:w="7859" w:type="dxa"/>
            <w:vAlign w:val="center"/>
          </w:tcPr>
          <w:p w14:paraId="0E5AAC79">
            <w:pPr>
              <w:widowControl w:val="0"/>
              <w:shd w:val="clear" w:fill="FFFFFF"/>
              <w:snapToGrid w:val="0"/>
              <w:jc w:val="left"/>
              <w:rPr>
                <w:rFonts w:hint="default" w:ascii="Times New Roman" w:hAnsi="Times New Roman" w:eastAsia="宋体" w:cs="Times New Roman"/>
                <w:color w:val="000000"/>
                <w:kern w:val="2"/>
                <w:sz w:val="21"/>
                <w:szCs w:val="22"/>
                <w:highlight w:val="none"/>
                <w:lang w:val="en-US" w:eastAsia="zh-CN" w:bidi="ar-SA"/>
              </w:rPr>
            </w:pPr>
            <w:r>
              <w:rPr>
                <w:rFonts w:hint="eastAsia" w:ascii="Times New Roman" w:hAnsi="Times New Roman" w:eastAsia="宋体" w:cs="Times New Roman"/>
                <w:color w:val="000000"/>
                <w:kern w:val="2"/>
                <w:sz w:val="21"/>
                <w:szCs w:val="22"/>
                <w:highlight w:val="none"/>
                <w:lang w:val="en-US" w:eastAsia="zh-CN" w:bidi="ar-SA"/>
              </w:rPr>
              <w:t>投标人近3年内(2023年10月1日至投标截止时间，以合同签订时间为准)，具有一项所投品牌的抓拍单元或雷达视频一体机供货业绩。</w:t>
            </w:r>
          </w:p>
        </w:tc>
      </w:tr>
      <w:tr w14:paraId="7F56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exact"/>
          <w:jc w:val="center"/>
        </w:trPr>
        <w:tc>
          <w:tcPr>
            <w:tcW w:w="1072" w:type="dxa"/>
            <w:vAlign w:val="center"/>
          </w:tcPr>
          <w:p w14:paraId="08DB0C87">
            <w:pPr>
              <w:shd w:val="clear" w:fill="FFFFFF"/>
              <w:wordWrap w:val="0"/>
              <w:adjustRightInd w:val="0"/>
              <w:snapToGrid w:val="0"/>
              <w:jc w:val="center"/>
              <w:rPr>
                <w:rFonts w:ascii="Times New Roman" w:hAnsi="Times New Roman" w:eastAsia="宋体" w:cs="Times New Roman"/>
                <w:color w:val="000000"/>
                <w:szCs w:val="21"/>
                <w:highlight w:val="none"/>
                <w:shd w:val="clear" w:color="auto" w:fill="FFFFFF"/>
                <w:lang w:eastAsia="zh-CN"/>
              </w:rPr>
            </w:pPr>
            <w:r>
              <w:rPr>
                <w:rFonts w:hint="eastAsia" w:ascii="宋体" w:hAnsi="宋体" w:eastAsia="宋体" w:cs="宋体"/>
                <w:color w:val="000000"/>
                <w:szCs w:val="21"/>
                <w:highlight w:val="none"/>
                <w:lang w:val="en-US" w:eastAsia="zh-CN"/>
              </w:rPr>
              <w:t>四</w:t>
            </w:r>
          </w:p>
        </w:tc>
        <w:tc>
          <w:tcPr>
            <w:tcW w:w="7859" w:type="dxa"/>
            <w:vAlign w:val="center"/>
          </w:tcPr>
          <w:p w14:paraId="214606AC">
            <w:pPr>
              <w:widowControl w:val="0"/>
              <w:shd w:val="clear" w:fill="FFFFFF"/>
              <w:snapToGrid w:val="0"/>
              <w:jc w:val="left"/>
              <w:rPr>
                <w:rFonts w:ascii="Times New Roman" w:hAnsi="Times New Roman" w:eastAsia="宋体" w:cs="Times New Roman"/>
                <w:color w:val="000000"/>
                <w:kern w:val="2"/>
                <w:sz w:val="21"/>
                <w:szCs w:val="22"/>
                <w:highlight w:val="none"/>
                <w:lang w:val="en-US" w:eastAsia="zh-CN" w:bidi="ar-SA"/>
              </w:rPr>
            </w:pPr>
            <w:r>
              <w:rPr>
                <w:rFonts w:hint="eastAsia" w:ascii="Times New Roman" w:hAnsi="Times New Roman" w:eastAsia="宋体" w:cs="Times New Roman"/>
                <w:color w:val="000000"/>
                <w:kern w:val="2"/>
                <w:sz w:val="21"/>
                <w:szCs w:val="22"/>
                <w:highlight w:val="none"/>
                <w:lang w:val="en-US" w:eastAsia="zh-CN" w:bidi="ar-SA"/>
              </w:rPr>
              <w:t>投标人近3年内(2023年10月1日至投标截止时间，以合同签订时间为准)，具有一项所投品牌的气象监测设备供货业绩。</w:t>
            </w:r>
          </w:p>
        </w:tc>
      </w:tr>
    </w:tbl>
    <w:p w14:paraId="1A5B6236">
      <w:pPr>
        <w:shd w:val="clear" w:fill="FFFFFF"/>
        <w:wordWrap w:val="0"/>
        <w:ind w:firstLine="843" w:firstLineChars="400"/>
        <w:rPr>
          <w:rFonts w:hint="eastAsia" w:ascii="Times New Roman" w:hAnsi="Times New Roman" w:eastAsia="宋体" w:cs="Times New Roman"/>
          <w:b/>
          <w:color w:val="000000"/>
          <w:sz w:val="21"/>
          <w:szCs w:val="21"/>
          <w:highlight w:val="none"/>
          <w:lang w:eastAsia="zh-CN"/>
        </w:rPr>
      </w:pPr>
    </w:p>
    <w:p w14:paraId="7AD60702">
      <w:pPr>
        <w:shd w:val="clear" w:fill="FFFFFF"/>
        <w:wordWrap w:val="0"/>
        <w:jc w:val="center"/>
        <w:rPr>
          <w:rFonts w:ascii="Times New Roman" w:hAnsi="Times New Roman" w:eastAsia="宋体" w:cs="Times New Roman"/>
          <w:b/>
          <w:color w:val="000000"/>
          <w:sz w:val="24"/>
          <w:szCs w:val="22"/>
          <w:highlight w:val="none"/>
        </w:rPr>
      </w:pPr>
    </w:p>
    <w:p w14:paraId="137618A6">
      <w:pPr>
        <w:shd w:val="clear" w:fill="FFFFFF"/>
        <w:wordWrap w:val="0"/>
        <w:jc w:val="center"/>
        <w:rPr>
          <w:rFonts w:ascii="Times New Roman" w:hAnsi="Times New Roman" w:eastAsia="宋体" w:cs="Times New Roman"/>
          <w:b/>
          <w:color w:val="000000"/>
          <w:sz w:val="24"/>
          <w:szCs w:val="22"/>
          <w:highlight w:val="none"/>
        </w:rPr>
      </w:pPr>
    </w:p>
    <w:p w14:paraId="56B14EB4">
      <w:pPr>
        <w:shd w:val="clear" w:fill="FFFFFF"/>
        <w:wordWrap w:val="0"/>
        <w:jc w:val="center"/>
        <w:rPr>
          <w:rFonts w:ascii="Times New Roman" w:hAnsi="Times New Roman" w:eastAsia="宋体" w:cs="Times New Roman"/>
          <w:color w:val="000000"/>
          <w:szCs w:val="22"/>
          <w:highlight w:val="none"/>
        </w:rPr>
      </w:pPr>
      <w:r>
        <w:rPr>
          <w:rFonts w:ascii="Times New Roman" w:hAnsi="Times New Roman" w:eastAsia="宋体" w:cs="Times New Roman"/>
          <w:b/>
          <w:color w:val="000000"/>
          <w:sz w:val="24"/>
          <w:szCs w:val="22"/>
          <w:highlight w:val="none"/>
        </w:rPr>
        <w:t>附录3  资格审查条件（信誉最低要求）</w:t>
      </w:r>
    </w:p>
    <w:tbl>
      <w:tblPr>
        <w:tblStyle w:val="5"/>
        <w:tblW w:w="8983"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85"/>
        <w:gridCol w:w="7898"/>
      </w:tblGrid>
      <w:tr w14:paraId="0BEE24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4" w:hRule="atLeast"/>
          <w:jc w:val="center"/>
        </w:trPr>
        <w:tc>
          <w:tcPr>
            <w:tcW w:w="1085" w:type="dxa"/>
            <w:tcBorders>
              <w:right w:val="single" w:color="auto" w:sz="4" w:space="0"/>
            </w:tcBorders>
            <w:vAlign w:val="center"/>
          </w:tcPr>
          <w:p w14:paraId="220C045C">
            <w:pPr>
              <w:shd w:val="clear" w:fill="FFFFFF"/>
              <w:wordWrap w:val="0"/>
              <w:adjustRightInd w:val="0"/>
              <w:snapToGrid w:val="0"/>
              <w:jc w:val="center"/>
              <w:rPr>
                <w:rFonts w:hint="eastAsia" w:ascii="Times New Roman" w:hAnsi="Times New Roman" w:eastAsia="宋体" w:cs="Times New Roman"/>
                <w:b/>
                <w:color w:val="000000"/>
                <w:szCs w:val="21"/>
                <w:highlight w:val="none"/>
                <w:lang w:val="en-US" w:eastAsia="zh-CN"/>
              </w:rPr>
            </w:pPr>
            <w:r>
              <w:rPr>
                <w:rFonts w:hint="eastAsia" w:ascii="Times New Roman" w:hAnsi="Times New Roman" w:eastAsia="宋体" w:cs="Times New Roman"/>
                <w:b/>
                <w:color w:val="000000"/>
                <w:szCs w:val="21"/>
                <w:highlight w:val="none"/>
                <w:lang w:val="en-US" w:eastAsia="zh-CN"/>
              </w:rPr>
              <w:t>标段</w:t>
            </w:r>
          </w:p>
        </w:tc>
        <w:tc>
          <w:tcPr>
            <w:tcW w:w="7898" w:type="dxa"/>
            <w:tcBorders>
              <w:left w:val="single" w:color="auto" w:sz="4" w:space="0"/>
            </w:tcBorders>
            <w:vAlign w:val="center"/>
          </w:tcPr>
          <w:p w14:paraId="7FDE469C">
            <w:pPr>
              <w:shd w:val="clear" w:fill="FFFFFF"/>
              <w:wordWrap w:val="0"/>
              <w:adjustRightInd w:val="0"/>
              <w:snapToGrid w:val="0"/>
              <w:jc w:val="center"/>
              <w:rPr>
                <w:rFonts w:ascii="Times New Roman" w:hAnsi="Times New Roman" w:eastAsia="宋体" w:cs="Times New Roman"/>
                <w:b/>
                <w:color w:val="000000"/>
                <w:szCs w:val="21"/>
                <w:highlight w:val="none"/>
              </w:rPr>
            </w:pPr>
            <w:r>
              <w:rPr>
                <w:rFonts w:ascii="Times New Roman" w:hAnsi="Times New Roman" w:eastAsia="宋体" w:cs="Times New Roman"/>
                <w:b/>
                <w:color w:val="000000"/>
                <w:szCs w:val="21"/>
                <w:highlight w:val="none"/>
              </w:rPr>
              <w:t>信誉要求</w:t>
            </w:r>
          </w:p>
        </w:tc>
      </w:tr>
      <w:tr w14:paraId="56319B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987" w:hRule="exact"/>
          <w:jc w:val="center"/>
        </w:trPr>
        <w:tc>
          <w:tcPr>
            <w:tcW w:w="1085" w:type="dxa"/>
            <w:tcBorders>
              <w:right w:val="single" w:color="auto" w:sz="4" w:space="0"/>
            </w:tcBorders>
            <w:vAlign w:val="center"/>
          </w:tcPr>
          <w:p w14:paraId="5FE58DF9">
            <w:pPr>
              <w:shd w:val="clear" w:fill="FFFFFF"/>
              <w:wordWrap w:val="0"/>
              <w:adjustRightInd w:val="0"/>
              <w:snapToGrid w:val="0"/>
              <w:jc w:val="both"/>
              <w:rPr>
                <w:rFonts w:hint="default" w:ascii="Times New Roman" w:hAnsi="Times New Roman" w:eastAsia="宋体" w:cs="Times New Roman"/>
                <w:color w:val="000000"/>
                <w:szCs w:val="22"/>
                <w:highlight w:val="none"/>
                <w:lang w:val="en-US" w:eastAsia="zh-CN"/>
              </w:rPr>
            </w:pPr>
            <w:r>
              <w:rPr>
                <w:rFonts w:hint="eastAsia" w:ascii="Times New Roman" w:hAnsi="Times New Roman" w:eastAsia="宋体" w:cs="Times New Roman"/>
                <w:color w:val="000000"/>
                <w:szCs w:val="22"/>
                <w:highlight w:val="none"/>
                <w:lang w:val="en-US" w:eastAsia="zh-CN"/>
              </w:rPr>
              <w:t>所有标段</w:t>
            </w:r>
          </w:p>
        </w:tc>
        <w:tc>
          <w:tcPr>
            <w:tcW w:w="7898" w:type="dxa"/>
            <w:tcBorders>
              <w:left w:val="single" w:color="auto" w:sz="4" w:space="0"/>
            </w:tcBorders>
            <w:vAlign w:val="center"/>
          </w:tcPr>
          <w:p w14:paraId="75184740">
            <w:pPr>
              <w:shd w:val="clear" w:fill="FFFFFF"/>
              <w:wordWrap w:val="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投标人在近一年（</w:t>
            </w:r>
            <w:r>
              <w:rPr>
                <w:rFonts w:hint="eastAsia" w:ascii="Times New Roman" w:hAnsi="Times New Roman" w:eastAsia="宋体" w:cs="Times New Roman"/>
                <w:color w:val="000000"/>
                <w:szCs w:val="22"/>
                <w:highlight w:val="none"/>
              </w:rPr>
              <w:t>2025年</w:t>
            </w:r>
            <w:r>
              <w:rPr>
                <w:rFonts w:hint="eastAsia" w:ascii="Times New Roman" w:hAnsi="Times New Roman" w:eastAsia="宋体" w:cs="Times New Roman"/>
                <w:color w:val="000000"/>
                <w:szCs w:val="22"/>
                <w:highlight w:val="none"/>
                <w:lang w:val="en-US" w:eastAsia="zh-CN"/>
              </w:rPr>
              <w:t>10月</w:t>
            </w:r>
            <w:r>
              <w:rPr>
                <w:rFonts w:hint="eastAsia" w:ascii="Times New Roman" w:hAnsi="Times New Roman" w:eastAsia="宋体" w:cs="Times New Roman"/>
                <w:color w:val="000000"/>
                <w:szCs w:val="22"/>
                <w:highlight w:val="none"/>
              </w:rPr>
              <w:t>1日</w:t>
            </w:r>
            <w:r>
              <w:rPr>
                <w:rFonts w:ascii="Times New Roman" w:hAnsi="Times New Roman" w:eastAsia="宋体" w:cs="Times New Roman"/>
                <w:color w:val="000000"/>
                <w:szCs w:val="22"/>
                <w:highlight w:val="none"/>
              </w:rPr>
              <w:t>至投标截止时间）不曾在</w:t>
            </w:r>
            <w:r>
              <w:rPr>
                <w:rFonts w:hint="eastAsia" w:ascii="Times New Roman" w:hAnsi="Times New Roman" w:eastAsia="宋体" w:cs="Times New Roman"/>
                <w:color w:val="000000"/>
                <w:szCs w:val="22"/>
                <w:highlight w:val="none"/>
              </w:rPr>
              <w:t>在所投品牌设备供货</w:t>
            </w:r>
            <w:r>
              <w:rPr>
                <w:rFonts w:hint="eastAsia" w:ascii="Times New Roman" w:hAnsi="Times New Roman" w:eastAsia="宋体" w:cs="Times New Roman"/>
                <w:color w:val="000000"/>
                <w:szCs w:val="22"/>
                <w:highlight w:val="none"/>
                <w:lang w:val="en-US" w:eastAsia="zh-CN"/>
              </w:rPr>
              <w:t>合同</w:t>
            </w:r>
            <w:r>
              <w:rPr>
                <w:rFonts w:ascii="Times New Roman" w:hAnsi="Times New Roman" w:eastAsia="宋体" w:cs="Times New Roman"/>
                <w:color w:val="000000"/>
                <w:szCs w:val="22"/>
                <w:highlight w:val="none"/>
              </w:rPr>
              <w:t>中违约</w:t>
            </w:r>
            <w:r>
              <w:rPr>
                <w:rFonts w:hint="eastAsia" w:ascii="Times New Roman" w:hAnsi="Times New Roman" w:eastAsia="宋体" w:cs="Times New Roman"/>
                <w:color w:val="000000"/>
                <w:szCs w:val="22"/>
                <w:highlight w:val="none"/>
              </w:rPr>
              <w:t>而</w:t>
            </w:r>
            <w:r>
              <w:rPr>
                <w:rFonts w:ascii="Times New Roman" w:hAnsi="Times New Roman" w:eastAsia="宋体" w:cs="Times New Roman"/>
                <w:color w:val="000000"/>
                <w:szCs w:val="22"/>
                <w:highlight w:val="none"/>
              </w:rPr>
              <w:t>被</w:t>
            </w:r>
            <w:r>
              <w:rPr>
                <w:rFonts w:hint="eastAsia" w:ascii="Times New Roman" w:hAnsi="Times New Roman" w:eastAsia="宋体" w:cs="Times New Roman"/>
                <w:color w:val="000000"/>
                <w:szCs w:val="22"/>
                <w:highlight w:val="none"/>
              </w:rPr>
              <w:t>驱逐</w:t>
            </w:r>
            <w:r>
              <w:rPr>
                <w:rFonts w:ascii="Times New Roman" w:hAnsi="Times New Roman" w:eastAsia="宋体" w:cs="Times New Roman"/>
                <w:color w:val="000000"/>
                <w:szCs w:val="22"/>
                <w:highlight w:val="none"/>
              </w:rPr>
              <w:t>或因投标人自身的原因而使</w:t>
            </w:r>
            <w:r>
              <w:rPr>
                <w:rFonts w:hint="eastAsia" w:ascii="Times New Roman" w:hAnsi="Times New Roman" w:eastAsia="宋体" w:cs="Times New Roman"/>
                <w:color w:val="000000"/>
                <w:szCs w:val="22"/>
                <w:highlight w:val="none"/>
              </w:rPr>
              <w:t>在所投品牌设备供货</w:t>
            </w:r>
            <w:r>
              <w:rPr>
                <w:rFonts w:hint="eastAsia" w:ascii="Times New Roman" w:hAnsi="Times New Roman" w:eastAsia="宋体" w:cs="Times New Roman"/>
                <w:color w:val="000000"/>
                <w:szCs w:val="22"/>
                <w:highlight w:val="none"/>
                <w:lang w:val="en-US" w:eastAsia="zh-CN"/>
              </w:rPr>
              <w:t>合同</w:t>
            </w:r>
            <w:r>
              <w:rPr>
                <w:rFonts w:ascii="Times New Roman" w:hAnsi="Times New Roman" w:eastAsia="宋体" w:cs="Times New Roman"/>
                <w:color w:val="000000"/>
                <w:szCs w:val="22"/>
                <w:highlight w:val="none"/>
              </w:rPr>
              <w:t>被解除。</w:t>
            </w:r>
          </w:p>
        </w:tc>
      </w:tr>
    </w:tbl>
    <w:p w14:paraId="03B0B932">
      <w:pPr>
        <w:shd w:val="clear" w:fill="FFFFFF"/>
        <w:wordWrap w:val="0"/>
        <w:rPr>
          <w:rFonts w:ascii="Times New Roman" w:hAnsi="Times New Roman" w:eastAsia="宋体" w:cs="Times New Roman"/>
          <w:b/>
          <w:color w:val="000000"/>
          <w:sz w:val="24"/>
          <w:szCs w:val="22"/>
          <w:highlight w:val="none"/>
        </w:rPr>
      </w:pPr>
    </w:p>
    <w:p w14:paraId="06EBDC45">
      <w:pPr>
        <w:shd w:val="clear" w:fill="FFFFFF"/>
        <w:wordWrap w:val="0"/>
        <w:rPr>
          <w:rFonts w:ascii="Times New Roman" w:hAnsi="Times New Roman" w:eastAsia="宋体" w:cs="Times New Roman"/>
          <w:b/>
          <w:color w:val="000000"/>
          <w:sz w:val="24"/>
          <w:szCs w:val="22"/>
          <w:highlight w:val="none"/>
        </w:rPr>
      </w:pPr>
    </w:p>
    <w:p w14:paraId="37F33EB4">
      <w:pPr>
        <w:shd w:val="clear" w:fill="FFFFFF"/>
        <w:wordWrap w:val="0"/>
        <w:rPr>
          <w:rFonts w:ascii="Times New Roman" w:hAnsi="Times New Roman" w:eastAsia="宋体" w:cs="Times New Roman"/>
          <w:b/>
          <w:color w:val="000000"/>
          <w:sz w:val="24"/>
          <w:szCs w:val="22"/>
          <w:highlight w:val="none"/>
        </w:rPr>
      </w:pPr>
    </w:p>
    <w:p w14:paraId="421250CF">
      <w:pPr>
        <w:shd w:val="clear" w:fill="FFFFFF"/>
        <w:snapToGrid w:val="0"/>
        <w:rPr>
          <w:rFonts w:ascii="宋体" w:hAnsi="宋体" w:eastAsia="宋体" w:cs="Times New Roman"/>
          <w:color w:val="000000"/>
          <w:szCs w:val="21"/>
          <w:highlight w:val="none"/>
        </w:rPr>
      </w:pPr>
    </w:p>
    <w:p w14:paraId="21DE56B7">
      <w:pPr>
        <w:shd w:val="clear" w:fill="FFFFFF"/>
        <w:wordWrap w:val="0"/>
        <w:autoSpaceDE w:val="0"/>
        <w:autoSpaceDN w:val="0"/>
        <w:adjustRightInd w:val="0"/>
        <w:ind w:right="-20"/>
        <w:jc w:val="left"/>
        <w:outlineLvl w:val="3"/>
        <w:rPr>
          <w:rFonts w:ascii="Times New Roman" w:hAnsi="Times New Roman" w:eastAsia="宋体" w:cs="Times New Roman"/>
          <w:b/>
          <w:color w:val="000000"/>
          <w:sz w:val="28"/>
          <w:szCs w:val="28"/>
          <w:highlight w:val="none"/>
        </w:rPr>
      </w:pPr>
      <w:r>
        <w:rPr>
          <w:rFonts w:ascii="Times New Roman" w:hAnsi="Times New Roman" w:eastAsia="宋体" w:cs="Times New Roman"/>
          <w:b/>
          <w:color w:val="000000"/>
          <w:sz w:val="28"/>
          <w:szCs w:val="28"/>
          <w:highlight w:val="none"/>
        </w:rPr>
        <w:br w:type="page"/>
      </w:r>
      <w:r>
        <w:rPr>
          <w:rFonts w:ascii="Times New Roman" w:hAnsi="Times New Roman" w:eastAsia="宋体" w:cs="Times New Roman"/>
          <w:b/>
          <w:color w:val="000000"/>
          <w:sz w:val="24"/>
          <w:szCs w:val="24"/>
          <w:highlight w:val="none"/>
        </w:rPr>
        <w:t>附件2：评标办法</w:t>
      </w:r>
    </w:p>
    <w:p w14:paraId="03DC78ED">
      <w:pPr>
        <w:keepNext/>
        <w:keepLines/>
        <w:widowControl w:val="0"/>
        <w:shd w:val="clear" w:fill="FFFFFF"/>
        <w:wordWrap w:val="0"/>
        <w:spacing w:before="120" w:beforeLines="50" w:line="360" w:lineRule="auto"/>
        <w:jc w:val="both"/>
        <w:outlineLvl w:val="2"/>
        <w:rPr>
          <w:rFonts w:hint="eastAsia" w:ascii="宋体" w:hAnsi="宋体" w:eastAsia="宋体" w:cs="宋体"/>
          <w:b/>
          <w:bCs/>
          <w:color w:val="000000"/>
          <w:spacing w:val="2"/>
          <w:kern w:val="2"/>
          <w:sz w:val="24"/>
          <w:szCs w:val="24"/>
          <w:highlight w:val="none"/>
          <w:lang w:val="en-US" w:eastAsia="zh-CN" w:bidi="ar-SA"/>
        </w:rPr>
      </w:pPr>
      <w:r>
        <w:rPr>
          <w:rFonts w:hint="eastAsia" w:ascii="宋体" w:hAnsi="宋体" w:eastAsia="宋体" w:cs="宋体"/>
          <w:b/>
          <w:bCs/>
          <w:color w:val="000000"/>
          <w:spacing w:val="2"/>
          <w:kern w:val="2"/>
          <w:sz w:val="24"/>
          <w:szCs w:val="24"/>
          <w:highlight w:val="none"/>
          <w:lang w:val="en-US" w:eastAsia="zh-CN" w:bidi="ar-SA"/>
        </w:rPr>
        <w:t>评标办法前附表</w:t>
      </w:r>
    </w:p>
    <w:tbl>
      <w:tblPr>
        <w:tblStyle w:val="5"/>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7493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78A4083B">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条款号</w:t>
            </w:r>
          </w:p>
        </w:tc>
        <w:tc>
          <w:tcPr>
            <w:tcW w:w="7197" w:type="dxa"/>
            <w:vAlign w:val="center"/>
          </w:tcPr>
          <w:p w14:paraId="26FF4B13">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评审因素与标准</w:t>
            </w:r>
          </w:p>
        </w:tc>
      </w:tr>
      <w:tr w14:paraId="0F0A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57" w:hRule="atLeast"/>
          <w:jc w:val="center"/>
        </w:trPr>
        <w:tc>
          <w:tcPr>
            <w:tcW w:w="1143" w:type="dxa"/>
            <w:vAlign w:val="center"/>
          </w:tcPr>
          <w:p w14:paraId="1A708C40">
            <w:pPr>
              <w:keepNext w:val="0"/>
              <w:keepLines w:val="0"/>
              <w:pageBreakBefore w:val="0"/>
              <w:widowControl/>
              <w:shd w:val="clear" w:fill="FFFFFF"/>
              <w:kinsoku/>
              <w:wordWrap/>
              <w:overflowPunct/>
              <w:topLinePunct w:val="0"/>
              <w:autoSpaceDE/>
              <w:autoSpaceDN/>
              <w:bidi w:val="0"/>
              <w:snapToGrid w:val="0"/>
              <w:spacing w:line="320" w:lineRule="exact"/>
              <w:jc w:val="center"/>
              <w:rPr>
                <w:rFonts w:hint="eastAsia" w:ascii="宋体" w:hAnsi="宋体" w:eastAsia="宋体" w:cs="宋体"/>
                <w:b/>
                <w:color w:val="000000"/>
                <w:kern w:val="0"/>
                <w:sz w:val="21"/>
                <w:szCs w:val="21"/>
                <w:highlight w:val="none"/>
                <w:lang w:val="en-US" w:eastAsia="zh-CN"/>
              </w:rPr>
            </w:pPr>
            <w:r>
              <w:rPr>
                <w:rFonts w:hint="eastAsia" w:ascii="宋体" w:hAnsi="宋体" w:eastAsia="宋体" w:cs="宋体"/>
                <w:b/>
                <w:color w:val="000000"/>
                <w:kern w:val="0"/>
                <w:sz w:val="21"/>
                <w:szCs w:val="21"/>
                <w:highlight w:val="none"/>
                <w:lang w:val="en-US" w:eastAsia="zh-CN"/>
              </w:rPr>
              <w:t>1</w:t>
            </w:r>
          </w:p>
        </w:tc>
        <w:tc>
          <w:tcPr>
            <w:tcW w:w="1317" w:type="dxa"/>
            <w:vAlign w:val="center"/>
          </w:tcPr>
          <w:p w14:paraId="1A5093A6">
            <w:pPr>
              <w:keepNext w:val="0"/>
              <w:keepLines w:val="0"/>
              <w:pageBreakBefore w:val="0"/>
              <w:widowControl/>
              <w:shd w:val="clear" w:fill="FFFFFF"/>
              <w:kinsoku/>
              <w:wordWrap/>
              <w:overflowPunct/>
              <w:topLinePunct w:val="0"/>
              <w:autoSpaceDE/>
              <w:autoSpaceDN/>
              <w:bidi w:val="0"/>
              <w:snapToGrid w:val="0"/>
              <w:spacing w:line="320" w:lineRule="exact"/>
              <w:jc w:val="center"/>
              <w:rPr>
                <w:rFonts w:hint="eastAsia" w:ascii="宋体" w:hAnsi="宋体" w:eastAsia="宋体" w:cs="宋体"/>
                <w:b/>
                <w:color w:val="000000"/>
                <w:kern w:val="0"/>
                <w:sz w:val="21"/>
                <w:szCs w:val="21"/>
                <w:highlight w:val="none"/>
              </w:rPr>
            </w:pPr>
            <w:r>
              <w:rPr>
                <w:rFonts w:hint="eastAsia" w:ascii="宋体" w:hAnsi="宋体" w:eastAsia="宋体" w:cs="宋体"/>
                <w:color w:val="000000"/>
                <w:kern w:val="0"/>
                <w:sz w:val="21"/>
                <w:szCs w:val="21"/>
                <w:highlight w:val="none"/>
              </w:rPr>
              <w:t>评标办法</w:t>
            </w:r>
          </w:p>
        </w:tc>
        <w:tc>
          <w:tcPr>
            <w:tcW w:w="7197" w:type="dxa"/>
            <w:vAlign w:val="center"/>
          </w:tcPr>
          <w:p w14:paraId="484C5C87">
            <w:pPr>
              <w:keepNext w:val="0"/>
              <w:keepLines w:val="0"/>
              <w:pageBreakBefore w:val="0"/>
              <w:widowControl w:val="0"/>
              <w:shd w:val="clear" w:fill="FFFFFF"/>
              <w:kinsoku/>
              <w:wordWrap w:val="0"/>
              <w:overflowPunct/>
              <w:topLinePunct w:val="0"/>
              <w:bidi w:val="0"/>
              <w:adjustRightInd w:val="0"/>
              <w:snapToGrid w:val="0"/>
              <w:spacing w:line="320" w:lineRule="exact"/>
              <w:jc w:val="left"/>
              <w:rPr>
                <w:rFonts w:hint="eastAsia" w:ascii="宋体" w:hAnsi="宋体" w:eastAsia="宋体" w:cs="Arial"/>
                <w:color w:val="000000"/>
                <w:kern w:val="0"/>
                <w:sz w:val="21"/>
                <w:szCs w:val="21"/>
                <w:highlight w:val="none"/>
              </w:rPr>
            </w:pPr>
            <w:r>
              <w:rPr>
                <w:rFonts w:hint="eastAsia" w:ascii="宋体" w:hAnsi="宋体" w:eastAsia="宋体" w:cs="Arial"/>
                <w:color w:val="000000"/>
                <w:kern w:val="0"/>
                <w:sz w:val="21"/>
                <w:szCs w:val="21"/>
                <w:highlight w:val="none"/>
              </w:rPr>
              <w:t>本条修改为：</w:t>
            </w:r>
          </w:p>
          <w:p w14:paraId="06DEDFB5">
            <w:pPr>
              <w:keepNext w:val="0"/>
              <w:keepLines w:val="0"/>
              <w:pageBreakBefore w:val="0"/>
              <w:widowControl/>
              <w:shd w:val="clear" w:fill="FFFFFF"/>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本次评标采用技术评分最低标价法，双信封形式。</w:t>
            </w:r>
          </w:p>
          <w:p w14:paraId="558940EA">
            <w:pPr>
              <w:keepNext w:val="0"/>
              <w:keepLines w:val="0"/>
              <w:pageBreakBefore w:val="0"/>
              <w:widowControl/>
              <w:shd w:val="clear" w:fill="FFFFFF"/>
              <w:kinsoku/>
              <w:wordWrap/>
              <w:overflowPunct/>
              <w:topLinePunct w:val="0"/>
              <w:autoSpaceDE/>
              <w:autoSpaceDN/>
              <w:bidi w:val="0"/>
              <w:adjustRightInd/>
              <w:snapToGrid w:val="0"/>
              <w:spacing w:line="320" w:lineRule="exact"/>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评标委员会对满足招标文件实质性要求的投标文件第一个信封，按照本章第2.2款规定的评分标准进行打分，并按</w:t>
            </w:r>
            <w:r>
              <w:rPr>
                <w:rFonts w:hint="eastAsia" w:ascii="宋体" w:hAnsi="宋体" w:eastAsia="宋体" w:cs="宋体"/>
                <w:color w:val="000000"/>
                <w:kern w:val="0"/>
                <w:sz w:val="21"/>
                <w:szCs w:val="21"/>
                <w:highlight w:val="none"/>
                <w:lang w:val="en-US" w:eastAsia="zh-CN"/>
              </w:rPr>
              <w:t>综合</w:t>
            </w:r>
            <w:r>
              <w:rPr>
                <w:rFonts w:hint="eastAsia" w:ascii="宋体" w:hAnsi="宋体" w:eastAsia="宋体" w:cs="宋体"/>
                <w:color w:val="000000"/>
                <w:kern w:val="0"/>
                <w:sz w:val="21"/>
                <w:szCs w:val="21"/>
                <w:highlight w:val="none"/>
              </w:rPr>
              <w:t>得分由高到低顺序确定</w:t>
            </w:r>
            <w:r>
              <w:rPr>
                <w:rFonts w:hint="eastAsia" w:ascii="宋体" w:hAnsi="宋体" w:eastAsia="宋体" w:cs="宋体"/>
                <w:b/>
                <w:bCs/>
                <w:color w:val="000000"/>
                <w:kern w:val="0"/>
                <w:sz w:val="21"/>
                <w:szCs w:val="21"/>
                <w:highlight w:val="none"/>
                <w:lang w:eastAsia="zh-CN"/>
              </w:rPr>
              <w:t>前</w:t>
            </w:r>
            <w:r>
              <w:rPr>
                <w:rFonts w:hint="eastAsia" w:ascii="宋体" w:hAnsi="宋体" w:eastAsia="宋体" w:cs="宋体"/>
                <w:b/>
                <w:bCs/>
                <w:color w:val="000000"/>
                <w:kern w:val="0"/>
                <w:sz w:val="21"/>
                <w:szCs w:val="21"/>
                <w:highlight w:val="none"/>
              </w:rPr>
              <w:t>3名</w:t>
            </w:r>
            <w:r>
              <w:rPr>
                <w:rFonts w:hint="eastAsia" w:ascii="宋体" w:hAnsi="宋体" w:eastAsia="宋体" w:cs="宋体"/>
                <w:color w:val="000000"/>
                <w:kern w:val="0"/>
                <w:sz w:val="21"/>
                <w:szCs w:val="21"/>
                <w:highlight w:val="none"/>
              </w:rPr>
              <w:t>投标人进入第二个信封评审。若</w:t>
            </w:r>
            <w:r>
              <w:rPr>
                <w:rFonts w:hint="eastAsia" w:ascii="宋体" w:hAnsi="宋体" w:eastAsia="宋体" w:cs="宋体"/>
                <w:color w:val="000000"/>
                <w:kern w:val="0"/>
                <w:sz w:val="21"/>
                <w:szCs w:val="21"/>
                <w:highlight w:val="none"/>
                <w:lang w:val="en-US" w:eastAsia="zh-CN"/>
              </w:rPr>
              <w:t>综合</w:t>
            </w:r>
            <w:r>
              <w:rPr>
                <w:rFonts w:hint="eastAsia" w:ascii="宋体" w:hAnsi="宋体" w:eastAsia="宋体" w:cs="宋体"/>
                <w:color w:val="000000"/>
                <w:kern w:val="0"/>
                <w:sz w:val="21"/>
                <w:szCs w:val="21"/>
                <w:highlight w:val="none"/>
              </w:rPr>
              <w:t>得分相同，以技术</w:t>
            </w:r>
            <w:r>
              <w:rPr>
                <w:rFonts w:hint="eastAsia" w:ascii="宋体" w:hAnsi="宋体" w:eastAsia="宋体" w:cs="宋体"/>
                <w:color w:val="000000"/>
                <w:kern w:val="0"/>
                <w:sz w:val="21"/>
                <w:szCs w:val="21"/>
                <w:highlight w:val="none"/>
                <w:lang w:val="en-US" w:eastAsia="zh-CN"/>
              </w:rPr>
              <w:t>部分</w:t>
            </w:r>
            <w:r>
              <w:rPr>
                <w:rFonts w:hint="eastAsia" w:ascii="宋体" w:hAnsi="宋体" w:eastAsia="宋体" w:cs="宋体"/>
                <w:color w:val="000000"/>
                <w:kern w:val="0"/>
                <w:sz w:val="21"/>
                <w:szCs w:val="21"/>
                <w:highlight w:val="none"/>
              </w:rPr>
              <w:t>得分高的投标人优先</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技术部分得分也相同的，以技术部分（明标）得分高的投标人优先；技术部分（明标）得分也相同的，以</w:t>
            </w:r>
            <w:r>
              <w:rPr>
                <w:rFonts w:hint="eastAsia" w:ascii="宋体" w:hAnsi="宋体" w:eastAsia="宋体" w:cs="宋体"/>
                <w:color w:val="000000"/>
                <w:szCs w:val="21"/>
                <w:highlight w:val="none"/>
              </w:rPr>
              <w:t>满足资格审查条件附录2（业绩最低要求）要求的累计供货数量多的投标人优先</w:t>
            </w:r>
            <w:r>
              <w:rPr>
                <w:rFonts w:hint="eastAsia" w:ascii="宋体" w:hAnsi="宋体" w:eastAsia="宋体" w:cs="宋体"/>
                <w:color w:val="000000"/>
                <w:kern w:val="0"/>
                <w:sz w:val="21"/>
                <w:szCs w:val="21"/>
                <w:highlight w:val="none"/>
              </w:rPr>
              <w:t>。</w:t>
            </w:r>
          </w:p>
          <w:p w14:paraId="51C5FA24">
            <w:pPr>
              <w:keepNext w:val="0"/>
              <w:keepLines w:val="0"/>
              <w:pageBreakBefore w:val="0"/>
              <w:widowControl/>
              <w:shd w:val="clear" w:fill="FFFFFF"/>
              <w:kinsoku/>
              <w:overflowPunct/>
              <w:topLinePunct w:val="0"/>
              <w:bidi w:val="0"/>
              <w:snapToGrid w:val="0"/>
              <w:spacing w:line="320" w:lineRule="exact"/>
              <w:ind w:firstLine="420" w:firstLineChars="200"/>
              <w:jc w:val="left"/>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未通过第</w:t>
            </w:r>
            <w:r>
              <w:rPr>
                <w:rFonts w:hint="eastAsia" w:ascii="宋体" w:hAnsi="宋体" w:eastAsia="宋体" w:cs="宋体"/>
                <w:color w:val="000000"/>
                <w:kern w:val="0"/>
                <w:sz w:val="21"/>
                <w:szCs w:val="21"/>
                <w:highlight w:val="none"/>
                <w:lang w:val="en-US" w:eastAsia="zh-CN"/>
              </w:rPr>
              <w:t>一</w:t>
            </w:r>
            <w:r>
              <w:rPr>
                <w:rFonts w:hint="eastAsia" w:ascii="宋体" w:hAnsi="宋体" w:eastAsia="宋体" w:cs="宋体"/>
                <w:color w:val="000000"/>
                <w:kern w:val="0"/>
                <w:sz w:val="21"/>
                <w:szCs w:val="21"/>
                <w:highlight w:val="none"/>
              </w:rPr>
              <w:t>信封评审或综合得分未进入前3名的投标人，其第二信封在整个评标期间不再开封，不随任何因素发生变化。</w:t>
            </w:r>
          </w:p>
          <w:p w14:paraId="380CF6CE">
            <w:pPr>
              <w:keepNext w:val="0"/>
              <w:keepLines w:val="0"/>
              <w:pageBreakBefore w:val="0"/>
              <w:widowControl w:val="0"/>
              <w:shd w:val="clear" w:fill="FFFFFF"/>
              <w:kinsoku/>
              <w:overflowPunct/>
              <w:topLinePunct w:val="0"/>
              <w:bidi w:val="0"/>
              <w:snapToGrid w:val="0"/>
              <w:spacing w:after="0" w:line="320" w:lineRule="exact"/>
              <w:ind w:firstLine="420" w:firstLineChars="200"/>
              <w:jc w:val="both"/>
              <w:rPr>
                <w:rFonts w:hint="eastAsia" w:ascii="宋体" w:hAnsi="宋体" w:eastAsia="宋体" w:cs="Arial"/>
                <w:color w:val="000000"/>
                <w:kern w:val="0"/>
                <w:sz w:val="21"/>
                <w:szCs w:val="21"/>
                <w:highlight w:val="none"/>
                <w:lang w:val="en-US" w:eastAsia="zh-CN" w:bidi="ar-SA"/>
              </w:rPr>
            </w:pPr>
            <w:r>
              <w:rPr>
                <w:rFonts w:hint="eastAsia" w:ascii="Times New Roman" w:hAnsi="Times New Roman" w:eastAsia="宋体" w:cs="Times New Roman"/>
                <w:color w:val="000000"/>
                <w:kern w:val="2"/>
                <w:sz w:val="21"/>
                <w:szCs w:val="24"/>
                <w:highlight w:val="none"/>
                <w:lang w:val="en-US" w:eastAsia="zh-CN" w:bidi="ar-SA"/>
              </w:rPr>
              <w:t>当通过第一个信封初步评审的投标人未超过3个时，评标委员</w:t>
            </w:r>
            <w:r>
              <w:rPr>
                <w:rFonts w:hint="eastAsia" w:ascii="宋体" w:hAnsi="宋体" w:eastAsia="宋体" w:cs="Arial"/>
                <w:color w:val="000000"/>
                <w:kern w:val="0"/>
                <w:sz w:val="21"/>
                <w:szCs w:val="21"/>
                <w:highlight w:val="none"/>
                <w:lang w:val="en-US" w:eastAsia="zh-CN" w:bidi="ar-SA"/>
              </w:rPr>
              <w:t>会不再进行打分，均进入第二个信封评审。</w:t>
            </w:r>
          </w:p>
          <w:p w14:paraId="57DB1D49">
            <w:pPr>
              <w:keepNext w:val="0"/>
              <w:keepLines w:val="0"/>
              <w:pageBreakBefore w:val="0"/>
              <w:widowControl/>
              <w:shd w:val="clear" w:fill="FFFFFF"/>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评标委员会按评标价由低到高的顺序，向招标人推荐1-3</w:t>
            </w:r>
            <w:r>
              <w:rPr>
                <w:rFonts w:hint="eastAsia" w:ascii="宋体" w:hAnsi="宋体" w:eastAsia="宋体" w:cs="宋体"/>
                <w:color w:val="000000"/>
                <w:kern w:val="0"/>
                <w:sz w:val="21"/>
                <w:szCs w:val="21"/>
                <w:highlight w:val="none"/>
                <w:lang w:val="en-US" w:eastAsia="zh-CN"/>
              </w:rPr>
              <w:t>个</w:t>
            </w:r>
            <w:r>
              <w:rPr>
                <w:rFonts w:hint="eastAsia" w:ascii="宋体" w:hAnsi="宋体" w:eastAsia="宋体" w:cs="宋体"/>
                <w:color w:val="000000"/>
                <w:kern w:val="0"/>
                <w:sz w:val="21"/>
                <w:szCs w:val="21"/>
                <w:highlight w:val="none"/>
              </w:rPr>
              <w:t>中标候选人。</w:t>
            </w:r>
          </w:p>
          <w:p w14:paraId="096626F1">
            <w:pPr>
              <w:keepNext w:val="0"/>
              <w:keepLines w:val="0"/>
              <w:pageBreakBefore w:val="0"/>
              <w:widowControl/>
              <w:shd w:val="clear" w:fill="FFFFFF"/>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评标价相等时，评标委员会依次按照以下优先顺序推荐中标候选人：</w:t>
            </w:r>
          </w:p>
          <w:p w14:paraId="3DD3CE23">
            <w:pPr>
              <w:keepNext w:val="0"/>
              <w:keepLines w:val="0"/>
              <w:pageBreakBefore w:val="0"/>
              <w:widowControl/>
              <w:shd w:val="clear" w:fill="FFFFFF"/>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r>
              <w:rPr>
                <w:rFonts w:hint="eastAsia" w:ascii="宋体" w:hAnsi="宋体" w:eastAsia="宋体" w:cs="Arial"/>
                <w:color w:val="000000"/>
                <w:kern w:val="0"/>
                <w:sz w:val="21"/>
                <w:szCs w:val="21"/>
                <w:highlight w:val="none"/>
              </w:rPr>
              <w:t>技术得分较高的投标人优先；</w:t>
            </w:r>
          </w:p>
          <w:p w14:paraId="4D721393">
            <w:pPr>
              <w:keepNext w:val="0"/>
              <w:keepLines w:val="0"/>
              <w:pageBreakBefore w:val="0"/>
              <w:widowControl/>
              <w:shd w:val="clear" w:fill="FFFFFF"/>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第一个信封</w:t>
            </w:r>
            <w:r>
              <w:rPr>
                <w:rFonts w:hint="eastAsia" w:ascii="宋体" w:hAnsi="宋体" w:eastAsia="宋体" w:cs="宋体"/>
                <w:color w:val="000000"/>
                <w:kern w:val="0"/>
                <w:sz w:val="21"/>
                <w:szCs w:val="21"/>
                <w:highlight w:val="none"/>
                <w:lang w:val="en-US" w:eastAsia="zh-CN"/>
              </w:rPr>
              <w:t>技术部分（明标）</w:t>
            </w:r>
            <w:r>
              <w:rPr>
                <w:rFonts w:hint="eastAsia" w:ascii="宋体" w:hAnsi="宋体" w:eastAsia="宋体" w:cs="宋体"/>
                <w:color w:val="000000"/>
                <w:kern w:val="0"/>
                <w:sz w:val="21"/>
                <w:szCs w:val="21"/>
                <w:highlight w:val="none"/>
              </w:rPr>
              <w:t>得分较高的优先；</w:t>
            </w:r>
          </w:p>
          <w:p w14:paraId="4FAC6D55">
            <w:pPr>
              <w:keepNext w:val="0"/>
              <w:keepLines w:val="0"/>
              <w:pageBreakBefore w:val="0"/>
              <w:widowControl/>
              <w:shd w:val="clear" w:fill="FFFFFF"/>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3</w:t>
            </w:r>
            <w:r>
              <w:rPr>
                <w:rFonts w:hint="eastAsia" w:ascii="宋体" w:hAnsi="宋体" w:eastAsia="宋体" w:cs="宋体"/>
                <w:color w:val="000000"/>
                <w:kern w:val="0"/>
                <w:sz w:val="21"/>
                <w:szCs w:val="21"/>
                <w:highlight w:val="none"/>
              </w:rPr>
              <w:t>）</w:t>
            </w:r>
            <w:r>
              <w:rPr>
                <w:rFonts w:hint="eastAsia" w:ascii="宋体" w:hAnsi="宋体" w:eastAsia="宋体" w:cs="宋体"/>
                <w:color w:val="000000"/>
                <w:szCs w:val="21"/>
                <w:highlight w:val="none"/>
              </w:rPr>
              <w:t>满足资格审查条件附录2（业绩最低要求）要求的累计供货数量多的投标人优先</w:t>
            </w:r>
            <w:r>
              <w:rPr>
                <w:rFonts w:hint="eastAsia" w:ascii="宋体" w:hAnsi="宋体" w:eastAsia="宋体" w:cs="宋体"/>
                <w:color w:val="000000"/>
                <w:szCs w:val="21"/>
                <w:highlight w:val="none"/>
                <w:lang w:eastAsia="zh-CN"/>
              </w:rPr>
              <w:t>。</w:t>
            </w:r>
          </w:p>
        </w:tc>
      </w:tr>
      <w:tr w14:paraId="5303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24034C11">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2.1.1</w:t>
            </w:r>
          </w:p>
          <w:p w14:paraId="4810449F">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1317" w:type="dxa"/>
            <w:vAlign w:val="center"/>
          </w:tcPr>
          <w:p w14:paraId="79938E51">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形式评审与响应性评审标准</w:t>
            </w:r>
          </w:p>
        </w:tc>
        <w:tc>
          <w:tcPr>
            <w:tcW w:w="7197" w:type="dxa"/>
            <w:vAlign w:val="center"/>
          </w:tcPr>
          <w:p w14:paraId="49F1F157">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第一个信封（商务文件）评审标准：</w:t>
            </w:r>
          </w:p>
          <w:p w14:paraId="416AEEC8">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（1）投标文件按照招标文件规定的格式、内容填写，字迹清晰可辨：</w:t>
            </w:r>
          </w:p>
          <w:p w14:paraId="3118846F">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a.</w:t>
            </w:r>
            <w:r>
              <w:rPr>
                <w:rFonts w:hint="eastAsia" w:ascii="宋体" w:hAnsi="宋体" w:eastAsia="宋体" w:cs="宋体"/>
                <w:color w:val="000000"/>
                <w:szCs w:val="21"/>
                <w:highlight w:val="none"/>
              </w:rPr>
              <w:t>投标函按照招标文件规定填报了招标人名称、项目名称、标段号、补遗书编号（如有）、交货地点、交货期、</w:t>
            </w:r>
            <w:r>
              <w:rPr>
                <w:rFonts w:hint="eastAsia" w:ascii="宋体" w:hAnsi="宋体" w:eastAsia="宋体" w:cs="宋体"/>
                <w:color w:val="000000"/>
                <w:szCs w:val="21"/>
                <w:highlight w:val="none"/>
                <w:lang w:eastAsia="zh-CN"/>
              </w:rPr>
              <w:t>质量标准</w:t>
            </w:r>
            <w:r>
              <w:rPr>
                <w:rFonts w:hint="eastAsia" w:ascii="宋体" w:hAnsi="宋体" w:eastAsia="宋体" w:cs="宋体"/>
                <w:color w:val="000000"/>
                <w:kern w:val="0"/>
                <w:sz w:val="21"/>
                <w:szCs w:val="21"/>
                <w:highlight w:val="none"/>
              </w:rPr>
              <w:t>；</w:t>
            </w:r>
          </w:p>
          <w:p w14:paraId="6BECCF0F">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b.投标文件组成齐全完整，内容均按规定填写；</w:t>
            </w:r>
          </w:p>
          <w:p w14:paraId="1DB337C0">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（2）投标文件上法定代表人或其委托代理人的签字、投标人的单位章盖章齐全，符合招标文件规定：</w:t>
            </w:r>
          </w:p>
          <w:p w14:paraId="2C329662">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（3）投标人按照招标文件的规定提供了投标保证金，满足投标人须知3.4.1规定。</w:t>
            </w:r>
          </w:p>
          <w:p w14:paraId="72D2C3C0">
            <w:pPr>
              <w:keepNext w:val="0"/>
              <w:keepLines w:val="0"/>
              <w:pageBreakBefore w:val="0"/>
              <w:widowControl/>
              <w:shd w:val="clear" w:fill="FFFFFF"/>
              <w:kinsoku/>
              <w:wordWrap/>
              <w:overflowPunct/>
              <w:topLinePunct w:val="0"/>
              <w:autoSpaceDE/>
              <w:autoSpaceDN/>
              <w:bidi w:val="0"/>
              <w:snapToGrid w:val="0"/>
              <w:spacing w:line="320" w:lineRule="exact"/>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（4）投标人法定代表人授权委托代理人签署投标文件的，须提交授权委托书，授权委托书的签字盖章符合招标文件规定。</w:t>
            </w:r>
          </w:p>
          <w:p w14:paraId="2C48858C">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（5）投标人法定代表人亲自签署投标文件的，提供了法定代表人身份证明</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法定代表人身份证明的签字盖章符合招标文件规定。</w:t>
            </w:r>
          </w:p>
          <w:p w14:paraId="42B710C7">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（6）投标人未以联合体形式投标。</w:t>
            </w:r>
          </w:p>
          <w:p w14:paraId="6BD60544">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7</w:t>
            </w:r>
            <w:r>
              <w:rPr>
                <w:rFonts w:hint="eastAsia" w:ascii="宋体" w:hAnsi="宋体" w:eastAsia="宋体" w:cs="宋体"/>
                <w:color w:val="000000"/>
                <w:kern w:val="0"/>
                <w:sz w:val="21"/>
                <w:szCs w:val="21"/>
                <w:highlight w:val="none"/>
              </w:rPr>
              <w:t>）同一投标人同一标段未提交两个以上不同的投标文件。</w:t>
            </w:r>
          </w:p>
          <w:p w14:paraId="69F14748">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8</w:t>
            </w:r>
            <w:r>
              <w:rPr>
                <w:rFonts w:hint="eastAsia" w:ascii="宋体" w:hAnsi="宋体" w:eastAsia="宋体" w:cs="宋体"/>
                <w:color w:val="000000"/>
                <w:kern w:val="0"/>
                <w:sz w:val="21"/>
                <w:szCs w:val="21"/>
                <w:highlight w:val="none"/>
              </w:rPr>
              <w:t>）投标文件中未出现有关投标报价的内容。</w:t>
            </w:r>
          </w:p>
          <w:p w14:paraId="588B4E1F">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9</w:t>
            </w:r>
            <w:r>
              <w:rPr>
                <w:rFonts w:hint="eastAsia" w:ascii="宋体" w:hAnsi="宋体" w:eastAsia="宋体" w:cs="宋体"/>
                <w:color w:val="000000"/>
                <w:kern w:val="0"/>
                <w:sz w:val="21"/>
                <w:szCs w:val="21"/>
                <w:highlight w:val="none"/>
              </w:rPr>
              <w:t>）投标文件载明的招标项目完成期限未超过招标文件规定的时限。</w:t>
            </w:r>
          </w:p>
          <w:p w14:paraId="0CE5438F">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10</w:t>
            </w:r>
            <w:r>
              <w:rPr>
                <w:rFonts w:hint="eastAsia" w:ascii="宋体" w:hAnsi="宋体" w:eastAsia="宋体" w:cs="宋体"/>
                <w:color w:val="000000"/>
                <w:kern w:val="0"/>
                <w:sz w:val="21"/>
                <w:szCs w:val="21"/>
                <w:highlight w:val="none"/>
              </w:rPr>
              <w:t>）</w:t>
            </w:r>
            <w:r>
              <w:rPr>
                <w:rFonts w:hint="eastAsia" w:ascii="宋体" w:hAnsi="宋体" w:eastAsia="宋体" w:cs="宋体"/>
                <w:color w:val="000000"/>
                <w:szCs w:val="21"/>
                <w:highlight w:val="none"/>
                <w:lang w:bidi="ar"/>
              </w:rPr>
              <w:t>递交的投标文件与所投标段一致</w:t>
            </w:r>
            <w:r>
              <w:rPr>
                <w:rFonts w:hint="eastAsia" w:ascii="宋体" w:hAnsi="宋体" w:eastAsia="宋体" w:cs="宋体"/>
                <w:color w:val="000000"/>
                <w:szCs w:val="21"/>
                <w:highlight w:val="none"/>
                <w:lang w:eastAsia="zh-CN" w:bidi="ar"/>
              </w:rPr>
              <w:t>。</w:t>
            </w:r>
          </w:p>
          <w:p w14:paraId="2A1A81B6">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kern w:val="0"/>
                <w:sz w:val="21"/>
                <w:szCs w:val="21"/>
                <w:highlight w:val="none"/>
              </w:rPr>
            </w:pPr>
            <w:r>
              <w:rPr>
                <w:rFonts w:hint="eastAsia" w:ascii="宋体" w:hAnsi="宋体" w:eastAsia="宋体" w:cs="宋体"/>
                <w:strike w:val="0"/>
                <w:dstrike w:val="0"/>
                <w:color w:val="000000"/>
                <w:kern w:val="0"/>
                <w:sz w:val="21"/>
                <w:szCs w:val="21"/>
                <w:highlight w:val="none"/>
              </w:rPr>
              <w:t>（</w:t>
            </w:r>
            <w:r>
              <w:rPr>
                <w:rFonts w:hint="eastAsia" w:ascii="宋体" w:hAnsi="宋体" w:eastAsia="宋体" w:cs="宋体"/>
                <w:strike w:val="0"/>
                <w:dstrike w:val="0"/>
                <w:color w:val="000000"/>
                <w:kern w:val="0"/>
                <w:sz w:val="21"/>
                <w:szCs w:val="21"/>
                <w:highlight w:val="none"/>
                <w:lang w:val="en-US" w:eastAsia="zh-CN"/>
              </w:rPr>
              <w:t>11</w:t>
            </w:r>
            <w:r>
              <w:rPr>
                <w:rFonts w:hint="eastAsia" w:ascii="宋体" w:hAnsi="宋体" w:eastAsia="宋体" w:cs="宋体"/>
                <w:strike w:val="0"/>
                <w:dstrike w:val="0"/>
                <w:color w:val="000000"/>
                <w:kern w:val="0"/>
                <w:sz w:val="21"/>
                <w:szCs w:val="21"/>
                <w:highlight w:val="none"/>
              </w:rPr>
              <w:t>）权利义务符合招标文件规定：</w:t>
            </w:r>
          </w:p>
          <w:p w14:paraId="02F7B78F">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kern w:val="0"/>
                <w:sz w:val="21"/>
                <w:szCs w:val="21"/>
                <w:highlight w:val="none"/>
              </w:rPr>
            </w:pPr>
            <w:r>
              <w:rPr>
                <w:rFonts w:hint="eastAsia" w:ascii="宋体" w:hAnsi="宋体" w:eastAsia="宋体" w:cs="宋体"/>
                <w:strike w:val="0"/>
                <w:dstrike w:val="0"/>
                <w:color w:val="000000"/>
                <w:kern w:val="0"/>
                <w:sz w:val="21"/>
                <w:szCs w:val="21"/>
                <w:highlight w:val="none"/>
              </w:rPr>
              <w:t>a．投标人应接受招标文件规定的风险划分原则，未提出新的风险划分办法；</w:t>
            </w:r>
          </w:p>
          <w:p w14:paraId="01024066">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kern w:val="0"/>
                <w:sz w:val="21"/>
                <w:szCs w:val="21"/>
                <w:highlight w:val="none"/>
              </w:rPr>
            </w:pPr>
            <w:r>
              <w:rPr>
                <w:rFonts w:hint="eastAsia" w:ascii="宋体" w:hAnsi="宋体" w:eastAsia="宋体" w:cs="宋体"/>
                <w:strike w:val="0"/>
                <w:dstrike w:val="0"/>
                <w:color w:val="000000"/>
                <w:kern w:val="0"/>
                <w:sz w:val="21"/>
                <w:szCs w:val="21"/>
                <w:highlight w:val="none"/>
              </w:rPr>
              <w:t>b．投标人未增加发包人的责任范围，或减少投标人义务；</w:t>
            </w:r>
          </w:p>
          <w:p w14:paraId="2A0EEFA8">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kern w:val="0"/>
                <w:sz w:val="21"/>
                <w:szCs w:val="21"/>
                <w:highlight w:val="none"/>
              </w:rPr>
            </w:pPr>
            <w:r>
              <w:rPr>
                <w:rFonts w:hint="eastAsia" w:ascii="宋体" w:hAnsi="宋体" w:eastAsia="宋体" w:cs="宋体"/>
                <w:strike w:val="0"/>
                <w:dstrike w:val="0"/>
                <w:color w:val="000000"/>
                <w:kern w:val="0"/>
                <w:sz w:val="21"/>
                <w:szCs w:val="21"/>
                <w:highlight w:val="none"/>
              </w:rPr>
              <w:t>c．投标人未提出不同的验收、计量、支付办法；</w:t>
            </w:r>
          </w:p>
          <w:p w14:paraId="3427E011">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kern w:val="0"/>
                <w:sz w:val="21"/>
                <w:szCs w:val="21"/>
                <w:highlight w:val="none"/>
              </w:rPr>
            </w:pPr>
            <w:r>
              <w:rPr>
                <w:rFonts w:hint="eastAsia" w:ascii="宋体" w:hAnsi="宋体" w:eastAsia="宋体" w:cs="宋体"/>
                <w:strike w:val="0"/>
                <w:dstrike w:val="0"/>
                <w:color w:val="000000"/>
                <w:kern w:val="0"/>
                <w:sz w:val="21"/>
                <w:szCs w:val="21"/>
                <w:highlight w:val="none"/>
              </w:rPr>
              <w:t>d．投标人对合同纠纷、事故处理办法未提出异议；</w:t>
            </w:r>
          </w:p>
          <w:p w14:paraId="1C061106">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kern w:val="0"/>
                <w:sz w:val="21"/>
                <w:szCs w:val="21"/>
                <w:highlight w:val="none"/>
              </w:rPr>
            </w:pPr>
            <w:r>
              <w:rPr>
                <w:rFonts w:hint="eastAsia" w:ascii="宋体" w:hAnsi="宋体" w:eastAsia="宋体" w:cs="宋体"/>
                <w:strike w:val="0"/>
                <w:dstrike w:val="0"/>
                <w:color w:val="000000"/>
                <w:kern w:val="0"/>
                <w:sz w:val="21"/>
                <w:szCs w:val="21"/>
                <w:highlight w:val="none"/>
              </w:rPr>
              <w:t>e．投标人在投标活动中无欺诈行为；</w:t>
            </w:r>
          </w:p>
          <w:p w14:paraId="35A4B2AA">
            <w:pPr>
              <w:keepNext w:val="0"/>
              <w:keepLines w:val="0"/>
              <w:pageBreakBefore w:val="0"/>
              <w:widowControl/>
              <w:shd w:val="clear" w:fill="FFFFFF"/>
              <w:kinsoku/>
              <w:wordWrap/>
              <w:overflowPunct/>
              <w:topLinePunct w:val="0"/>
              <w:autoSpaceDE/>
              <w:autoSpaceDN/>
              <w:bidi w:val="0"/>
              <w:snapToGrid w:val="0"/>
              <w:spacing w:line="320" w:lineRule="exact"/>
              <w:jc w:val="left"/>
              <w:textAlignment w:val="baseline"/>
              <w:rPr>
                <w:rFonts w:hint="eastAsia" w:ascii="宋体" w:hAnsi="宋体" w:eastAsia="宋体" w:cs="宋体"/>
                <w:strike w:val="0"/>
                <w:dstrike w:val="0"/>
                <w:color w:val="000000"/>
                <w:kern w:val="0"/>
                <w:sz w:val="21"/>
                <w:szCs w:val="21"/>
                <w:highlight w:val="none"/>
              </w:rPr>
            </w:pPr>
            <w:r>
              <w:rPr>
                <w:rFonts w:hint="eastAsia" w:ascii="宋体" w:hAnsi="宋体" w:eastAsia="宋体" w:cs="宋体"/>
                <w:strike w:val="0"/>
                <w:dstrike w:val="0"/>
                <w:color w:val="000000"/>
                <w:kern w:val="0"/>
                <w:sz w:val="21"/>
                <w:szCs w:val="21"/>
                <w:highlight w:val="none"/>
              </w:rPr>
              <w:t>f．投标人未对合同条款有重要保留</w:t>
            </w:r>
            <w:r>
              <w:rPr>
                <w:rFonts w:hint="eastAsia" w:ascii="宋体" w:hAnsi="宋体" w:eastAsia="宋体" w:cs="宋体"/>
                <w:strike w:val="0"/>
                <w:dstrike w:val="0"/>
                <w:color w:val="000000"/>
                <w:kern w:val="0"/>
                <w:sz w:val="21"/>
                <w:szCs w:val="21"/>
                <w:highlight w:val="none"/>
                <w:lang w:eastAsia="zh-CN"/>
              </w:rPr>
              <w:t>。</w:t>
            </w:r>
          </w:p>
          <w:p w14:paraId="2FF40A67">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（13）投标文件对招标文件的实质性要求和条件作出响应。</w:t>
            </w:r>
          </w:p>
          <w:p w14:paraId="0C7943E3">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b/>
                <w:bCs/>
                <w:color w:val="000000"/>
                <w:kern w:val="0"/>
                <w:sz w:val="21"/>
                <w:szCs w:val="21"/>
                <w:highlight w:val="none"/>
              </w:rPr>
            </w:pPr>
            <w:r>
              <w:rPr>
                <w:rFonts w:hint="eastAsia" w:ascii="宋体" w:hAnsi="宋体" w:eastAsia="宋体" w:cs="宋体"/>
                <w:color w:val="000000"/>
                <w:szCs w:val="21"/>
                <w:highlight w:val="none"/>
              </w:rPr>
              <w:t>（14）投标文件中投标设备的主要技术指标满足招标文件（供货要求中带★的条款）的要求，并按照招标文件1.11.3款规定提供了技术支持资料。</w:t>
            </w:r>
          </w:p>
          <w:p w14:paraId="1328C833">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第一个信封（技术文件）评审标准</w:t>
            </w:r>
            <w:r>
              <w:rPr>
                <w:rFonts w:hint="eastAsia" w:ascii="宋体" w:hAnsi="宋体" w:eastAsia="宋体" w:cs="宋体"/>
                <w:b/>
                <w:bCs/>
                <w:color w:val="000000"/>
                <w:kern w:val="0"/>
                <w:sz w:val="21"/>
                <w:szCs w:val="21"/>
                <w:highlight w:val="none"/>
                <w:lang w:eastAsia="zh-CN"/>
              </w:rPr>
              <w:t>（</w:t>
            </w:r>
            <w:r>
              <w:rPr>
                <w:rFonts w:hint="eastAsia" w:ascii="宋体" w:hAnsi="宋体" w:eastAsia="宋体" w:cs="宋体"/>
                <w:b/>
                <w:bCs/>
                <w:color w:val="000000"/>
                <w:kern w:val="0"/>
                <w:sz w:val="21"/>
                <w:szCs w:val="21"/>
                <w:highlight w:val="none"/>
                <w:lang w:val="en-US" w:eastAsia="zh-CN"/>
              </w:rPr>
              <w:t>暗标</w:t>
            </w:r>
            <w:r>
              <w:rPr>
                <w:rFonts w:hint="eastAsia" w:ascii="宋体" w:hAnsi="宋体" w:eastAsia="宋体" w:cs="宋体"/>
                <w:b/>
                <w:bCs/>
                <w:color w:val="000000"/>
                <w:kern w:val="0"/>
                <w:sz w:val="21"/>
                <w:szCs w:val="21"/>
                <w:highlight w:val="none"/>
                <w:lang w:eastAsia="zh-CN"/>
              </w:rPr>
              <w:t>）</w:t>
            </w:r>
            <w:r>
              <w:rPr>
                <w:rFonts w:hint="eastAsia" w:ascii="宋体" w:hAnsi="宋体" w:eastAsia="宋体" w:cs="宋体"/>
                <w:b/>
                <w:bCs/>
                <w:color w:val="000000"/>
                <w:kern w:val="0"/>
                <w:sz w:val="21"/>
                <w:szCs w:val="21"/>
                <w:highlight w:val="none"/>
              </w:rPr>
              <w:t xml:space="preserve">： </w:t>
            </w:r>
          </w:p>
          <w:p w14:paraId="4FB70C9A">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技术部分</w:t>
            </w:r>
            <w:r>
              <w:rPr>
                <w:rFonts w:hint="eastAsia" w:ascii="宋体" w:hAnsi="宋体" w:eastAsia="宋体" w:cs="宋体"/>
                <w:color w:val="000000"/>
                <w:szCs w:val="21"/>
                <w:highlight w:val="none"/>
                <w:lang w:eastAsia="zh-CN"/>
              </w:rPr>
              <w:t>（供货方案）</w:t>
            </w:r>
            <w:r>
              <w:rPr>
                <w:rFonts w:hint="eastAsia" w:ascii="宋体" w:hAnsi="宋体" w:eastAsia="宋体" w:cs="宋体"/>
                <w:color w:val="000000"/>
                <w:kern w:val="0"/>
                <w:sz w:val="21"/>
                <w:szCs w:val="21"/>
                <w:highlight w:val="none"/>
                <w:lang w:val="en-US" w:eastAsia="zh-CN"/>
              </w:rPr>
              <w:t>（暗标）编制符合招标文件第二章“投标人须知”第 3.7.3 款的规定。</w:t>
            </w:r>
          </w:p>
          <w:p w14:paraId="4768C9D2">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第二个信封（报价文件）评审标准：</w:t>
            </w:r>
          </w:p>
          <w:p w14:paraId="2E20B6DC">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（1）投标文件按照招标文件规定的格式、内容填写，字迹清晰可辨：</w:t>
            </w:r>
          </w:p>
          <w:p w14:paraId="34242D19">
            <w:pPr>
              <w:shd w:val="clear" w:fill="FFFFFF"/>
              <w:snapToGrid w:val="0"/>
              <w:spacing w:line="320" w:lineRule="exact"/>
              <w:ind w:firstLine="420" w:firstLineChars="200"/>
              <w:rPr>
                <w:rFonts w:ascii="宋体" w:hAnsi="宋体" w:eastAsia="宋体" w:cs="宋体"/>
                <w:color w:val="000000"/>
                <w:szCs w:val="21"/>
                <w:highlight w:val="none"/>
              </w:rPr>
            </w:pPr>
            <w:r>
              <w:rPr>
                <w:rFonts w:hint="eastAsia" w:ascii="宋体" w:hAnsi="宋体" w:eastAsia="宋体" w:cs="宋体"/>
                <w:color w:val="000000"/>
                <w:szCs w:val="21"/>
                <w:highlight w:val="none"/>
              </w:rPr>
              <w:t>a.投标函按照招标文件规定填报了招标人名称、项目名称、标段号、补遗书编号（如有）、投标报价（包括大写金额和小写金额）；</w:t>
            </w:r>
          </w:p>
          <w:p w14:paraId="6E941E00">
            <w:pPr>
              <w:shd w:val="clear" w:fill="FFFFFF"/>
              <w:snapToGrid w:val="0"/>
              <w:spacing w:line="320" w:lineRule="exact"/>
              <w:ind w:firstLine="420" w:firstLineChars="200"/>
              <w:rPr>
                <w:rFonts w:ascii="宋体" w:hAnsi="宋体" w:eastAsia="宋体" w:cs="宋体"/>
                <w:color w:val="000000"/>
                <w:szCs w:val="21"/>
                <w:highlight w:val="none"/>
              </w:rPr>
            </w:pPr>
            <w:r>
              <w:rPr>
                <w:rFonts w:hint="eastAsia" w:ascii="宋体" w:hAnsi="宋体" w:eastAsia="宋体" w:cs="宋体"/>
                <w:color w:val="000000"/>
                <w:szCs w:val="21"/>
                <w:highlight w:val="none"/>
              </w:rPr>
              <w:t>b.</w:t>
            </w:r>
            <w:r>
              <w:rPr>
                <w:rFonts w:hint="eastAsia" w:ascii="宋体" w:hAnsi="宋体" w:eastAsia="宋体" w:cs="宋体"/>
                <w:color w:val="000000"/>
                <w:szCs w:val="21"/>
                <w:highlight w:val="none"/>
                <w:lang w:val="en-US" w:eastAsia="zh-CN"/>
              </w:rPr>
              <w:t>分项报价表说明</w:t>
            </w:r>
            <w:r>
              <w:rPr>
                <w:rFonts w:hint="eastAsia" w:ascii="宋体" w:hAnsi="宋体" w:eastAsia="宋体" w:cs="宋体"/>
                <w:color w:val="000000"/>
                <w:szCs w:val="21"/>
                <w:highlight w:val="none"/>
              </w:rPr>
              <w:t>文字与招标文件规定一致，未对实质性内容进行修改和删除。</w:t>
            </w:r>
          </w:p>
          <w:p w14:paraId="2B1DE9E6">
            <w:pPr>
              <w:shd w:val="clear" w:fill="FFFFFF"/>
              <w:snapToGrid w:val="0"/>
              <w:spacing w:line="320" w:lineRule="exact"/>
              <w:ind w:firstLine="420" w:firstLineChars="200"/>
              <w:rPr>
                <w:rFonts w:ascii="宋体" w:hAnsi="宋体" w:eastAsia="宋体" w:cs="宋体"/>
                <w:color w:val="000000"/>
                <w:szCs w:val="21"/>
                <w:highlight w:val="none"/>
              </w:rPr>
            </w:pPr>
            <w:r>
              <w:rPr>
                <w:rFonts w:hint="eastAsia" w:ascii="宋体" w:hAnsi="宋体" w:eastAsia="宋体" w:cs="宋体"/>
                <w:color w:val="000000"/>
                <w:szCs w:val="21"/>
                <w:highlight w:val="none"/>
              </w:rPr>
              <w:t>c.投标文件组成齐全完整，内容均按规定填写。</w:t>
            </w:r>
          </w:p>
          <w:p w14:paraId="2E94A0F0">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（2）投标文件上法定代表人或委托代理人的签字、投标人的单位章盖章齐全，符合招标文件规定。</w:t>
            </w:r>
          </w:p>
          <w:p w14:paraId="4225E8B3">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（3）投标报价未超过招标文件设定</w:t>
            </w:r>
            <w:r>
              <w:rPr>
                <w:rFonts w:hint="eastAsia" w:ascii="宋体" w:hAnsi="宋体" w:eastAsia="宋体" w:cs="宋体"/>
                <w:color w:val="000000"/>
                <w:szCs w:val="21"/>
                <w:highlight w:val="none"/>
                <w:lang w:val="en-US" w:eastAsia="zh-CN"/>
              </w:rPr>
              <w:t>所投标段</w:t>
            </w:r>
            <w:r>
              <w:rPr>
                <w:rFonts w:hint="eastAsia" w:ascii="宋体" w:hAnsi="宋体" w:eastAsia="宋体" w:cs="宋体"/>
                <w:color w:val="000000"/>
                <w:szCs w:val="21"/>
                <w:highlight w:val="none"/>
              </w:rPr>
              <w:t>的最高投标限价。</w:t>
            </w:r>
          </w:p>
          <w:p w14:paraId="5EDF24EB">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（4）投标报价的大写金额能够确定具体数值。</w:t>
            </w:r>
          </w:p>
          <w:p w14:paraId="1D369FA8">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（5）同一投标人同一标段未提交两个以上不同的投标报价。</w:t>
            </w:r>
          </w:p>
          <w:p w14:paraId="06738F79">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（6）分项报价表中投标报价与投标函大写</w:t>
            </w:r>
            <w:r>
              <w:rPr>
                <w:rFonts w:hint="eastAsia" w:ascii="宋体" w:hAnsi="宋体" w:eastAsia="宋体" w:cs="宋体"/>
                <w:color w:val="000000"/>
                <w:szCs w:val="21"/>
                <w:highlight w:val="none"/>
                <w:lang w:val="en-US" w:eastAsia="zh-CN"/>
              </w:rPr>
              <w:t>报价</w:t>
            </w:r>
            <w:r>
              <w:rPr>
                <w:rFonts w:hint="eastAsia" w:ascii="宋体" w:hAnsi="宋体" w:eastAsia="宋体" w:cs="宋体"/>
                <w:color w:val="000000"/>
                <w:szCs w:val="21"/>
                <w:highlight w:val="none"/>
              </w:rPr>
              <w:t>金额一致。</w:t>
            </w:r>
          </w:p>
          <w:p w14:paraId="64BF1F47">
            <w:pPr>
              <w:keepNext w:val="0"/>
              <w:keepLines w:val="0"/>
              <w:pageBreakBefore w:val="0"/>
              <w:widowControl/>
              <w:shd w:val="clear" w:fill="FFFFFF"/>
              <w:kinsoku/>
              <w:wordWrap/>
              <w:overflowPunct/>
              <w:topLinePunct w:val="0"/>
              <w:autoSpaceDE/>
              <w:autoSpaceDN/>
              <w:bidi w:val="0"/>
              <w:snapToGrid w:val="0"/>
              <w:spacing w:line="320" w:lineRule="exact"/>
              <w:jc w:val="left"/>
              <w:textAlignment w:val="baseline"/>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szCs w:val="21"/>
                <w:highlight w:val="none"/>
              </w:rPr>
              <w:t>（7）递交的投标文件与所投</w:t>
            </w:r>
            <w:r>
              <w:rPr>
                <w:rFonts w:hint="eastAsia" w:ascii="宋体" w:hAnsi="宋体" w:eastAsia="宋体" w:cs="宋体"/>
                <w:color w:val="000000"/>
                <w:szCs w:val="21"/>
                <w:highlight w:val="none"/>
                <w:lang w:bidi="ar"/>
              </w:rPr>
              <w:t>标段</w:t>
            </w:r>
            <w:r>
              <w:rPr>
                <w:rFonts w:hint="eastAsia" w:ascii="宋体" w:hAnsi="宋体" w:eastAsia="宋体" w:cs="宋体"/>
                <w:color w:val="000000"/>
                <w:szCs w:val="21"/>
                <w:highlight w:val="none"/>
              </w:rPr>
              <w:t>一致。</w:t>
            </w:r>
          </w:p>
        </w:tc>
      </w:tr>
      <w:tr w14:paraId="3853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vAlign w:val="center"/>
          </w:tcPr>
          <w:p w14:paraId="5361E28B">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2.1.2</w:t>
            </w:r>
          </w:p>
        </w:tc>
        <w:tc>
          <w:tcPr>
            <w:tcW w:w="1317" w:type="dxa"/>
            <w:vAlign w:val="center"/>
          </w:tcPr>
          <w:p w14:paraId="7A1F3AE3">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资格评审标准</w:t>
            </w:r>
          </w:p>
        </w:tc>
        <w:tc>
          <w:tcPr>
            <w:tcW w:w="7197" w:type="dxa"/>
            <w:vAlign w:val="center"/>
          </w:tcPr>
          <w:p w14:paraId="710CAEAB">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（1）投标人具备有效的营业执照</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基本账户开户许可证（或基本存款账户信息）</w:t>
            </w:r>
            <w:r>
              <w:rPr>
                <w:rFonts w:hint="eastAsia" w:ascii="宋体" w:hAnsi="宋体" w:eastAsia="宋体" w:cs="宋体"/>
                <w:color w:val="000000"/>
                <w:szCs w:val="21"/>
                <w:highlight w:val="none"/>
                <w:lang w:eastAsia="zh-CN"/>
              </w:rPr>
              <w:t>和</w:t>
            </w:r>
            <w:r>
              <w:rPr>
                <w:rFonts w:hint="eastAsia" w:ascii="宋体" w:hAnsi="宋体" w:eastAsia="宋体" w:cs="宋体"/>
                <w:color w:val="000000"/>
                <w:szCs w:val="21"/>
                <w:highlight w:val="none"/>
              </w:rPr>
              <w:t>唯一授权书</w:t>
            </w:r>
            <w:r>
              <w:rPr>
                <w:rFonts w:hint="eastAsia" w:ascii="宋体" w:hAnsi="宋体" w:eastAsia="宋体" w:cs="宋体"/>
                <w:color w:val="000000"/>
                <w:szCs w:val="21"/>
                <w:highlight w:val="none"/>
                <w:lang w:eastAsia="zh-CN"/>
              </w:rPr>
              <w:t>（</w:t>
            </w:r>
            <w:r>
              <w:rPr>
                <w:rFonts w:hint="eastAsia" w:ascii="Times New Roman" w:hAnsi="宋体" w:eastAsia="宋体" w:cs="Times New Roman"/>
                <w:bCs w:val="0"/>
                <w:color w:val="000000"/>
                <w:kern w:val="2"/>
                <w:sz w:val="21"/>
                <w:szCs w:val="21"/>
                <w:highlight w:val="none"/>
                <w:lang w:val="en-US" w:eastAsia="zh-CN" w:bidi="ar-SA"/>
              </w:rPr>
              <w:t>仅适用于招标公告附件3：采购清单标</w:t>
            </w:r>
            <w:r>
              <w:rPr>
                <w:rFonts w:hint="eastAsia" w:ascii="宋体" w:hAnsi="宋体" w:eastAsia="宋体" w:cs="宋体"/>
                <w:i w:val="0"/>
                <w:iCs w:val="0"/>
                <w:color w:val="000000"/>
                <w:kern w:val="0"/>
                <w:sz w:val="28"/>
                <w:szCs w:val="28"/>
                <w:highlight w:val="none"/>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项设备</w:t>
            </w:r>
            <w:r>
              <w:rPr>
                <w:rFonts w:hint="eastAsia" w:ascii="宋体" w:hAnsi="宋体" w:eastAsia="宋体" w:cs="宋体"/>
                <w:color w:val="000000"/>
                <w:szCs w:val="21"/>
                <w:highlight w:val="none"/>
                <w:lang w:val="en-US" w:eastAsia="zh-CN"/>
              </w:rPr>
              <w:t>代理商投标的</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w:t>
            </w:r>
          </w:p>
          <w:p w14:paraId="1D911276">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（2）投标人的资质符合招标文件规定；</w:t>
            </w:r>
          </w:p>
          <w:p w14:paraId="4EA6A88C">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（3）投标人的业绩符合招标文件规定；</w:t>
            </w:r>
          </w:p>
          <w:p w14:paraId="0C5354E0">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（4）投标人的信誉符合招标文件规定；</w:t>
            </w:r>
          </w:p>
          <w:p w14:paraId="733B4C3B">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szCs w:val="21"/>
                <w:highlight w:val="none"/>
              </w:rPr>
              <w:t>（5）投标人不存在第二章“投标人须知”第1.4.3项规定的任何一种情形。</w:t>
            </w:r>
          </w:p>
        </w:tc>
      </w:tr>
      <w:tr w14:paraId="0972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18B9A3D9">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条款号</w:t>
            </w:r>
          </w:p>
        </w:tc>
        <w:tc>
          <w:tcPr>
            <w:tcW w:w="1317" w:type="dxa"/>
            <w:vAlign w:val="center"/>
          </w:tcPr>
          <w:p w14:paraId="0DA34E00">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条款内容</w:t>
            </w:r>
          </w:p>
        </w:tc>
        <w:tc>
          <w:tcPr>
            <w:tcW w:w="7197" w:type="dxa"/>
            <w:vAlign w:val="center"/>
          </w:tcPr>
          <w:p w14:paraId="47702CA7">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编列内容</w:t>
            </w:r>
          </w:p>
        </w:tc>
      </w:tr>
      <w:tr w14:paraId="7218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0DEBE622">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317" w:type="dxa"/>
            <w:vAlign w:val="center"/>
          </w:tcPr>
          <w:p w14:paraId="4F2D1CD3">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第一个信封</w:t>
            </w:r>
            <w:r>
              <w:rPr>
                <w:rFonts w:hint="eastAsia" w:ascii="宋体" w:hAnsi="宋体" w:eastAsia="宋体" w:cs="宋体"/>
                <w:color w:val="000000"/>
                <w:kern w:val="0"/>
                <w:sz w:val="21"/>
                <w:szCs w:val="21"/>
                <w:highlight w:val="none"/>
              </w:rPr>
              <w:t>分值构成</w:t>
            </w:r>
          </w:p>
          <w:p w14:paraId="3D7033B3">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（总分100分）</w:t>
            </w:r>
          </w:p>
        </w:tc>
        <w:tc>
          <w:tcPr>
            <w:tcW w:w="7197" w:type="dxa"/>
            <w:vAlign w:val="center"/>
          </w:tcPr>
          <w:p w14:paraId="279D7F1C">
            <w:pPr>
              <w:keepNext w:val="0"/>
              <w:keepLines w:val="0"/>
              <w:pageBreakBefore w:val="0"/>
              <w:widowControl/>
              <w:shd w:val="clear" w:fill="FFFFFF"/>
              <w:kinsoku/>
              <w:wordWrap/>
              <w:overflowPunct/>
              <w:topLinePunct w:val="0"/>
              <w:autoSpaceDE/>
              <w:autoSpaceDN/>
              <w:bidi w:val="0"/>
              <w:adjustRightInd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商务部分：</w:t>
            </w:r>
            <w:r>
              <w:rPr>
                <w:rFonts w:hint="eastAsia" w:ascii="宋体" w:hAnsi="宋体" w:eastAsia="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rPr>
              <w:t>0分</w:t>
            </w:r>
          </w:p>
          <w:p w14:paraId="554375AE">
            <w:pPr>
              <w:keepNext w:val="0"/>
              <w:keepLines w:val="0"/>
              <w:pageBreakBefore w:val="0"/>
              <w:widowControl/>
              <w:shd w:val="clear" w:fill="FFFFFF"/>
              <w:kinsoku/>
              <w:wordWrap/>
              <w:overflowPunct/>
              <w:topLinePunct w:val="0"/>
              <w:autoSpaceDE/>
              <w:autoSpaceDN/>
              <w:bidi w:val="0"/>
              <w:adjustRightInd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技术部分</w:t>
            </w:r>
            <w:r>
              <w:rPr>
                <w:rFonts w:hint="eastAsia" w:ascii="宋体" w:hAnsi="宋体" w:eastAsia="宋体" w:cs="宋体"/>
                <w:color w:val="000000"/>
                <w:szCs w:val="21"/>
                <w:highlight w:val="none"/>
                <w:lang w:eastAsia="zh-CN"/>
              </w:rPr>
              <w:t>（供货方案）</w:t>
            </w: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8</w:t>
            </w:r>
            <w:r>
              <w:rPr>
                <w:rFonts w:hint="eastAsia" w:ascii="宋体" w:hAnsi="宋体" w:eastAsia="宋体" w:cs="宋体"/>
                <w:color w:val="000000"/>
                <w:kern w:val="0"/>
                <w:sz w:val="21"/>
                <w:szCs w:val="21"/>
                <w:highlight w:val="none"/>
              </w:rPr>
              <w:t>0分</w:t>
            </w:r>
          </w:p>
          <w:p w14:paraId="020F4A84">
            <w:pPr>
              <w:keepNext w:val="0"/>
              <w:keepLines w:val="0"/>
              <w:pageBreakBefore w:val="0"/>
              <w:widowControl/>
              <w:shd w:val="clear" w:fill="FFFFFF"/>
              <w:kinsoku/>
              <w:wordWrap/>
              <w:overflowPunct/>
              <w:topLinePunct w:val="0"/>
              <w:autoSpaceDE/>
              <w:autoSpaceDN/>
              <w:bidi w:val="0"/>
              <w:adjustRightInd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其他评分因素：0分</w:t>
            </w:r>
          </w:p>
        </w:tc>
      </w:tr>
      <w:tr w14:paraId="3CBB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648DA0BD">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2.2.3</w:t>
            </w:r>
          </w:p>
        </w:tc>
        <w:tc>
          <w:tcPr>
            <w:tcW w:w="1317" w:type="dxa"/>
            <w:vAlign w:val="center"/>
          </w:tcPr>
          <w:p w14:paraId="18E582B2">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第二个信封详细评审标准</w:t>
            </w:r>
          </w:p>
        </w:tc>
        <w:tc>
          <w:tcPr>
            <w:tcW w:w="7197" w:type="dxa"/>
            <w:vAlign w:val="center"/>
          </w:tcPr>
          <w:p w14:paraId="5736E8A0">
            <w:pPr>
              <w:keepNext w:val="0"/>
              <w:keepLines w:val="0"/>
              <w:pageBreakBefore w:val="0"/>
              <w:widowControl/>
              <w:shd w:val="clear" w:fill="FFFFFF"/>
              <w:kinsoku/>
              <w:wordWrap/>
              <w:overflowPunct/>
              <w:topLinePunct w:val="0"/>
              <w:autoSpaceDE/>
              <w:autoSpaceDN/>
              <w:bidi w:val="0"/>
              <w:adjustRightInd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评标价计算公式：</w:t>
            </w:r>
          </w:p>
          <w:p w14:paraId="5DBE7E9A">
            <w:pPr>
              <w:keepNext w:val="0"/>
              <w:keepLines w:val="0"/>
              <w:pageBreakBefore w:val="0"/>
              <w:widowControl/>
              <w:shd w:val="clear" w:fill="FFFFFF"/>
              <w:kinsoku/>
              <w:wordWrap/>
              <w:overflowPunct/>
              <w:topLinePunct w:val="0"/>
              <w:autoSpaceDE/>
              <w:autoSpaceDN/>
              <w:bidi w:val="0"/>
              <w:adjustRightInd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评标价=投标函文字报价。</w:t>
            </w:r>
          </w:p>
        </w:tc>
      </w:tr>
      <w:tr w14:paraId="456B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5DBCA282">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3.2.4</w:t>
            </w:r>
          </w:p>
        </w:tc>
        <w:tc>
          <w:tcPr>
            <w:tcW w:w="1317" w:type="dxa"/>
            <w:vAlign w:val="center"/>
          </w:tcPr>
          <w:p w14:paraId="2D159DDB">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通过第一个信封详细评审的投标人数量</w:t>
            </w:r>
          </w:p>
        </w:tc>
        <w:tc>
          <w:tcPr>
            <w:tcW w:w="7197" w:type="dxa"/>
            <w:vAlign w:val="center"/>
          </w:tcPr>
          <w:p w14:paraId="11621288">
            <w:pPr>
              <w:keepNext w:val="0"/>
              <w:keepLines w:val="0"/>
              <w:pageBreakBefore w:val="0"/>
              <w:widowControl/>
              <w:shd w:val="clear" w:fill="FFFFFF"/>
              <w:kinsoku/>
              <w:wordWrap/>
              <w:overflowPunct/>
              <w:topLinePunct w:val="0"/>
              <w:autoSpaceDE/>
              <w:autoSpaceDN/>
              <w:bidi w:val="0"/>
              <w:adjustRightInd w:val="0"/>
              <w:snapToGrid w:val="0"/>
              <w:spacing w:line="320" w:lineRule="exact"/>
              <w:jc w:val="left"/>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按照投标人的</w:t>
            </w:r>
            <w:r>
              <w:rPr>
                <w:rFonts w:hint="eastAsia" w:ascii="宋体" w:hAnsi="宋体" w:eastAsia="宋体" w:cs="宋体"/>
                <w:color w:val="000000"/>
                <w:kern w:val="0"/>
                <w:sz w:val="21"/>
                <w:szCs w:val="21"/>
                <w:highlight w:val="none"/>
                <w:lang w:val="en-US" w:eastAsia="zh-CN"/>
              </w:rPr>
              <w:t>综合</w:t>
            </w:r>
            <w:r>
              <w:rPr>
                <w:rFonts w:hint="eastAsia" w:ascii="宋体" w:hAnsi="宋体" w:eastAsia="宋体" w:cs="宋体"/>
                <w:color w:val="000000"/>
                <w:kern w:val="0"/>
                <w:sz w:val="21"/>
                <w:szCs w:val="21"/>
                <w:highlight w:val="none"/>
              </w:rPr>
              <w:t>得分由高到低排序，选择前3名</w:t>
            </w:r>
            <w:r>
              <w:rPr>
                <w:rFonts w:hint="eastAsia" w:ascii="宋体" w:hAnsi="宋体" w:eastAsia="宋体" w:cs="宋体"/>
                <w:color w:val="000000"/>
                <w:kern w:val="0"/>
                <w:sz w:val="21"/>
                <w:szCs w:val="21"/>
                <w:highlight w:val="none"/>
                <w:lang w:val="en-US" w:eastAsia="zh-CN"/>
              </w:rPr>
              <w:t>进入第二信封</w:t>
            </w:r>
            <w:r>
              <w:rPr>
                <w:rFonts w:hint="eastAsia" w:ascii="宋体" w:hAnsi="宋体" w:eastAsia="宋体" w:cs="宋体"/>
                <w:color w:val="000000"/>
                <w:kern w:val="0"/>
                <w:sz w:val="21"/>
                <w:szCs w:val="21"/>
                <w:highlight w:val="none"/>
              </w:rPr>
              <w:t>评审</w:t>
            </w:r>
            <w:r>
              <w:rPr>
                <w:rFonts w:hint="eastAsia" w:ascii="宋体" w:hAnsi="宋体" w:eastAsia="宋体" w:cs="宋体"/>
                <w:color w:val="000000"/>
                <w:kern w:val="0"/>
                <w:sz w:val="21"/>
                <w:szCs w:val="21"/>
                <w:highlight w:val="none"/>
                <w:lang w:eastAsia="zh-CN"/>
              </w:rPr>
              <w:t>。</w:t>
            </w:r>
          </w:p>
        </w:tc>
      </w:tr>
      <w:tr w14:paraId="2756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shd w:val="clear" w:color="auto" w:fill="auto"/>
            <w:vAlign w:val="center"/>
          </w:tcPr>
          <w:p w14:paraId="3553BC3E">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3.5</w:t>
            </w:r>
          </w:p>
        </w:tc>
        <w:tc>
          <w:tcPr>
            <w:tcW w:w="8514" w:type="dxa"/>
            <w:gridSpan w:val="2"/>
            <w:shd w:val="clear" w:color="auto" w:fill="auto"/>
            <w:vAlign w:val="center"/>
          </w:tcPr>
          <w:p w14:paraId="3F3C2287">
            <w:pPr>
              <w:keepNext w:val="0"/>
              <w:keepLines w:val="0"/>
              <w:pageBreakBefore w:val="0"/>
              <w:widowControl w:val="0"/>
              <w:shd w:val="clear" w:fill="FFFFFF"/>
              <w:kinsoku/>
              <w:wordWrap/>
              <w:overflowPunct/>
              <w:topLinePunct w:val="0"/>
              <w:autoSpaceDE/>
              <w:autoSpaceDN/>
              <w:bidi w:val="0"/>
              <w:snapToGrid w:val="0"/>
              <w:spacing w:line="320" w:lineRule="exact"/>
              <w:jc w:val="both"/>
              <w:rPr>
                <w:rFonts w:hint="eastAsia" w:ascii="宋体" w:hAnsi="宋体" w:eastAsia="宋体" w:cs="宋体"/>
                <w:strike w:val="0"/>
                <w:dstrike w:val="0"/>
                <w:color w:val="000000"/>
                <w:kern w:val="2"/>
                <w:sz w:val="21"/>
                <w:szCs w:val="21"/>
                <w:highlight w:val="none"/>
                <w:u w:val="none"/>
                <w:lang w:val="en-US" w:eastAsia="zh-CN"/>
              </w:rPr>
            </w:pPr>
            <w:r>
              <w:rPr>
                <w:rFonts w:hint="eastAsia" w:ascii="宋体" w:hAnsi="宋体" w:eastAsia="宋体" w:cs="宋体"/>
                <w:strike w:val="0"/>
                <w:dstrike w:val="0"/>
                <w:color w:val="000000"/>
                <w:kern w:val="2"/>
                <w:sz w:val="21"/>
                <w:szCs w:val="21"/>
                <w:highlight w:val="none"/>
                <w:u w:val="none"/>
                <w:lang w:val="en-US" w:eastAsia="zh-CN"/>
              </w:rPr>
              <w:t>本款修改为：</w:t>
            </w:r>
          </w:p>
          <w:p w14:paraId="45429AB6">
            <w:pPr>
              <w:keepNext w:val="0"/>
              <w:keepLines w:val="0"/>
              <w:pageBreakBefore w:val="0"/>
              <w:widowControl/>
              <w:shd w:val="clear" w:fill="FFFFFF"/>
              <w:kinsoku/>
              <w:wordWrap/>
              <w:overflowPunct/>
              <w:topLinePunct w:val="0"/>
              <w:autoSpaceDE/>
              <w:autoSpaceDN/>
              <w:bidi w:val="0"/>
              <w:adjustRightInd w:val="0"/>
              <w:snapToGrid w:val="0"/>
              <w:spacing w:line="320" w:lineRule="exact"/>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strike w:val="0"/>
                <w:dstrike w:val="0"/>
                <w:color w:val="000000"/>
                <w:kern w:val="2"/>
                <w:sz w:val="21"/>
                <w:szCs w:val="21"/>
                <w:highlight w:val="none"/>
                <w:u w:val="none"/>
              </w:rPr>
              <w:t>评标委员会发现投标人的投标报价低于</w:t>
            </w:r>
            <w:r>
              <w:rPr>
                <w:rFonts w:hint="eastAsia" w:ascii="宋体" w:hAnsi="宋体" w:eastAsia="宋体" w:cs="宋体"/>
                <w:strike w:val="0"/>
                <w:dstrike w:val="0"/>
                <w:color w:val="000000"/>
                <w:kern w:val="2"/>
                <w:sz w:val="21"/>
                <w:szCs w:val="21"/>
                <w:highlight w:val="none"/>
                <w:u w:val="none"/>
                <w:lang w:eastAsia="zh-CN"/>
              </w:rPr>
              <w:t>通过第二信封形式和响应性评审的</w:t>
            </w:r>
            <w:r>
              <w:rPr>
                <w:rFonts w:hint="eastAsia" w:ascii="宋体" w:hAnsi="宋体" w:eastAsia="宋体" w:cs="宋体"/>
                <w:strike w:val="0"/>
                <w:dstrike w:val="0"/>
                <w:color w:val="000000"/>
                <w:kern w:val="2"/>
                <w:sz w:val="21"/>
                <w:szCs w:val="21"/>
                <w:highlight w:val="none"/>
                <w:u w:val="none"/>
                <w:lang w:val="en-US" w:eastAsia="zh-CN"/>
              </w:rPr>
              <w:t>投标人投标报价平均值的50%</w:t>
            </w:r>
            <w:r>
              <w:rPr>
                <w:rFonts w:hint="eastAsia" w:ascii="宋体" w:hAnsi="宋体" w:eastAsia="宋体" w:cs="宋体"/>
                <w:strike w:val="0"/>
                <w:dstrike w:val="0"/>
                <w:color w:val="000000"/>
                <w:kern w:val="2"/>
                <w:sz w:val="21"/>
                <w:szCs w:val="21"/>
                <w:highlight w:val="none"/>
                <w:u w:val="none"/>
                <w:lang w:eastAsia="zh-CN"/>
              </w:rPr>
              <w:t>（</w:t>
            </w:r>
            <w:r>
              <w:rPr>
                <w:rFonts w:hint="eastAsia" w:ascii="宋体" w:hAnsi="宋体" w:eastAsia="宋体" w:cs="宋体"/>
                <w:strike w:val="0"/>
                <w:dstrike w:val="0"/>
                <w:color w:val="000000"/>
                <w:kern w:val="2"/>
                <w:sz w:val="21"/>
                <w:szCs w:val="21"/>
                <w:highlight w:val="none"/>
                <w:u w:val="none"/>
                <w:lang w:val="en-US" w:eastAsia="zh-CN"/>
              </w:rPr>
              <w:t>含</w:t>
            </w:r>
            <w:r>
              <w:rPr>
                <w:rFonts w:hint="eastAsia" w:ascii="宋体" w:hAnsi="宋体" w:eastAsia="宋体" w:cs="宋体"/>
                <w:strike w:val="0"/>
                <w:dstrike w:val="0"/>
                <w:color w:val="000000"/>
                <w:kern w:val="2"/>
                <w:sz w:val="21"/>
                <w:szCs w:val="21"/>
                <w:highlight w:val="none"/>
                <w:u w:val="none"/>
                <w:lang w:eastAsia="zh-CN"/>
              </w:rPr>
              <w:t>）</w:t>
            </w:r>
            <w:r>
              <w:rPr>
                <w:rFonts w:hint="eastAsia" w:ascii="宋体" w:hAnsi="宋体" w:eastAsia="宋体" w:cs="宋体"/>
                <w:strike w:val="0"/>
                <w:dstrike w:val="0"/>
                <w:color w:val="000000"/>
                <w:kern w:val="2"/>
                <w:sz w:val="21"/>
                <w:szCs w:val="21"/>
                <w:highlight w:val="none"/>
                <w:u w:val="none"/>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065D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1C0BEB2B">
            <w:pPr>
              <w:keepNext w:val="0"/>
              <w:keepLines w:val="0"/>
              <w:pageBreakBefore w:val="0"/>
              <w:widowControl/>
              <w:shd w:val="clear" w:fill="FFFFFF"/>
              <w:kinsoku/>
              <w:wordWrap/>
              <w:overflowPunct/>
              <w:topLinePunct w:val="0"/>
              <w:autoSpaceDE/>
              <w:autoSpaceDN/>
              <w:bidi w:val="0"/>
              <w:adjustRightInd w:val="0"/>
              <w:snapToGrid w:val="0"/>
              <w:spacing w:line="320" w:lineRule="exact"/>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rPr>
              <w:t>3.6.1</w:t>
            </w:r>
          </w:p>
        </w:tc>
        <w:tc>
          <w:tcPr>
            <w:tcW w:w="1317" w:type="dxa"/>
            <w:vAlign w:val="center"/>
          </w:tcPr>
          <w:p w14:paraId="35776853">
            <w:pPr>
              <w:keepNext w:val="0"/>
              <w:keepLines w:val="0"/>
              <w:pageBreakBefore w:val="0"/>
              <w:widowControl/>
              <w:shd w:val="clear" w:fill="FFFFFF"/>
              <w:kinsoku/>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b w:val="0"/>
                <w:bCs/>
                <w:color w:val="000000"/>
                <w:kern w:val="0"/>
                <w:sz w:val="21"/>
                <w:szCs w:val="21"/>
                <w:highlight w:val="none"/>
              </w:rPr>
              <w:t>投标文件相关信息的核查</w:t>
            </w:r>
          </w:p>
        </w:tc>
        <w:tc>
          <w:tcPr>
            <w:tcW w:w="7197" w:type="dxa"/>
            <w:vAlign w:val="center"/>
          </w:tcPr>
          <w:p w14:paraId="613BBAD7">
            <w:pPr>
              <w:shd w:val="clear" w:fill="FFFFFF"/>
              <w:autoSpaceDE w:val="0"/>
              <w:autoSpaceDN w:val="0"/>
              <w:snapToGrid w:val="0"/>
              <w:spacing w:line="320" w:lineRule="exact"/>
              <w:jc w:val="left"/>
              <w:rPr>
                <w:rFonts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本款修改为：</w:t>
            </w:r>
          </w:p>
          <w:p w14:paraId="259EBCB5">
            <w:pPr>
              <w:numPr>
                <w:ilvl w:val="0"/>
                <w:numId w:val="0"/>
              </w:numPr>
              <w:shd w:val="clear" w:fill="FFFFFF"/>
              <w:autoSpaceDE w:val="0"/>
              <w:autoSpaceDN w:val="0"/>
              <w:snapToGrid w:val="0"/>
              <w:spacing w:line="320" w:lineRule="exact"/>
              <w:ind w:firstLine="420" w:firstLineChars="200"/>
              <w:jc w:val="left"/>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eastAsia="zh-CN"/>
              </w:rPr>
              <w:t>评标委员会在评标过程中</w:t>
            </w:r>
            <w:r>
              <w:rPr>
                <w:rFonts w:hint="eastAsia" w:ascii="宋体" w:hAnsi="宋体" w:eastAsia="宋体" w:cs="宋体"/>
                <w:color w:val="000000"/>
                <w:kern w:val="0"/>
                <w:sz w:val="21"/>
                <w:szCs w:val="21"/>
                <w:highlight w:val="none"/>
                <w:lang w:val="en-US" w:eastAsia="zh-CN"/>
              </w:rPr>
              <w:t>将对投标人的信誉情况进行查询。如投标人存在下列情形之一的，</w:t>
            </w:r>
            <w:r>
              <w:rPr>
                <w:rFonts w:hint="eastAsia" w:ascii="宋体" w:hAnsi="宋体" w:eastAsia="宋体" w:cs="宋体"/>
                <w:color w:val="000000"/>
                <w:kern w:val="0"/>
                <w:sz w:val="21"/>
                <w:szCs w:val="21"/>
                <w:highlight w:val="none"/>
                <w:lang w:eastAsia="zh-CN"/>
              </w:rPr>
              <w:t>评标委员会应否决其投标。</w:t>
            </w:r>
          </w:p>
          <w:p w14:paraId="3F2FC0CB">
            <w:pPr>
              <w:numPr>
                <w:ilvl w:val="0"/>
                <w:numId w:val="0"/>
              </w:numPr>
              <w:shd w:val="clear" w:fill="FFFFFF"/>
              <w:autoSpaceDE w:val="0"/>
              <w:autoSpaceDN w:val="0"/>
              <w:snapToGrid w:val="0"/>
              <w:spacing w:line="320" w:lineRule="exact"/>
              <w:ind w:firstLine="420" w:firstLineChars="200"/>
              <w:jc w:val="left"/>
              <w:rPr>
                <w:rFonts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（1）</w:t>
            </w:r>
            <w:r>
              <w:rPr>
                <w:rFonts w:hint="eastAsia" w:ascii="宋体" w:hAnsi="宋体" w:eastAsia="宋体" w:cs="宋体"/>
                <w:color w:val="000000"/>
                <w:kern w:val="0"/>
                <w:sz w:val="21"/>
                <w:szCs w:val="21"/>
                <w:highlight w:val="none"/>
                <w:lang w:eastAsia="zh-CN"/>
              </w:rPr>
              <w:t>在国家企业信用信息公示系统（https://www.gsxt.gov.cn/）中被列入严重违法失信名单（黑名单）（不含分公司）；</w:t>
            </w:r>
          </w:p>
          <w:p w14:paraId="7E78B837">
            <w:pPr>
              <w:numPr>
                <w:ilvl w:val="0"/>
                <w:numId w:val="0"/>
              </w:numPr>
              <w:shd w:val="clear" w:fill="FFFFFF"/>
              <w:autoSpaceDE w:val="0"/>
              <w:autoSpaceDN w:val="0"/>
              <w:snapToGrid w:val="0"/>
              <w:spacing w:line="320" w:lineRule="exact"/>
              <w:ind w:firstLine="420" w:firstLineChars="200"/>
              <w:jc w:val="left"/>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lang w:eastAsia="zh-CN"/>
              </w:rPr>
              <w:t>在“信用中国”网站（http://www.creditchina.gov.cn/）中被列入</w:t>
            </w:r>
            <w:r>
              <w:rPr>
                <w:rFonts w:hint="eastAsia" w:ascii="宋体" w:hAnsi="宋体" w:eastAsia="宋体" w:cs="宋体"/>
                <w:color w:val="000000"/>
                <w:szCs w:val="21"/>
                <w:highlight w:val="none"/>
              </w:rPr>
              <w:t>失信被执行人</w:t>
            </w:r>
            <w:r>
              <w:rPr>
                <w:rFonts w:hint="eastAsia" w:ascii="宋体" w:hAnsi="宋体" w:eastAsia="宋体" w:cs="宋体"/>
                <w:color w:val="000000"/>
                <w:szCs w:val="21"/>
                <w:highlight w:val="none"/>
                <w:lang w:eastAsia="zh-CN"/>
              </w:rPr>
              <w:t>、</w:t>
            </w:r>
            <w:r>
              <w:rPr>
                <w:rFonts w:hint="eastAsia" w:ascii="宋体" w:hAnsi="宋体" w:eastAsia="宋体" w:cs="宋体"/>
                <w:color w:val="000000"/>
                <w:kern w:val="0"/>
                <w:sz w:val="21"/>
                <w:szCs w:val="21"/>
                <w:highlight w:val="none"/>
                <w:lang w:eastAsia="zh-CN"/>
              </w:rPr>
              <w:t>经营（活动）异常名录、重大税收违法失信主体名单和政府采购严重违法失信行为记录名单（均不含分公司）；</w:t>
            </w:r>
          </w:p>
        </w:tc>
      </w:tr>
      <w:tr w14:paraId="425D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75B044AE">
            <w:pPr>
              <w:keepNext w:val="0"/>
              <w:keepLines w:val="0"/>
              <w:pageBreakBefore w:val="0"/>
              <w:widowControl/>
              <w:shd w:val="clear" w:fill="FFFFFF"/>
              <w:kinsoku/>
              <w:wordWrap/>
              <w:overflowPunct/>
              <w:topLinePunct w:val="0"/>
              <w:autoSpaceDE/>
              <w:autoSpaceDN/>
              <w:bidi w:val="0"/>
              <w:snapToGrid w:val="0"/>
              <w:spacing w:line="320" w:lineRule="exact"/>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3.6.3</w:t>
            </w:r>
          </w:p>
        </w:tc>
        <w:tc>
          <w:tcPr>
            <w:tcW w:w="1317" w:type="dxa"/>
            <w:vAlign w:val="center"/>
          </w:tcPr>
          <w:p w14:paraId="4B170F94">
            <w:pPr>
              <w:keepNext w:val="0"/>
              <w:keepLines w:val="0"/>
              <w:pageBreakBefore w:val="0"/>
              <w:widowControl/>
              <w:shd w:val="clear" w:fill="FFFFFF"/>
              <w:kinsoku/>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投标人异常投标情形的核查</w:t>
            </w:r>
          </w:p>
        </w:tc>
        <w:tc>
          <w:tcPr>
            <w:tcW w:w="7197" w:type="dxa"/>
            <w:vAlign w:val="center"/>
          </w:tcPr>
          <w:p w14:paraId="2873747A">
            <w:pPr>
              <w:keepNext w:val="0"/>
              <w:keepLines w:val="0"/>
              <w:pageBreakBefore w:val="0"/>
              <w:widowControl/>
              <w:shd w:val="clear" w:fill="FFFFFF"/>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kern w:val="0"/>
                <w:sz w:val="21"/>
                <w:szCs w:val="21"/>
                <w:highlight w:val="none"/>
                <w:lang w:val="en-US" w:eastAsia="zh-CN"/>
              </w:rPr>
            </w:pPr>
            <w:r>
              <w:rPr>
                <w:rFonts w:hint="eastAsia" w:ascii="宋体" w:hAnsi="宋体" w:eastAsia="宋体" w:cs="宋体"/>
                <w:color w:val="000000"/>
                <w:kern w:val="2"/>
                <w:sz w:val="21"/>
                <w:szCs w:val="21"/>
                <w:highlight w:val="none"/>
                <w:lang w:val="en-US" w:eastAsia="zh-CN"/>
              </w:rPr>
              <w:t>补充本款：</w:t>
            </w:r>
          </w:p>
          <w:p w14:paraId="5B97E37C">
            <w:pPr>
              <w:keepNext w:val="0"/>
              <w:keepLines w:val="0"/>
              <w:pageBreakBefore w:val="0"/>
              <w:widowControl/>
              <w:shd w:val="clear" w:fill="FFFFFF"/>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kern w:val="0"/>
                <w:sz w:val="21"/>
                <w:szCs w:val="21"/>
                <w:highlight w:val="none"/>
                <w:lang w:val="en-US" w:eastAsia="zh-CN"/>
              </w:rPr>
            </w:pPr>
            <w:r>
              <w:rPr>
                <w:rFonts w:hint="eastAsia" w:ascii="宋体" w:hAnsi="宋体" w:eastAsia="宋体" w:cs="宋体"/>
                <w:strike w:val="0"/>
                <w:dstrike w:val="0"/>
                <w:color w:val="000000"/>
                <w:kern w:val="0"/>
                <w:sz w:val="21"/>
                <w:szCs w:val="21"/>
                <w:highlight w:val="none"/>
                <w:lang w:val="en-US" w:eastAsia="zh-CN"/>
              </w:rPr>
              <w:t>评标委员会在评标过程中发现存在投标文件异常一致或投标活动异常关联等异常投标情形的，</w:t>
            </w:r>
            <w:r>
              <w:rPr>
                <w:rFonts w:hint="eastAsia" w:ascii="宋体" w:hAnsi="宋体" w:eastAsia="宋体" w:cs="宋体"/>
                <w:strike w:val="0"/>
                <w:dstrike w:val="0"/>
                <w:color w:val="000000"/>
                <w:kern w:val="0"/>
                <w:sz w:val="21"/>
                <w:szCs w:val="21"/>
                <w:highlight w:val="none"/>
                <w:u w:val="none"/>
              </w:rPr>
              <w:t>应当要求投标人在规定时间内作出书面说明并提供相应的证明材料。投标人不能合理说明或者不能提供相应证明材料的，评标委员会应当认定投标人</w:t>
            </w:r>
            <w:r>
              <w:rPr>
                <w:rFonts w:hint="eastAsia" w:ascii="宋体" w:hAnsi="宋体" w:eastAsia="宋体" w:cs="宋体"/>
                <w:strike w:val="0"/>
                <w:dstrike w:val="0"/>
                <w:color w:val="000000"/>
                <w:kern w:val="0"/>
                <w:sz w:val="21"/>
                <w:szCs w:val="21"/>
                <w:highlight w:val="none"/>
                <w:lang w:val="en-US" w:eastAsia="zh-CN"/>
              </w:rPr>
              <w:t>存在串通投标情形，并否决其投标。</w:t>
            </w:r>
          </w:p>
          <w:p w14:paraId="4FE4CD97">
            <w:pPr>
              <w:keepNext w:val="0"/>
              <w:keepLines w:val="0"/>
              <w:pageBreakBefore w:val="0"/>
              <w:widowControl/>
              <w:shd w:val="clear" w:fill="FFFFFF"/>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kern w:val="0"/>
                <w:sz w:val="21"/>
                <w:szCs w:val="21"/>
                <w:highlight w:val="none"/>
                <w:lang w:val="en-US" w:eastAsia="zh-CN"/>
              </w:rPr>
            </w:pPr>
            <w:r>
              <w:rPr>
                <w:rFonts w:hint="eastAsia" w:ascii="宋体" w:hAnsi="宋体" w:eastAsia="宋体" w:cs="宋体"/>
                <w:strike w:val="0"/>
                <w:dstrike w:val="0"/>
                <w:color w:val="000000"/>
                <w:kern w:val="0"/>
                <w:sz w:val="21"/>
                <w:szCs w:val="21"/>
                <w:highlight w:val="none"/>
                <w:lang w:val="en-US" w:eastAsia="zh-CN"/>
              </w:rPr>
              <w:t>有下列情形之一的，属于投标文件异常一致或投标活动异常关联等异常投标情形：</w:t>
            </w:r>
          </w:p>
          <w:p w14:paraId="0FFA1899">
            <w:pPr>
              <w:keepNext w:val="0"/>
              <w:keepLines w:val="0"/>
              <w:pageBreakBefore w:val="0"/>
              <w:widowControl/>
              <w:shd w:val="clear" w:fill="FFFFFF"/>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kern w:val="0"/>
                <w:sz w:val="21"/>
                <w:szCs w:val="21"/>
                <w:highlight w:val="none"/>
                <w:lang w:val="en-US" w:eastAsia="zh-CN"/>
              </w:rPr>
            </w:pPr>
            <w:r>
              <w:rPr>
                <w:rFonts w:hint="eastAsia" w:ascii="宋体" w:hAnsi="宋体" w:eastAsia="宋体" w:cs="宋体"/>
                <w:strike w:val="0"/>
                <w:dstrike w:val="0"/>
                <w:color w:val="000000"/>
                <w:kern w:val="0"/>
                <w:sz w:val="21"/>
                <w:szCs w:val="21"/>
                <w:highlight w:val="none"/>
                <w:lang w:val="en-US" w:eastAsia="zh-CN"/>
              </w:rPr>
              <w:t>（1）投标人投标文件制作机器码雷同；</w:t>
            </w:r>
          </w:p>
          <w:p w14:paraId="5137CDA2">
            <w:pPr>
              <w:keepNext w:val="0"/>
              <w:keepLines w:val="0"/>
              <w:pageBreakBefore w:val="0"/>
              <w:widowControl/>
              <w:shd w:val="clear" w:fill="FFFFFF"/>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kern w:val="0"/>
                <w:sz w:val="21"/>
                <w:szCs w:val="21"/>
                <w:highlight w:val="none"/>
                <w:lang w:val="en-US" w:eastAsia="zh-CN"/>
              </w:rPr>
            </w:pPr>
            <w:r>
              <w:rPr>
                <w:rFonts w:hint="eastAsia" w:ascii="宋体" w:hAnsi="宋体" w:eastAsia="宋体" w:cs="宋体"/>
                <w:strike w:val="0"/>
                <w:dstrike w:val="0"/>
                <w:color w:val="000000"/>
                <w:kern w:val="0"/>
                <w:sz w:val="21"/>
                <w:szCs w:val="21"/>
                <w:highlight w:val="none"/>
                <w:lang w:val="en-US" w:eastAsia="zh-CN"/>
              </w:rPr>
              <w:t>（2）投标文件创建标识码雷同；</w:t>
            </w:r>
          </w:p>
          <w:p w14:paraId="4F929B81">
            <w:pPr>
              <w:keepNext w:val="0"/>
              <w:keepLines w:val="0"/>
              <w:pageBreakBefore w:val="0"/>
              <w:widowControl/>
              <w:shd w:val="clear" w:fill="FFFFFF"/>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kern w:val="0"/>
                <w:sz w:val="21"/>
                <w:szCs w:val="21"/>
                <w:highlight w:val="none"/>
                <w:lang w:val="en-US" w:eastAsia="zh-CN"/>
              </w:rPr>
            </w:pPr>
            <w:r>
              <w:rPr>
                <w:rFonts w:hint="eastAsia" w:ascii="宋体" w:hAnsi="宋体" w:eastAsia="宋体" w:cs="宋体"/>
                <w:strike w:val="0"/>
                <w:dstrike w:val="0"/>
                <w:color w:val="000000"/>
                <w:kern w:val="0"/>
                <w:sz w:val="21"/>
                <w:szCs w:val="21"/>
                <w:highlight w:val="none"/>
                <w:lang w:val="en-US" w:eastAsia="zh-CN"/>
              </w:rPr>
              <w:t>（3）投标文件制作计算机MAC地址雷同；</w:t>
            </w:r>
          </w:p>
          <w:p w14:paraId="6F51FA7D">
            <w:pPr>
              <w:keepNext w:val="0"/>
              <w:keepLines w:val="0"/>
              <w:pageBreakBefore w:val="0"/>
              <w:widowControl/>
              <w:shd w:val="clear" w:fill="FFFFFF"/>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kern w:val="0"/>
                <w:sz w:val="21"/>
                <w:szCs w:val="21"/>
                <w:highlight w:val="none"/>
                <w:lang w:val="en-US" w:eastAsia="zh-CN"/>
              </w:rPr>
            </w:pPr>
            <w:r>
              <w:rPr>
                <w:rFonts w:hint="eastAsia" w:ascii="宋体" w:hAnsi="宋体" w:eastAsia="宋体" w:cs="宋体"/>
                <w:strike w:val="0"/>
                <w:dstrike w:val="0"/>
                <w:color w:val="000000"/>
                <w:kern w:val="0"/>
                <w:sz w:val="21"/>
                <w:szCs w:val="21"/>
                <w:highlight w:val="none"/>
                <w:lang w:val="en-US" w:eastAsia="zh-CN"/>
              </w:rPr>
              <w:t>（4）投标文件制作计算机硬盘序列号雷同；</w:t>
            </w:r>
          </w:p>
          <w:p w14:paraId="2F19D1BF">
            <w:pPr>
              <w:keepNext w:val="0"/>
              <w:keepLines w:val="0"/>
              <w:pageBreakBefore w:val="0"/>
              <w:widowControl/>
              <w:shd w:val="clear" w:fill="FFFFFF"/>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kern w:val="0"/>
                <w:sz w:val="21"/>
                <w:szCs w:val="21"/>
                <w:highlight w:val="none"/>
                <w:lang w:val="en-US" w:eastAsia="zh-CN"/>
              </w:rPr>
            </w:pPr>
            <w:r>
              <w:rPr>
                <w:rFonts w:hint="eastAsia" w:ascii="宋体" w:hAnsi="宋体" w:eastAsia="宋体" w:cs="宋体"/>
                <w:strike w:val="0"/>
                <w:dstrike w:val="0"/>
                <w:color w:val="000000"/>
                <w:kern w:val="0"/>
                <w:sz w:val="21"/>
                <w:szCs w:val="21"/>
                <w:highlight w:val="none"/>
                <w:lang w:val="en-US" w:eastAsia="zh-CN"/>
              </w:rPr>
              <w:t>（5）投标文件上传IP地址雷同；</w:t>
            </w:r>
          </w:p>
          <w:p w14:paraId="20DF9136">
            <w:pPr>
              <w:keepNext w:val="0"/>
              <w:keepLines w:val="0"/>
              <w:pageBreakBefore w:val="0"/>
              <w:widowControl/>
              <w:shd w:val="clear" w:fill="FFFFFF"/>
              <w:kinsoku/>
              <w:wordWrap/>
              <w:overflowPunct/>
              <w:topLinePunct w:val="0"/>
              <w:autoSpaceDE/>
              <w:autoSpaceDN/>
              <w:bidi w:val="0"/>
              <w:snapToGrid w:val="0"/>
              <w:spacing w:line="320" w:lineRule="exact"/>
              <w:ind w:firstLine="420" w:firstLineChars="200"/>
              <w:jc w:val="left"/>
              <w:rPr>
                <w:rFonts w:hint="eastAsia" w:ascii="宋体" w:hAnsi="宋体" w:eastAsia="宋体" w:cs="宋体"/>
                <w:color w:val="000000"/>
                <w:kern w:val="0"/>
                <w:sz w:val="21"/>
                <w:szCs w:val="21"/>
                <w:highlight w:val="none"/>
              </w:rPr>
            </w:pPr>
            <w:r>
              <w:rPr>
                <w:rFonts w:hint="eastAsia" w:ascii="宋体" w:hAnsi="宋体" w:eastAsia="宋体" w:cs="宋体"/>
                <w:strike w:val="0"/>
                <w:dstrike w:val="0"/>
                <w:color w:val="000000"/>
                <w:kern w:val="0"/>
                <w:sz w:val="21"/>
                <w:szCs w:val="21"/>
                <w:highlight w:val="none"/>
                <w:lang w:val="en-US" w:eastAsia="zh-CN"/>
              </w:rPr>
              <w:t>（6）投标文件解密IP地址雷同。</w:t>
            </w:r>
          </w:p>
        </w:tc>
      </w:tr>
      <w:tr w14:paraId="158F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48610F85">
            <w:pPr>
              <w:keepNext w:val="0"/>
              <w:keepLines w:val="0"/>
              <w:pageBreakBefore w:val="0"/>
              <w:widowControl/>
              <w:shd w:val="clear" w:fill="FFFFFF"/>
              <w:kinsoku/>
              <w:overflowPunct/>
              <w:topLinePunct w:val="0"/>
              <w:autoSpaceDE w:val="0"/>
              <w:autoSpaceDN w:val="0"/>
              <w:bidi w:val="0"/>
              <w:adjustRightInd w:val="0"/>
              <w:snapToGrid w:val="0"/>
              <w:spacing w:line="320" w:lineRule="exact"/>
              <w:ind w:right="-20" w:rightChars="0"/>
              <w:jc w:val="center"/>
              <w:rPr>
                <w:rFonts w:hint="eastAsia" w:ascii="宋体" w:hAnsi="宋体" w:eastAsia="宋体" w:cs="宋体"/>
                <w:color w:val="000000"/>
                <w:kern w:val="0"/>
                <w:sz w:val="21"/>
                <w:szCs w:val="21"/>
                <w:highlight w:val="none"/>
              </w:rPr>
            </w:pPr>
            <w:r>
              <w:rPr>
                <w:rFonts w:hint="eastAsia" w:ascii="宋体" w:hAnsi="宋体" w:eastAsia="宋体" w:cs="微软雅黑"/>
                <w:color w:val="000000"/>
                <w:kern w:val="0"/>
                <w:sz w:val="21"/>
                <w:szCs w:val="21"/>
                <w:highlight w:val="none"/>
                <w:lang w:val="en-US" w:eastAsia="zh-CN"/>
              </w:rPr>
              <w:t>3.8.1</w:t>
            </w:r>
          </w:p>
        </w:tc>
        <w:tc>
          <w:tcPr>
            <w:tcW w:w="1317" w:type="dxa"/>
            <w:vAlign w:val="center"/>
          </w:tcPr>
          <w:p w14:paraId="24DF329A">
            <w:pPr>
              <w:keepNext w:val="0"/>
              <w:keepLines w:val="0"/>
              <w:pageBreakBefore w:val="0"/>
              <w:widowControl/>
              <w:shd w:val="clear" w:fill="FFFFFF"/>
              <w:kinsoku/>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Arial"/>
                <w:color w:val="000000"/>
                <w:kern w:val="0"/>
                <w:sz w:val="21"/>
                <w:szCs w:val="21"/>
                <w:highlight w:val="none"/>
                <w:lang w:eastAsia="zh-CN"/>
              </w:rPr>
              <w:t>中标候选人的确定</w:t>
            </w:r>
          </w:p>
        </w:tc>
        <w:tc>
          <w:tcPr>
            <w:tcW w:w="7197" w:type="dxa"/>
            <w:vAlign w:val="center"/>
          </w:tcPr>
          <w:p w14:paraId="3716C8D9">
            <w:pPr>
              <w:keepNext w:val="0"/>
              <w:keepLines w:val="0"/>
              <w:pageBreakBefore w:val="0"/>
              <w:widowControl/>
              <w:shd w:val="clear" w:fill="FFFFFF"/>
              <w:kinsoku/>
              <w:overflowPunct/>
              <w:topLinePunct w:val="0"/>
              <w:bidi w:val="0"/>
              <w:snapToGrid w:val="0"/>
              <w:spacing w:line="320" w:lineRule="exact"/>
              <w:jc w:val="left"/>
              <w:rPr>
                <w:rFonts w:hint="eastAsia" w:ascii="宋体" w:hAnsi="宋体" w:eastAsia="宋体" w:cs="宋体"/>
                <w:color w:val="000000"/>
                <w:kern w:val="0"/>
                <w:sz w:val="21"/>
                <w:szCs w:val="21"/>
                <w:highlight w:val="none"/>
              </w:rPr>
            </w:pPr>
            <w:r>
              <w:rPr>
                <w:rFonts w:hint="eastAsia" w:ascii="宋体" w:hAnsi="宋体" w:eastAsia="宋体" w:cs="Arial"/>
                <w:color w:val="000000"/>
                <w:kern w:val="0"/>
                <w:sz w:val="21"/>
                <w:szCs w:val="21"/>
                <w:highlight w:val="none"/>
              </w:rPr>
              <w:t>评标委员会按</w:t>
            </w:r>
            <w:r>
              <w:rPr>
                <w:rFonts w:hint="eastAsia" w:ascii="宋体" w:hAnsi="宋体" w:eastAsia="宋体" w:cs="Arial"/>
                <w:color w:val="000000"/>
                <w:kern w:val="0"/>
                <w:sz w:val="21"/>
                <w:szCs w:val="21"/>
                <w:highlight w:val="none"/>
                <w:lang w:val="en-US" w:eastAsia="zh-CN"/>
              </w:rPr>
              <w:t>照</w:t>
            </w:r>
            <w:r>
              <w:rPr>
                <w:rFonts w:hint="eastAsia" w:ascii="宋体" w:hAnsi="宋体" w:eastAsia="宋体" w:cs="Arial"/>
                <w:color w:val="000000"/>
                <w:kern w:val="0"/>
                <w:sz w:val="21"/>
                <w:szCs w:val="21"/>
                <w:highlight w:val="none"/>
              </w:rPr>
              <w:t>评标价由低到高的顺序，向招标人推荐1-3名中标候选人</w:t>
            </w:r>
            <w:r>
              <w:rPr>
                <w:rFonts w:hint="eastAsia" w:ascii="宋体" w:hAnsi="宋体" w:eastAsia="宋体" w:cs="Arial"/>
                <w:color w:val="000000"/>
                <w:kern w:val="0"/>
                <w:sz w:val="21"/>
                <w:szCs w:val="21"/>
                <w:highlight w:val="none"/>
                <w:lang w:eastAsia="zh-CN"/>
              </w:rPr>
              <w:t>。</w:t>
            </w:r>
          </w:p>
        </w:tc>
      </w:tr>
    </w:tbl>
    <w:p w14:paraId="0F4D80B6">
      <w:pPr>
        <w:widowControl/>
        <w:shd w:val="clear" w:fill="FFFFFF"/>
        <w:jc w:val="left"/>
        <w:rPr>
          <w:rFonts w:ascii="宋体" w:hAnsi="宋体" w:eastAsia="宋体" w:cs="Arial"/>
          <w:color w:val="000000"/>
          <w:kern w:val="0"/>
          <w:sz w:val="21"/>
          <w:szCs w:val="21"/>
          <w:highlight w:val="none"/>
        </w:rPr>
      </w:pPr>
      <w:r>
        <w:rPr>
          <w:rFonts w:ascii="宋体" w:hAnsi="宋体" w:eastAsia="宋体" w:cs="Arial"/>
          <w:color w:val="000000"/>
          <w:kern w:val="0"/>
          <w:sz w:val="21"/>
          <w:szCs w:val="21"/>
          <w:highlight w:val="none"/>
        </w:rPr>
        <w:br w:type="page"/>
      </w:r>
    </w:p>
    <w:p w14:paraId="4B4760E9">
      <w:pPr>
        <w:widowControl/>
        <w:shd w:val="clear" w:fill="FFFFFF"/>
        <w:adjustRightInd w:val="0"/>
        <w:snapToGrid w:val="0"/>
        <w:spacing w:line="360" w:lineRule="auto"/>
        <w:jc w:val="left"/>
        <w:textAlignment w:val="baseline"/>
        <w:rPr>
          <w:rFonts w:ascii="宋体" w:hAnsi="宋体" w:eastAsia="等线" w:cs="Arial"/>
          <w:b/>
          <w:bCs/>
          <w:snapToGrid w:val="0"/>
          <w:color w:val="000000"/>
          <w:kern w:val="0"/>
          <w:sz w:val="21"/>
          <w:szCs w:val="21"/>
          <w:highlight w:val="none"/>
        </w:rPr>
      </w:pPr>
      <w:r>
        <w:rPr>
          <w:rFonts w:hint="eastAsia" w:ascii="宋体" w:hAnsi="宋体" w:eastAsia="等线" w:cs="Arial"/>
          <w:b/>
          <w:bCs/>
          <w:snapToGrid w:val="0"/>
          <w:color w:val="000000"/>
          <w:kern w:val="0"/>
          <w:sz w:val="21"/>
          <w:szCs w:val="21"/>
          <w:highlight w:val="none"/>
        </w:rPr>
        <w:t>评分标准</w:t>
      </w:r>
    </w:p>
    <w:tbl>
      <w:tblPr>
        <w:tblStyle w:val="5"/>
        <w:tblpPr w:leftFromText="180" w:rightFromText="180" w:vertAnchor="text" w:tblpXSpec="center" w:tblpY="1"/>
        <w:tblOverlap w:val="never"/>
        <w:tblW w:w="9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064"/>
        <w:gridCol w:w="1136"/>
        <w:gridCol w:w="864"/>
        <w:gridCol w:w="5914"/>
      </w:tblGrid>
      <w:tr w14:paraId="3EA1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2" w:hRule="atLeast"/>
          <w:jc w:val="center"/>
        </w:trPr>
        <w:tc>
          <w:tcPr>
            <w:tcW w:w="812" w:type="dxa"/>
            <w:vAlign w:val="center"/>
          </w:tcPr>
          <w:p w14:paraId="4DE3F062">
            <w:pPr>
              <w:keepNext w:val="0"/>
              <w:keepLines w:val="0"/>
              <w:pageBreakBefore w:val="0"/>
              <w:widowControl w:val="0"/>
              <w:shd w:val="clear" w:fill="FFFFFF"/>
              <w:kinsoku/>
              <w:wordWrap/>
              <w:overflowPunct/>
              <w:topLinePunct w:val="0"/>
              <w:bidi w:val="0"/>
              <w:snapToGrid w:val="0"/>
              <w:spacing w:line="320" w:lineRule="exact"/>
              <w:jc w:val="center"/>
              <w:textAlignment w:val="baseline"/>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条款号</w:t>
            </w:r>
          </w:p>
        </w:tc>
        <w:tc>
          <w:tcPr>
            <w:tcW w:w="1064" w:type="dxa"/>
            <w:vAlign w:val="center"/>
          </w:tcPr>
          <w:p w14:paraId="71DD9447">
            <w:pPr>
              <w:keepNext w:val="0"/>
              <w:keepLines w:val="0"/>
              <w:pageBreakBefore w:val="0"/>
              <w:widowControl w:val="0"/>
              <w:shd w:val="clear" w:fill="FFFFFF"/>
              <w:kinsoku/>
              <w:wordWrap/>
              <w:overflowPunct/>
              <w:topLinePunct w:val="0"/>
              <w:bidi w:val="0"/>
              <w:snapToGrid w:val="0"/>
              <w:spacing w:line="320" w:lineRule="exact"/>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评分</w:t>
            </w:r>
          </w:p>
          <w:p w14:paraId="6F3B4CA8">
            <w:pPr>
              <w:keepNext w:val="0"/>
              <w:keepLines w:val="0"/>
              <w:pageBreakBefore w:val="0"/>
              <w:widowControl w:val="0"/>
              <w:shd w:val="clear" w:fill="FFFFFF"/>
              <w:kinsoku/>
              <w:wordWrap/>
              <w:overflowPunct/>
              <w:topLinePunct w:val="0"/>
              <w:bidi w:val="0"/>
              <w:snapToGrid w:val="0"/>
              <w:spacing w:line="320" w:lineRule="exact"/>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因素</w:t>
            </w:r>
          </w:p>
        </w:tc>
        <w:tc>
          <w:tcPr>
            <w:tcW w:w="1136" w:type="dxa"/>
            <w:vAlign w:val="center"/>
          </w:tcPr>
          <w:p w14:paraId="506F96B1">
            <w:pPr>
              <w:keepNext w:val="0"/>
              <w:keepLines w:val="0"/>
              <w:pageBreakBefore w:val="0"/>
              <w:widowControl/>
              <w:shd w:val="clear" w:fill="FFFFFF"/>
              <w:kinsoku/>
              <w:wordWrap/>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u w:val="single"/>
              </w:rPr>
            </w:pPr>
            <w:r>
              <w:rPr>
                <w:rFonts w:hint="eastAsia" w:ascii="宋体" w:hAnsi="宋体" w:eastAsia="宋体" w:cs="宋体"/>
                <w:color w:val="000000"/>
                <w:kern w:val="0"/>
                <w:sz w:val="21"/>
                <w:szCs w:val="21"/>
                <w:highlight w:val="none"/>
              </w:rPr>
              <w:t>评分因素</w:t>
            </w:r>
          </w:p>
        </w:tc>
        <w:tc>
          <w:tcPr>
            <w:tcW w:w="864" w:type="dxa"/>
            <w:vAlign w:val="center"/>
          </w:tcPr>
          <w:p w14:paraId="3C215C22">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spacing w:val="-3"/>
                <w:kern w:val="0"/>
                <w:sz w:val="21"/>
                <w:szCs w:val="21"/>
                <w:highlight w:val="none"/>
              </w:rPr>
              <w:t>分</w:t>
            </w:r>
            <w:r>
              <w:rPr>
                <w:rFonts w:hint="eastAsia" w:ascii="宋体" w:hAnsi="宋体" w:eastAsia="宋体" w:cs="宋体"/>
                <w:color w:val="000000"/>
                <w:spacing w:val="-2"/>
                <w:kern w:val="0"/>
                <w:sz w:val="21"/>
                <w:szCs w:val="21"/>
                <w:highlight w:val="none"/>
              </w:rPr>
              <w:t>值</w:t>
            </w:r>
          </w:p>
        </w:tc>
        <w:tc>
          <w:tcPr>
            <w:tcW w:w="5914" w:type="dxa"/>
            <w:vAlign w:val="center"/>
          </w:tcPr>
          <w:p w14:paraId="4F937006">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spacing w:val="-3"/>
                <w:kern w:val="0"/>
                <w:sz w:val="21"/>
                <w:szCs w:val="21"/>
                <w:highlight w:val="none"/>
              </w:rPr>
            </w:pPr>
            <w:r>
              <w:rPr>
                <w:rFonts w:hint="eastAsia" w:ascii="宋体" w:hAnsi="宋体" w:eastAsia="宋体" w:cs="宋体"/>
                <w:color w:val="000000"/>
                <w:spacing w:val="-1"/>
                <w:kern w:val="0"/>
                <w:sz w:val="21"/>
                <w:szCs w:val="21"/>
                <w:highlight w:val="none"/>
              </w:rPr>
              <w:t>评分</w:t>
            </w:r>
            <w:r>
              <w:rPr>
                <w:rFonts w:hint="eastAsia" w:ascii="宋体" w:hAnsi="宋体" w:eastAsia="宋体" w:cs="宋体"/>
                <w:color w:val="000000"/>
                <w:kern w:val="0"/>
                <w:sz w:val="21"/>
                <w:szCs w:val="21"/>
                <w:highlight w:val="none"/>
              </w:rPr>
              <w:t>标准</w:t>
            </w:r>
          </w:p>
        </w:tc>
      </w:tr>
      <w:tr w14:paraId="6DF5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812" w:type="dxa"/>
            <w:vMerge w:val="restart"/>
            <w:vAlign w:val="center"/>
          </w:tcPr>
          <w:p w14:paraId="0B71B80F">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2.2.</w:t>
            </w:r>
            <w:r>
              <w:rPr>
                <w:rFonts w:hint="eastAsia" w:ascii="宋体" w:hAnsi="宋体" w:eastAsia="宋体" w:cs="宋体"/>
                <w:color w:val="000000"/>
                <w:kern w:val="0"/>
                <w:sz w:val="21"/>
                <w:szCs w:val="21"/>
                <w:highlight w:val="none"/>
                <w:lang w:val="en-US" w:eastAsia="zh-CN"/>
              </w:rPr>
              <w:t>2</w:t>
            </w:r>
          </w:p>
          <w:p w14:paraId="5CD22A5D">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1064" w:type="dxa"/>
            <w:vMerge w:val="restart"/>
            <w:vAlign w:val="center"/>
          </w:tcPr>
          <w:p w14:paraId="07DA482A">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商务部分</w:t>
            </w:r>
          </w:p>
          <w:p w14:paraId="001B1B11">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rPr>
              <w:t>0分）</w:t>
            </w:r>
          </w:p>
        </w:tc>
        <w:tc>
          <w:tcPr>
            <w:tcW w:w="1136" w:type="dxa"/>
            <w:vMerge w:val="restart"/>
            <w:vAlign w:val="center"/>
          </w:tcPr>
          <w:p w14:paraId="59F62572">
            <w:pPr>
              <w:keepNext w:val="0"/>
              <w:keepLines w:val="0"/>
              <w:pageBreakBefore w:val="0"/>
              <w:widowControl/>
              <w:shd w:val="clear" w:fill="FFFFFF"/>
              <w:kinsoku/>
              <w:wordWrap/>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业绩</w:t>
            </w:r>
          </w:p>
        </w:tc>
        <w:tc>
          <w:tcPr>
            <w:tcW w:w="864" w:type="dxa"/>
            <w:vMerge w:val="restart"/>
            <w:vAlign w:val="center"/>
          </w:tcPr>
          <w:p w14:paraId="766CC551">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rPr>
              <w:t>0分</w:t>
            </w:r>
          </w:p>
        </w:tc>
        <w:tc>
          <w:tcPr>
            <w:tcW w:w="5914" w:type="dxa"/>
            <w:vAlign w:val="center"/>
          </w:tcPr>
          <w:p w14:paraId="4FF7AFF8">
            <w:pPr>
              <w:keepNext w:val="0"/>
              <w:keepLines w:val="0"/>
              <w:pageBreakBefore w:val="0"/>
              <w:widowControl/>
              <w:shd w:val="clear" w:fill="FFFFFF"/>
              <w:kinsoku/>
              <w:wordWrap/>
              <w:overflowPunct/>
              <w:topLinePunct w:val="0"/>
              <w:bidi w:val="0"/>
              <w:snapToGrid w:val="0"/>
              <w:spacing w:line="320" w:lineRule="exact"/>
              <w:ind w:right="113"/>
              <w:jc w:val="left"/>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rPr>
              <w:t>满足资格</w:t>
            </w:r>
            <w:r>
              <w:rPr>
                <w:rFonts w:hint="eastAsia" w:ascii="宋体" w:hAnsi="宋体" w:eastAsia="宋体" w:cs="宋体"/>
                <w:color w:val="000000"/>
                <w:kern w:val="0"/>
                <w:sz w:val="21"/>
                <w:szCs w:val="21"/>
                <w:highlight w:val="none"/>
                <w:lang w:eastAsia="zh-CN"/>
              </w:rPr>
              <w:t>审查条件</w:t>
            </w:r>
            <w:r>
              <w:rPr>
                <w:rFonts w:hint="eastAsia" w:ascii="宋体" w:hAnsi="宋体" w:eastAsia="宋体" w:cs="宋体"/>
                <w:color w:val="000000"/>
                <w:kern w:val="0"/>
                <w:sz w:val="21"/>
                <w:szCs w:val="21"/>
                <w:highlight w:val="none"/>
              </w:rPr>
              <w:t>(业绩</w:t>
            </w:r>
            <w:r>
              <w:rPr>
                <w:rFonts w:hint="eastAsia" w:ascii="宋体" w:hAnsi="宋体" w:eastAsia="宋体" w:cs="宋体"/>
                <w:color w:val="000000"/>
                <w:kern w:val="0"/>
                <w:sz w:val="21"/>
                <w:szCs w:val="21"/>
                <w:highlight w:val="none"/>
                <w:lang w:eastAsia="zh-CN"/>
              </w:rPr>
              <w:t>最低</w:t>
            </w:r>
            <w:r>
              <w:rPr>
                <w:rFonts w:hint="eastAsia" w:ascii="宋体" w:hAnsi="宋体" w:eastAsia="宋体" w:cs="宋体"/>
                <w:color w:val="000000"/>
                <w:kern w:val="0"/>
                <w:sz w:val="21"/>
                <w:szCs w:val="21"/>
                <w:highlight w:val="none"/>
              </w:rPr>
              <w:t>要求)得</w:t>
            </w:r>
            <w:r>
              <w:rPr>
                <w:rFonts w:hint="eastAsia" w:ascii="宋体" w:hAnsi="宋体" w:eastAsia="宋体" w:cs="宋体"/>
                <w:strike w:val="0"/>
                <w:dstrike w:val="0"/>
                <w:color w:val="000000"/>
                <w:kern w:val="0"/>
                <w:sz w:val="21"/>
                <w:szCs w:val="21"/>
                <w:highlight w:val="none"/>
                <w:lang w:val="en-US" w:eastAsia="zh-CN"/>
              </w:rPr>
              <w:t>12</w:t>
            </w:r>
            <w:r>
              <w:rPr>
                <w:rFonts w:hint="eastAsia" w:ascii="宋体" w:hAnsi="宋体" w:eastAsia="宋体" w:cs="宋体"/>
                <w:strike w:val="0"/>
                <w:dstrike w:val="0"/>
                <w:color w:val="000000"/>
                <w:kern w:val="0"/>
                <w:sz w:val="21"/>
                <w:szCs w:val="21"/>
                <w:highlight w:val="none"/>
              </w:rPr>
              <w:t>分</w:t>
            </w:r>
            <w:r>
              <w:rPr>
                <w:rFonts w:hint="eastAsia" w:ascii="宋体" w:hAnsi="宋体" w:eastAsia="宋体" w:cs="宋体"/>
                <w:color w:val="000000"/>
                <w:kern w:val="0"/>
                <w:sz w:val="21"/>
                <w:szCs w:val="21"/>
                <w:highlight w:val="none"/>
              </w:rPr>
              <w:t>；</w:t>
            </w:r>
          </w:p>
        </w:tc>
      </w:tr>
      <w:tr w14:paraId="02F0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812" w:type="dxa"/>
            <w:vMerge w:val="continue"/>
            <w:vAlign w:val="center"/>
          </w:tcPr>
          <w:p w14:paraId="0D040312">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064" w:type="dxa"/>
            <w:vMerge w:val="continue"/>
            <w:vAlign w:val="center"/>
          </w:tcPr>
          <w:p w14:paraId="5FA8BC53">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136" w:type="dxa"/>
            <w:vMerge w:val="continue"/>
            <w:vAlign w:val="center"/>
          </w:tcPr>
          <w:p w14:paraId="7E47BF9C">
            <w:pPr>
              <w:keepNext w:val="0"/>
              <w:keepLines w:val="0"/>
              <w:pageBreakBefore w:val="0"/>
              <w:widowControl/>
              <w:shd w:val="clear" w:fill="FFFFFF"/>
              <w:kinsoku/>
              <w:wordWrap/>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rPr>
            </w:pPr>
          </w:p>
        </w:tc>
        <w:tc>
          <w:tcPr>
            <w:tcW w:w="864" w:type="dxa"/>
            <w:vMerge w:val="continue"/>
            <w:vAlign w:val="center"/>
          </w:tcPr>
          <w:p w14:paraId="39FF5979">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5914" w:type="dxa"/>
            <w:vAlign w:val="center"/>
          </w:tcPr>
          <w:p w14:paraId="00813F30">
            <w:pPr>
              <w:keepNext w:val="0"/>
              <w:keepLines w:val="0"/>
              <w:pageBreakBefore w:val="0"/>
              <w:widowControl/>
              <w:shd w:val="clear" w:fill="FFFFFF"/>
              <w:kinsoku/>
              <w:wordWrap/>
              <w:overflowPunct/>
              <w:topLinePunct w:val="0"/>
              <w:bidi w:val="0"/>
              <w:snapToGrid w:val="0"/>
              <w:spacing w:line="320" w:lineRule="exact"/>
              <w:ind w:right="113"/>
              <w:jc w:val="both"/>
              <w:rPr>
                <w:rFonts w:hint="default" w:ascii="宋体" w:hAnsi="宋体" w:eastAsia="宋体" w:cs="宋体"/>
                <w:color w:val="000000"/>
                <w:kern w:val="0"/>
                <w:sz w:val="21"/>
                <w:szCs w:val="21"/>
                <w:highlight w:val="none"/>
                <w:u w:val="none"/>
                <w:lang w:val="en-US" w:eastAsia="zh-CN"/>
              </w:rPr>
            </w:pPr>
            <w:r>
              <w:rPr>
                <w:rFonts w:hint="eastAsia" w:ascii="宋体" w:hAnsi="宋体" w:eastAsia="宋体" w:cs="宋体"/>
                <w:color w:val="000000"/>
                <w:kern w:val="0"/>
                <w:sz w:val="21"/>
                <w:szCs w:val="21"/>
                <w:highlight w:val="none"/>
                <w:u w:val="none"/>
                <w:lang w:val="en-US" w:eastAsia="zh-CN"/>
              </w:rPr>
              <w:t>每增加1项满足资格审查条件（业绩最低要求）的供货业绩加4分，最多加8分。</w:t>
            </w:r>
          </w:p>
        </w:tc>
      </w:tr>
      <w:tr w14:paraId="75A2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812" w:type="dxa"/>
            <w:vMerge w:val="restart"/>
            <w:vAlign w:val="center"/>
          </w:tcPr>
          <w:p w14:paraId="61D8A673">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2.2.</w:t>
            </w:r>
            <w:r>
              <w:rPr>
                <w:rFonts w:hint="eastAsia" w:ascii="宋体" w:hAnsi="宋体" w:eastAsia="宋体" w:cs="宋体"/>
                <w:color w:val="000000"/>
                <w:kern w:val="0"/>
                <w:sz w:val="21"/>
                <w:szCs w:val="21"/>
                <w:highlight w:val="none"/>
                <w:lang w:val="en-US" w:eastAsia="zh-CN"/>
              </w:rPr>
              <w:t>2</w:t>
            </w:r>
          </w:p>
          <w:p w14:paraId="1650FF34">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1064" w:type="dxa"/>
            <w:vMerge w:val="restart"/>
            <w:vAlign w:val="center"/>
          </w:tcPr>
          <w:p w14:paraId="223F4B2D">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技术部分</w:t>
            </w:r>
            <w:r>
              <w:rPr>
                <w:rFonts w:hint="eastAsia" w:ascii="宋体" w:hAnsi="宋体" w:eastAsia="宋体" w:cs="宋体"/>
                <w:color w:val="000000"/>
                <w:szCs w:val="21"/>
                <w:highlight w:val="none"/>
                <w:lang w:eastAsia="zh-CN"/>
              </w:rPr>
              <w:t>（供货方案）</w:t>
            </w:r>
          </w:p>
          <w:p w14:paraId="2AD5CA8A">
            <w:pPr>
              <w:keepNext w:val="0"/>
              <w:keepLines w:val="0"/>
              <w:pageBreakBefore w:val="0"/>
              <w:widowControl w:val="0"/>
              <w:shd w:val="clear" w:fill="FFFFFF"/>
              <w:kinsoku/>
              <w:wordWrap/>
              <w:overflowPunct/>
              <w:topLinePunct w:val="0"/>
              <w:bidi w:val="0"/>
              <w:snapToGrid w:val="0"/>
              <w:spacing w:after="0" w:line="320" w:lineRule="exact"/>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（80分）</w:t>
            </w:r>
          </w:p>
        </w:tc>
        <w:tc>
          <w:tcPr>
            <w:tcW w:w="1136" w:type="dxa"/>
            <w:vAlign w:val="center"/>
          </w:tcPr>
          <w:p w14:paraId="550B12EE">
            <w:pPr>
              <w:keepNext w:val="0"/>
              <w:keepLines w:val="0"/>
              <w:pageBreakBefore w:val="0"/>
              <w:widowControl/>
              <w:shd w:val="clear" w:fill="FFFFFF"/>
              <w:kinsoku/>
              <w:wordWrap/>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投标设备整体评价</w:t>
            </w:r>
          </w:p>
        </w:tc>
        <w:tc>
          <w:tcPr>
            <w:tcW w:w="864" w:type="dxa"/>
            <w:vAlign w:val="center"/>
          </w:tcPr>
          <w:p w14:paraId="1F5545EB">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rPr>
              <w:t>0分</w:t>
            </w:r>
          </w:p>
        </w:tc>
        <w:tc>
          <w:tcPr>
            <w:tcW w:w="5914" w:type="dxa"/>
            <w:vAlign w:val="center"/>
          </w:tcPr>
          <w:p w14:paraId="2D8DB6EB">
            <w:pPr>
              <w:shd w:val="clear" w:fill="FFFFFF"/>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1.设备整体性能优越、功能齐全、完善，与工作装置匹配度高，自动化水平高，完全满足招标文件要求，得</w:t>
            </w:r>
            <w:r>
              <w:rPr>
                <w:rFonts w:hint="eastAsia" w:ascii="宋体" w:hAnsi="宋体" w:eastAsia="宋体" w:cs="宋体"/>
                <w:color w:val="000000"/>
                <w:szCs w:val="21"/>
                <w:highlight w:val="none"/>
                <w:lang w:val="en-US" w:eastAsia="zh-CN"/>
              </w:rPr>
              <w:t>16</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20</w:t>
            </w:r>
            <w:r>
              <w:rPr>
                <w:rFonts w:hint="eastAsia" w:ascii="宋体" w:hAnsi="宋体" w:eastAsia="宋体" w:cs="宋体"/>
                <w:color w:val="000000"/>
                <w:szCs w:val="21"/>
                <w:highlight w:val="none"/>
              </w:rPr>
              <w:t>分；</w:t>
            </w:r>
          </w:p>
          <w:p w14:paraId="5416644E">
            <w:pPr>
              <w:shd w:val="clear" w:fill="FFFFFF"/>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2.设备整体性能较高、功能较齐全、较完善，与工作装置匹配度较高，自动化水平较高，满足招标文件要求，得</w:t>
            </w:r>
            <w:r>
              <w:rPr>
                <w:rFonts w:hint="eastAsia" w:ascii="宋体" w:hAnsi="宋体" w:eastAsia="宋体" w:cs="宋体"/>
                <w:color w:val="000000"/>
                <w:szCs w:val="21"/>
                <w:highlight w:val="none"/>
                <w:lang w:val="en-US" w:eastAsia="zh-CN"/>
              </w:rPr>
              <w:t>12</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16</w:t>
            </w:r>
            <w:r>
              <w:rPr>
                <w:rFonts w:hint="eastAsia" w:ascii="宋体" w:hAnsi="宋体" w:eastAsia="宋体" w:cs="宋体"/>
                <w:color w:val="000000"/>
                <w:szCs w:val="21"/>
                <w:highlight w:val="none"/>
              </w:rPr>
              <w:t>分；</w:t>
            </w:r>
          </w:p>
          <w:p w14:paraId="6B3EB62D">
            <w:pPr>
              <w:shd w:val="clear" w:fill="FFFFFF"/>
              <w:autoSpaceDE w:val="0"/>
              <w:autoSpaceDN w:val="0"/>
              <w:adjustRightInd w:val="0"/>
              <w:snapToGrid w:val="0"/>
              <w:spacing w:line="320" w:lineRule="exact"/>
              <w:rPr>
                <w:rFonts w:hint="eastAsia" w:ascii="宋体" w:hAnsi="宋体" w:eastAsia="宋体" w:cs="宋体"/>
                <w:color w:val="000000"/>
                <w:kern w:val="0"/>
                <w:sz w:val="21"/>
                <w:szCs w:val="21"/>
                <w:highlight w:val="none"/>
              </w:rPr>
            </w:pPr>
            <w:r>
              <w:rPr>
                <w:rFonts w:hint="eastAsia" w:ascii="宋体" w:hAnsi="宋体" w:eastAsia="宋体" w:cs="宋体"/>
                <w:color w:val="000000"/>
                <w:szCs w:val="21"/>
                <w:highlight w:val="none"/>
              </w:rPr>
              <w:t>3.设备整体性能一般，功能一般、与工作装置匹配度一般，自动化水平一般，基本满足招标文件要求，得</w:t>
            </w:r>
            <w:r>
              <w:rPr>
                <w:rFonts w:hint="eastAsia" w:ascii="宋体" w:hAnsi="宋体" w:eastAsia="宋体" w:cs="宋体"/>
                <w:color w:val="000000"/>
                <w:szCs w:val="21"/>
                <w:highlight w:val="none"/>
                <w:lang w:val="en-US" w:eastAsia="zh-CN"/>
              </w:rPr>
              <w:t>12</w:t>
            </w:r>
            <w:r>
              <w:rPr>
                <w:rFonts w:hint="eastAsia" w:ascii="宋体" w:hAnsi="宋体" w:eastAsia="宋体" w:cs="宋体"/>
                <w:color w:val="000000"/>
                <w:szCs w:val="21"/>
                <w:highlight w:val="none"/>
              </w:rPr>
              <w:t>分。</w:t>
            </w:r>
          </w:p>
        </w:tc>
      </w:tr>
      <w:tr w14:paraId="3F53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812" w:type="dxa"/>
            <w:vMerge w:val="continue"/>
            <w:vAlign w:val="center"/>
          </w:tcPr>
          <w:p w14:paraId="74B5E280">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064" w:type="dxa"/>
            <w:vMerge w:val="continue"/>
            <w:vAlign w:val="center"/>
          </w:tcPr>
          <w:p w14:paraId="670E6C69">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136" w:type="dxa"/>
            <w:vAlign w:val="center"/>
          </w:tcPr>
          <w:p w14:paraId="4718A4FF">
            <w:pPr>
              <w:keepNext w:val="0"/>
              <w:keepLines w:val="0"/>
              <w:pageBreakBefore w:val="0"/>
              <w:widowControl/>
              <w:shd w:val="clear" w:fill="FFFFFF"/>
              <w:kinsoku/>
              <w:wordWrap/>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投标设备技术性能指标响应程度</w:t>
            </w:r>
          </w:p>
        </w:tc>
        <w:tc>
          <w:tcPr>
            <w:tcW w:w="864" w:type="dxa"/>
            <w:vAlign w:val="center"/>
          </w:tcPr>
          <w:p w14:paraId="78D4672E">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u w:val="single"/>
              </w:rPr>
            </w:pPr>
            <w:r>
              <w:rPr>
                <w:rFonts w:hint="eastAsia" w:ascii="宋体" w:hAnsi="宋体" w:eastAsia="宋体" w:cs="宋体"/>
                <w:color w:val="000000"/>
                <w:kern w:val="0"/>
                <w:sz w:val="21"/>
                <w:szCs w:val="21"/>
                <w:highlight w:val="none"/>
              </w:rPr>
              <w:t>20分</w:t>
            </w:r>
          </w:p>
        </w:tc>
        <w:tc>
          <w:tcPr>
            <w:tcW w:w="5914" w:type="dxa"/>
            <w:vAlign w:val="top"/>
          </w:tcPr>
          <w:p w14:paraId="56A72326">
            <w:pPr>
              <w:shd w:val="clear" w:fill="FFFFFF"/>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1.投标产品选型合理，功率、质量、尺寸及主要机械组成部件的技术性能参数及功能参数指标高，实用性强、产品设计科学合理、质量可靠，得16-20分；</w:t>
            </w:r>
          </w:p>
          <w:p w14:paraId="24867C70">
            <w:pPr>
              <w:shd w:val="clear" w:fill="FFFFFF"/>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2.投标产品选型较合理，功率、质量、尺寸及主要机械组成部件的技术性能参数及功能参数指标较高，实用性较强、产品设计较合理、质量较可靠，得12-16分；</w:t>
            </w:r>
          </w:p>
          <w:p w14:paraId="7BC9AD76">
            <w:pPr>
              <w:shd w:val="clear" w:fill="FFFFFF"/>
              <w:autoSpaceDE w:val="0"/>
              <w:autoSpaceDN w:val="0"/>
              <w:adjustRightInd w:val="0"/>
              <w:snapToGrid w:val="0"/>
              <w:spacing w:line="320" w:lineRule="exact"/>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szCs w:val="21"/>
                <w:highlight w:val="none"/>
              </w:rPr>
              <w:t>3.投标产品选型一般，功率、质量、尺寸及主要机械组成部件的技术性能参数及功能参数指标一般，实用性一般、产品设计一般、质量一般，得12分。</w:t>
            </w:r>
          </w:p>
        </w:tc>
      </w:tr>
      <w:tr w14:paraId="5317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5" w:hRule="atLeast"/>
          <w:jc w:val="center"/>
        </w:trPr>
        <w:tc>
          <w:tcPr>
            <w:tcW w:w="812" w:type="dxa"/>
            <w:vMerge w:val="continue"/>
            <w:vAlign w:val="center"/>
          </w:tcPr>
          <w:p w14:paraId="0BB92BDD">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064" w:type="dxa"/>
            <w:vMerge w:val="continue"/>
            <w:vAlign w:val="center"/>
          </w:tcPr>
          <w:p w14:paraId="2636EDA0">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136" w:type="dxa"/>
            <w:vAlign w:val="center"/>
          </w:tcPr>
          <w:p w14:paraId="660AAE05">
            <w:pPr>
              <w:keepNext w:val="0"/>
              <w:keepLines w:val="0"/>
              <w:pageBreakBefore w:val="0"/>
              <w:widowControl/>
              <w:shd w:val="clear" w:fill="FFFFFF"/>
              <w:kinsoku/>
              <w:wordWrap/>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供货能力及进度保障</w:t>
            </w:r>
          </w:p>
          <w:p w14:paraId="5EB159D4">
            <w:pPr>
              <w:keepNext w:val="0"/>
              <w:keepLines w:val="0"/>
              <w:pageBreakBefore w:val="0"/>
              <w:widowControl/>
              <w:shd w:val="clear" w:fill="FFFFFF"/>
              <w:kinsoku/>
              <w:wordWrap/>
              <w:overflowPunct/>
              <w:topLinePunct w:val="0"/>
              <w:bidi w:val="0"/>
              <w:adjustRightInd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lang w:eastAsia="zh-CN"/>
              </w:rPr>
              <w:t>（暗标）</w:t>
            </w:r>
          </w:p>
        </w:tc>
        <w:tc>
          <w:tcPr>
            <w:tcW w:w="864" w:type="dxa"/>
            <w:vAlign w:val="center"/>
          </w:tcPr>
          <w:p w14:paraId="636FF775">
            <w:pPr>
              <w:keepNext w:val="0"/>
              <w:keepLines w:val="0"/>
              <w:pageBreakBefore w:val="0"/>
              <w:widowControl/>
              <w:shd w:val="clear" w:fill="FFFFFF"/>
              <w:kinsoku/>
              <w:wordWrap/>
              <w:overflowPunct/>
              <w:topLinePunct w:val="0"/>
              <w:bidi w:val="0"/>
              <w:snapToGrid w:val="0"/>
              <w:spacing w:line="320" w:lineRule="exact"/>
              <w:ind w:right="113"/>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15</w:t>
            </w:r>
            <w:r>
              <w:rPr>
                <w:rFonts w:hint="eastAsia" w:ascii="宋体" w:hAnsi="宋体" w:eastAsia="宋体" w:cs="宋体"/>
                <w:color w:val="000000"/>
                <w:kern w:val="0"/>
                <w:sz w:val="21"/>
                <w:szCs w:val="21"/>
                <w:highlight w:val="none"/>
              </w:rPr>
              <w:t>分</w:t>
            </w:r>
          </w:p>
        </w:tc>
        <w:tc>
          <w:tcPr>
            <w:tcW w:w="5914" w:type="dxa"/>
            <w:vAlign w:val="top"/>
          </w:tcPr>
          <w:p w14:paraId="672A6FB2">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1.投标人提供的供货</w:t>
            </w:r>
            <w:r>
              <w:rPr>
                <w:rFonts w:hint="eastAsia" w:ascii="宋体" w:hAnsi="宋体" w:eastAsia="宋体" w:cs="宋体"/>
                <w:color w:val="000000"/>
                <w:szCs w:val="21"/>
                <w:highlight w:val="none"/>
                <w:lang w:eastAsia="zh-CN"/>
              </w:rPr>
              <w:t>计划</w:t>
            </w:r>
            <w:r>
              <w:rPr>
                <w:rFonts w:hint="eastAsia" w:ascii="宋体" w:hAnsi="宋体" w:eastAsia="宋体" w:cs="宋体"/>
                <w:color w:val="000000"/>
                <w:szCs w:val="21"/>
                <w:highlight w:val="none"/>
              </w:rPr>
              <w:t>切实可行、供货能力强、交货进度有保障、能够保质保量的完成供货，针对供货过程中的特殊情况有预案，得</w:t>
            </w:r>
            <w:r>
              <w:rPr>
                <w:rFonts w:hint="eastAsia" w:ascii="宋体" w:hAnsi="宋体" w:eastAsia="宋体" w:cs="宋体"/>
                <w:color w:val="000000"/>
                <w:szCs w:val="21"/>
                <w:highlight w:val="none"/>
                <w:lang w:val="en-US" w:eastAsia="zh-CN"/>
              </w:rPr>
              <w:t>12</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15</w:t>
            </w:r>
            <w:r>
              <w:rPr>
                <w:rFonts w:hint="eastAsia" w:ascii="宋体" w:hAnsi="宋体" w:eastAsia="宋体" w:cs="宋体"/>
                <w:color w:val="000000"/>
                <w:szCs w:val="21"/>
                <w:highlight w:val="none"/>
              </w:rPr>
              <w:t>分；</w:t>
            </w:r>
          </w:p>
          <w:p w14:paraId="5564C30D">
            <w:pPr>
              <w:shd w:val="clear" w:fill="FFFFFF"/>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2.投标人提供的供货</w:t>
            </w:r>
            <w:r>
              <w:rPr>
                <w:rFonts w:hint="eastAsia" w:ascii="宋体" w:hAnsi="宋体" w:eastAsia="宋体" w:cs="宋体"/>
                <w:color w:val="000000"/>
                <w:szCs w:val="21"/>
                <w:highlight w:val="none"/>
                <w:lang w:eastAsia="zh-CN"/>
              </w:rPr>
              <w:t>计划</w:t>
            </w:r>
            <w:r>
              <w:rPr>
                <w:rFonts w:hint="eastAsia" w:ascii="宋体" w:hAnsi="宋体" w:eastAsia="宋体" w:cs="宋体"/>
                <w:color w:val="000000"/>
                <w:szCs w:val="21"/>
                <w:highlight w:val="none"/>
              </w:rPr>
              <w:t>可行、供货能力较强、交货进度满足招标文件要求，得</w:t>
            </w:r>
            <w:r>
              <w:rPr>
                <w:rFonts w:hint="eastAsia" w:ascii="宋体" w:hAnsi="宋体" w:eastAsia="宋体" w:cs="宋体"/>
                <w:color w:val="000000"/>
                <w:szCs w:val="21"/>
                <w:highlight w:val="none"/>
                <w:lang w:val="en-US" w:eastAsia="zh-CN"/>
              </w:rPr>
              <w:t>9</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12</w:t>
            </w:r>
            <w:r>
              <w:rPr>
                <w:rFonts w:hint="eastAsia" w:ascii="宋体" w:hAnsi="宋体" w:eastAsia="宋体" w:cs="宋体"/>
                <w:color w:val="000000"/>
                <w:szCs w:val="21"/>
                <w:highlight w:val="none"/>
              </w:rPr>
              <w:t>分；</w:t>
            </w:r>
          </w:p>
          <w:p w14:paraId="787D5A86">
            <w:pPr>
              <w:shd w:val="clear" w:fill="FFFFFF"/>
              <w:snapToGrid w:val="0"/>
              <w:spacing w:line="320" w:lineRule="exact"/>
              <w:rPr>
                <w:rFonts w:hint="eastAsia" w:ascii="宋体" w:hAnsi="宋体" w:eastAsia="宋体" w:cs="宋体"/>
                <w:color w:val="000000"/>
                <w:kern w:val="0"/>
                <w:sz w:val="21"/>
                <w:szCs w:val="21"/>
                <w:highlight w:val="none"/>
              </w:rPr>
            </w:pPr>
            <w:r>
              <w:rPr>
                <w:rFonts w:hint="eastAsia" w:ascii="宋体" w:hAnsi="宋体" w:eastAsia="宋体" w:cs="宋体"/>
                <w:color w:val="000000"/>
                <w:szCs w:val="21"/>
                <w:highlight w:val="none"/>
              </w:rPr>
              <w:t>3.投标人提供的供货</w:t>
            </w:r>
            <w:r>
              <w:rPr>
                <w:rFonts w:hint="eastAsia" w:ascii="宋体" w:hAnsi="宋体" w:eastAsia="宋体" w:cs="宋体"/>
                <w:color w:val="000000"/>
                <w:szCs w:val="21"/>
                <w:highlight w:val="none"/>
                <w:lang w:eastAsia="zh-CN"/>
              </w:rPr>
              <w:t>计划</w:t>
            </w:r>
            <w:r>
              <w:rPr>
                <w:rFonts w:hint="eastAsia" w:ascii="宋体" w:hAnsi="宋体" w:eastAsia="宋体" w:cs="宋体"/>
                <w:color w:val="000000"/>
                <w:szCs w:val="21"/>
                <w:highlight w:val="none"/>
              </w:rPr>
              <w:t>一般、供货能力一般、交货进度基本满足招标文件要求，得</w:t>
            </w:r>
            <w:r>
              <w:rPr>
                <w:rFonts w:hint="eastAsia" w:ascii="宋体" w:hAnsi="宋体" w:eastAsia="宋体" w:cs="宋体"/>
                <w:color w:val="000000"/>
                <w:szCs w:val="21"/>
                <w:highlight w:val="none"/>
                <w:lang w:val="en-US" w:eastAsia="zh-CN"/>
              </w:rPr>
              <w:t>9</w:t>
            </w:r>
            <w:r>
              <w:rPr>
                <w:rFonts w:hint="eastAsia" w:ascii="宋体" w:hAnsi="宋体" w:eastAsia="宋体" w:cs="宋体"/>
                <w:color w:val="000000"/>
                <w:szCs w:val="21"/>
                <w:highlight w:val="none"/>
              </w:rPr>
              <w:t>分。</w:t>
            </w:r>
          </w:p>
        </w:tc>
      </w:tr>
      <w:tr w14:paraId="7C8B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7" w:hRule="atLeast"/>
          <w:jc w:val="center"/>
        </w:trPr>
        <w:tc>
          <w:tcPr>
            <w:tcW w:w="812" w:type="dxa"/>
            <w:vMerge w:val="continue"/>
            <w:vAlign w:val="center"/>
          </w:tcPr>
          <w:p w14:paraId="53998CFE">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064" w:type="dxa"/>
            <w:vMerge w:val="continue"/>
            <w:vAlign w:val="center"/>
          </w:tcPr>
          <w:p w14:paraId="63F0D1D8">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136" w:type="dxa"/>
            <w:vAlign w:val="center"/>
          </w:tcPr>
          <w:p w14:paraId="5338FC45">
            <w:pPr>
              <w:keepNext w:val="0"/>
              <w:keepLines w:val="0"/>
              <w:pageBreakBefore w:val="0"/>
              <w:widowControl w:val="0"/>
              <w:shd w:val="clear" w:fill="FFFFFF"/>
              <w:kinsoku/>
              <w:wordWrap/>
              <w:overflowPunct/>
              <w:topLinePunct w:val="0"/>
              <w:autoSpaceDE w:val="0"/>
              <w:autoSpaceDN w:val="0"/>
              <w:bidi w:val="0"/>
              <w:snapToGrid w:val="0"/>
              <w:spacing w:line="320" w:lineRule="exact"/>
              <w:jc w:val="center"/>
              <w:rPr>
                <w:rFonts w:hint="eastAsia" w:ascii="宋体" w:hAnsi="宋体" w:eastAsia="宋体" w:cs="宋体"/>
                <w:color w:val="000000"/>
                <w:sz w:val="21"/>
                <w:szCs w:val="21"/>
                <w:highlight w:val="none"/>
                <w:lang w:val="zh-CN" w:eastAsia="zh-CN" w:bidi="zh-CN"/>
              </w:rPr>
            </w:pPr>
            <w:r>
              <w:rPr>
                <w:rFonts w:hint="eastAsia" w:ascii="宋体" w:hAnsi="宋体" w:eastAsia="宋体" w:cs="宋体"/>
                <w:color w:val="000000"/>
                <w:sz w:val="21"/>
                <w:szCs w:val="21"/>
                <w:highlight w:val="none"/>
                <w:lang w:val="zh-CN" w:eastAsia="zh-CN" w:bidi="zh-CN"/>
              </w:rPr>
              <w:t>技术服务及质保期服务</w:t>
            </w:r>
          </w:p>
          <w:p w14:paraId="262B89B2">
            <w:pPr>
              <w:keepNext w:val="0"/>
              <w:keepLines w:val="0"/>
              <w:pageBreakBefore w:val="0"/>
              <w:widowControl w:val="0"/>
              <w:shd w:val="clear" w:fill="FFFFFF"/>
              <w:kinsoku/>
              <w:wordWrap/>
              <w:overflowPunct/>
              <w:topLinePunct w:val="0"/>
              <w:autoSpaceDE w:val="0"/>
              <w:autoSpaceDN w:val="0"/>
              <w:bidi w:val="0"/>
              <w:snapToGrid w:val="0"/>
              <w:spacing w:line="320" w:lineRule="exact"/>
              <w:jc w:val="center"/>
              <w:rPr>
                <w:rFonts w:hint="eastAsia" w:ascii="宋体" w:hAnsi="宋体" w:eastAsia="宋体" w:cs="宋体"/>
                <w:color w:val="000000"/>
                <w:sz w:val="21"/>
                <w:szCs w:val="21"/>
                <w:highlight w:val="none"/>
                <w:lang w:val="zh-CN" w:eastAsia="zh-CN" w:bidi="zh-CN"/>
              </w:rPr>
            </w:pPr>
            <w:r>
              <w:rPr>
                <w:rFonts w:hint="eastAsia" w:ascii="宋体" w:hAnsi="宋体" w:eastAsia="宋体" w:cs="宋体"/>
                <w:b/>
                <w:bCs/>
                <w:color w:val="000000"/>
                <w:sz w:val="21"/>
                <w:szCs w:val="21"/>
                <w:highlight w:val="none"/>
                <w:lang w:val="zh-CN" w:eastAsia="zh-CN" w:bidi="zh-CN"/>
              </w:rPr>
              <w:t>（暗标）</w:t>
            </w:r>
          </w:p>
        </w:tc>
        <w:tc>
          <w:tcPr>
            <w:tcW w:w="864" w:type="dxa"/>
            <w:vAlign w:val="center"/>
          </w:tcPr>
          <w:p w14:paraId="42A8FDD3">
            <w:pPr>
              <w:keepNext w:val="0"/>
              <w:keepLines w:val="0"/>
              <w:pageBreakBefore w:val="0"/>
              <w:widowControl/>
              <w:shd w:val="clear" w:fill="FFFFFF"/>
              <w:kinsoku/>
              <w:wordWrap/>
              <w:overflowPunct/>
              <w:topLinePunct w:val="0"/>
              <w:bidi w:val="0"/>
              <w:snapToGrid w:val="0"/>
              <w:spacing w:line="320" w:lineRule="exact"/>
              <w:ind w:right="113"/>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15</w:t>
            </w:r>
            <w:r>
              <w:rPr>
                <w:rFonts w:hint="eastAsia" w:ascii="宋体" w:hAnsi="宋体" w:eastAsia="宋体" w:cs="宋体"/>
                <w:color w:val="000000"/>
                <w:kern w:val="0"/>
                <w:sz w:val="21"/>
                <w:szCs w:val="21"/>
                <w:highlight w:val="none"/>
              </w:rPr>
              <w:t>分</w:t>
            </w:r>
          </w:p>
        </w:tc>
        <w:tc>
          <w:tcPr>
            <w:tcW w:w="5914" w:type="dxa"/>
            <w:vAlign w:val="center"/>
          </w:tcPr>
          <w:p w14:paraId="284D870F">
            <w:pPr>
              <w:shd w:val="clear" w:fill="FFFFFF"/>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1.维护保障实施能力强，能够提供有效、稳定、可靠的维修、保养服务，售后服务体系完善且能够很好的服务招标人，得</w:t>
            </w:r>
            <w:r>
              <w:rPr>
                <w:rFonts w:hint="eastAsia" w:ascii="宋体" w:hAnsi="宋体" w:eastAsia="宋体" w:cs="宋体"/>
                <w:color w:val="000000"/>
                <w:szCs w:val="21"/>
                <w:highlight w:val="none"/>
                <w:lang w:val="en-US" w:eastAsia="zh-CN"/>
              </w:rPr>
              <w:t>12</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15</w:t>
            </w:r>
            <w:r>
              <w:rPr>
                <w:rFonts w:hint="eastAsia" w:ascii="宋体" w:hAnsi="宋体" w:eastAsia="宋体" w:cs="宋体"/>
                <w:color w:val="000000"/>
                <w:szCs w:val="21"/>
                <w:highlight w:val="none"/>
              </w:rPr>
              <w:t>分；</w:t>
            </w:r>
          </w:p>
          <w:p w14:paraId="2A352E69">
            <w:pPr>
              <w:shd w:val="clear" w:fill="FFFFFF"/>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2.维护保障实施能力较强，能够提供比较有效、稳定、可靠的维修、保养服务，售后服务体系较完善，能较好的服务招标人，得</w:t>
            </w:r>
            <w:r>
              <w:rPr>
                <w:rFonts w:hint="eastAsia" w:ascii="宋体" w:hAnsi="宋体" w:eastAsia="宋体" w:cs="宋体"/>
                <w:color w:val="000000"/>
                <w:szCs w:val="21"/>
                <w:highlight w:val="none"/>
                <w:lang w:val="en-US" w:eastAsia="zh-CN"/>
              </w:rPr>
              <w:t>9</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12</w:t>
            </w:r>
            <w:r>
              <w:rPr>
                <w:rFonts w:hint="eastAsia" w:ascii="宋体" w:hAnsi="宋体" w:eastAsia="宋体" w:cs="宋体"/>
                <w:color w:val="000000"/>
                <w:szCs w:val="21"/>
                <w:highlight w:val="none"/>
              </w:rPr>
              <w:t>分；</w:t>
            </w:r>
          </w:p>
          <w:p w14:paraId="041B621C">
            <w:pPr>
              <w:shd w:val="clear" w:fill="FFFFFF"/>
              <w:autoSpaceDE w:val="0"/>
              <w:autoSpaceDN w:val="0"/>
              <w:adjustRightInd w:val="0"/>
              <w:snapToGrid w:val="0"/>
              <w:spacing w:line="320" w:lineRule="exact"/>
              <w:rPr>
                <w:rFonts w:hint="eastAsia" w:ascii="宋体" w:hAnsi="宋体" w:eastAsia="宋体" w:cs="宋体"/>
                <w:color w:val="000000"/>
                <w:kern w:val="0"/>
                <w:sz w:val="21"/>
                <w:szCs w:val="21"/>
                <w:highlight w:val="none"/>
              </w:rPr>
            </w:pPr>
            <w:r>
              <w:rPr>
                <w:rFonts w:hint="eastAsia" w:ascii="宋体" w:hAnsi="宋体" w:eastAsia="宋体" w:cs="宋体"/>
                <w:color w:val="000000"/>
                <w:szCs w:val="21"/>
                <w:highlight w:val="none"/>
              </w:rPr>
              <w:t>3.维护保障实施能力一般，能够提供基本的维修、保养服务得</w:t>
            </w:r>
            <w:r>
              <w:rPr>
                <w:rFonts w:hint="eastAsia" w:ascii="宋体" w:hAnsi="宋体" w:eastAsia="宋体" w:cs="宋体"/>
                <w:color w:val="000000"/>
                <w:szCs w:val="21"/>
                <w:highlight w:val="none"/>
                <w:lang w:val="en-US" w:eastAsia="zh-CN"/>
              </w:rPr>
              <w:t>9</w:t>
            </w:r>
            <w:r>
              <w:rPr>
                <w:rFonts w:hint="eastAsia" w:ascii="宋体" w:hAnsi="宋体" w:eastAsia="宋体" w:cs="宋体"/>
                <w:color w:val="000000"/>
                <w:szCs w:val="21"/>
                <w:highlight w:val="none"/>
              </w:rPr>
              <w:t>分。</w:t>
            </w:r>
          </w:p>
        </w:tc>
      </w:tr>
      <w:tr w14:paraId="3BFC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12" w:type="dxa"/>
            <w:vMerge w:val="continue"/>
            <w:vAlign w:val="center"/>
          </w:tcPr>
          <w:p w14:paraId="076E13F7">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064" w:type="dxa"/>
            <w:vMerge w:val="continue"/>
            <w:vAlign w:val="center"/>
          </w:tcPr>
          <w:p w14:paraId="603B3058">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p>
        </w:tc>
        <w:tc>
          <w:tcPr>
            <w:tcW w:w="1136" w:type="dxa"/>
            <w:vAlign w:val="center"/>
          </w:tcPr>
          <w:p w14:paraId="3403BFC8">
            <w:pPr>
              <w:keepNext w:val="0"/>
              <w:keepLines w:val="0"/>
              <w:pageBreakBefore w:val="0"/>
              <w:widowControl w:val="0"/>
              <w:shd w:val="clear" w:fill="FFFFFF"/>
              <w:kinsoku/>
              <w:wordWrap/>
              <w:overflowPunct/>
              <w:topLinePunct w:val="0"/>
              <w:autoSpaceDE w:val="0"/>
              <w:autoSpaceDN w:val="0"/>
              <w:bidi w:val="0"/>
              <w:snapToGrid w:val="0"/>
              <w:spacing w:line="320" w:lineRule="exact"/>
              <w:jc w:val="center"/>
              <w:rPr>
                <w:rFonts w:hint="eastAsia" w:ascii="宋体" w:hAnsi="宋体" w:eastAsia="宋体" w:cs="宋体"/>
                <w:b/>
                <w:bCs/>
                <w:color w:val="000000"/>
                <w:sz w:val="21"/>
                <w:szCs w:val="21"/>
                <w:highlight w:val="none"/>
                <w:lang w:val="zh-CN" w:eastAsia="zh-CN" w:bidi="zh-CN"/>
              </w:rPr>
            </w:pPr>
            <w:r>
              <w:rPr>
                <w:rFonts w:hint="eastAsia" w:ascii="Times New Roman" w:hAnsi="Times New Roman" w:eastAsia="宋体" w:cs="Times New Roman"/>
                <w:szCs w:val="22"/>
                <w:highlight w:val="none"/>
                <w:lang w:val="en-US" w:eastAsia="zh-CN"/>
              </w:rPr>
              <w:t>交通组织方案</w:t>
            </w:r>
            <w:r>
              <w:rPr>
                <w:rFonts w:hint="eastAsia" w:ascii="宋体" w:hAnsi="宋体" w:eastAsia="宋体" w:cs="宋体"/>
                <w:b/>
                <w:bCs/>
                <w:color w:val="000000"/>
                <w:sz w:val="21"/>
                <w:szCs w:val="21"/>
                <w:highlight w:val="none"/>
                <w:lang w:val="zh-CN" w:eastAsia="zh-CN" w:bidi="zh-CN"/>
              </w:rPr>
              <w:t>（暗标）</w:t>
            </w:r>
          </w:p>
        </w:tc>
        <w:tc>
          <w:tcPr>
            <w:tcW w:w="864" w:type="dxa"/>
            <w:vAlign w:val="center"/>
          </w:tcPr>
          <w:p w14:paraId="3605203D">
            <w:pPr>
              <w:keepNext w:val="0"/>
              <w:keepLines w:val="0"/>
              <w:pageBreakBefore w:val="0"/>
              <w:widowControl/>
              <w:shd w:val="clear" w:fill="FFFFFF"/>
              <w:kinsoku/>
              <w:wordWrap/>
              <w:overflowPunct/>
              <w:topLinePunct w:val="0"/>
              <w:bidi w:val="0"/>
              <w:snapToGrid w:val="0"/>
              <w:spacing w:line="320" w:lineRule="exact"/>
              <w:ind w:right="113"/>
              <w:jc w:val="left"/>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10分</w:t>
            </w:r>
          </w:p>
        </w:tc>
        <w:tc>
          <w:tcPr>
            <w:tcW w:w="5914" w:type="dxa"/>
            <w:vAlign w:val="center"/>
          </w:tcPr>
          <w:p w14:paraId="300373B2">
            <w:pPr>
              <w:shd w:val="clear" w:fill="FFFFFF"/>
              <w:autoSpaceDE w:val="0"/>
              <w:autoSpaceDN w:val="0"/>
              <w:adjustRightInd w:val="0"/>
              <w:snapToGrid w:val="0"/>
              <w:spacing w:line="320" w:lineRule="exact"/>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1.</w:t>
            </w:r>
            <w:r>
              <w:rPr>
                <w:rFonts w:hint="eastAsia" w:ascii="Times New Roman" w:hAnsi="Times New Roman" w:eastAsia="宋体" w:cs="Times New Roman"/>
                <w:szCs w:val="22"/>
                <w:highlight w:val="none"/>
                <w:lang w:val="en-US" w:eastAsia="zh-CN"/>
              </w:rPr>
              <w:t>交通组织方案</w:t>
            </w:r>
            <w:r>
              <w:rPr>
                <w:rFonts w:hint="eastAsia" w:ascii="Times New Roman" w:hAnsi="Times New Roman" w:eastAsia="宋体" w:cs="Times New Roman"/>
                <w:color w:val="000000"/>
                <w:sz w:val="21"/>
                <w:szCs w:val="21"/>
                <w:highlight w:val="none"/>
                <w:lang w:val="en-US" w:eastAsia="zh-CN" w:bidi="en-US"/>
              </w:rPr>
              <w:t>合理、完善，</w:t>
            </w:r>
            <w:r>
              <w:rPr>
                <w:rFonts w:hint="eastAsia" w:ascii="宋体" w:hAnsi="宋体" w:eastAsia="宋体" w:cs="宋体"/>
                <w:color w:val="000000"/>
                <w:szCs w:val="21"/>
                <w:highlight w:val="none"/>
              </w:rPr>
              <w:t>得</w:t>
            </w:r>
            <w:r>
              <w:rPr>
                <w:rFonts w:hint="eastAsia" w:ascii="宋体" w:hAnsi="宋体" w:eastAsia="宋体" w:cs="宋体"/>
                <w:color w:val="000000"/>
                <w:szCs w:val="21"/>
                <w:highlight w:val="none"/>
                <w:lang w:val="en-US" w:eastAsia="zh-CN"/>
              </w:rPr>
              <w:t>8</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10</w:t>
            </w:r>
            <w:r>
              <w:rPr>
                <w:rFonts w:hint="eastAsia" w:ascii="宋体" w:hAnsi="宋体" w:eastAsia="宋体" w:cs="宋体"/>
                <w:color w:val="000000"/>
                <w:szCs w:val="21"/>
                <w:highlight w:val="none"/>
              </w:rPr>
              <w:t>分；</w:t>
            </w:r>
          </w:p>
          <w:p w14:paraId="410B87C9">
            <w:pPr>
              <w:shd w:val="clear" w:fill="FFFFFF"/>
              <w:autoSpaceDE w:val="0"/>
              <w:autoSpaceDN w:val="0"/>
              <w:adjustRightInd w:val="0"/>
              <w:snapToGrid w:val="0"/>
              <w:spacing w:line="320" w:lineRule="exact"/>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2.</w:t>
            </w:r>
            <w:r>
              <w:rPr>
                <w:rFonts w:hint="eastAsia" w:ascii="Times New Roman" w:hAnsi="Times New Roman" w:eastAsia="宋体" w:cs="Times New Roman"/>
                <w:szCs w:val="22"/>
                <w:highlight w:val="none"/>
                <w:lang w:val="en-US" w:eastAsia="zh-CN"/>
              </w:rPr>
              <w:t>交通组织方案</w:t>
            </w:r>
            <w:r>
              <w:rPr>
                <w:rFonts w:hint="eastAsia" w:ascii="Times New Roman" w:hAnsi="Times New Roman" w:eastAsia="宋体" w:cs="Times New Roman"/>
                <w:color w:val="000000"/>
                <w:sz w:val="21"/>
                <w:szCs w:val="21"/>
                <w:highlight w:val="none"/>
                <w:lang w:val="en-US" w:eastAsia="zh-CN" w:bidi="en-US"/>
              </w:rPr>
              <w:t>较合理、较完善，</w:t>
            </w:r>
            <w:r>
              <w:rPr>
                <w:rFonts w:hint="eastAsia" w:ascii="宋体" w:hAnsi="宋体" w:eastAsia="宋体" w:cs="宋体"/>
                <w:color w:val="000000"/>
                <w:szCs w:val="21"/>
                <w:highlight w:val="none"/>
              </w:rPr>
              <w:t>得</w:t>
            </w: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8</w:t>
            </w:r>
            <w:r>
              <w:rPr>
                <w:rFonts w:hint="eastAsia" w:ascii="宋体" w:hAnsi="宋体" w:eastAsia="宋体" w:cs="宋体"/>
                <w:color w:val="000000"/>
                <w:szCs w:val="21"/>
                <w:highlight w:val="none"/>
              </w:rPr>
              <w:t>分；</w:t>
            </w:r>
          </w:p>
          <w:p w14:paraId="45F9963F">
            <w:pPr>
              <w:shd w:val="clear" w:fill="FFFFFF"/>
              <w:autoSpaceDE w:val="0"/>
              <w:autoSpaceDN w:val="0"/>
              <w:adjustRightInd w:val="0"/>
              <w:snapToGrid w:val="0"/>
              <w:spacing w:line="320" w:lineRule="exact"/>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3.</w:t>
            </w:r>
            <w:r>
              <w:rPr>
                <w:rFonts w:hint="eastAsia" w:ascii="Times New Roman" w:hAnsi="Times New Roman" w:eastAsia="宋体" w:cs="Times New Roman"/>
                <w:szCs w:val="22"/>
                <w:highlight w:val="none"/>
                <w:lang w:val="en-US" w:eastAsia="zh-CN"/>
              </w:rPr>
              <w:t>交通组织方案</w:t>
            </w:r>
            <w:r>
              <w:rPr>
                <w:rFonts w:hint="eastAsia" w:ascii="Times New Roman" w:hAnsi="Times New Roman" w:eastAsia="宋体" w:cs="Times New Roman"/>
                <w:color w:val="000000"/>
                <w:sz w:val="21"/>
                <w:szCs w:val="21"/>
                <w:highlight w:val="none"/>
                <w:lang w:val="en-US" w:eastAsia="zh-CN" w:bidi="en-US"/>
              </w:rPr>
              <w:t>基本满足要求，</w:t>
            </w:r>
            <w:r>
              <w:rPr>
                <w:rFonts w:hint="eastAsia" w:ascii="宋体" w:hAnsi="宋体" w:eastAsia="宋体" w:cs="宋体"/>
                <w:color w:val="000000"/>
                <w:szCs w:val="21"/>
                <w:highlight w:val="none"/>
              </w:rPr>
              <w:t>得</w:t>
            </w: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分；</w:t>
            </w:r>
          </w:p>
        </w:tc>
      </w:tr>
      <w:tr w14:paraId="034F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812" w:type="dxa"/>
            <w:tcBorders>
              <w:bottom w:val="single" w:color="auto" w:sz="4" w:space="0"/>
            </w:tcBorders>
            <w:vAlign w:val="center"/>
          </w:tcPr>
          <w:p w14:paraId="5C8E6750">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2.2.</w:t>
            </w:r>
            <w:r>
              <w:rPr>
                <w:rFonts w:hint="eastAsia" w:ascii="宋体" w:hAnsi="宋体" w:eastAsia="宋体" w:cs="宋体"/>
                <w:color w:val="000000"/>
                <w:kern w:val="0"/>
                <w:sz w:val="21"/>
                <w:szCs w:val="21"/>
                <w:highlight w:val="none"/>
                <w:lang w:val="en-US" w:eastAsia="zh-CN"/>
              </w:rPr>
              <w:t>2</w:t>
            </w:r>
          </w:p>
          <w:p w14:paraId="0C08C45B">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1064" w:type="dxa"/>
            <w:tcBorders>
              <w:bottom w:val="single" w:color="auto" w:sz="4" w:space="0"/>
            </w:tcBorders>
            <w:vAlign w:val="center"/>
          </w:tcPr>
          <w:p w14:paraId="0B96BF71">
            <w:pPr>
              <w:keepNext w:val="0"/>
              <w:keepLines w:val="0"/>
              <w:pageBreakBefore w:val="0"/>
              <w:widowControl/>
              <w:shd w:val="clear" w:fill="FFFFFF"/>
              <w:kinsoku/>
              <w:wordWrap/>
              <w:overflowPunct/>
              <w:topLinePunct w:val="0"/>
              <w:bidi w:val="0"/>
              <w:snapToGrid w:val="0"/>
              <w:spacing w:line="320" w:lineRule="exact"/>
              <w:ind w:left="144" w:hanging="126" w:hangingChars="6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w:t>
            </w:r>
            <w:r>
              <w:rPr>
                <w:rFonts w:hint="eastAsia" w:ascii="宋体" w:hAnsi="宋体" w:eastAsia="宋体" w:cs="宋体"/>
                <w:color w:val="000000"/>
                <w:kern w:val="0"/>
                <w:sz w:val="21"/>
                <w:szCs w:val="21"/>
                <w:highlight w:val="none"/>
                <w:lang w:val="en-US" w:eastAsia="zh-CN"/>
              </w:rPr>
              <w:t>评分</w:t>
            </w:r>
            <w:r>
              <w:rPr>
                <w:rFonts w:hint="eastAsia" w:ascii="宋体" w:hAnsi="宋体" w:eastAsia="宋体" w:cs="宋体"/>
                <w:color w:val="000000"/>
                <w:kern w:val="0"/>
                <w:sz w:val="21"/>
                <w:szCs w:val="21"/>
                <w:highlight w:val="none"/>
              </w:rPr>
              <w:t>因素</w:t>
            </w:r>
          </w:p>
        </w:tc>
        <w:tc>
          <w:tcPr>
            <w:tcW w:w="7914" w:type="dxa"/>
            <w:gridSpan w:val="3"/>
            <w:tcBorders>
              <w:bottom w:val="single" w:color="auto" w:sz="4" w:space="0"/>
            </w:tcBorders>
            <w:vAlign w:val="center"/>
          </w:tcPr>
          <w:p w14:paraId="48AC5F94">
            <w:pPr>
              <w:keepNext w:val="0"/>
              <w:keepLines w:val="0"/>
              <w:pageBreakBefore w:val="0"/>
              <w:widowControl/>
              <w:shd w:val="clear" w:fill="FFFFFF"/>
              <w:kinsoku/>
              <w:wordWrap/>
              <w:overflowPunct/>
              <w:topLinePunct w:val="0"/>
              <w:bidi w:val="0"/>
              <w:snapToGrid w:val="0"/>
              <w:spacing w:line="320" w:lineRule="exact"/>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无</w:t>
            </w:r>
          </w:p>
        </w:tc>
      </w:tr>
    </w:tbl>
    <w:p w14:paraId="43CF6DBD">
      <w:pPr>
        <w:keepNext w:val="0"/>
        <w:keepLines w:val="0"/>
        <w:pageBreakBefore w:val="0"/>
        <w:widowControl w:val="0"/>
        <w:shd w:val="clear" w:fill="FFFFFF"/>
        <w:kinsoku/>
        <w:overflowPunct/>
        <w:topLinePunct w:val="0"/>
        <w:autoSpaceDE/>
        <w:autoSpaceDN/>
        <w:bidi w:val="0"/>
        <w:adjustRightInd w:val="0"/>
        <w:snapToGrid w:val="0"/>
        <w:spacing w:line="240" w:lineRule="auto"/>
        <w:jc w:val="left"/>
        <w:textAlignment w:val="baseline"/>
        <w:rPr>
          <w:rFonts w:ascii="宋体" w:hAnsi="宋体" w:eastAsia="宋体" w:cs="Times New Roman"/>
          <w:snapToGrid w:val="0"/>
          <w:color w:val="000000"/>
          <w:kern w:val="0"/>
          <w:sz w:val="21"/>
          <w:szCs w:val="21"/>
          <w:highlight w:val="none"/>
          <w:lang w:val="en-US" w:eastAsia="zh-CN" w:bidi="ar-SA"/>
        </w:rPr>
      </w:pPr>
      <w:r>
        <w:rPr>
          <w:rFonts w:ascii="宋体" w:hAnsi="宋体" w:eastAsia="宋体" w:cs="Times New Roman"/>
          <w:snapToGrid w:val="0"/>
          <w:color w:val="000000"/>
          <w:kern w:val="0"/>
          <w:sz w:val="21"/>
          <w:szCs w:val="21"/>
          <w:highlight w:val="none"/>
          <w:lang w:val="en-US" w:eastAsia="zh-CN" w:bidi="ar-SA"/>
        </w:rPr>
        <w:t>注：</w:t>
      </w:r>
    </w:p>
    <w:p w14:paraId="525CE5A7">
      <w:pPr>
        <w:keepNext w:val="0"/>
        <w:keepLines w:val="0"/>
        <w:pageBreakBefore w:val="0"/>
        <w:widowControl w:val="0"/>
        <w:shd w:val="clear" w:fill="FFFFFF"/>
        <w:kinsoku/>
        <w:overflowPunct/>
        <w:topLinePunct w:val="0"/>
        <w:autoSpaceDE/>
        <w:autoSpaceDN/>
        <w:bidi w:val="0"/>
        <w:adjustRightInd w:val="0"/>
        <w:snapToGrid w:val="0"/>
        <w:spacing w:line="240" w:lineRule="auto"/>
        <w:jc w:val="left"/>
        <w:textAlignment w:val="baseline"/>
        <w:rPr>
          <w:rFonts w:hint="eastAsia" w:ascii="宋体" w:hAnsi="宋体" w:eastAsia="宋体" w:cs="Times New Roman"/>
          <w:snapToGrid w:val="0"/>
          <w:color w:val="000000"/>
          <w:kern w:val="0"/>
          <w:sz w:val="21"/>
          <w:szCs w:val="21"/>
          <w:highlight w:val="none"/>
          <w:lang w:val="en-US" w:eastAsia="zh-CN" w:bidi="ar-SA"/>
        </w:rPr>
      </w:pPr>
      <w:r>
        <w:rPr>
          <w:rFonts w:ascii="宋体" w:hAnsi="宋体" w:eastAsia="宋体" w:cs="Times New Roman"/>
          <w:snapToGrid w:val="0"/>
          <w:color w:val="000000"/>
          <w:kern w:val="0"/>
          <w:sz w:val="21"/>
          <w:szCs w:val="21"/>
          <w:highlight w:val="none"/>
          <w:lang w:val="en-US" w:eastAsia="zh-CN" w:bidi="ar-SA"/>
        </w:rPr>
        <w:t>1、</w:t>
      </w:r>
      <w:r>
        <w:rPr>
          <w:rFonts w:hint="eastAsia" w:ascii="宋体" w:hAnsi="宋体" w:eastAsia="宋体" w:cs="Times New Roman"/>
          <w:b w:val="0"/>
          <w:bCs w:val="0"/>
          <w:snapToGrid w:val="0"/>
          <w:color w:val="000000"/>
          <w:kern w:val="0"/>
          <w:sz w:val="21"/>
          <w:szCs w:val="21"/>
          <w:highlight w:val="none"/>
          <w:lang w:val="en-US" w:eastAsia="zh-CN" w:bidi="ar-SA"/>
        </w:rPr>
        <w:t>第2.2.2（2）项</w:t>
      </w:r>
      <w:r>
        <w:rPr>
          <w:rFonts w:ascii="宋体" w:hAnsi="宋体" w:eastAsia="宋体" w:cs="Times New Roman"/>
          <w:snapToGrid w:val="0"/>
          <w:color w:val="000000"/>
          <w:kern w:val="0"/>
          <w:sz w:val="21"/>
          <w:szCs w:val="21"/>
          <w:highlight w:val="none"/>
          <w:lang w:val="en-US" w:eastAsia="zh-CN" w:bidi="ar-SA"/>
        </w:rPr>
        <w:t>评委打分保留1位小数</w:t>
      </w:r>
      <w:r>
        <w:rPr>
          <w:rFonts w:hint="eastAsia" w:ascii="宋体" w:hAnsi="宋体" w:eastAsia="宋体" w:cs="Times New Roman"/>
          <w:snapToGrid w:val="0"/>
          <w:color w:val="000000"/>
          <w:kern w:val="0"/>
          <w:sz w:val="21"/>
          <w:szCs w:val="21"/>
          <w:highlight w:val="none"/>
          <w:lang w:val="en-US" w:eastAsia="zh-CN" w:bidi="ar-SA"/>
        </w:rPr>
        <w:t>，各评分因素得分应以评标委员会各成员的打分平均值确定，保留两位小数，第三位四舍五入。</w:t>
      </w:r>
    </w:p>
    <w:p w14:paraId="63002B49">
      <w:pPr>
        <w:shd w:val="clear" w:fill="FFFFFF"/>
        <w:rPr>
          <w:rFonts w:hint="default" w:ascii="宋体" w:hAnsi="宋体" w:eastAsia="宋体" w:cs="宋体"/>
          <w:color w:val="000000"/>
          <w:spacing w:val="2"/>
          <w:sz w:val="24"/>
          <w:szCs w:val="24"/>
          <w:highlight w:val="none"/>
          <w:lang w:val="en-US"/>
        </w:rPr>
      </w:pPr>
      <w:r>
        <w:rPr>
          <w:rFonts w:ascii="宋体" w:hAnsi="宋体" w:eastAsia="宋体" w:cs="Times New Roman"/>
          <w:b w:val="0"/>
          <w:bCs w:val="0"/>
          <w:snapToGrid w:val="0"/>
          <w:color w:val="000000"/>
          <w:kern w:val="0"/>
          <w:sz w:val="21"/>
          <w:szCs w:val="21"/>
          <w:highlight w:val="none"/>
          <w:lang w:val="en-US" w:eastAsia="zh-CN" w:bidi="ar-SA"/>
        </w:rPr>
        <w:t>2、</w:t>
      </w:r>
      <w:r>
        <w:rPr>
          <w:rFonts w:hint="eastAsia" w:ascii="宋体" w:hAnsi="宋体" w:eastAsia="宋体" w:cs="Times New Roman"/>
          <w:b w:val="0"/>
          <w:bCs w:val="0"/>
          <w:snapToGrid w:val="0"/>
          <w:color w:val="000000"/>
          <w:kern w:val="0"/>
          <w:sz w:val="21"/>
          <w:szCs w:val="21"/>
          <w:highlight w:val="none"/>
          <w:lang w:val="en-US" w:eastAsia="zh-CN" w:bidi="ar-SA"/>
        </w:rPr>
        <w:t>第2.2.2（2）项评标委员会成员对某一项评分因素的评分低于权重分值 60%的，应在评标报告中作出说明。评分因素缺项则该项得0分。</w:t>
      </w:r>
    </w:p>
    <w:p w14:paraId="0E5F8AC0">
      <w:pPr>
        <w:shd w:val="clear" w:fill="FFFFFF"/>
        <w:wordWrap w:val="0"/>
        <w:autoSpaceDE w:val="0"/>
        <w:autoSpaceDN w:val="0"/>
        <w:adjustRightInd w:val="0"/>
        <w:ind w:right="-20" w:firstLine="488" w:firstLineChars="200"/>
        <w:jc w:val="left"/>
        <w:rPr>
          <w:rFonts w:ascii="Times New Roman" w:hAnsi="Times New Roman" w:eastAsia="宋体" w:cs="Times New Roman"/>
          <w:color w:val="000000"/>
          <w:spacing w:val="2"/>
          <w:kern w:val="0"/>
          <w:sz w:val="24"/>
          <w:szCs w:val="24"/>
          <w:highlight w:val="none"/>
        </w:rPr>
      </w:pPr>
    </w:p>
    <w:p w14:paraId="723DE6DE">
      <w:pPr>
        <w:shd w:val="clear" w:fill="FFFFFF"/>
        <w:wordWrap w:val="0"/>
        <w:rPr>
          <w:color w:val="000000"/>
          <w:highlight w:val="none"/>
        </w:rPr>
        <w:sectPr>
          <w:footerReference r:id="rId4" w:type="first"/>
          <w:footerReference r:id="rId3" w:type="default"/>
          <w:pgSz w:w="11907" w:h="16840"/>
          <w:pgMar w:top="1418" w:right="1418" w:bottom="1418" w:left="1418" w:header="851" w:footer="851" w:gutter="0"/>
          <w:cols w:space="720" w:num="1"/>
          <w:titlePg/>
        </w:sectPr>
      </w:pPr>
    </w:p>
    <w:p w14:paraId="6B281750">
      <w:pPr>
        <w:shd w:val="clear" w:fill="FFFFFF"/>
        <w:rPr>
          <w:rFonts w:hint="eastAsia" w:ascii="Times New Roman" w:hAnsi="Times New Roman" w:eastAsia="黑体" w:cs="Times New Roman"/>
          <w:color w:val="000000"/>
          <w:w w:val="99"/>
          <w:kern w:val="0"/>
          <w:sz w:val="24"/>
          <w:szCs w:val="24"/>
          <w:highlight w:val="none"/>
          <w:lang w:val="en-US" w:eastAsia="zh-CN"/>
        </w:rPr>
      </w:pPr>
      <w:r>
        <w:rPr>
          <w:rFonts w:hint="eastAsia" w:ascii="Times New Roman" w:hAnsi="Times New Roman" w:eastAsia="黑体" w:cs="Times New Roman"/>
          <w:color w:val="000000"/>
          <w:w w:val="99"/>
          <w:kern w:val="0"/>
          <w:sz w:val="24"/>
          <w:szCs w:val="24"/>
          <w:highlight w:val="none"/>
          <w:lang w:val="en-US" w:eastAsia="zh-CN"/>
        </w:rPr>
        <w:t>附件3：采购清单</w:t>
      </w:r>
    </w:p>
    <w:tbl>
      <w:tblPr>
        <w:tblStyle w:val="5"/>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9"/>
        <w:gridCol w:w="1210"/>
        <w:gridCol w:w="2595"/>
        <w:gridCol w:w="720"/>
        <w:gridCol w:w="720"/>
        <w:gridCol w:w="3521"/>
      </w:tblGrid>
      <w:tr w14:paraId="0281E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3D32">
            <w:pPr>
              <w:keepNext w:val="0"/>
              <w:keepLines w:val="0"/>
              <w:widowControl/>
              <w:suppressLineNumbers w:val="0"/>
              <w:shd w:val="clear" w:fill="FFFFFF"/>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标段划分</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B5C2">
            <w:pPr>
              <w:keepNext w:val="0"/>
              <w:keepLines w:val="0"/>
              <w:widowControl/>
              <w:suppressLineNumbers w:val="0"/>
              <w:shd w:val="clear" w:fill="FFFFFF"/>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子目号</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4ED0F8C1">
            <w:pPr>
              <w:keepNext w:val="0"/>
              <w:keepLines w:val="0"/>
              <w:widowControl/>
              <w:suppressLineNumbers w:val="0"/>
              <w:shd w:val="clear" w:fill="FFFFFF"/>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子目名称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B7F4">
            <w:pPr>
              <w:keepNext w:val="0"/>
              <w:keepLines w:val="0"/>
              <w:widowControl/>
              <w:suppressLineNumbers w:val="0"/>
              <w:shd w:val="clear" w:fill="FFFFFF"/>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1B19369">
            <w:pPr>
              <w:keepNext w:val="0"/>
              <w:keepLines w:val="0"/>
              <w:widowControl/>
              <w:suppressLineNumbers w:val="0"/>
              <w:shd w:val="clear" w:fill="FFFFFF"/>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D700">
            <w:pPr>
              <w:keepNext w:val="0"/>
              <w:keepLines w:val="0"/>
              <w:widowControl/>
              <w:suppressLineNumbers w:val="0"/>
              <w:shd w:val="clear" w:fill="FFFFFF"/>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备注</w:t>
            </w:r>
          </w:p>
        </w:tc>
      </w:tr>
      <w:tr w14:paraId="156AA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16478">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一标段</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D0CF">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18931AA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出口警示单元（含路桩安装立柱及基础）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50D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765A1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3A2FF">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含基础开挖浇筑、预埋件安装、杆件吊装、接地防雷检测、安装调试、安全生产、配合高速交警检测</w:t>
            </w:r>
          </w:p>
        </w:tc>
      </w:tr>
      <w:tr w14:paraId="565A2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7A5F6">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8310">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1100-2</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51CBE712">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汇入警示单元（含路桩安装立柱及基础）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2A4B">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3BE873">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ACE2">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含基础开挖浇筑、预埋件安装、杆件吊装、接地防雷检测、安装调试、安全生产、配合高速交警检测</w:t>
            </w:r>
          </w:p>
        </w:tc>
      </w:tr>
      <w:tr w14:paraId="2113F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6078B">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EED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1100-3</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54515C6C">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可变限速屏（含可变限速屏基础）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145F">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288F19">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9E80">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含基础开挖浇筑、预埋件安装、杆件吊装、接地防雷检测、安装调试、安全生产、配合高速交警检测</w:t>
            </w:r>
          </w:p>
        </w:tc>
      </w:tr>
      <w:tr w14:paraId="7CE9D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15228">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90E0">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1100-4</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2C7D4DE4">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告知组合屏（含室外综合配电箱、组合屏安装杆件及基础）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C5F1">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A3CA36">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69FB">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含基础开挖浇筑、预埋件安装、杆件吊装、接地防雷检测、安装调试、安全生产、配合高速交警检测</w:t>
            </w:r>
          </w:p>
        </w:tc>
      </w:tr>
      <w:tr w14:paraId="4815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D6376">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CBED">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1100-5</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577329C8">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门架可变信息标志（室外综合配电箱、门架可变信息标志杆件及基础）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F962">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98E820">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A037">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含门架断交施工审批、交通导改、基础开挖浇筑、门架吊装、焊缝探伤检测、垂直度检测、接地电阻检测、抗风载荷验算、安全生产、配合高速交警检测</w:t>
            </w:r>
          </w:p>
        </w:tc>
      </w:tr>
      <w:tr w14:paraId="28C49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F4A7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二标段</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C89D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1100-6</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18CA10D0">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路线诱导装置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8E2B8">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1FC984">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730</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6DAD">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含护栏抱箍安装、太阳能支架固定、无线组网调试、安装调试、安全生产、配合高速交警检测</w:t>
            </w:r>
          </w:p>
        </w:tc>
      </w:tr>
      <w:tr w14:paraId="49D8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ECA3F">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1963">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1100-7</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1F2B33B2">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路线诱导装置（含能见度检测模块）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E89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DE8FC1F">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104</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4259">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含护栏抱箍安装、太阳能支架固定、无线组网调试、安装调试、安全生产、配合高速交警检测</w:t>
            </w:r>
          </w:p>
        </w:tc>
      </w:tr>
      <w:tr w14:paraId="1FCDC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F8FC9">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588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1100-8</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568BDBD0">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路线诱导装置控制器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37BB9">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13C08F">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AF0C">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含护栏抱箍安装、太阳能支架固定、无线组网调试、安装调试、安全生产、配合高速交警检测</w:t>
            </w:r>
          </w:p>
        </w:tc>
      </w:tr>
      <w:tr w14:paraId="2A202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D2188">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三标段</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7CA4">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8"/>
                <w:szCs w:val="28"/>
                <w:highlight w:val="none"/>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1100-9</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75FCDA84">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900W车辆卡口抓拍单元（含两套设备加装1根12米横臂L型杆件及基础）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CF92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12CC35B">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628C">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含L型杆基础开挖浇筑、横臂吊装、垂直度检测、接地电阻检测、安装调试、安全生产、配合高速交警检测</w:t>
            </w:r>
          </w:p>
        </w:tc>
      </w:tr>
      <w:tr w14:paraId="7CAE4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935F7">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3668">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1100-10</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19A6F5F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测速雷达（含多合一补光灯）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06A97">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0AFA7FC">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6002">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含设备固定、接线调试、标定测试、安装调试、安全生产、配合高速交警检测</w:t>
            </w:r>
          </w:p>
        </w:tc>
      </w:tr>
      <w:tr w14:paraId="0F43A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7E3D">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7B07">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B1E22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终端服务设备（含机箱）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AA8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060DD4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B827">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含设备固定、接线调试、标定测试、安装调试、安全生产、配合高速交警检测</w:t>
            </w:r>
          </w:p>
        </w:tc>
      </w:tr>
      <w:tr w14:paraId="03B17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916BA">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67D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8"/>
                <w:szCs w:val="28"/>
                <w:highlight w:val="none"/>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1100-12</w:t>
            </w:r>
          </w:p>
        </w:tc>
        <w:tc>
          <w:tcPr>
            <w:tcW w:w="2595" w:type="dxa"/>
            <w:tcBorders>
              <w:top w:val="single" w:color="000000" w:sz="4" w:space="0"/>
              <w:left w:val="single" w:color="000000" w:sz="4" w:space="0"/>
              <w:bottom w:val="nil"/>
              <w:right w:val="nil"/>
            </w:tcBorders>
            <w:shd w:val="clear" w:color="auto" w:fill="auto"/>
            <w:vAlign w:val="center"/>
          </w:tcPr>
          <w:p w14:paraId="324D7E2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雷达视频一体机（含提示标牌、12米横臂L型杆件及基础）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90BF">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CBDE7B2">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76C8">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含L型杆基础开挖浇筑、横臂吊装、垂直度检测、接地电阻检测、安装调试、安全生产、配合高速交警检测</w:t>
            </w:r>
          </w:p>
        </w:tc>
      </w:tr>
      <w:tr w14:paraId="50682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04AC7F">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四标段</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B779">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1100-13</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2331BD8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工业以太网交换机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F542">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2A0E23F">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13DF">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含设备安装、光缆熔接、网络配置、链路测试、安装调试、安全生产、配合高速交警检测</w:t>
            </w:r>
          </w:p>
        </w:tc>
      </w:tr>
      <w:tr w14:paraId="7EDED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CBFDD">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156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1100-14</w:t>
            </w:r>
          </w:p>
        </w:tc>
        <w:tc>
          <w:tcPr>
            <w:tcW w:w="2595" w:type="dxa"/>
            <w:tcBorders>
              <w:top w:val="nil"/>
              <w:left w:val="single" w:color="000000" w:sz="4" w:space="0"/>
              <w:bottom w:val="single" w:color="000000" w:sz="4" w:space="0"/>
              <w:right w:val="nil"/>
            </w:tcBorders>
            <w:shd w:val="clear" w:color="auto" w:fill="auto"/>
            <w:vAlign w:val="center"/>
          </w:tcPr>
          <w:p w14:paraId="3116C5F2">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三层以太网交换机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7DFF">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E820B2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F92B">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含设备安装、光缆熔接、网络配置、链路测试、安装调试、安全生产、配合高速交警检测</w:t>
            </w:r>
          </w:p>
        </w:tc>
      </w:tr>
      <w:tr w14:paraId="50823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EA5BE">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643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1100-15</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66A90C20">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升压变压器10KVA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CE56">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B095876">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1947">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含基础浇筑、箱体安装、高低压接线、耐压检测、接地防雷、安装调试、安全生产、配合高速交警检测</w:t>
            </w:r>
          </w:p>
        </w:tc>
      </w:tr>
      <w:tr w14:paraId="28575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F0205">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BD4C">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1100-16</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1528BE69">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降压变压器3KVA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0928">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5FF9AF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EC10">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含基础浇筑、箱体安装、高低压接线、耐压检测、接地防雷、安装调试、安全生产、配合高速交警检测</w:t>
            </w:r>
          </w:p>
        </w:tc>
      </w:tr>
      <w:tr w14:paraId="0C3F8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07C4D">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C5C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1100-17</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70BFD8C0">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降压变压器2KVA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972C0">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59F0421">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B7FD1">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含基础浇筑、箱体安装、高低压接线、耐压检测、接地防雷、安装调试、安全生产、配合高速交警检测</w:t>
            </w:r>
          </w:p>
        </w:tc>
      </w:tr>
      <w:tr w14:paraId="796B0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AD65B">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E2B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1100-18</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48285D5B">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降压变压器1KVA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7C7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C07B7C7">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6 </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9FE2">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含基础浇筑、箱体安装、高低压接线、耐压检测、接地防雷、安装调试、安全生产、配合高速交警检测</w:t>
            </w:r>
          </w:p>
        </w:tc>
      </w:tr>
      <w:tr w14:paraId="73F04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7BCC7">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9922">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1100-19</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368D353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YJLHV22-4*16mm2电缆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91AB">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米</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A15E7A7">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2600 </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641A">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含沟槽开挖、穿管敷设、回填夯实、路面恢复、绝缘/光损耗测试、安全生产、配合高速交警检测</w:t>
            </w:r>
          </w:p>
        </w:tc>
      </w:tr>
      <w:tr w14:paraId="4F95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6E4E2">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A5ED">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1100-20</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67D772DE">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YJLHV22-4*6mm2电缆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962A">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米</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7083B7">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1800</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B61E">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含沟槽开挖、穿管敷设、回填夯实、路面恢复、绝缘/光损耗测试、安全生产、配合高速交警检测</w:t>
            </w:r>
          </w:p>
        </w:tc>
      </w:tr>
      <w:tr w14:paraId="410F2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B9697">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52E4">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1100-21</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0A9899B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铠装8芯单模光缆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40634">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米</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A1A99A8">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3500 </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5857">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含沟槽开挖、穿管敷设、回填夯实、路面恢复、绝缘/光损耗测试、安全生产、配合高速交警检测</w:t>
            </w:r>
          </w:p>
        </w:tc>
      </w:tr>
      <w:tr w14:paraId="6B45D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87823">
            <w:pPr>
              <w:shd w:val="clear" w:fill="FFFFFF"/>
              <w:jc w:val="center"/>
              <w:rPr>
                <w:rFonts w:hint="eastAsia" w:ascii="宋体" w:hAnsi="宋体" w:eastAsia="宋体" w:cs="宋体"/>
                <w:i w:val="0"/>
                <w:iCs w:val="0"/>
                <w:color w:val="000000"/>
                <w:sz w:val="21"/>
                <w:szCs w:val="21"/>
                <w:highlight w:val="none"/>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04B3">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8"/>
                <w:szCs w:val="28"/>
                <w:highlight w:val="none"/>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1100-22</w:t>
            </w:r>
          </w:p>
        </w:tc>
        <w:tc>
          <w:tcPr>
            <w:tcW w:w="2595" w:type="dxa"/>
            <w:tcBorders>
              <w:top w:val="single" w:color="000000" w:sz="4" w:space="0"/>
              <w:left w:val="single" w:color="000000" w:sz="4" w:space="0"/>
              <w:bottom w:val="single" w:color="000000" w:sz="4" w:space="0"/>
              <w:right w:val="nil"/>
            </w:tcBorders>
            <w:shd w:val="clear" w:color="auto" w:fill="auto"/>
            <w:vAlign w:val="center"/>
          </w:tcPr>
          <w:p w14:paraId="026B2769">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交通气象监测设备（含3年气象中心数据接入及服务费用）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E155">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1A81CD9">
            <w:pPr>
              <w:keepNext w:val="0"/>
              <w:keepLines w:val="0"/>
              <w:widowControl/>
              <w:suppressLineNumbers w:val="0"/>
              <w:shd w:val="clear" w:fill="FFFFFF"/>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3 </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815A">
            <w:pPr>
              <w:keepNext w:val="0"/>
              <w:keepLines w:val="0"/>
              <w:widowControl/>
              <w:suppressLineNumbers w:val="0"/>
              <w:shd w:val="clear" w:fill="FFFFFF"/>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含设备吊装、设备校准、数据联调、含3 年省气象中心数据接入及服务费用、安装调试、安全生产、配合高速交警检测</w:t>
            </w:r>
          </w:p>
        </w:tc>
      </w:tr>
    </w:tbl>
    <w:p w14:paraId="3C2E82A3"/>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77833">
    <w:pPr>
      <w:autoSpaceDE w:val="0"/>
      <w:autoSpaceDN w:val="0"/>
      <w:adjustRightInd w:val="0"/>
      <w:spacing w:line="200" w:lineRule="exact"/>
      <w:jc w:val="left"/>
      <w:rPr>
        <w:rFonts w:ascii="Times New Roman" w:hAnsi="Times New Roman" w:eastAsia="宋体" w:cs="Times New Roman"/>
        <w:kern w:val="0"/>
        <w:sz w:val="20"/>
        <w:szCs w:val="20"/>
      </w:rPr>
    </w:pPr>
    <w:r>
      <w:rPr>
        <w:rFonts w:ascii="Times New Roman" w:hAnsi="Times New Roman" w:eastAsia="宋体" w:cs="Times New Roman"/>
        <w:sz w:val="20"/>
        <w:szCs w:val="22"/>
      </w:rPr>
      <mc:AlternateContent>
        <mc:Choice Requires="wps">
          <w:drawing>
            <wp:anchor distT="0" distB="0" distL="114300" distR="114300" simplePos="0" relativeHeight="251659264" behindDoc="0" locked="0" layoutInCell="1" allowOverlap="1">
              <wp:simplePos x="0" y="0"/>
              <wp:positionH relativeFrom="margin">
                <wp:posOffset>2852420</wp:posOffset>
              </wp:positionH>
              <wp:positionV relativeFrom="paragraph">
                <wp:posOffset>3810</wp:posOffset>
              </wp:positionV>
              <wp:extent cx="180975" cy="142875"/>
              <wp:effectExtent l="0" t="0" r="0" b="0"/>
              <wp:wrapNone/>
              <wp:docPr id="7" name="文本框 15"/>
              <wp:cNvGraphicFramePr/>
              <a:graphic xmlns:a="http://schemas.openxmlformats.org/drawingml/2006/main">
                <a:graphicData uri="http://schemas.microsoft.com/office/word/2010/wordprocessingShape">
                  <wps:wsp>
                    <wps:cNvSpPr txBox="1"/>
                    <wps:spPr>
                      <a:xfrm>
                        <a:off x="0" y="0"/>
                        <a:ext cx="180975" cy="142875"/>
                      </a:xfrm>
                      <a:prstGeom prst="rect">
                        <a:avLst/>
                      </a:prstGeom>
                      <a:noFill/>
                      <a:ln>
                        <a:noFill/>
                      </a:ln>
                    </wps:spPr>
                    <wps:txbx>
                      <w:txbxContent>
                        <w:p w14:paraId="37BCC900">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23</w:t>
                          </w:r>
                          <w:r>
                            <w:rPr>
                              <w:rFonts w:ascii="Times New Roman" w:hAnsi="Times New Roman" w:eastAsia="宋体" w:cs="Times New Roman"/>
                              <w:kern w:val="0"/>
                              <w:sz w:val="18"/>
                              <w:szCs w:val="18"/>
                              <w:lang w:val="en-US" w:eastAsia="zh-CN" w:bidi="ar-SA"/>
                            </w:rPr>
                            <w:fldChar w:fldCharType="end"/>
                          </w:r>
                        </w:p>
                      </w:txbxContent>
                    </wps:txbx>
                    <wps:bodyPr wrap="square" lIns="0" tIns="0" rIns="0" bIns="0" upright="1">
                      <a:noAutofit/>
                    </wps:bodyPr>
                  </wps:wsp>
                </a:graphicData>
              </a:graphic>
            </wp:anchor>
          </w:drawing>
        </mc:Choice>
        <mc:Fallback>
          <w:pict>
            <v:shape id="文本框 15" o:spid="_x0000_s1026" o:spt="202" type="#_x0000_t202" style="position:absolute;left:0pt;margin-left:224.6pt;margin-top:0.3pt;height:11.25pt;width:14.25pt;mso-position-horizontal-relative:margin;z-index:251659264;mso-width-relative:page;mso-height-relative:page;" filled="f" stroked="f" coordsize="21600,21600" o:gfxdata="UEsDBAoAAAAAAIdO4kAAAAAAAAAAAAAAAAAEAAAAZHJzL1BLAwQUAAAACACHTuJAnRm3etYAAAAH&#10;AQAADwAAAGRycy9kb3ducmV2LnhtbE2OTU+EMBRF9yb+h+aZuHNakICDPCbG6MrEyODCZaEdaIa+&#10;Iu18+O+tq3F5c2/OPdXmbCd21Is3jhCSlQCmqXfK0IDw2b7ePQDzQZKSkyON8KM9bOrrq0qWyp2o&#10;0cdtGFiEkC8lwhjCXHLu+1Fb6Vdu1hS7nVusDDEuA1eLPEW4nXgqRM6tNBQfRjnr51H3++3BIjx9&#10;UfNivt+7j2bXmLZdC3rL94i3N4l4BBb0OVzG8Kcf1aGOTp07kPJsQsiydRqnCDmwWGdFUQDrENL7&#10;BHhd8f/+9S9QSwMEFAAAAAgAh07iQK9ktqHPAQAAmgMAAA4AAABkcnMvZTJvRG9jLnhtbK1TwY7T&#10;MBC9I/EPlu80acWyJWq6AlWLkBAgLXyA69iNJdtjbKdJfwD+gBMX7nxXv4Oxk3RhueyBizOeGb+Z&#10;92ayuRmMJkfhgwJb0+WipERYDo2yh5p+/nT7bE1JiMw2TIMVNT2JQG+2T59seleJFbSgG+EJgthQ&#10;9a6mbYyuKorAW2FYWIATFoMSvGERr/5QNJ71iG50sSrLF0UPvnEeuAgBvbsxSCdE/xhAkFJxsQPe&#10;GWHjiOqFZhEphVa5QLe5WykFjx+kDCISXVNkGvOJRdDep7PYblh18My1ik8tsMe08ICTYcpi0QvU&#10;jkVGOq/+gTKKewgg44KDKUYiWRFksSwfaHPXMicyF5Q6uIvo4f/B8vfHj56opqbXlFhmcODn79/O&#10;P36df34ly6ukT+9ChWl3DhPj8BoG3JrZH9CZaA/Sm/RFQgTjqO7poq4YIuHp0bp8eX1FCcfQ8vlq&#10;jTaiF/ePnQ/xjQBDklFTj8PLmrLjuxDH1Dkl1bJwq7TOA9T2LwdiJk+ROh87TFYc9sNEZw/NCdn0&#10;OPeahi8d84IS/daisGlJZsPPxn42OufVocXmlrkzC6+6CFLl7lKNEXgqjSPL/Kb1Sjvx5z1n3f9S&#10;2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Gbd61gAAAAcBAAAPAAAAAAAAAAEAIAAAACIAAABk&#10;cnMvZG93bnJldi54bWxQSwECFAAUAAAACACHTuJAr2S2oc8BAACaAwAADgAAAAAAAAABACAAAAAl&#10;AQAAZHJzL2Uyb0RvYy54bWxQSwUGAAAAAAYABgBZAQAAZgUAAAAA&#10;">
              <v:fill on="f" focussize="0,0"/>
              <v:stroke on="f"/>
              <v:imagedata o:title=""/>
              <o:lock v:ext="edit" aspectratio="f"/>
              <v:textbox inset="0mm,0mm,0mm,0mm">
                <w:txbxContent>
                  <w:p w14:paraId="37BCC900">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23</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64F25">
    <w:pPr>
      <w:widowControl w:val="0"/>
      <w:tabs>
        <w:tab w:val="center" w:pos="4153"/>
        <w:tab w:val="right" w:pos="8306"/>
      </w:tabs>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6FFCCD">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107</w:t>
                          </w:r>
                          <w:r>
                            <w:rPr>
                              <w:rFonts w:ascii="Times New Roman" w:hAnsi="Times New Roman" w:eastAsia="宋体" w:cs="Times New Roman"/>
                              <w:kern w:val="0"/>
                              <w:sz w:val="18"/>
                              <w:szCs w:val="18"/>
                              <w:lang w:val="en-US" w:eastAsia="zh-CN" w:bidi="ar-SA"/>
                            </w:rP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lROrMkBAACa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UBy74xYHfvn+7fLj1+XnV7K8&#10;yf3pA9SY9hgwMQ33fsCtmf2Azix7UNHmLwoiGMfunq/dlUMiIj9ar9brCkMCY/MF8dnT8xAhvZXe&#10;kmw0NOL4Slf56T2kMXVOydWcf9DGlBEa95cDMbOHZe4jx2ylYT9Mgva+PaOeHiffUIeLTol557Cx&#10;eUlmI87GfjaOIepDh9SWhReEu2NCEoVbrjDCToVxZEXdtF55J/68l6ynX2r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2VE6syQEAAJoDAAAOAAAAAAAAAAEAIAAAAB4BAABkcnMvZTJvRG9j&#10;LnhtbFBLBQYAAAAABgAGAFkBAABZBQAAAAA=&#10;">
              <v:fill on="f" focussize="0,0"/>
              <v:stroke on="f"/>
              <v:imagedata o:title=""/>
              <o:lock v:ext="edit" aspectratio="f"/>
              <v:textbox inset="0mm,0mm,0mm,0mm" style="mso-fit-shape-to-text:t;">
                <w:txbxContent>
                  <w:p w14:paraId="086FFCCD">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107</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E650C"/>
    <w:multiLevelType w:val="multilevel"/>
    <w:tmpl w:val="4C6E650C"/>
    <w:lvl w:ilvl="0" w:tentative="0">
      <w:start w:val="1"/>
      <w:numFmt w:val="decimal"/>
      <w:pStyle w:val="3"/>
      <w:suff w:val="space"/>
      <w:lvlText w:val="%1."/>
      <w:lvlJc w:val="left"/>
      <w:pPr>
        <w:tabs>
          <w:tab w:val="left" w:pos="0"/>
        </w:tabs>
        <w:ind w:left="0" w:firstLine="0"/>
      </w:pPr>
      <w:rPr>
        <w:rFonts w:hint="default" w:ascii="Times New Roman" w:hAnsi="Times New Roman" w:eastAsia="宋体"/>
        <w:b/>
        <w:i w:val="0"/>
        <w:sz w:val="21"/>
        <w:szCs w:val="21"/>
      </w:rPr>
    </w:lvl>
    <w:lvl w:ilvl="1" w:tentative="0">
      <w:start w:val="1"/>
      <w:numFmt w:val="decimal"/>
      <w:pStyle w:val="2"/>
      <w:suff w:val="space"/>
      <w:lvlText w:val="%1.%2"/>
      <w:lvlJc w:val="left"/>
      <w:pPr>
        <w:tabs>
          <w:tab w:val="left" w:pos="0"/>
        </w:tabs>
        <w:ind w:left="240" w:firstLine="0"/>
      </w:pPr>
      <w:rPr>
        <w:rFonts w:hint="default" w:ascii="Times New Roman" w:hAnsi="Times New Roman" w:eastAsia="宋体"/>
        <w:b/>
        <w:i w:val="0"/>
        <w:sz w:val="21"/>
        <w:szCs w:val="21"/>
      </w:rPr>
    </w:lvl>
    <w:lvl w:ilvl="2" w:tentative="0">
      <w:start w:val="1"/>
      <w:numFmt w:val="decimal"/>
      <w:suff w:val="space"/>
      <w:lvlText w:val="%1.%2.%3"/>
      <w:lvlJc w:val="left"/>
      <w:pPr>
        <w:ind w:left="993" w:firstLine="0"/>
      </w:pPr>
      <w:rPr>
        <w:rFonts w:hint="default" w:ascii="Times New Roman" w:hAnsi="Times New Roman" w:eastAsia="宋体"/>
        <w:b/>
        <w:i w:val="0"/>
        <w:sz w:val="32"/>
      </w:rPr>
    </w:lvl>
    <w:lvl w:ilvl="3" w:tentative="0">
      <w:start w:val="1"/>
      <w:numFmt w:val="decimal"/>
      <w:suff w:val="space"/>
      <w:lvlText w:val="%1.%2.%3.%4"/>
      <w:lvlJc w:val="left"/>
      <w:pPr>
        <w:ind w:left="0" w:firstLine="0"/>
      </w:pPr>
      <w:rPr>
        <w:rFonts w:hint="default" w:ascii="Times New Roman" w:hAnsi="Times New Roman" w:eastAsia="宋体"/>
        <w:b/>
        <w:i w:val="0"/>
        <w:sz w:val="24"/>
      </w:rPr>
    </w:lvl>
    <w:lvl w:ilvl="4" w:tentative="0">
      <w:start w:val="1"/>
      <w:numFmt w:val="decimal"/>
      <w:suff w:val="space"/>
      <w:lvlText w:val="%1.%2.%3.%4.%5"/>
      <w:lvlJc w:val="left"/>
      <w:pPr>
        <w:ind w:left="0" w:firstLine="0"/>
      </w:pPr>
      <w:rPr>
        <w:rFonts w:hint="default" w:ascii="Times New Roman" w:hAnsi="Times New Roman" w:eastAsia="宋体"/>
        <w:b/>
        <w:i w:val="0"/>
        <w:sz w:val="24"/>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8A077C"/>
    <w:rsid w:val="2F8266AE"/>
    <w:rsid w:val="6E146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240"/>
      <w:outlineLvl w:val="1"/>
    </w:pPr>
    <w:rPr>
      <w:rFonts w:ascii="Arial" w:hAnsi="Arial" w:eastAsia="黑体"/>
      <w:b/>
      <w:sz w:val="32"/>
    </w:rPr>
  </w:style>
  <w:style w:type="paragraph" w:styleId="3">
    <w:name w:val="heading 3"/>
    <w:basedOn w:val="1"/>
    <w:next w:val="1"/>
    <w:semiHidden/>
    <w:unhideWhenUsed/>
    <w:qFormat/>
    <w:uiPriority w:val="0"/>
    <w:pPr>
      <w:keepNext/>
      <w:keepLines/>
      <w:numPr>
        <w:ilvl w:val="0"/>
        <w:numId w:val="1"/>
      </w:numPr>
      <w:spacing w:before="50" w:after="50" w:line="416" w:lineRule="auto"/>
      <w:outlineLvl w:val="2"/>
    </w:pPr>
    <w:rPr>
      <w:rFonts w:ascii="宋体" w:hAnsi="宋体" w:eastAsia="宋体" w:cs="Times New Roman"/>
      <w:b/>
      <w:bCs/>
      <w:sz w:val="21"/>
      <w:szCs w:val="21"/>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5944</Words>
  <Characters>6462</Characters>
  <Lines>0</Lines>
  <Paragraphs>0</Paragraphs>
  <TotalTime>4</TotalTime>
  <ScaleCrop>false</ScaleCrop>
  <LinksUpToDate>false</LinksUpToDate>
  <CharactersWithSpaces>6532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2025-07-30T08:06:00Z</dcterms:created>
  <dc:creator>zjyd-2</dc:creator>
  <cp:lastModifiedBy>冯士峰</cp:lastModifiedBy>
  <dcterms:modified xsi:type="dcterms:W3CDTF">2026-10-27T01:17:11Z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CF58DBFDBD8A45269F9CDECC14BC5366_12</vt:lpwstr>
  </property>
  <property fmtid="{D5CDD505-2E9C-101B-9397-08002B2CF9AE}" pid="4" name="KSOTemplateDocerSaveRecord">
    <vt:lpwstr>eyJoZGlkIjoiMjNhMGNiNzBmYzRmYmU1YWU1ZDVjYzI3MTI0YTIzZjQiLCJ1c2VySWQiOiIxNjg3ODQzOTczIn0=</vt:lpwstr>
  </property>
</Properties>
</file>