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A6849C">
      <w:pPr>
        <w:keepNext/>
        <w:keepLines/>
        <w:adjustRightInd/>
        <w:snapToGrid/>
        <w:ind w:firstLine="422" w:firstLineChars="200"/>
        <w:jc w:val="both"/>
        <w:outlineLvl w:val="2"/>
        <w:rPr>
          <w:rFonts w:ascii="宋体" w:hAnsi="宋体" w:cs="宋体"/>
          <w:sz w:val="21"/>
          <w:szCs w:val="21"/>
          <w14:ligatures w14:val="none"/>
        </w:rPr>
      </w:pPr>
      <w:bookmarkStart w:id="1" w:name="_GoBack"/>
      <w:bookmarkEnd w:id="1"/>
      <w:r>
        <w:rPr>
          <w:rFonts w:ascii="宋体" w:hAnsi="宋体" w:cs="宋体"/>
          <w:b/>
          <w:sz w:val="21"/>
          <w:szCs w:val="21"/>
          <w14:ligatures w14:val="none"/>
        </w:rPr>
        <w:t>附件1：资格审查条件</w:t>
      </w:r>
    </w:p>
    <w:p w14:paraId="773A10FC">
      <w:pPr>
        <w:jc w:val="center"/>
        <w:rPr>
          <w:rFonts w:ascii="宋体" w:hAnsi="宋体" w:cs="宋体"/>
          <w:b/>
          <w:bCs/>
          <w:snapToGrid w:val="0"/>
          <w:kern w:val="0"/>
          <w:sz w:val="21"/>
          <w:szCs w:val="21"/>
          <w14:ligatures w14:val="none"/>
        </w:rPr>
      </w:pPr>
    </w:p>
    <w:p w14:paraId="09AA9C38">
      <w:pPr>
        <w:jc w:val="center"/>
        <w:rPr>
          <w:rFonts w:ascii="宋体" w:hAnsi="宋体" w:cs="宋体"/>
          <w:b/>
          <w:bCs/>
          <w:snapToGrid w:val="0"/>
          <w:kern w:val="0"/>
          <w:sz w:val="21"/>
          <w:szCs w:val="21"/>
          <w14:ligatures w14:val="none"/>
        </w:rPr>
      </w:pPr>
      <w:r>
        <w:rPr>
          <w:rFonts w:ascii="宋体" w:hAnsi="宋体" w:cs="宋体"/>
          <w:b/>
          <w:bCs/>
          <w:snapToGrid w:val="0"/>
          <w:kern w:val="0"/>
          <w:sz w:val="21"/>
          <w:szCs w:val="21"/>
          <w14:ligatures w14:val="none"/>
        </w:rPr>
        <w:t>附录1 资格审查条件（资质最低要求）</w:t>
      </w:r>
    </w:p>
    <w:tbl>
      <w:tblPr>
        <w:tblStyle w:val="13"/>
        <w:tblW w:w="949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95"/>
      </w:tblGrid>
      <w:tr w14:paraId="052C0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9500" w:type="dxa"/>
            <w:tcBorders>
              <w:top w:val="single" w:color="000000" w:sz="2" w:space="0"/>
              <w:left w:val="single" w:color="000000" w:sz="2" w:space="0"/>
              <w:bottom w:val="single" w:color="000000" w:sz="2" w:space="0"/>
              <w:right w:val="single" w:color="000000" w:sz="2" w:space="0"/>
            </w:tcBorders>
            <w:vAlign w:val="center"/>
          </w:tcPr>
          <w:p w14:paraId="7137CFCE">
            <w:pPr>
              <w:autoSpaceDE w:val="0"/>
              <w:autoSpaceDN w:val="0"/>
              <w:spacing w:line="0" w:lineRule="atLeast"/>
              <w:jc w:val="center"/>
              <w:rPr>
                <w:rFonts w:ascii="宋体" w:hAnsi="宋体" w:cs="宋体"/>
                <w:snapToGrid w:val="0"/>
                <w:kern w:val="0"/>
                <w:sz w:val="21"/>
                <w:szCs w:val="21"/>
                <w14:ligatures w14:val="none"/>
              </w:rPr>
            </w:pPr>
            <w:r>
              <w:rPr>
                <w:rFonts w:ascii="宋体" w:hAnsi="宋体" w:cs="宋体"/>
                <w:snapToGrid w:val="0"/>
                <w:kern w:val="0"/>
                <w:sz w:val="21"/>
                <w:szCs w:val="21"/>
                <w14:ligatures w14:val="none"/>
              </w:rPr>
              <w:t>资质要求</w:t>
            </w:r>
          </w:p>
        </w:tc>
      </w:tr>
      <w:tr w14:paraId="6B0DF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7" w:hRule="atLeast"/>
          <w:jc w:val="center"/>
        </w:trPr>
        <w:tc>
          <w:tcPr>
            <w:tcW w:w="9500" w:type="dxa"/>
            <w:tcBorders>
              <w:top w:val="single" w:color="000000" w:sz="2" w:space="0"/>
              <w:left w:val="single" w:color="000000" w:sz="2" w:space="0"/>
              <w:bottom w:val="single" w:color="000000" w:sz="2" w:space="0"/>
              <w:right w:val="single" w:color="000000" w:sz="2" w:space="0"/>
            </w:tcBorders>
            <w:vAlign w:val="center"/>
          </w:tcPr>
          <w:p w14:paraId="05DF856B">
            <w:pPr>
              <w:widowControl/>
              <w:autoSpaceDE w:val="0"/>
              <w:autoSpaceDN w:val="0"/>
              <w:spacing w:line="0" w:lineRule="atLeast"/>
              <w:jc w:val="both"/>
              <w:textAlignment w:val="baseline"/>
              <w:rPr>
                <w:rFonts w:ascii="宋体" w:hAnsi="宋体" w:cs="宋体"/>
                <w:snapToGrid w:val="0"/>
                <w:kern w:val="0"/>
                <w:sz w:val="21"/>
                <w:szCs w:val="21"/>
                <w14:ligatures w14:val="none"/>
              </w:rPr>
            </w:pPr>
            <w:r>
              <w:rPr>
                <w:rFonts w:ascii="宋体" w:hAnsi="宋体" w:cs="宋体"/>
                <w:snapToGrid w:val="0"/>
                <w:kern w:val="0"/>
                <w14:ligatures w14:val="none"/>
              </w:rPr>
              <w:t>投标人应是中华人民共和国境内的法人或其他组织，持有有效营业执照的所投设备制造商。</w:t>
            </w:r>
          </w:p>
        </w:tc>
      </w:tr>
    </w:tbl>
    <w:p w14:paraId="12F819F8">
      <w:pPr>
        <w:adjustRightInd/>
        <w:snapToGrid/>
        <w:spacing w:line="240" w:lineRule="auto"/>
        <w:jc w:val="center"/>
        <w:rPr>
          <w:rFonts w:ascii="宋体" w:hAnsi="宋体" w:cs="宋体"/>
          <w:b/>
          <w:sz w:val="21"/>
          <w:szCs w:val="21"/>
          <w14:ligatures w14:val="none"/>
        </w:rPr>
      </w:pPr>
    </w:p>
    <w:p w14:paraId="5308E7EE">
      <w:pPr>
        <w:adjustRightInd/>
        <w:snapToGrid/>
        <w:spacing w:line="240" w:lineRule="auto"/>
        <w:jc w:val="center"/>
        <w:rPr>
          <w:rFonts w:ascii="宋体" w:hAnsi="宋体" w:cs="宋体"/>
          <w:b/>
          <w:bCs/>
          <w:snapToGrid w:val="0"/>
          <w:kern w:val="0"/>
          <w:sz w:val="21"/>
          <w:szCs w:val="21"/>
          <w14:ligatures w14:val="none"/>
        </w:rPr>
      </w:pPr>
      <w:r>
        <w:rPr>
          <w:rFonts w:ascii="宋体" w:hAnsi="宋体" w:cs="宋体"/>
          <w:b/>
          <w:sz w:val="21"/>
          <w:szCs w:val="21"/>
          <w14:ligatures w14:val="none"/>
        </w:rPr>
        <w:t xml:space="preserve">附录2 </w:t>
      </w:r>
      <w:r>
        <w:rPr>
          <w:rFonts w:ascii="宋体" w:hAnsi="宋体" w:cs="宋体"/>
          <w:b/>
          <w:bCs/>
          <w:snapToGrid w:val="0"/>
          <w:kern w:val="0"/>
          <w:sz w:val="21"/>
          <w:szCs w:val="21"/>
          <w14:ligatures w14:val="none"/>
        </w:rPr>
        <w:t>资格审查条件（业绩最低要求）</w:t>
      </w:r>
    </w:p>
    <w:tbl>
      <w:tblPr>
        <w:tblStyle w:val="13"/>
        <w:tblW w:w="939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90"/>
      </w:tblGrid>
      <w:tr w14:paraId="4CD00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jc w:val="center"/>
        </w:trPr>
        <w:tc>
          <w:tcPr>
            <w:tcW w:w="9390" w:type="dxa"/>
            <w:tcBorders>
              <w:top w:val="single" w:color="000000" w:sz="2" w:space="0"/>
              <w:left w:val="single" w:color="000000" w:sz="2" w:space="0"/>
              <w:bottom w:val="single" w:color="000000" w:sz="2" w:space="0"/>
              <w:right w:val="single" w:color="000000" w:sz="2" w:space="0"/>
            </w:tcBorders>
            <w:vAlign w:val="center"/>
          </w:tcPr>
          <w:p w14:paraId="17B66F14">
            <w:pPr>
              <w:autoSpaceDE w:val="0"/>
              <w:autoSpaceDN w:val="0"/>
              <w:spacing w:line="0" w:lineRule="atLeast"/>
              <w:jc w:val="center"/>
              <w:rPr>
                <w:rFonts w:ascii="宋体" w:hAnsi="宋体" w:cs="宋体"/>
                <w:snapToGrid w:val="0"/>
                <w:kern w:val="0"/>
                <w:sz w:val="21"/>
                <w:szCs w:val="21"/>
                <w14:ligatures w14:val="none"/>
              </w:rPr>
            </w:pPr>
            <w:r>
              <w:rPr>
                <w:rFonts w:ascii="宋体" w:hAnsi="宋体" w:cs="宋体"/>
                <w:snapToGrid w:val="0"/>
                <w:kern w:val="0"/>
                <w:sz w:val="21"/>
                <w:szCs w:val="21"/>
                <w14:ligatures w14:val="none"/>
              </w:rPr>
              <w:t>业绩要求</w:t>
            </w:r>
          </w:p>
        </w:tc>
      </w:tr>
      <w:tr w14:paraId="22439F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jc w:val="center"/>
        </w:trPr>
        <w:tc>
          <w:tcPr>
            <w:tcW w:w="9390" w:type="dxa"/>
            <w:tcBorders>
              <w:top w:val="single" w:color="000000" w:sz="2" w:space="0"/>
              <w:left w:val="single" w:color="000000" w:sz="2" w:space="0"/>
              <w:bottom w:val="single" w:color="000000" w:sz="2" w:space="0"/>
              <w:right w:val="single" w:color="000000" w:sz="2" w:space="0"/>
            </w:tcBorders>
            <w:vAlign w:val="center"/>
          </w:tcPr>
          <w:p w14:paraId="64DD8BA8">
            <w:pPr>
              <w:widowControl/>
              <w:autoSpaceDE w:val="0"/>
              <w:autoSpaceDN w:val="0"/>
              <w:spacing w:line="0" w:lineRule="atLeast"/>
              <w:jc w:val="both"/>
              <w:textAlignment w:val="baseline"/>
              <w:rPr>
                <w:rFonts w:ascii="宋体" w:hAnsi="宋体" w:cs="宋体"/>
                <w:snapToGrid w:val="0"/>
                <w:kern w:val="0"/>
                <w14:ligatures w14:val="none"/>
              </w:rPr>
            </w:pPr>
            <w:r>
              <w:rPr>
                <w:rFonts w:ascii="宋体" w:hAnsi="宋体" w:cs="宋体"/>
                <w:snapToGrid w:val="0"/>
                <w:kern w:val="0"/>
                <w14:ligatures w14:val="none"/>
              </w:rPr>
              <w:t>近3年内（2023年10月1日至投标截止时间，以合同签订时间为准），累计完成过不少于5台(含)10kV/1000KVA所投品牌箱式变压器设备供货业绩。</w:t>
            </w:r>
          </w:p>
        </w:tc>
      </w:tr>
    </w:tbl>
    <w:p w14:paraId="174AA175">
      <w:pPr>
        <w:jc w:val="center"/>
        <w:rPr>
          <w:rFonts w:ascii="宋体" w:hAnsi="宋体" w:cs="宋体"/>
          <w:b/>
          <w:bCs/>
          <w:snapToGrid w:val="0"/>
          <w:kern w:val="0"/>
          <w:sz w:val="21"/>
          <w:szCs w:val="21"/>
          <w14:ligatures w14:val="none"/>
        </w:rPr>
      </w:pPr>
    </w:p>
    <w:p w14:paraId="2520C293">
      <w:pPr>
        <w:jc w:val="center"/>
        <w:rPr>
          <w:rFonts w:ascii="宋体" w:hAnsi="宋体" w:cs="宋体"/>
          <w:b/>
          <w:bCs/>
          <w:snapToGrid w:val="0"/>
          <w:kern w:val="0"/>
          <w:sz w:val="21"/>
          <w:szCs w:val="21"/>
          <w14:ligatures w14:val="none"/>
        </w:rPr>
      </w:pPr>
      <w:r>
        <w:rPr>
          <w:rFonts w:ascii="宋体" w:hAnsi="宋体" w:cs="宋体"/>
          <w:b/>
          <w:bCs/>
          <w:snapToGrid w:val="0"/>
          <w:kern w:val="0"/>
          <w:sz w:val="21"/>
          <w:szCs w:val="21"/>
          <w14:ligatures w14:val="none"/>
        </w:rPr>
        <w:t>附录3 资格审查条件（信誉最低要求）</w:t>
      </w:r>
    </w:p>
    <w:tbl>
      <w:tblPr>
        <w:tblStyle w:val="13"/>
        <w:tblW w:w="949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96"/>
      </w:tblGrid>
      <w:tr w14:paraId="32910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9255" w:type="dxa"/>
            <w:tcBorders>
              <w:top w:val="single" w:color="000000" w:sz="2" w:space="0"/>
              <w:left w:val="single" w:color="000000" w:sz="2" w:space="0"/>
              <w:bottom w:val="single" w:color="000000" w:sz="2" w:space="0"/>
              <w:right w:val="single" w:color="000000" w:sz="2" w:space="0"/>
            </w:tcBorders>
            <w:vAlign w:val="center"/>
          </w:tcPr>
          <w:p w14:paraId="74D5364C">
            <w:pPr>
              <w:autoSpaceDE w:val="0"/>
              <w:autoSpaceDN w:val="0"/>
              <w:spacing w:line="0" w:lineRule="atLeast"/>
              <w:jc w:val="center"/>
              <w:rPr>
                <w:rFonts w:ascii="宋体" w:hAnsi="宋体" w:cs="宋体"/>
                <w:snapToGrid w:val="0"/>
                <w:kern w:val="0"/>
                <w:sz w:val="21"/>
                <w:szCs w:val="21"/>
                <w14:ligatures w14:val="none"/>
              </w:rPr>
            </w:pPr>
            <w:r>
              <w:rPr>
                <w:rFonts w:ascii="宋体" w:hAnsi="宋体" w:cs="宋体"/>
                <w:snapToGrid w:val="0"/>
                <w:kern w:val="0"/>
                <w:sz w:val="21"/>
                <w:szCs w:val="21"/>
                <w14:ligatures w14:val="none"/>
              </w:rPr>
              <w:t>信誉要求</w:t>
            </w:r>
          </w:p>
        </w:tc>
      </w:tr>
      <w:tr w14:paraId="0FC6D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jc w:val="center"/>
        </w:trPr>
        <w:tc>
          <w:tcPr>
            <w:tcW w:w="9255" w:type="dxa"/>
            <w:tcBorders>
              <w:top w:val="single" w:color="000000" w:sz="2" w:space="0"/>
              <w:left w:val="single" w:color="000000" w:sz="2" w:space="0"/>
              <w:bottom w:val="single" w:color="000000" w:sz="2" w:space="0"/>
              <w:right w:val="single" w:color="000000" w:sz="2" w:space="0"/>
            </w:tcBorders>
            <w:vAlign w:val="center"/>
          </w:tcPr>
          <w:p w14:paraId="015E0A89">
            <w:pPr>
              <w:widowControl/>
              <w:autoSpaceDE w:val="0"/>
              <w:autoSpaceDN w:val="0"/>
              <w:spacing w:line="0" w:lineRule="atLeast"/>
              <w:jc w:val="both"/>
              <w:textAlignment w:val="baseline"/>
              <w:rPr>
                <w:rFonts w:ascii="宋体" w:hAnsi="宋体" w:cs="宋体"/>
                <w:snapToGrid w:val="0"/>
                <w:kern w:val="0"/>
                <w:sz w:val="21"/>
                <w:szCs w:val="21"/>
                <w:highlight w:val="yellow"/>
                <w14:ligatures w14:val="none"/>
              </w:rPr>
            </w:pPr>
            <w:r>
              <w:rPr>
                <w:rFonts w:ascii="宋体" w:hAnsi="宋体" w:cs="宋体"/>
                <w:snapToGrid w:val="0"/>
                <w:kern w:val="0"/>
                <w14:ligatures w14:val="none"/>
              </w:rPr>
              <w:t>投标人在过去1年中(2025年10月1日至投标截止时间)不曾在所投设备供货合同中违约而被驱逐或因投标人自身的原因而使所投设备供货合同被解除。</w:t>
            </w:r>
          </w:p>
        </w:tc>
      </w:tr>
    </w:tbl>
    <w:p w14:paraId="5B81674A">
      <w:pPr>
        <w:jc w:val="both"/>
        <w:rPr>
          <w:rFonts w:cs="Times New Roman"/>
          <w:bCs/>
          <w:snapToGrid w:val="0"/>
          <w:kern w:val="0"/>
          <w14:ligatures w14:val="none"/>
        </w:rPr>
      </w:pPr>
    </w:p>
    <w:p w14:paraId="0E64783C">
      <w:pPr>
        <w:keepNext/>
        <w:keepLines/>
        <w:adjustRightInd/>
        <w:snapToGrid/>
        <w:jc w:val="both"/>
        <w:outlineLvl w:val="2"/>
        <w:rPr>
          <w:rFonts w:ascii="宋体" w:hAnsi="宋体" w:cs="宋体"/>
          <w:b/>
          <w:sz w:val="21"/>
          <w:szCs w:val="21"/>
          <w14:ligatures w14:val="none"/>
        </w:rPr>
      </w:pPr>
      <w:r>
        <w:rPr>
          <w:rFonts w:cs="Times New Roman"/>
          <w:b/>
          <w:bCs/>
          <w:snapToGrid w:val="0"/>
          <w:kern w:val="0"/>
          <w14:ligatures w14:val="none"/>
        </w:rPr>
        <w:br w:type="page"/>
      </w:r>
      <w:bookmarkStart w:id="0" w:name="_Toc28405"/>
      <w:r>
        <w:rPr>
          <w:rFonts w:ascii="宋体" w:hAnsi="宋体" w:cs="宋体"/>
          <w:b/>
          <w:sz w:val="21"/>
          <w:szCs w:val="21"/>
          <w14:ligatures w14:val="none"/>
        </w:rPr>
        <w:t>附件2：评标办法</w:t>
      </w:r>
      <w:bookmarkEnd w:id="0"/>
    </w:p>
    <w:p w14:paraId="3F6558A2">
      <w:pPr>
        <w:jc w:val="center"/>
        <w:rPr>
          <w:rFonts w:cs="Times New Roman"/>
          <w:b/>
          <w:snapToGrid w:val="0"/>
          <w:kern w:val="0"/>
          <w:szCs w:val="20"/>
          <w14:ligatures w14:val="none"/>
        </w:rPr>
      </w:pPr>
      <w:r>
        <w:rPr>
          <w:rFonts w:cs="Times New Roman"/>
          <w:b/>
          <w:snapToGrid w:val="0"/>
          <w:kern w:val="0"/>
          <w:szCs w:val="20"/>
          <w14:ligatures w14:val="none"/>
        </w:rPr>
        <w:t>评标办法前附表</w:t>
      </w:r>
    </w:p>
    <w:tbl>
      <w:tblPr>
        <w:tblStyle w:val="13"/>
        <w:tblW w:w="9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143"/>
        <w:gridCol w:w="1317"/>
        <w:gridCol w:w="7197"/>
      </w:tblGrid>
      <w:tr w14:paraId="0534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19" w:hRule="atLeast"/>
          <w:tblHeader/>
          <w:jc w:val="center"/>
        </w:trPr>
        <w:tc>
          <w:tcPr>
            <w:tcW w:w="2460" w:type="dxa"/>
            <w:gridSpan w:val="2"/>
            <w:vAlign w:val="center"/>
          </w:tcPr>
          <w:p w14:paraId="2E061997">
            <w:pPr>
              <w:spacing w:line="240" w:lineRule="auto"/>
              <w:jc w:val="center"/>
              <w:rPr>
                <w:rFonts w:ascii="宋体" w:hAnsi="宋体" w:cs="宋体"/>
                <w:b/>
                <w:sz w:val="21"/>
                <w:szCs w:val="21"/>
                <w14:ligatures w14:val="none"/>
              </w:rPr>
            </w:pPr>
            <w:r>
              <w:rPr>
                <w:rFonts w:ascii="宋体" w:hAnsi="宋体" w:cs="宋体"/>
                <w:b/>
                <w:sz w:val="21"/>
                <w:szCs w:val="21"/>
                <w14:ligatures w14:val="none"/>
              </w:rPr>
              <w:t>条款号</w:t>
            </w:r>
          </w:p>
        </w:tc>
        <w:tc>
          <w:tcPr>
            <w:tcW w:w="7197" w:type="dxa"/>
            <w:vAlign w:val="center"/>
          </w:tcPr>
          <w:p w14:paraId="3B108E6C">
            <w:pPr>
              <w:spacing w:line="240" w:lineRule="auto"/>
              <w:jc w:val="center"/>
              <w:rPr>
                <w:rFonts w:ascii="宋体" w:hAnsi="宋体" w:cs="宋体"/>
                <w:b/>
                <w:sz w:val="21"/>
                <w:szCs w:val="21"/>
                <w14:ligatures w14:val="none"/>
              </w:rPr>
            </w:pPr>
            <w:r>
              <w:rPr>
                <w:rFonts w:ascii="宋体" w:hAnsi="宋体" w:cs="宋体"/>
                <w:b/>
                <w:sz w:val="21"/>
                <w:szCs w:val="21"/>
                <w14:ligatures w14:val="none"/>
              </w:rPr>
              <w:t>评审因素与标准</w:t>
            </w:r>
          </w:p>
        </w:tc>
      </w:tr>
      <w:tr w14:paraId="3245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677" w:hRule="atLeast"/>
          <w:jc w:val="center"/>
        </w:trPr>
        <w:tc>
          <w:tcPr>
            <w:tcW w:w="1143" w:type="dxa"/>
            <w:vAlign w:val="center"/>
          </w:tcPr>
          <w:p w14:paraId="4D0CC17D">
            <w:pPr>
              <w:adjustRightInd/>
              <w:spacing w:line="240" w:lineRule="auto"/>
              <w:jc w:val="center"/>
              <w:rPr>
                <w:rFonts w:ascii="宋体" w:hAnsi="宋体" w:cs="宋体"/>
                <w:b/>
                <w:sz w:val="21"/>
                <w:szCs w:val="21"/>
                <w14:ligatures w14:val="none"/>
              </w:rPr>
            </w:pPr>
            <w:r>
              <w:rPr>
                <w:rFonts w:ascii="宋体" w:hAnsi="宋体" w:cs="宋体"/>
                <w:b/>
                <w:sz w:val="21"/>
                <w:szCs w:val="21"/>
                <w14:ligatures w14:val="none"/>
              </w:rPr>
              <w:t>1</w:t>
            </w:r>
          </w:p>
        </w:tc>
        <w:tc>
          <w:tcPr>
            <w:tcW w:w="1317" w:type="dxa"/>
            <w:vAlign w:val="center"/>
          </w:tcPr>
          <w:p w14:paraId="7D67C6A0">
            <w:pPr>
              <w:adjustRightInd/>
              <w:spacing w:line="240" w:lineRule="auto"/>
              <w:jc w:val="center"/>
              <w:rPr>
                <w:rFonts w:ascii="宋体" w:hAnsi="宋体" w:cs="宋体"/>
                <w:b/>
                <w:sz w:val="21"/>
                <w:szCs w:val="21"/>
                <w14:ligatures w14:val="none"/>
              </w:rPr>
            </w:pPr>
            <w:r>
              <w:rPr>
                <w:rFonts w:ascii="宋体" w:hAnsi="宋体" w:cs="宋体"/>
                <w:sz w:val="21"/>
                <w:szCs w:val="21"/>
                <w14:ligatures w14:val="none"/>
              </w:rPr>
              <w:t>评标办法</w:t>
            </w:r>
          </w:p>
        </w:tc>
        <w:tc>
          <w:tcPr>
            <w:tcW w:w="7197" w:type="dxa"/>
            <w:vAlign w:val="center"/>
          </w:tcPr>
          <w:p w14:paraId="113BEFC0">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本次评标采用技术评分最低标价法，双信封形式。</w:t>
            </w:r>
          </w:p>
          <w:p w14:paraId="43694389">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评标委员会对满足招标文件实质性要求的投标文件第一个信封，按照本章第2.2款规定的评分标准进行打分，并按综合得分由高到低顺序确定前3名投标人进入第二个信封评审。</w:t>
            </w:r>
          </w:p>
          <w:p w14:paraId="3850ADBF">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若综合得分相同，以技术部分得分高的投标人优先；技术部分得分也相同的，以技术部分（明标）得分高的投标人优先；技术部分（明标）得分也相同的，以满足资格审查条件（业绩最低要求）累计合同金额高的投标人优先。未通过第一信封评审或综合得分未进入前3名的投标人，其第二信封在整个评标期间不再开封，不随任何因素发生变化。</w:t>
            </w:r>
          </w:p>
          <w:p w14:paraId="0A263D19">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评标委员会对投标文件第二个信封进行评审，并按评标价由低到高的顺序，向招标人推荐1-3名中标候选人。</w:t>
            </w:r>
          </w:p>
          <w:p w14:paraId="7802B135">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评标价相等时，评标委员会依次按照以下优先顺序推荐中标候选人：</w:t>
            </w:r>
          </w:p>
          <w:p w14:paraId="1A554940">
            <w:pPr>
              <w:numPr>
                <w:ilvl w:val="0"/>
                <w:numId w:val="1"/>
              </w:numPr>
              <w:adjustRightInd/>
              <w:snapToGrid/>
              <w:spacing w:line="240" w:lineRule="auto"/>
              <w:jc w:val="both"/>
              <w:rPr>
                <w:rFonts w:ascii="宋体" w:hAnsi="宋体" w:cs="宋体"/>
                <w:sz w:val="21"/>
                <w:szCs w:val="21"/>
                <w14:ligatures w14:val="none"/>
              </w:rPr>
            </w:pPr>
            <w:r>
              <w:rPr>
                <w:rFonts w:ascii="宋体" w:hAnsi="宋体" w:cs="宋体"/>
                <w:sz w:val="21"/>
                <w:szCs w:val="21"/>
                <w14:ligatures w14:val="none"/>
              </w:rPr>
              <w:t>第一个信封技术部分得分较高的优先；</w:t>
            </w:r>
          </w:p>
          <w:p w14:paraId="54E7CDA0">
            <w:pPr>
              <w:numPr>
                <w:ilvl w:val="0"/>
                <w:numId w:val="1"/>
              </w:numPr>
              <w:adjustRightInd/>
              <w:snapToGrid/>
              <w:spacing w:line="240" w:lineRule="auto"/>
              <w:jc w:val="both"/>
              <w:rPr>
                <w:rFonts w:ascii="宋体" w:hAnsi="宋体" w:cs="宋体"/>
                <w:sz w:val="21"/>
                <w:szCs w:val="21"/>
                <w14:ligatures w14:val="none"/>
              </w:rPr>
            </w:pPr>
            <w:r>
              <w:rPr>
                <w:rFonts w:ascii="宋体" w:hAnsi="宋体" w:cs="宋体"/>
                <w:sz w:val="21"/>
                <w:szCs w:val="21"/>
                <w14:ligatures w14:val="none"/>
              </w:rPr>
              <w:t>第一个信封技术部分（明标）得分较高的优先；</w:t>
            </w:r>
          </w:p>
          <w:p w14:paraId="5BC867DD">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（3）满足资格审查条件（业绩最低要求）累计合同金额高的投标人优先；</w:t>
            </w:r>
          </w:p>
        </w:tc>
      </w:tr>
      <w:tr w14:paraId="4B12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420" w:hRule="atLeast"/>
          <w:jc w:val="center"/>
        </w:trPr>
        <w:tc>
          <w:tcPr>
            <w:tcW w:w="1143" w:type="dxa"/>
            <w:vAlign w:val="center"/>
          </w:tcPr>
          <w:p w14:paraId="2AF2D48F">
            <w:pPr>
              <w:spacing w:line="240" w:lineRule="auto"/>
              <w:jc w:val="center"/>
              <w:rPr>
                <w:rFonts w:ascii="宋体" w:hAnsi="宋体" w:cs="宋体"/>
                <w:sz w:val="21"/>
                <w:szCs w:val="21"/>
                <w14:ligatures w14:val="none"/>
              </w:rPr>
            </w:pPr>
            <w:r>
              <w:rPr>
                <w:rFonts w:ascii="宋体" w:hAnsi="宋体" w:cs="宋体"/>
                <w:sz w:val="21"/>
                <w:szCs w:val="21"/>
                <w14:ligatures w14:val="none"/>
              </w:rPr>
              <w:t>2.1.1</w:t>
            </w:r>
          </w:p>
          <w:p w14:paraId="40D12D38">
            <w:pPr>
              <w:spacing w:line="240" w:lineRule="auto"/>
              <w:jc w:val="center"/>
              <w:rPr>
                <w:rFonts w:ascii="宋体" w:hAnsi="宋体" w:cs="宋体"/>
                <w:sz w:val="21"/>
                <w:szCs w:val="21"/>
                <w14:ligatures w14:val="none"/>
              </w:rPr>
            </w:pPr>
            <w:r>
              <w:rPr>
                <w:rFonts w:ascii="宋体" w:hAnsi="宋体" w:cs="宋体"/>
                <w:sz w:val="21"/>
                <w:szCs w:val="21"/>
                <w14:ligatures w14:val="none"/>
              </w:rPr>
              <w:t>2.1.3</w:t>
            </w:r>
          </w:p>
        </w:tc>
        <w:tc>
          <w:tcPr>
            <w:tcW w:w="1317" w:type="dxa"/>
            <w:vAlign w:val="center"/>
          </w:tcPr>
          <w:p w14:paraId="33C08AD2">
            <w:pPr>
              <w:spacing w:line="240" w:lineRule="auto"/>
              <w:jc w:val="center"/>
              <w:rPr>
                <w:rFonts w:ascii="宋体" w:hAnsi="宋体" w:cs="宋体"/>
                <w:sz w:val="21"/>
                <w:szCs w:val="21"/>
                <w14:ligatures w14:val="none"/>
              </w:rPr>
            </w:pPr>
            <w:r>
              <w:rPr>
                <w:rFonts w:ascii="宋体" w:hAnsi="宋体" w:cs="宋体"/>
                <w:sz w:val="21"/>
                <w:szCs w:val="21"/>
                <w14:ligatures w14:val="none"/>
              </w:rPr>
              <w:t>形式评审与响应性评审标准</w:t>
            </w:r>
          </w:p>
        </w:tc>
        <w:tc>
          <w:tcPr>
            <w:tcW w:w="7197" w:type="dxa"/>
            <w:vAlign w:val="center"/>
          </w:tcPr>
          <w:p w14:paraId="7C9A6D15">
            <w:pPr>
              <w:adjustRightInd/>
              <w:spacing w:line="240" w:lineRule="auto"/>
              <w:jc w:val="both"/>
              <w:rPr>
                <w:rFonts w:ascii="宋体" w:hAnsi="宋体" w:cs="宋体"/>
                <w:b/>
                <w:bCs/>
                <w:sz w:val="21"/>
                <w:szCs w:val="21"/>
                <w14:ligatures w14:val="none"/>
              </w:rPr>
            </w:pPr>
            <w:r>
              <w:rPr>
                <w:rFonts w:ascii="宋体" w:hAnsi="宋体" w:cs="宋体"/>
                <w:b/>
                <w:bCs/>
                <w:sz w:val="21"/>
                <w:szCs w:val="21"/>
                <w14:ligatures w14:val="none"/>
              </w:rPr>
              <w:t>第一个信封（商务文件）评审标准：</w:t>
            </w:r>
          </w:p>
          <w:p w14:paraId="4B57B3D1">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（1）投标文件按照招标文件规定的格式、内容填写，字迹清晰可辨：</w:t>
            </w:r>
          </w:p>
          <w:p w14:paraId="7E9A360F">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a.投标函按照招标文件规定填报了招标人名称、项目名称、补遗书编号（如有）、交货期、交货地点、质量标准和安全目标；</w:t>
            </w:r>
          </w:p>
          <w:p w14:paraId="7D18D52E">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b.投标文件组成齐全完整，内容均按规定填写；</w:t>
            </w:r>
          </w:p>
          <w:p w14:paraId="3CB7501B">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（2）投标文件上法定代表人或其委托代理人的签字、投标人的单位章盖章齐全，符合招标文件规定：</w:t>
            </w:r>
          </w:p>
          <w:p w14:paraId="5F88E22A">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（3）投标人按照招标文件的规定提供了投标保证金，满足投标人须知3.4.1规定。</w:t>
            </w:r>
          </w:p>
          <w:p w14:paraId="2159549A">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（4）投标人法定代表人授权委托代理人签署投标文件的，须提交授权委托书，授权委托书的签字盖章符合招标文件规定。</w:t>
            </w:r>
          </w:p>
          <w:p w14:paraId="7B0F6EA2">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（5）投标人法定代表人亲自签署投标文件的，提供了法定代表人身份证明,法定代表人身份证明的签字盖章符合招标文件规定。</w:t>
            </w:r>
          </w:p>
          <w:p w14:paraId="1A144320">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（6）投标人未以联合体形式投标。</w:t>
            </w:r>
          </w:p>
          <w:p w14:paraId="165FE949">
            <w:pPr>
              <w:adjustRightInd/>
              <w:spacing w:line="240" w:lineRule="auto"/>
              <w:ind w:right="113"/>
              <w:jc w:val="both"/>
              <w:rPr>
                <w:rFonts w:ascii="宋体" w:hAnsi="宋体" w:cs="宋体"/>
                <w:sz w:val="21"/>
                <w:szCs w:val="21"/>
                <w14:ligatures w14:val="none"/>
              </w:rPr>
            </w:pPr>
            <w:r>
              <w:rPr>
                <w:rFonts w:ascii="宋体" w:hAnsi="宋体" w:cs="宋体"/>
                <w:sz w:val="21"/>
                <w:szCs w:val="21"/>
                <w14:ligatures w14:val="none"/>
              </w:rPr>
              <w:t>（7）投标人未对本项目进行分包。</w:t>
            </w:r>
          </w:p>
          <w:p w14:paraId="78855402">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（8）同一投标人未提交两个以上不同的投标文件。</w:t>
            </w:r>
          </w:p>
          <w:p w14:paraId="2DF4BD4D">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（9）未出现有关投标报价的内容。</w:t>
            </w:r>
          </w:p>
          <w:p w14:paraId="210EEE18">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（10）投标文件载明的招标项目完成期限未超过招标文件规定的时限。</w:t>
            </w:r>
          </w:p>
          <w:p w14:paraId="54D0CE42">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（11）投标文件对招标文件的实质性要求和条件作出响应。</w:t>
            </w:r>
          </w:p>
          <w:p w14:paraId="69859503">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（12）投标文件中投标设备的技术指标满足招标文件的要求，（供货要求中带★的条款）的要求，并按照招标文件1.11.3款规定提供相关材料。</w:t>
            </w:r>
          </w:p>
          <w:p w14:paraId="44B28887">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（13）权利义务符合招标文件规定：</w:t>
            </w:r>
          </w:p>
          <w:p w14:paraId="102C873A">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a．投标人应接受招标文件规定的风险划分原则，未提出新的风险划分办法；</w:t>
            </w:r>
          </w:p>
          <w:p w14:paraId="174C69EE">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b．投标人未增加发包人的责任范围，或减少投标人义务；</w:t>
            </w:r>
          </w:p>
          <w:p w14:paraId="6988893A">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c．投标人未提出不同的验收、计量、支付办法；</w:t>
            </w:r>
          </w:p>
          <w:p w14:paraId="360577FF">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d．投标人对合同纠纷、事故处理办法未提出异议；</w:t>
            </w:r>
          </w:p>
          <w:p w14:paraId="0AD94A21">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e．投标人在投标活动中无欺诈行为；</w:t>
            </w:r>
          </w:p>
          <w:p w14:paraId="4CFD9B52">
            <w:pPr>
              <w:adjustRightInd/>
              <w:spacing w:line="320" w:lineRule="exact"/>
              <w:textAlignment w:val="baseline"/>
              <w:rPr>
                <w:rFonts w:ascii="宋体" w:hAnsi="宋体" w:cs="宋体"/>
                <w:sz w:val="21"/>
                <w:szCs w:val="21"/>
                <w14:ligatures w14:val="none"/>
              </w:rPr>
            </w:pPr>
            <w:r>
              <w:rPr>
                <w:rFonts w:ascii="宋体" w:hAnsi="宋体" w:cs="宋体"/>
                <w:sz w:val="21"/>
                <w:szCs w:val="21"/>
                <w14:ligatures w14:val="none"/>
              </w:rPr>
              <w:t>f．投标人未对合同条款有重要保留。</w:t>
            </w:r>
          </w:p>
          <w:p w14:paraId="383C6FA2">
            <w:pPr>
              <w:adjustRightInd/>
              <w:spacing w:line="240" w:lineRule="auto"/>
              <w:jc w:val="both"/>
              <w:rPr>
                <w:rFonts w:ascii="宋体" w:hAnsi="宋体" w:cs="宋体"/>
                <w:b/>
                <w:bCs/>
                <w:sz w:val="21"/>
                <w:szCs w:val="21"/>
                <w14:ligatures w14:val="none"/>
              </w:rPr>
            </w:pPr>
            <w:r>
              <w:rPr>
                <w:rFonts w:ascii="宋体" w:hAnsi="宋体" w:cs="宋体"/>
                <w:b/>
                <w:bCs/>
                <w:sz w:val="21"/>
                <w:szCs w:val="21"/>
                <w14:ligatures w14:val="none"/>
              </w:rPr>
              <w:t xml:space="preserve">第一个信封（技术文件）评审标准： </w:t>
            </w:r>
          </w:p>
          <w:p w14:paraId="01936156">
            <w:pPr>
              <w:widowControl/>
              <w:adjustRightInd/>
              <w:snapToGrid/>
              <w:spacing w:line="240" w:lineRule="auto"/>
              <w:rPr>
                <w:rFonts w:ascii="宋体" w:hAnsi="宋体" w:cs="宋体"/>
                <w:sz w:val="21"/>
                <w:szCs w:val="21"/>
                <w14:ligatures w14:val="none"/>
              </w:rPr>
            </w:pPr>
            <w:r>
              <w:rPr>
                <w:rFonts w:ascii="宋体" w:hAnsi="宋体" w:cs="宋体"/>
                <w:sz w:val="21"/>
                <w:szCs w:val="21"/>
                <w14:ligatures w14:val="none"/>
              </w:rPr>
              <w:t>技术部分（暗标）编制符合招标文件第二章“投标人须知”第 10.3 款的规定。</w:t>
            </w:r>
          </w:p>
          <w:p w14:paraId="0E09DEA9">
            <w:pPr>
              <w:adjustRightInd/>
              <w:spacing w:line="240" w:lineRule="auto"/>
              <w:jc w:val="both"/>
              <w:rPr>
                <w:rFonts w:ascii="宋体" w:hAnsi="宋体" w:cs="宋体"/>
                <w:b/>
                <w:bCs/>
                <w:sz w:val="21"/>
                <w:szCs w:val="21"/>
                <w14:ligatures w14:val="none"/>
              </w:rPr>
            </w:pPr>
            <w:r>
              <w:rPr>
                <w:rFonts w:ascii="宋体" w:hAnsi="宋体" w:cs="宋体"/>
                <w:b/>
                <w:bCs/>
                <w:sz w:val="21"/>
                <w:szCs w:val="21"/>
                <w14:ligatures w14:val="none"/>
              </w:rPr>
              <w:t>第二个信封（报价文件）评审标准：</w:t>
            </w:r>
          </w:p>
          <w:p w14:paraId="2BAFB8A3">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（1）投标文件按照招标文件规定的格式、内容填写，字迹清晰可辨：</w:t>
            </w:r>
          </w:p>
          <w:p w14:paraId="0F4B0FE2">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a.投标函按照招标文件规定填报了招标人名称、项目名称、补遗书编号（如有）、投标报价（包括大写金额和小写金额）；</w:t>
            </w:r>
          </w:p>
          <w:p w14:paraId="4DAD17F2">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b.投标文件组成齐全完整，内容均按规定填写。</w:t>
            </w:r>
          </w:p>
          <w:p w14:paraId="047C8203">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（2）投标文件上法定代表人或委托代理人的签字、投标人的单位章盖章齐全，符合招标文件规定。</w:t>
            </w:r>
          </w:p>
          <w:p w14:paraId="379455DA">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（3）投标报价未超过招标文件设定的最高投标限价。</w:t>
            </w:r>
          </w:p>
          <w:p w14:paraId="50AE5ED7">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（4）投标报价的大写金额能够确定具体数值。</w:t>
            </w:r>
          </w:p>
          <w:p w14:paraId="4C79455B">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（5）投标人未提交调价函。</w:t>
            </w:r>
          </w:p>
          <w:p w14:paraId="6366996F">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（6）同一投标人未提交两个及以上不同的投标报价。</w:t>
            </w:r>
          </w:p>
          <w:p w14:paraId="72192E4F">
            <w:pPr>
              <w:adjustRightInd/>
              <w:spacing w:line="320" w:lineRule="exact"/>
              <w:textAlignment w:val="baseline"/>
              <w:rPr>
                <w:rFonts w:cs="Times New Roman"/>
                <w:sz w:val="21"/>
                <w:szCs w:val="21"/>
                <w14:ligatures w14:val="none"/>
              </w:rPr>
            </w:pPr>
            <w:r>
              <w:rPr>
                <w:rFonts w:ascii="宋体" w:hAnsi="宋体" w:cs="宋体"/>
                <w:sz w:val="21"/>
                <w:szCs w:val="21"/>
                <w14:ligatures w14:val="none"/>
              </w:rPr>
              <w:t>（7）分项报价表中合计金额与投标函投标报价大写金额一致。</w:t>
            </w:r>
          </w:p>
        </w:tc>
      </w:tr>
      <w:tr w14:paraId="04E80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33" w:hRule="atLeast"/>
          <w:jc w:val="center"/>
        </w:trPr>
        <w:tc>
          <w:tcPr>
            <w:tcW w:w="1143" w:type="dxa"/>
            <w:vAlign w:val="center"/>
          </w:tcPr>
          <w:p w14:paraId="1E83F065">
            <w:pPr>
              <w:spacing w:line="240" w:lineRule="auto"/>
              <w:jc w:val="center"/>
              <w:rPr>
                <w:rFonts w:ascii="宋体" w:hAnsi="宋体" w:cs="宋体"/>
                <w:sz w:val="21"/>
                <w:szCs w:val="21"/>
                <w14:ligatures w14:val="none"/>
              </w:rPr>
            </w:pPr>
            <w:r>
              <w:rPr>
                <w:rFonts w:ascii="宋体" w:hAnsi="宋体" w:cs="宋体"/>
                <w:sz w:val="21"/>
                <w:szCs w:val="21"/>
                <w14:ligatures w14:val="none"/>
              </w:rPr>
              <w:t>2.1.2</w:t>
            </w:r>
          </w:p>
        </w:tc>
        <w:tc>
          <w:tcPr>
            <w:tcW w:w="1317" w:type="dxa"/>
            <w:vAlign w:val="center"/>
          </w:tcPr>
          <w:p w14:paraId="46AA202B">
            <w:pPr>
              <w:spacing w:line="240" w:lineRule="auto"/>
              <w:jc w:val="center"/>
              <w:rPr>
                <w:rFonts w:ascii="宋体" w:hAnsi="宋体" w:cs="宋体"/>
                <w:sz w:val="21"/>
                <w:szCs w:val="21"/>
                <w14:ligatures w14:val="none"/>
              </w:rPr>
            </w:pPr>
            <w:r>
              <w:rPr>
                <w:rFonts w:ascii="宋体" w:hAnsi="宋体" w:cs="宋体"/>
                <w:sz w:val="21"/>
                <w:szCs w:val="21"/>
                <w14:ligatures w14:val="none"/>
              </w:rPr>
              <w:t>资格评审标准</w:t>
            </w:r>
          </w:p>
        </w:tc>
        <w:tc>
          <w:tcPr>
            <w:tcW w:w="7197" w:type="dxa"/>
            <w:vAlign w:val="center"/>
          </w:tcPr>
          <w:p w14:paraId="07A0E46C">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（1）投标人具备有效的企业营业执照和基本账户开户许可证（或基本存款账户信息）；</w:t>
            </w:r>
          </w:p>
          <w:p w14:paraId="4267ABB2">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（2）投标人的资质符合招标文件规定；</w:t>
            </w:r>
          </w:p>
          <w:p w14:paraId="1E32A8CD">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（3）投标人的类似项目业绩符合招标文件规定；</w:t>
            </w:r>
          </w:p>
          <w:p w14:paraId="188291D9">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（4）投标人的信誉符合招标文件规定；</w:t>
            </w:r>
          </w:p>
          <w:p w14:paraId="6421EF59">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（5）投标人不存在第二章“投标人须知”第1.4.3项规定的任何一种情形。</w:t>
            </w:r>
          </w:p>
        </w:tc>
      </w:tr>
      <w:tr w14:paraId="455C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0" w:hRule="atLeast"/>
          <w:jc w:val="center"/>
        </w:trPr>
        <w:tc>
          <w:tcPr>
            <w:tcW w:w="1143" w:type="dxa"/>
            <w:vAlign w:val="center"/>
          </w:tcPr>
          <w:p w14:paraId="54895840">
            <w:pPr>
              <w:spacing w:line="240" w:lineRule="auto"/>
              <w:jc w:val="center"/>
              <w:rPr>
                <w:rFonts w:ascii="宋体" w:hAnsi="宋体" w:cs="宋体"/>
                <w:b/>
                <w:sz w:val="21"/>
                <w:szCs w:val="21"/>
                <w14:ligatures w14:val="none"/>
              </w:rPr>
            </w:pPr>
            <w:r>
              <w:rPr>
                <w:rFonts w:ascii="宋体" w:hAnsi="宋体" w:cs="宋体"/>
                <w:b/>
                <w:sz w:val="21"/>
                <w:szCs w:val="21"/>
                <w14:ligatures w14:val="none"/>
              </w:rPr>
              <w:t>条款号</w:t>
            </w:r>
          </w:p>
        </w:tc>
        <w:tc>
          <w:tcPr>
            <w:tcW w:w="1317" w:type="dxa"/>
            <w:vAlign w:val="center"/>
          </w:tcPr>
          <w:p w14:paraId="340B6951">
            <w:pPr>
              <w:spacing w:line="240" w:lineRule="auto"/>
              <w:jc w:val="center"/>
              <w:rPr>
                <w:rFonts w:ascii="宋体" w:hAnsi="宋体" w:cs="宋体"/>
                <w:b/>
                <w:sz w:val="21"/>
                <w:szCs w:val="21"/>
                <w14:ligatures w14:val="none"/>
              </w:rPr>
            </w:pPr>
            <w:r>
              <w:rPr>
                <w:rFonts w:ascii="宋体" w:hAnsi="宋体" w:cs="宋体"/>
                <w:b/>
                <w:sz w:val="21"/>
                <w:szCs w:val="21"/>
                <w14:ligatures w14:val="none"/>
              </w:rPr>
              <w:t>条款内容</w:t>
            </w:r>
          </w:p>
        </w:tc>
        <w:tc>
          <w:tcPr>
            <w:tcW w:w="7197" w:type="dxa"/>
            <w:vAlign w:val="center"/>
          </w:tcPr>
          <w:p w14:paraId="34D408A4">
            <w:pPr>
              <w:spacing w:line="240" w:lineRule="auto"/>
              <w:jc w:val="center"/>
              <w:rPr>
                <w:rFonts w:ascii="宋体" w:hAnsi="宋体" w:cs="宋体"/>
                <w:b/>
                <w:sz w:val="21"/>
                <w:szCs w:val="21"/>
                <w14:ligatures w14:val="none"/>
              </w:rPr>
            </w:pPr>
            <w:r>
              <w:rPr>
                <w:rFonts w:ascii="宋体" w:hAnsi="宋体" w:cs="宋体"/>
                <w:b/>
                <w:sz w:val="21"/>
                <w:szCs w:val="21"/>
                <w14:ligatures w14:val="none"/>
              </w:rPr>
              <w:t>编列内容</w:t>
            </w:r>
          </w:p>
        </w:tc>
      </w:tr>
      <w:tr w14:paraId="3722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42" w:hRule="atLeast"/>
          <w:jc w:val="center"/>
        </w:trPr>
        <w:tc>
          <w:tcPr>
            <w:tcW w:w="1143" w:type="dxa"/>
            <w:vAlign w:val="center"/>
          </w:tcPr>
          <w:p w14:paraId="005A31A9">
            <w:pPr>
              <w:spacing w:line="240" w:lineRule="auto"/>
              <w:jc w:val="center"/>
              <w:rPr>
                <w:rFonts w:ascii="宋体" w:hAnsi="宋体" w:cs="宋体"/>
                <w:sz w:val="21"/>
                <w:szCs w:val="21"/>
                <w14:ligatures w14:val="none"/>
              </w:rPr>
            </w:pPr>
            <w:r>
              <w:rPr>
                <w:rFonts w:ascii="宋体" w:hAnsi="宋体" w:cs="宋体"/>
                <w:sz w:val="21"/>
                <w:szCs w:val="21"/>
                <w14:ligatures w14:val="none"/>
              </w:rPr>
              <w:t>2.2.1</w:t>
            </w:r>
          </w:p>
        </w:tc>
        <w:tc>
          <w:tcPr>
            <w:tcW w:w="1317" w:type="dxa"/>
            <w:vAlign w:val="center"/>
          </w:tcPr>
          <w:p w14:paraId="1F2FE196">
            <w:pPr>
              <w:spacing w:line="240" w:lineRule="auto"/>
              <w:jc w:val="center"/>
              <w:rPr>
                <w:rFonts w:ascii="宋体" w:hAnsi="宋体" w:cs="宋体"/>
                <w:sz w:val="21"/>
                <w:szCs w:val="21"/>
                <w14:ligatures w14:val="none"/>
              </w:rPr>
            </w:pPr>
            <w:r>
              <w:rPr>
                <w:rFonts w:ascii="宋体" w:hAnsi="宋体" w:cs="宋体"/>
                <w:sz w:val="21"/>
                <w:szCs w:val="21"/>
                <w14:ligatures w14:val="none"/>
              </w:rPr>
              <w:t>第一个信封分值构成</w:t>
            </w:r>
          </w:p>
          <w:p w14:paraId="0AEDEC06">
            <w:pPr>
              <w:spacing w:line="240" w:lineRule="auto"/>
              <w:jc w:val="center"/>
              <w:rPr>
                <w:rFonts w:ascii="宋体" w:hAnsi="宋体" w:cs="宋体"/>
                <w:sz w:val="21"/>
                <w:szCs w:val="21"/>
                <w14:ligatures w14:val="none"/>
              </w:rPr>
            </w:pPr>
            <w:r>
              <w:rPr>
                <w:rFonts w:ascii="宋体" w:hAnsi="宋体" w:cs="宋体"/>
                <w:sz w:val="21"/>
                <w:szCs w:val="21"/>
                <w14:ligatures w14:val="none"/>
              </w:rPr>
              <w:t>（总分100分）</w:t>
            </w:r>
          </w:p>
        </w:tc>
        <w:tc>
          <w:tcPr>
            <w:tcW w:w="7197" w:type="dxa"/>
            <w:vAlign w:val="center"/>
          </w:tcPr>
          <w:p w14:paraId="64844A57">
            <w:pPr>
              <w:spacing w:line="240" w:lineRule="auto"/>
              <w:jc w:val="both"/>
              <w:rPr>
                <w:rFonts w:ascii="宋体" w:hAnsi="宋体" w:cs="宋体"/>
                <w:sz w:val="21"/>
                <w:szCs w:val="21"/>
                <w14:ligatures w14:val="none"/>
              </w:rPr>
            </w:pPr>
            <w:r>
              <w:rPr>
                <w:rFonts w:ascii="宋体" w:hAnsi="宋体" w:cs="宋体"/>
                <w:sz w:val="21"/>
                <w:szCs w:val="21"/>
                <w14:ligatures w14:val="none"/>
              </w:rPr>
              <w:t>商务部分：20分</w:t>
            </w:r>
          </w:p>
          <w:p w14:paraId="4224D33B">
            <w:pPr>
              <w:spacing w:line="240" w:lineRule="auto"/>
              <w:jc w:val="both"/>
              <w:rPr>
                <w:rFonts w:ascii="宋体" w:hAnsi="宋体" w:cs="宋体"/>
                <w:sz w:val="21"/>
                <w:szCs w:val="21"/>
                <w14:ligatures w14:val="none"/>
              </w:rPr>
            </w:pPr>
            <w:r>
              <w:rPr>
                <w:rFonts w:ascii="宋体" w:hAnsi="宋体" w:cs="宋体"/>
                <w:sz w:val="21"/>
                <w:szCs w:val="21"/>
                <w14:ligatures w14:val="none"/>
              </w:rPr>
              <w:t>技术部分：80分</w:t>
            </w:r>
          </w:p>
          <w:p w14:paraId="19C8604B">
            <w:pPr>
              <w:spacing w:line="240" w:lineRule="auto"/>
              <w:jc w:val="both"/>
              <w:rPr>
                <w:rFonts w:ascii="宋体" w:hAnsi="宋体" w:cs="宋体"/>
                <w:sz w:val="21"/>
                <w:szCs w:val="21"/>
                <w14:ligatures w14:val="none"/>
              </w:rPr>
            </w:pPr>
            <w:r>
              <w:rPr>
                <w:rFonts w:ascii="宋体" w:hAnsi="宋体" w:cs="宋体"/>
                <w:sz w:val="21"/>
                <w:szCs w:val="21"/>
                <w14:ligatures w14:val="none"/>
              </w:rPr>
              <w:t>其他评分因素：0分</w:t>
            </w:r>
          </w:p>
        </w:tc>
      </w:tr>
      <w:tr w14:paraId="0E26D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4EF5CC23">
            <w:pPr>
              <w:spacing w:line="240" w:lineRule="auto"/>
              <w:jc w:val="center"/>
              <w:rPr>
                <w:rFonts w:ascii="宋体" w:hAnsi="宋体" w:cs="宋体"/>
                <w:sz w:val="21"/>
                <w:szCs w:val="21"/>
                <w14:ligatures w14:val="none"/>
              </w:rPr>
            </w:pPr>
            <w:r>
              <w:rPr>
                <w:rFonts w:ascii="宋体" w:hAnsi="宋体" w:cs="宋体"/>
                <w:sz w:val="21"/>
                <w:szCs w:val="21"/>
                <w14:ligatures w14:val="none"/>
              </w:rPr>
              <w:t>2.2.3</w:t>
            </w:r>
          </w:p>
        </w:tc>
        <w:tc>
          <w:tcPr>
            <w:tcW w:w="1317" w:type="dxa"/>
            <w:vAlign w:val="center"/>
          </w:tcPr>
          <w:p w14:paraId="46A52AAA">
            <w:pPr>
              <w:spacing w:line="240" w:lineRule="auto"/>
              <w:jc w:val="center"/>
              <w:rPr>
                <w:rFonts w:ascii="宋体" w:hAnsi="宋体" w:cs="宋体"/>
                <w:sz w:val="21"/>
                <w:szCs w:val="21"/>
                <w14:ligatures w14:val="none"/>
              </w:rPr>
            </w:pPr>
            <w:r>
              <w:rPr>
                <w:rFonts w:ascii="宋体" w:hAnsi="宋体" w:cs="宋体"/>
                <w:sz w:val="21"/>
                <w:szCs w:val="21"/>
                <w14:ligatures w14:val="none"/>
              </w:rPr>
              <w:t>第二个信封详细评审标准</w:t>
            </w:r>
          </w:p>
        </w:tc>
        <w:tc>
          <w:tcPr>
            <w:tcW w:w="7197" w:type="dxa"/>
            <w:vAlign w:val="center"/>
          </w:tcPr>
          <w:p w14:paraId="49628E54">
            <w:pPr>
              <w:spacing w:line="240" w:lineRule="auto"/>
              <w:jc w:val="both"/>
              <w:rPr>
                <w:rFonts w:ascii="宋体" w:hAnsi="宋体" w:cs="宋体"/>
                <w:sz w:val="21"/>
                <w:szCs w:val="21"/>
                <w14:ligatures w14:val="none"/>
              </w:rPr>
            </w:pPr>
            <w:r>
              <w:rPr>
                <w:rFonts w:ascii="宋体" w:hAnsi="宋体" w:cs="宋体"/>
                <w:sz w:val="21"/>
                <w:szCs w:val="21"/>
                <w14:ligatures w14:val="none"/>
              </w:rPr>
              <w:t>评标价计算公式：</w:t>
            </w:r>
          </w:p>
          <w:p w14:paraId="64FB0CCC">
            <w:pPr>
              <w:spacing w:line="240" w:lineRule="auto"/>
              <w:jc w:val="both"/>
              <w:rPr>
                <w:rFonts w:ascii="宋体" w:hAnsi="宋体" w:cs="宋体"/>
                <w:sz w:val="21"/>
                <w:szCs w:val="21"/>
                <w14:ligatures w14:val="none"/>
              </w:rPr>
            </w:pPr>
            <w:r>
              <w:rPr>
                <w:rFonts w:ascii="宋体" w:hAnsi="宋体" w:cs="宋体"/>
                <w:sz w:val="21"/>
                <w:szCs w:val="21"/>
                <w14:ligatures w14:val="none"/>
              </w:rPr>
              <w:t>评标价=投标函文字报价。</w:t>
            </w:r>
          </w:p>
        </w:tc>
      </w:tr>
      <w:tr w14:paraId="71A03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032A4BED">
            <w:pPr>
              <w:spacing w:line="240" w:lineRule="auto"/>
              <w:jc w:val="center"/>
              <w:rPr>
                <w:rFonts w:ascii="宋体" w:hAnsi="宋体" w:cs="宋体"/>
                <w:sz w:val="21"/>
                <w:szCs w:val="21"/>
                <w14:ligatures w14:val="none"/>
              </w:rPr>
            </w:pPr>
            <w:r>
              <w:rPr>
                <w:rFonts w:ascii="宋体" w:hAnsi="宋体" w:cs="宋体"/>
                <w:sz w:val="21"/>
                <w:szCs w:val="21"/>
                <w14:ligatures w14:val="none"/>
              </w:rPr>
              <w:t>3.2.4</w:t>
            </w:r>
          </w:p>
        </w:tc>
        <w:tc>
          <w:tcPr>
            <w:tcW w:w="1317" w:type="dxa"/>
            <w:vAlign w:val="center"/>
          </w:tcPr>
          <w:p w14:paraId="08AF64D2">
            <w:pPr>
              <w:spacing w:line="240" w:lineRule="auto"/>
              <w:jc w:val="center"/>
              <w:rPr>
                <w:rFonts w:ascii="宋体" w:hAnsi="宋体" w:cs="宋体"/>
                <w:sz w:val="21"/>
                <w:szCs w:val="21"/>
                <w14:ligatures w14:val="none"/>
              </w:rPr>
            </w:pPr>
            <w:r>
              <w:rPr>
                <w:rFonts w:ascii="宋体" w:hAnsi="宋体" w:cs="宋体"/>
                <w:sz w:val="21"/>
                <w:szCs w:val="21"/>
                <w14:ligatures w14:val="none"/>
              </w:rPr>
              <w:t>通过第一个信封详细评审的投标人数量</w:t>
            </w:r>
          </w:p>
        </w:tc>
        <w:tc>
          <w:tcPr>
            <w:tcW w:w="7197" w:type="dxa"/>
            <w:vAlign w:val="center"/>
          </w:tcPr>
          <w:p w14:paraId="4BBB75BA">
            <w:pPr>
              <w:spacing w:line="240" w:lineRule="auto"/>
              <w:jc w:val="both"/>
              <w:rPr>
                <w:rFonts w:ascii="宋体" w:hAnsi="宋体" w:cs="宋体"/>
                <w:sz w:val="21"/>
                <w:szCs w:val="21"/>
                <w14:ligatures w14:val="none"/>
              </w:rPr>
            </w:pPr>
            <w:r>
              <w:rPr>
                <w:rFonts w:ascii="宋体" w:hAnsi="宋体" w:cs="宋体"/>
                <w:sz w:val="21"/>
                <w:szCs w:val="21"/>
                <w14:ligatures w14:val="none"/>
              </w:rPr>
              <w:t>按照投标人的综合得分由高到低排序，选择前3名进入第二信封评审。第一信封得分相等时，技术部分得分高的优先；技术部分得分也相等的，以满足资格审查条件（业绩最低要求）的业绩单项合同额最高的优先，单项合同额也相等时，以累计合同金额高的优先。</w:t>
            </w:r>
          </w:p>
        </w:tc>
      </w:tr>
      <w:tr w14:paraId="5ED48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2460" w:type="dxa"/>
            <w:gridSpan w:val="2"/>
            <w:vAlign w:val="center"/>
          </w:tcPr>
          <w:p w14:paraId="2B3240B4">
            <w:pPr>
              <w:adjustRightInd/>
              <w:spacing w:line="240" w:lineRule="auto"/>
              <w:jc w:val="center"/>
              <w:rPr>
                <w:rFonts w:ascii="宋体" w:hAnsi="宋体" w:cs="宋体"/>
                <w:sz w:val="21"/>
                <w:szCs w:val="21"/>
                <w14:ligatures w14:val="none"/>
              </w:rPr>
            </w:pPr>
            <w:r>
              <w:rPr>
                <w:rFonts w:ascii="宋体" w:hAnsi="宋体" w:cs="宋体"/>
                <w:sz w:val="21"/>
                <w:szCs w:val="21"/>
                <w14:ligatures w14:val="none"/>
              </w:rPr>
              <w:t>3.5异常低价评审</w:t>
            </w:r>
          </w:p>
        </w:tc>
        <w:tc>
          <w:tcPr>
            <w:tcW w:w="7197" w:type="dxa"/>
            <w:vAlign w:val="center"/>
          </w:tcPr>
          <w:p w14:paraId="41E8FAA7">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本款修改为：</w:t>
            </w:r>
          </w:p>
          <w:p w14:paraId="21E4BA87">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评标委员会发现投标人的投标报价低于第二信封通过形式评审与响应性评审的投标人投标报价平均值的50%(含)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66D7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348" w:hRule="atLeast"/>
          <w:jc w:val="center"/>
        </w:trPr>
        <w:tc>
          <w:tcPr>
            <w:tcW w:w="1143" w:type="dxa"/>
            <w:vAlign w:val="center"/>
          </w:tcPr>
          <w:p w14:paraId="1A9AF13F">
            <w:pPr>
              <w:spacing w:line="240" w:lineRule="auto"/>
              <w:jc w:val="center"/>
              <w:rPr>
                <w:rFonts w:ascii="宋体" w:hAnsi="宋体" w:cs="宋体"/>
                <w:sz w:val="21"/>
                <w:szCs w:val="21"/>
                <w14:ligatures w14:val="none"/>
              </w:rPr>
            </w:pPr>
            <w:r>
              <w:rPr>
                <w:rFonts w:ascii="宋体" w:hAnsi="宋体" w:cs="宋体"/>
                <w:sz w:val="21"/>
                <w:szCs w:val="21"/>
                <w14:ligatures w14:val="none"/>
              </w:rPr>
              <w:t>3.6.1</w:t>
            </w:r>
          </w:p>
        </w:tc>
        <w:tc>
          <w:tcPr>
            <w:tcW w:w="1317" w:type="dxa"/>
            <w:vAlign w:val="center"/>
          </w:tcPr>
          <w:p w14:paraId="4525CDD6">
            <w:pPr>
              <w:spacing w:line="240" w:lineRule="auto"/>
              <w:jc w:val="center"/>
              <w:rPr>
                <w:rFonts w:ascii="宋体" w:hAnsi="宋体" w:cs="宋体"/>
                <w:sz w:val="21"/>
                <w:szCs w:val="21"/>
                <w14:ligatures w14:val="none"/>
              </w:rPr>
            </w:pPr>
            <w:r>
              <w:rPr>
                <w:rFonts w:ascii="宋体" w:hAnsi="宋体" w:cs="宋体"/>
                <w:sz w:val="21"/>
                <w:szCs w:val="21"/>
                <w14:ligatures w14:val="none"/>
              </w:rPr>
              <w:t>信息查询</w:t>
            </w:r>
          </w:p>
        </w:tc>
        <w:tc>
          <w:tcPr>
            <w:tcW w:w="7197" w:type="dxa"/>
            <w:vAlign w:val="center"/>
          </w:tcPr>
          <w:p w14:paraId="56565D50">
            <w:pPr>
              <w:spacing w:line="240" w:lineRule="auto"/>
              <w:jc w:val="both"/>
              <w:rPr>
                <w:rFonts w:ascii="宋体" w:hAnsi="宋体" w:cs="宋体"/>
                <w:sz w:val="21"/>
                <w:szCs w:val="21"/>
                <w14:ligatures w14:val="none"/>
              </w:rPr>
            </w:pPr>
            <w:r>
              <w:rPr>
                <w:rFonts w:ascii="宋体" w:hAnsi="宋体" w:cs="宋体"/>
                <w:sz w:val="21"/>
                <w:szCs w:val="21"/>
                <w14:ligatures w14:val="none"/>
              </w:rPr>
              <w:t>本项修改为：</w:t>
            </w:r>
          </w:p>
          <w:p w14:paraId="4A46A658">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在评标过程中，评标委员会应对以下信息进行查询：</w:t>
            </w:r>
          </w:p>
          <w:p w14:paraId="13686779">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1.评标委员会在评标过程中将对投标人的信誉情况进行查询。如投标人存在下列情形之一的，评标委员会应否决其投标。</w:t>
            </w:r>
          </w:p>
          <w:p w14:paraId="275636D8">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（1）在国家企业信用信息公示系统（https://www.gsxt.gov.cn/）中被列入严重违法失信名单（黑名单）（不含分公司）；</w:t>
            </w:r>
          </w:p>
          <w:p w14:paraId="3182C48D">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（2）在“信用中国”网站（http://www.creditchina.gov.cn/）中被列入经营（活动）异常名录、重大税收违法失信主体名单、政府采购严重违法失信行为记录名单、安全生产严重失信主体名单（均不含分公司）；</w:t>
            </w:r>
          </w:p>
          <w:p w14:paraId="00BB2507">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（3）在中国执行信息公开网（zxgk.court.gov.cn）中被列入失信被执行人（不含分公司）。</w:t>
            </w:r>
          </w:p>
          <w:p w14:paraId="26881BD1">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注:以上查询结果以开标当日查询结果为准。</w:t>
            </w:r>
          </w:p>
          <w:p w14:paraId="4E9FE317">
            <w:pPr>
              <w:adjustRightInd/>
              <w:spacing w:line="240" w:lineRule="auto"/>
              <w:jc w:val="both"/>
              <w:rPr>
                <w:rFonts w:ascii="宋体" w:hAnsi="宋体" w:cs="宋体"/>
                <w:strike/>
                <w:sz w:val="21"/>
                <w:szCs w:val="21"/>
                <w14:ligatures w14:val="none"/>
              </w:rPr>
            </w:pPr>
            <w:r>
              <w:rPr>
                <w:rFonts w:ascii="宋体" w:hAnsi="宋体" w:cs="宋体"/>
                <w:sz w:val="21"/>
                <w:szCs w:val="21"/>
                <w14:ligatures w14:val="none"/>
              </w:rPr>
              <w:t>2.评标委员会在评标时按照投标人提供的验证方式对电子保函或电子保证保险进行验证。如投标人未提供电子保函或电子保证保险的验证方式，或根据提供的验证方式无法核实或经核实与投标文件所附资料不一致的，评标委员会应否决其投标。</w:t>
            </w:r>
          </w:p>
        </w:tc>
      </w:tr>
      <w:tr w14:paraId="499F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62" w:hRule="atLeast"/>
          <w:jc w:val="center"/>
        </w:trPr>
        <w:tc>
          <w:tcPr>
            <w:tcW w:w="1143" w:type="dxa"/>
            <w:vAlign w:val="center"/>
          </w:tcPr>
          <w:p w14:paraId="7C9DAB6C">
            <w:pPr>
              <w:adjustRightInd/>
              <w:spacing w:line="240" w:lineRule="auto"/>
              <w:jc w:val="center"/>
              <w:rPr>
                <w:rFonts w:ascii="宋体" w:hAnsi="宋体" w:cs="宋体"/>
                <w:sz w:val="21"/>
                <w:szCs w:val="21"/>
                <w14:ligatures w14:val="none"/>
              </w:rPr>
            </w:pPr>
            <w:r>
              <w:rPr>
                <w:rFonts w:ascii="宋体" w:hAnsi="宋体" w:cs="宋体"/>
                <w:sz w:val="21"/>
                <w:szCs w:val="21"/>
                <w14:ligatures w14:val="none"/>
              </w:rPr>
              <w:t>3.6.3</w:t>
            </w:r>
          </w:p>
        </w:tc>
        <w:tc>
          <w:tcPr>
            <w:tcW w:w="1317" w:type="dxa"/>
            <w:vAlign w:val="center"/>
          </w:tcPr>
          <w:p w14:paraId="47C64FA3">
            <w:pPr>
              <w:adjustRightInd/>
              <w:spacing w:line="240" w:lineRule="auto"/>
              <w:jc w:val="center"/>
              <w:rPr>
                <w:rFonts w:ascii="宋体" w:hAnsi="宋体" w:cs="宋体"/>
                <w:sz w:val="21"/>
                <w:szCs w:val="21"/>
                <w14:ligatures w14:val="none"/>
              </w:rPr>
            </w:pPr>
            <w:r>
              <w:rPr>
                <w:rFonts w:ascii="宋体" w:hAnsi="宋体" w:cs="宋体"/>
                <w:sz w:val="21"/>
                <w:szCs w:val="21"/>
                <w14:ligatures w14:val="none"/>
              </w:rPr>
              <w:t>投标人其他异常投标情形</w:t>
            </w:r>
          </w:p>
        </w:tc>
        <w:tc>
          <w:tcPr>
            <w:tcW w:w="7197" w:type="dxa"/>
            <w:vAlign w:val="center"/>
          </w:tcPr>
          <w:p w14:paraId="1DE9EE5E">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增加本项：</w:t>
            </w:r>
          </w:p>
          <w:p w14:paraId="326A50EF">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评标委员会在评标过程中发现存在投标文件异常一致或投标活动异常关联等异常投标情形的，应当要求投标人在规定时间内作出书面说明并提供相应的证明材料。投标人不能合理说明或者不能提供相应证明材料的，评标委员会应当认定投标人存在串通投标等违法行为，并否决其投标。</w:t>
            </w:r>
          </w:p>
          <w:p w14:paraId="33AFB0EC">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有下列情形之一的，属于投标文件异常一致或投标活动异常关联等异常投标情形：</w:t>
            </w:r>
          </w:p>
          <w:p w14:paraId="76232E3D">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（1）投标人投标文件制作机器码雷同；</w:t>
            </w:r>
          </w:p>
          <w:p w14:paraId="3EB1D891">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（2）投标文件创建标识码雷同；</w:t>
            </w:r>
          </w:p>
          <w:p w14:paraId="47CDF6A3">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（3）投标文件制作计算机MAC地址雷同；</w:t>
            </w:r>
          </w:p>
          <w:p w14:paraId="437B9B63">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（4）投标文件制作计算机硬盘序列号雷同；</w:t>
            </w:r>
          </w:p>
          <w:p w14:paraId="78050C70">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（5）投标文件上传IP地址雷同；</w:t>
            </w:r>
          </w:p>
          <w:p w14:paraId="74BB1EF8">
            <w:pPr>
              <w:adjustRightInd/>
              <w:spacing w:line="240" w:lineRule="auto"/>
              <w:jc w:val="both"/>
              <w:rPr>
                <w:rFonts w:ascii="宋体" w:hAnsi="宋体" w:cs="宋体"/>
                <w:sz w:val="21"/>
                <w:szCs w:val="21"/>
                <w14:ligatures w14:val="none"/>
              </w:rPr>
            </w:pPr>
            <w:r>
              <w:rPr>
                <w:rFonts w:ascii="宋体" w:hAnsi="宋体" w:cs="宋体"/>
                <w:sz w:val="21"/>
                <w:szCs w:val="21"/>
                <w14:ligatures w14:val="none"/>
              </w:rPr>
              <w:t>（6）投标文件解密IP地址雷同。</w:t>
            </w:r>
          </w:p>
        </w:tc>
      </w:tr>
    </w:tbl>
    <w:p w14:paraId="19622A9B">
      <w:pPr>
        <w:jc w:val="both"/>
        <w:textAlignment w:val="baseline"/>
        <w:rPr>
          <w:rFonts w:ascii="宋体" w:hAnsi="宋体" w:cs="Times New Roman"/>
          <w:b/>
          <w:bCs/>
          <w:snapToGrid w:val="0"/>
          <w:kern w:val="0"/>
          <w:sz w:val="28"/>
          <w14:ligatures w14:val="none"/>
        </w:rPr>
      </w:pPr>
      <w:r>
        <w:rPr>
          <w:rFonts w:ascii="宋体" w:hAnsi="宋体" w:cs="Times New Roman"/>
          <w:b/>
          <w:bCs/>
          <w:snapToGrid w:val="0"/>
          <w:kern w:val="0"/>
          <w:sz w:val="28"/>
          <w14:ligatures w14:val="none"/>
        </w:rPr>
        <w:br w:type="page"/>
      </w:r>
      <w:r>
        <w:rPr>
          <w:rFonts w:ascii="宋体" w:hAnsi="宋体" w:cs="Times New Roman"/>
          <w:b/>
          <w:bCs/>
          <w:snapToGrid w:val="0"/>
          <w:kern w:val="0"/>
          <w:sz w:val="28"/>
          <w14:ligatures w14:val="none"/>
        </w:rPr>
        <w:t>评分标准</w:t>
      </w:r>
    </w:p>
    <w:tbl>
      <w:tblPr>
        <w:tblStyle w:val="13"/>
        <w:tblW w:w="9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186"/>
        <w:gridCol w:w="1507"/>
        <w:gridCol w:w="787"/>
        <w:gridCol w:w="4935"/>
      </w:tblGrid>
      <w:tr w14:paraId="0C275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59" w:type="dxa"/>
            <w:vAlign w:val="center"/>
          </w:tcPr>
          <w:p w14:paraId="660933E7">
            <w:pPr>
              <w:adjustRightInd/>
              <w:snapToGrid/>
              <w:spacing w:line="240" w:lineRule="auto"/>
              <w:jc w:val="center"/>
              <w:textAlignment w:val="baseline"/>
              <w:rPr>
                <w:rFonts w:ascii="宋体" w:hAnsi="宋体" w:cs="宋体"/>
                <w:kern w:val="0"/>
                <w:sz w:val="21"/>
                <w:szCs w:val="21"/>
                <w14:ligatures w14:val="none"/>
              </w:rPr>
            </w:pPr>
            <w:r>
              <w:rPr>
                <w:rFonts w:ascii="宋体" w:hAnsi="宋体" w:cs="宋体"/>
                <w:sz w:val="21"/>
                <w:szCs w:val="21"/>
                <w14:ligatures w14:val="none"/>
              </w:rPr>
              <w:t>条款号</w:t>
            </w:r>
          </w:p>
        </w:tc>
        <w:tc>
          <w:tcPr>
            <w:tcW w:w="1186" w:type="dxa"/>
            <w:vAlign w:val="center"/>
          </w:tcPr>
          <w:p w14:paraId="0A191C95">
            <w:pPr>
              <w:adjustRightInd/>
              <w:snapToGrid/>
              <w:spacing w:line="240" w:lineRule="auto"/>
              <w:jc w:val="center"/>
              <w:textAlignment w:val="baseline"/>
              <w:rPr>
                <w:rFonts w:ascii="宋体" w:hAnsi="宋体" w:cs="宋体"/>
                <w:sz w:val="21"/>
                <w:szCs w:val="21"/>
                <w14:ligatures w14:val="none"/>
              </w:rPr>
            </w:pPr>
            <w:r>
              <w:rPr>
                <w:rFonts w:ascii="宋体" w:hAnsi="宋体" w:cs="宋体"/>
                <w:sz w:val="21"/>
                <w:szCs w:val="21"/>
                <w14:ligatures w14:val="none"/>
              </w:rPr>
              <w:t>评分</w:t>
            </w:r>
          </w:p>
          <w:p w14:paraId="006A36AE">
            <w:pPr>
              <w:adjustRightInd/>
              <w:snapToGrid/>
              <w:spacing w:line="240" w:lineRule="auto"/>
              <w:jc w:val="center"/>
              <w:textAlignment w:val="baseline"/>
              <w:rPr>
                <w:rFonts w:ascii="宋体" w:hAnsi="宋体" w:cs="宋体"/>
                <w:sz w:val="21"/>
                <w:szCs w:val="21"/>
                <w14:ligatures w14:val="none"/>
              </w:rPr>
            </w:pPr>
            <w:r>
              <w:rPr>
                <w:rFonts w:ascii="宋体" w:hAnsi="宋体" w:cs="宋体"/>
                <w:sz w:val="21"/>
                <w:szCs w:val="21"/>
                <w14:ligatures w14:val="none"/>
              </w:rPr>
              <w:t>因素</w:t>
            </w:r>
          </w:p>
        </w:tc>
        <w:tc>
          <w:tcPr>
            <w:tcW w:w="1507" w:type="dxa"/>
            <w:vAlign w:val="center"/>
          </w:tcPr>
          <w:p w14:paraId="05C06DAF">
            <w:pPr>
              <w:spacing w:line="240" w:lineRule="auto"/>
              <w:jc w:val="center"/>
              <w:rPr>
                <w:rFonts w:ascii="宋体" w:hAnsi="宋体" w:cs="宋体"/>
                <w:sz w:val="21"/>
                <w:szCs w:val="21"/>
                <w:u w:val="single"/>
                <w14:ligatures w14:val="none"/>
              </w:rPr>
            </w:pPr>
            <w:r>
              <w:rPr>
                <w:rFonts w:ascii="宋体" w:hAnsi="宋体" w:cs="宋体"/>
                <w:sz w:val="21"/>
                <w:szCs w:val="21"/>
                <w14:ligatures w14:val="none"/>
              </w:rPr>
              <w:t>评分因素</w:t>
            </w:r>
          </w:p>
        </w:tc>
        <w:tc>
          <w:tcPr>
            <w:tcW w:w="787" w:type="dxa"/>
            <w:vAlign w:val="center"/>
          </w:tcPr>
          <w:p w14:paraId="423C7617">
            <w:pPr>
              <w:adjustRightInd/>
              <w:snapToGrid/>
              <w:spacing w:line="240" w:lineRule="auto"/>
              <w:jc w:val="center"/>
              <w:rPr>
                <w:rFonts w:ascii="宋体" w:hAnsi="宋体" w:cs="宋体"/>
                <w:sz w:val="21"/>
                <w:szCs w:val="21"/>
                <w14:ligatures w14:val="none"/>
              </w:rPr>
            </w:pPr>
            <w:r>
              <w:rPr>
                <w:rFonts w:ascii="宋体" w:hAnsi="宋体" w:cs="宋体"/>
                <w:spacing w:val="-3"/>
                <w:sz w:val="21"/>
                <w:szCs w:val="21"/>
                <w14:ligatures w14:val="none"/>
              </w:rPr>
              <w:t>分</w:t>
            </w:r>
            <w:r>
              <w:rPr>
                <w:rFonts w:ascii="宋体" w:hAnsi="宋体" w:cs="宋体"/>
                <w:spacing w:val="-2"/>
                <w:sz w:val="21"/>
                <w:szCs w:val="21"/>
                <w14:ligatures w14:val="none"/>
              </w:rPr>
              <w:t>值</w:t>
            </w:r>
          </w:p>
        </w:tc>
        <w:tc>
          <w:tcPr>
            <w:tcW w:w="4935" w:type="dxa"/>
            <w:vAlign w:val="center"/>
          </w:tcPr>
          <w:p w14:paraId="248B3971">
            <w:pPr>
              <w:adjustRightInd/>
              <w:snapToGrid/>
              <w:spacing w:line="240" w:lineRule="auto"/>
              <w:jc w:val="center"/>
              <w:rPr>
                <w:rFonts w:ascii="宋体" w:hAnsi="宋体" w:cs="宋体"/>
                <w:spacing w:val="-3"/>
                <w:sz w:val="21"/>
                <w:szCs w:val="21"/>
                <w14:ligatures w14:val="none"/>
              </w:rPr>
            </w:pPr>
            <w:r>
              <w:rPr>
                <w:rFonts w:ascii="宋体" w:hAnsi="宋体" w:cs="宋体"/>
                <w:spacing w:val="-1"/>
                <w:sz w:val="21"/>
                <w:szCs w:val="21"/>
                <w14:ligatures w14:val="none"/>
              </w:rPr>
              <w:t>评分</w:t>
            </w:r>
            <w:r>
              <w:rPr>
                <w:rFonts w:ascii="宋体" w:hAnsi="宋体" w:cs="宋体"/>
                <w:sz w:val="21"/>
                <w:szCs w:val="21"/>
                <w14:ligatures w14:val="none"/>
              </w:rPr>
              <w:t>标准</w:t>
            </w:r>
          </w:p>
        </w:tc>
      </w:tr>
      <w:tr w14:paraId="4DA6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959" w:type="dxa"/>
            <w:vMerge w:val="restart"/>
            <w:vAlign w:val="center"/>
          </w:tcPr>
          <w:p w14:paraId="5CA34439">
            <w:pPr>
              <w:adjustRightInd/>
              <w:snapToGrid/>
              <w:spacing w:line="240" w:lineRule="auto"/>
              <w:jc w:val="center"/>
              <w:rPr>
                <w:rFonts w:ascii="宋体" w:hAnsi="宋体" w:cs="宋体"/>
                <w:kern w:val="0"/>
                <w:sz w:val="21"/>
                <w:szCs w:val="21"/>
                <w14:ligatures w14:val="none"/>
              </w:rPr>
            </w:pPr>
            <w:r>
              <w:rPr>
                <w:rFonts w:ascii="宋体" w:hAnsi="宋体" w:cs="宋体"/>
                <w:kern w:val="0"/>
                <w:sz w:val="21"/>
                <w:szCs w:val="21"/>
                <w14:ligatures w14:val="none"/>
              </w:rPr>
              <w:t>2.2.1</w:t>
            </w:r>
          </w:p>
          <w:p w14:paraId="7E7D1BEA">
            <w:pPr>
              <w:adjustRightInd/>
              <w:snapToGrid/>
              <w:spacing w:line="240" w:lineRule="auto"/>
              <w:jc w:val="center"/>
              <w:rPr>
                <w:rFonts w:ascii="宋体" w:hAnsi="宋体" w:cs="宋体"/>
                <w:sz w:val="21"/>
                <w:szCs w:val="21"/>
                <w14:ligatures w14:val="none"/>
              </w:rPr>
            </w:pPr>
            <w:r>
              <w:rPr>
                <w:rFonts w:ascii="宋体" w:hAnsi="宋体" w:cs="宋体"/>
                <w:kern w:val="0"/>
                <w:sz w:val="21"/>
                <w:szCs w:val="21"/>
                <w14:ligatures w14:val="none"/>
              </w:rPr>
              <w:t>(1)</w:t>
            </w:r>
          </w:p>
        </w:tc>
        <w:tc>
          <w:tcPr>
            <w:tcW w:w="1186" w:type="dxa"/>
            <w:vMerge w:val="restart"/>
            <w:vAlign w:val="center"/>
          </w:tcPr>
          <w:p w14:paraId="20A4DEB7">
            <w:pPr>
              <w:adjustRightInd/>
              <w:snapToGrid/>
              <w:spacing w:line="240" w:lineRule="auto"/>
              <w:jc w:val="center"/>
              <w:rPr>
                <w:rFonts w:ascii="宋体" w:hAnsi="宋体" w:cs="宋体"/>
                <w:sz w:val="21"/>
                <w:szCs w:val="21"/>
                <w14:ligatures w14:val="none"/>
              </w:rPr>
            </w:pPr>
            <w:r>
              <w:rPr>
                <w:rFonts w:ascii="宋体" w:hAnsi="宋体" w:cs="宋体"/>
                <w:kern w:val="0"/>
                <w:sz w:val="21"/>
                <w:szCs w:val="21"/>
                <w14:ligatures w14:val="none"/>
              </w:rPr>
              <w:t>商务部分</w:t>
            </w:r>
            <w:r>
              <w:rPr>
                <w:rFonts w:ascii="宋体" w:hAnsi="宋体" w:cs="宋体"/>
                <w:sz w:val="21"/>
                <w:szCs w:val="21"/>
                <w14:ligatures w14:val="none"/>
              </w:rPr>
              <w:t>（20分）</w:t>
            </w:r>
          </w:p>
        </w:tc>
        <w:tc>
          <w:tcPr>
            <w:tcW w:w="1507" w:type="dxa"/>
            <w:vMerge w:val="restart"/>
            <w:vAlign w:val="center"/>
          </w:tcPr>
          <w:p w14:paraId="7000CBF3">
            <w:pPr>
              <w:spacing w:line="240" w:lineRule="auto"/>
              <w:jc w:val="center"/>
              <w:rPr>
                <w:rFonts w:ascii="宋体" w:hAnsi="宋体" w:cs="宋体"/>
                <w:sz w:val="21"/>
                <w:szCs w:val="21"/>
                <w14:ligatures w14:val="none"/>
              </w:rPr>
            </w:pPr>
            <w:r>
              <w:rPr>
                <w:rFonts w:ascii="宋体" w:hAnsi="宋体" w:cs="宋体"/>
                <w:sz w:val="21"/>
                <w:szCs w:val="21"/>
                <w14:ligatures w14:val="none"/>
              </w:rPr>
              <w:t>业绩</w:t>
            </w:r>
          </w:p>
        </w:tc>
        <w:tc>
          <w:tcPr>
            <w:tcW w:w="787" w:type="dxa"/>
            <w:vMerge w:val="restart"/>
            <w:vAlign w:val="center"/>
          </w:tcPr>
          <w:p w14:paraId="699D0F54">
            <w:pPr>
              <w:adjustRightInd/>
              <w:snapToGrid/>
              <w:spacing w:line="240" w:lineRule="auto"/>
              <w:jc w:val="center"/>
              <w:rPr>
                <w:rFonts w:ascii="宋体" w:hAnsi="宋体" w:cs="宋体"/>
                <w:sz w:val="21"/>
                <w:szCs w:val="21"/>
                <w14:ligatures w14:val="none"/>
              </w:rPr>
            </w:pPr>
            <w:r>
              <w:rPr>
                <w:rFonts w:ascii="宋体" w:hAnsi="宋体" w:cs="宋体"/>
                <w:kern w:val="0"/>
                <w:sz w:val="21"/>
                <w:szCs w:val="21"/>
                <w14:ligatures w14:val="none"/>
              </w:rPr>
              <w:t>20分</w:t>
            </w:r>
          </w:p>
        </w:tc>
        <w:tc>
          <w:tcPr>
            <w:tcW w:w="4935" w:type="dxa"/>
            <w:vAlign w:val="center"/>
          </w:tcPr>
          <w:p w14:paraId="4961F2A4">
            <w:pPr>
              <w:adjustRightInd/>
              <w:snapToGrid/>
              <w:spacing w:line="240" w:lineRule="auto"/>
              <w:ind w:right="113"/>
              <w:jc w:val="both"/>
              <w:rPr>
                <w:rFonts w:ascii="宋体" w:hAnsi="宋体" w:cs="宋体"/>
                <w:sz w:val="21"/>
                <w:szCs w:val="21"/>
                <w14:ligatures w14:val="none"/>
              </w:rPr>
            </w:pPr>
            <w:r>
              <w:rPr>
                <w:rFonts w:ascii="宋体" w:hAnsi="宋体" w:cs="宋体"/>
                <w:sz w:val="21"/>
                <w:szCs w:val="21"/>
                <w14:ligatures w14:val="none"/>
              </w:rPr>
              <w:t>满足资格审查条件(业绩最低要求)得12分；</w:t>
            </w:r>
          </w:p>
        </w:tc>
      </w:tr>
      <w:tr w14:paraId="4455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959" w:type="dxa"/>
            <w:vMerge w:val="continue"/>
            <w:vAlign w:val="center"/>
          </w:tcPr>
          <w:p w14:paraId="008BA006">
            <w:pPr>
              <w:adjustRightInd/>
              <w:snapToGrid/>
              <w:spacing w:line="240" w:lineRule="auto"/>
              <w:jc w:val="center"/>
              <w:rPr>
                <w:rFonts w:ascii="宋体" w:hAnsi="宋体" w:cs="宋体"/>
                <w:kern w:val="0"/>
                <w:sz w:val="21"/>
                <w:szCs w:val="21"/>
                <w14:ligatures w14:val="none"/>
              </w:rPr>
            </w:pPr>
          </w:p>
        </w:tc>
        <w:tc>
          <w:tcPr>
            <w:tcW w:w="1186" w:type="dxa"/>
            <w:vMerge w:val="continue"/>
            <w:vAlign w:val="center"/>
          </w:tcPr>
          <w:p w14:paraId="0786ADBF">
            <w:pPr>
              <w:adjustRightInd/>
              <w:snapToGrid/>
              <w:spacing w:line="240" w:lineRule="auto"/>
              <w:jc w:val="center"/>
              <w:rPr>
                <w:rFonts w:ascii="宋体" w:hAnsi="宋体" w:cs="宋体"/>
                <w:kern w:val="0"/>
                <w:sz w:val="21"/>
                <w:szCs w:val="21"/>
                <w14:ligatures w14:val="none"/>
              </w:rPr>
            </w:pPr>
          </w:p>
        </w:tc>
        <w:tc>
          <w:tcPr>
            <w:tcW w:w="1507" w:type="dxa"/>
            <w:vMerge w:val="continue"/>
            <w:vAlign w:val="center"/>
          </w:tcPr>
          <w:p w14:paraId="54C42844">
            <w:pPr>
              <w:spacing w:line="240" w:lineRule="auto"/>
              <w:jc w:val="center"/>
              <w:rPr>
                <w:rFonts w:ascii="宋体" w:hAnsi="宋体" w:cs="宋体"/>
                <w:sz w:val="21"/>
                <w:szCs w:val="21"/>
                <w14:ligatures w14:val="none"/>
              </w:rPr>
            </w:pPr>
          </w:p>
        </w:tc>
        <w:tc>
          <w:tcPr>
            <w:tcW w:w="787" w:type="dxa"/>
            <w:vMerge w:val="continue"/>
            <w:vAlign w:val="center"/>
          </w:tcPr>
          <w:p w14:paraId="0449A0AC">
            <w:pPr>
              <w:adjustRightInd/>
              <w:snapToGrid/>
              <w:spacing w:line="240" w:lineRule="auto"/>
              <w:jc w:val="center"/>
              <w:rPr>
                <w:rFonts w:ascii="宋体" w:hAnsi="宋体" w:cs="宋体"/>
                <w:kern w:val="0"/>
                <w:sz w:val="21"/>
                <w:szCs w:val="21"/>
                <w14:ligatures w14:val="none"/>
              </w:rPr>
            </w:pPr>
          </w:p>
        </w:tc>
        <w:tc>
          <w:tcPr>
            <w:tcW w:w="4935" w:type="dxa"/>
            <w:vAlign w:val="center"/>
          </w:tcPr>
          <w:p w14:paraId="17A587C1">
            <w:pPr>
              <w:adjustRightInd/>
              <w:spacing w:line="320" w:lineRule="exact"/>
              <w:jc w:val="both"/>
              <w:rPr>
                <w:rFonts w:ascii="宋体" w:hAnsi="宋体" w:cs="宋体"/>
                <w:sz w:val="21"/>
                <w:szCs w:val="21"/>
                <w14:ligatures w14:val="none"/>
              </w:rPr>
            </w:pPr>
            <w:r>
              <w:rPr>
                <w:rFonts w:ascii="宋体" w:hAnsi="宋体" w:cs="宋体"/>
                <w:sz w:val="21"/>
                <w:szCs w:val="21"/>
                <w14:ligatures w14:val="none"/>
              </w:rPr>
              <w:t>每增加1项满足资格审查条件（业绩最低要求）的供货业绩的加2分，最多加8分</w:t>
            </w:r>
          </w:p>
        </w:tc>
      </w:tr>
      <w:tr w14:paraId="45F3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959" w:type="dxa"/>
            <w:vMerge w:val="restart"/>
            <w:vAlign w:val="center"/>
          </w:tcPr>
          <w:p w14:paraId="29388998">
            <w:pPr>
              <w:adjustRightInd/>
              <w:snapToGrid/>
              <w:spacing w:line="240" w:lineRule="auto"/>
              <w:jc w:val="center"/>
              <w:rPr>
                <w:rFonts w:ascii="宋体" w:hAnsi="宋体" w:cs="宋体"/>
                <w:kern w:val="0"/>
                <w:sz w:val="21"/>
                <w:szCs w:val="21"/>
                <w14:ligatures w14:val="none"/>
              </w:rPr>
            </w:pPr>
            <w:r>
              <w:rPr>
                <w:rFonts w:ascii="宋体" w:hAnsi="宋体" w:cs="宋体"/>
                <w:kern w:val="0"/>
                <w:sz w:val="21"/>
                <w:szCs w:val="21"/>
                <w14:ligatures w14:val="none"/>
              </w:rPr>
              <w:t>2.2.1</w:t>
            </w:r>
          </w:p>
          <w:p w14:paraId="79034C21">
            <w:pPr>
              <w:adjustRightInd/>
              <w:snapToGrid/>
              <w:spacing w:line="240" w:lineRule="auto"/>
              <w:jc w:val="center"/>
              <w:rPr>
                <w:rFonts w:ascii="宋体" w:hAnsi="宋体" w:cs="宋体"/>
                <w:sz w:val="21"/>
                <w:szCs w:val="21"/>
                <w14:ligatures w14:val="none"/>
              </w:rPr>
            </w:pPr>
            <w:r>
              <w:rPr>
                <w:rFonts w:ascii="宋体" w:hAnsi="宋体" w:cs="宋体"/>
                <w:kern w:val="0"/>
                <w:sz w:val="21"/>
                <w:szCs w:val="21"/>
                <w14:ligatures w14:val="none"/>
              </w:rPr>
              <w:t>(2)</w:t>
            </w:r>
          </w:p>
        </w:tc>
        <w:tc>
          <w:tcPr>
            <w:tcW w:w="1186" w:type="dxa"/>
            <w:vMerge w:val="restart"/>
            <w:vAlign w:val="center"/>
          </w:tcPr>
          <w:p w14:paraId="0E8C8BDF">
            <w:pPr>
              <w:adjustRightInd/>
              <w:snapToGrid/>
              <w:spacing w:line="240" w:lineRule="auto"/>
              <w:jc w:val="center"/>
              <w:rPr>
                <w:rFonts w:ascii="宋体" w:hAnsi="宋体" w:cs="宋体"/>
                <w:kern w:val="0"/>
                <w:sz w:val="21"/>
                <w:szCs w:val="21"/>
                <w14:ligatures w14:val="none"/>
              </w:rPr>
            </w:pPr>
            <w:r>
              <w:rPr>
                <w:rFonts w:ascii="宋体" w:hAnsi="宋体" w:cs="宋体"/>
                <w:kern w:val="0"/>
                <w:sz w:val="21"/>
                <w:szCs w:val="21"/>
                <w14:ligatures w14:val="none"/>
              </w:rPr>
              <w:t>技术部分</w:t>
            </w:r>
          </w:p>
          <w:p w14:paraId="40DEA37B">
            <w:pPr>
              <w:widowControl/>
              <w:overflowPunct w:val="0"/>
              <w:autoSpaceDE w:val="0"/>
              <w:autoSpaceDN w:val="0"/>
              <w:snapToGrid/>
              <w:jc w:val="both"/>
              <w:textAlignment w:val="baseline"/>
              <w:outlineLvl w:val="0"/>
              <w:rPr>
                <w:rFonts w:eastAsia="楷体_GB2312" w:cs="Times New Roman"/>
                <w:kern w:val="0"/>
                <w:sz w:val="21"/>
                <w:szCs w:val="21"/>
                <w:lang w:val="en-US"/>
                <w14:ligatures w14:val="none"/>
              </w:rPr>
            </w:pPr>
            <w:r>
              <w:rPr>
                <w:rFonts w:eastAsia="楷体_GB2312" w:cs="Times New Roman"/>
                <w:kern w:val="0"/>
                <w:sz w:val="21"/>
                <w:szCs w:val="21"/>
                <w:lang w:val="en-US"/>
                <w14:ligatures w14:val="none"/>
              </w:rPr>
              <w:t>（</w:t>
            </w:r>
            <w:r>
              <w:rPr>
                <w:rFonts w:eastAsia="楷体_GB2312" w:cs="Times New Roman"/>
                <w:kern w:val="0"/>
                <w:sz w:val="21"/>
                <w:szCs w:val="21"/>
                <w14:ligatures w14:val="none"/>
              </w:rPr>
              <w:t>8</w:t>
            </w:r>
            <w:r>
              <w:rPr>
                <w:rFonts w:eastAsia="楷体_GB2312" w:cs="Times New Roman"/>
                <w:kern w:val="0"/>
                <w:sz w:val="21"/>
                <w:szCs w:val="21"/>
                <w:lang w:val="en-US"/>
                <w14:ligatures w14:val="none"/>
              </w:rPr>
              <w:t>0分）</w:t>
            </w:r>
          </w:p>
        </w:tc>
        <w:tc>
          <w:tcPr>
            <w:tcW w:w="1507" w:type="dxa"/>
            <w:vAlign w:val="center"/>
          </w:tcPr>
          <w:p w14:paraId="38328BBD">
            <w:pPr>
              <w:spacing w:line="240" w:lineRule="auto"/>
              <w:jc w:val="center"/>
              <w:rPr>
                <w:rFonts w:ascii="宋体" w:hAnsi="宋体" w:cs="宋体"/>
                <w:sz w:val="21"/>
                <w:szCs w:val="21"/>
                <w14:ligatures w14:val="none"/>
              </w:rPr>
            </w:pPr>
            <w:r>
              <w:rPr>
                <w:rFonts w:ascii="宋体" w:hAnsi="宋体" w:cs="宋体"/>
                <w:sz w:val="21"/>
                <w:szCs w:val="21"/>
                <w14:ligatures w14:val="none"/>
              </w:rPr>
              <w:t>投标设备整体评价</w:t>
            </w:r>
          </w:p>
        </w:tc>
        <w:tc>
          <w:tcPr>
            <w:tcW w:w="787" w:type="dxa"/>
            <w:vAlign w:val="center"/>
          </w:tcPr>
          <w:p w14:paraId="06279446">
            <w:pPr>
              <w:adjustRightInd/>
              <w:snapToGrid/>
              <w:spacing w:line="240" w:lineRule="auto"/>
              <w:jc w:val="center"/>
              <w:rPr>
                <w:rFonts w:ascii="宋体" w:hAnsi="宋体" w:cs="宋体"/>
                <w:sz w:val="21"/>
                <w:szCs w:val="21"/>
                <w14:ligatures w14:val="none"/>
              </w:rPr>
            </w:pPr>
            <w:r>
              <w:rPr>
                <w:rFonts w:ascii="宋体" w:hAnsi="宋体" w:cs="宋体"/>
                <w:kern w:val="0"/>
                <w:sz w:val="21"/>
                <w:szCs w:val="21"/>
                <w14:ligatures w14:val="none"/>
              </w:rPr>
              <w:t>20分</w:t>
            </w:r>
          </w:p>
        </w:tc>
        <w:tc>
          <w:tcPr>
            <w:tcW w:w="4935" w:type="dxa"/>
            <w:vAlign w:val="center"/>
          </w:tcPr>
          <w:p w14:paraId="37700744">
            <w:pPr>
              <w:adjustRightInd/>
              <w:snapToGrid/>
              <w:spacing w:line="240" w:lineRule="auto"/>
              <w:ind w:right="113"/>
              <w:jc w:val="both"/>
              <w:rPr>
                <w:rFonts w:ascii="宋体" w:hAnsi="宋体" w:cs="宋体"/>
                <w:sz w:val="21"/>
                <w:szCs w:val="21"/>
                <w14:ligatures w14:val="none"/>
              </w:rPr>
            </w:pPr>
            <w:r>
              <w:rPr>
                <w:rFonts w:ascii="宋体" w:hAnsi="宋体" w:cs="宋体"/>
                <w:sz w:val="21"/>
                <w:szCs w:val="21"/>
                <w14:ligatures w14:val="none"/>
              </w:rPr>
              <w:t>1.设备整体性能优越、功能齐全、完善，自动化水平高，完全满足招标文件要求，得16-20分；</w:t>
            </w:r>
          </w:p>
          <w:p w14:paraId="5FD37A44">
            <w:pPr>
              <w:adjustRightInd/>
              <w:snapToGrid/>
              <w:spacing w:line="240" w:lineRule="auto"/>
              <w:ind w:right="113"/>
              <w:jc w:val="both"/>
              <w:rPr>
                <w:rFonts w:ascii="宋体" w:hAnsi="宋体" w:cs="宋体"/>
                <w:sz w:val="21"/>
                <w:szCs w:val="21"/>
                <w14:ligatures w14:val="none"/>
              </w:rPr>
            </w:pPr>
            <w:r>
              <w:rPr>
                <w:rFonts w:ascii="宋体" w:hAnsi="宋体" w:cs="宋体"/>
                <w:sz w:val="21"/>
                <w:szCs w:val="21"/>
                <w14:ligatures w14:val="none"/>
              </w:rPr>
              <w:t>2.设备整体性能较高、功能较齐全、较完善，自动化水平较高，满足招标文件要求，得12-16分；</w:t>
            </w:r>
          </w:p>
          <w:p w14:paraId="4F06763E">
            <w:pPr>
              <w:adjustRightInd/>
              <w:snapToGrid/>
              <w:spacing w:line="240" w:lineRule="auto"/>
              <w:ind w:right="113"/>
              <w:jc w:val="both"/>
              <w:rPr>
                <w:rFonts w:ascii="宋体" w:hAnsi="宋体" w:cs="宋体"/>
                <w:sz w:val="21"/>
                <w:szCs w:val="21"/>
                <w14:ligatures w14:val="none"/>
              </w:rPr>
            </w:pPr>
            <w:r>
              <w:rPr>
                <w:rFonts w:ascii="宋体" w:hAnsi="宋体" w:cs="宋体"/>
                <w:sz w:val="21"/>
                <w:szCs w:val="21"/>
                <w14:ligatures w14:val="none"/>
              </w:rPr>
              <w:t>3.设备整体性能一般，功能一般，自动化水平一般，基本满足招标文件要求，得12分。</w:t>
            </w:r>
          </w:p>
        </w:tc>
      </w:tr>
      <w:tr w14:paraId="6F305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jc w:val="center"/>
        </w:trPr>
        <w:tc>
          <w:tcPr>
            <w:tcW w:w="959" w:type="dxa"/>
            <w:vMerge w:val="continue"/>
            <w:vAlign w:val="center"/>
          </w:tcPr>
          <w:p w14:paraId="1732B583">
            <w:pPr>
              <w:adjustRightInd/>
              <w:snapToGrid/>
              <w:spacing w:line="240" w:lineRule="auto"/>
              <w:jc w:val="center"/>
              <w:rPr>
                <w:rFonts w:ascii="宋体" w:hAnsi="宋体" w:cs="宋体"/>
                <w:kern w:val="0"/>
                <w:sz w:val="21"/>
                <w:szCs w:val="21"/>
                <w14:ligatures w14:val="none"/>
              </w:rPr>
            </w:pPr>
          </w:p>
        </w:tc>
        <w:tc>
          <w:tcPr>
            <w:tcW w:w="1186" w:type="dxa"/>
            <w:vMerge w:val="continue"/>
            <w:vAlign w:val="center"/>
          </w:tcPr>
          <w:p w14:paraId="0F6A17DE">
            <w:pPr>
              <w:adjustRightInd/>
              <w:snapToGrid/>
              <w:spacing w:line="240" w:lineRule="auto"/>
              <w:jc w:val="center"/>
              <w:rPr>
                <w:rFonts w:ascii="宋体" w:hAnsi="宋体" w:cs="宋体"/>
                <w:kern w:val="0"/>
                <w:sz w:val="21"/>
                <w:szCs w:val="21"/>
                <w14:ligatures w14:val="none"/>
              </w:rPr>
            </w:pPr>
          </w:p>
        </w:tc>
        <w:tc>
          <w:tcPr>
            <w:tcW w:w="1507" w:type="dxa"/>
            <w:vAlign w:val="center"/>
          </w:tcPr>
          <w:p w14:paraId="742258BE">
            <w:pPr>
              <w:spacing w:line="240" w:lineRule="auto"/>
              <w:jc w:val="center"/>
              <w:rPr>
                <w:rFonts w:ascii="宋体" w:hAnsi="宋体" w:cs="宋体"/>
                <w:sz w:val="21"/>
                <w:szCs w:val="21"/>
                <w14:ligatures w14:val="none"/>
              </w:rPr>
            </w:pPr>
            <w:r>
              <w:rPr>
                <w:rFonts w:ascii="宋体" w:hAnsi="宋体" w:cs="宋体"/>
                <w:sz w:val="21"/>
                <w:szCs w:val="21"/>
                <w14:ligatures w14:val="none"/>
              </w:rPr>
              <w:t>投标设备技术性能指标响应程度</w:t>
            </w:r>
          </w:p>
        </w:tc>
        <w:tc>
          <w:tcPr>
            <w:tcW w:w="787" w:type="dxa"/>
            <w:vAlign w:val="center"/>
          </w:tcPr>
          <w:p w14:paraId="64B35A98">
            <w:pPr>
              <w:adjustRightInd/>
              <w:snapToGrid/>
              <w:spacing w:line="240" w:lineRule="auto"/>
              <w:jc w:val="center"/>
              <w:rPr>
                <w:rFonts w:ascii="宋体" w:hAnsi="宋体" w:cs="宋体"/>
                <w:kern w:val="0"/>
                <w:sz w:val="21"/>
                <w:szCs w:val="21"/>
                <w:u w:val="single"/>
                <w14:ligatures w14:val="none"/>
              </w:rPr>
            </w:pPr>
            <w:r>
              <w:rPr>
                <w:rFonts w:ascii="宋体" w:hAnsi="宋体" w:cs="宋体"/>
                <w:kern w:val="0"/>
                <w:sz w:val="21"/>
                <w:szCs w:val="21"/>
                <w14:ligatures w14:val="none"/>
              </w:rPr>
              <w:t>20分</w:t>
            </w:r>
          </w:p>
        </w:tc>
        <w:tc>
          <w:tcPr>
            <w:tcW w:w="4935" w:type="dxa"/>
            <w:vAlign w:val="center"/>
          </w:tcPr>
          <w:p w14:paraId="4FA776DF">
            <w:pPr>
              <w:adjustRightInd/>
              <w:snapToGrid/>
              <w:spacing w:line="240" w:lineRule="auto"/>
              <w:ind w:right="113"/>
              <w:jc w:val="both"/>
              <w:rPr>
                <w:rFonts w:ascii="宋体" w:hAnsi="宋体" w:cs="宋体"/>
                <w:sz w:val="21"/>
                <w:szCs w:val="21"/>
                <w14:ligatures w14:val="none"/>
              </w:rPr>
            </w:pPr>
            <w:r>
              <w:rPr>
                <w:rFonts w:ascii="宋体" w:hAnsi="宋体" w:cs="宋体"/>
                <w:sz w:val="21"/>
                <w:szCs w:val="21"/>
                <w14:ligatures w14:val="none"/>
              </w:rPr>
              <w:t>1.投标产品选型合理，主要组成部件的技术性能参数及功能参数指标高，实用性强、产品设计科学合理、质量可靠，得16-20分；</w:t>
            </w:r>
          </w:p>
          <w:p w14:paraId="66883A4D">
            <w:pPr>
              <w:adjustRightInd/>
              <w:snapToGrid/>
              <w:spacing w:line="240" w:lineRule="auto"/>
              <w:ind w:right="113"/>
              <w:jc w:val="both"/>
              <w:rPr>
                <w:rFonts w:ascii="宋体" w:hAnsi="宋体" w:cs="宋体"/>
                <w:sz w:val="21"/>
                <w:szCs w:val="21"/>
                <w14:ligatures w14:val="none"/>
              </w:rPr>
            </w:pPr>
            <w:r>
              <w:rPr>
                <w:rFonts w:ascii="宋体" w:hAnsi="宋体" w:cs="宋体"/>
                <w:sz w:val="21"/>
                <w:szCs w:val="21"/>
                <w14:ligatures w14:val="none"/>
              </w:rPr>
              <w:t>2.投标产品选型较合理，主要组成部件的技术性能参数及功能参数指标较高，实用性较强、产品设计较合理、质量较可靠，得12-16分；</w:t>
            </w:r>
          </w:p>
          <w:p w14:paraId="13318E64">
            <w:pPr>
              <w:adjustRightInd/>
              <w:snapToGrid/>
              <w:spacing w:line="240" w:lineRule="auto"/>
              <w:ind w:right="113"/>
              <w:jc w:val="both"/>
              <w:rPr>
                <w:rFonts w:ascii="宋体" w:hAnsi="宋体" w:cs="宋体"/>
                <w:sz w:val="21"/>
                <w:szCs w:val="21"/>
                <w14:ligatures w14:val="none"/>
              </w:rPr>
            </w:pPr>
            <w:r>
              <w:rPr>
                <w:rFonts w:ascii="宋体" w:hAnsi="宋体" w:cs="宋体"/>
                <w:sz w:val="21"/>
                <w:szCs w:val="21"/>
                <w14:ligatures w14:val="none"/>
              </w:rPr>
              <w:t>3.投标产品选型一般，主要组成部件的技术性能参数及功能参数指标一般，实用性一般、产品设计一般、质量一般，得12分。</w:t>
            </w:r>
          </w:p>
        </w:tc>
      </w:tr>
      <w:tr w14:paraId="13DB1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1" w:hRule="atLeast"/>
          <w:jc w:val="center"/>
        </w:trPr>
        <w:tc>
          <w:tcPr>
            <w:tcW w:w="959" w:type="dxa"/>
            <w:vMerge w:val="continue"/>
            <w:vAlign w:val="center"/>
          </w:tcPr>
          <w:p w14:paraId="2C0C4953">
            <w:pPr>
              <w:adjustRightInd/>
              <w:snapToGrid/>
              <w:spacing w:line="240" w:lineRule="auto"/>
              <w:jc w:val="center"/>
              <w:rPr>
                <w:rFonts w:ascii="宋体" w:hAnsi="宋体" w:cs="宋体"/>
                <w:kern w:val="0"/>
                <w:sz w:val="21"/>
                <w:szCs w:val="21"/>
                <w14:ligatures w14:val="none"/>
              </w:rPr>
            </w:pPr>
          </w:p>
        </w:tc>
        <w:tc>
          <w:tcPr>
            <w:tcW w:w="1186" w:type="dxa"/>
            <w:vMerge w:val="continue"/>
            <w:vAlign w:val="center"/>
          </w:tcPr>
          <w:p w14:paraId="6E65CB3E">
            <w:pPr>
              <w:adjustRightInd/>
              <w:snapToGrid/>
              <w:spacing w:line="240" w:lineRule="auto"/>
              <w:jc w:val="center"/>
              <w:rPr>
                <w:rFonts w:ascii="宋体" w:hAnsi="宋体" w:cs="宋体"/>
                <w:kern w:val="0"/>
                <w:sz w:val="21"/>
                <w:szCs w:val="21"/>
                <w14:ligatures w14:val="none"/>
              </w:rPr>
            </w:pPr>
          </w:p>
        </w:tc>
        <w:tc>
          <w:tcPr>
            <w:tcW w:w="1507" w:type="dxa"/>
            <w:vAlign w:val="center"/>
          </w:tcPr>
          <w:p w14:paraId="5232FE69">
            <w:pPr>
              <w:spacing w:line="240" w:lineRule="auto"/>
              <w:jc w:val="center"/>
              <w:rPr>
                <w:rFonts w:ascii="宋体" w:hAnsi="宋体" w:cs="宋体"/>
                <w:sz w:val="21"/>
                <w:szCs w:val="21"/>
                <w14:ligatures w14:val="none"/>
              </w:rPr>
            </w:pPr>
            <w:r>
              <w:rPr>
                <w:rFonts w:ascii="宋体" w:hAnsi="宋体" w:cs="宋体"/>
                <w:sz w:val="21"/>
                <w:szCs w:val="21"/>
                <w14:ligatures w14:val="none"/>
              </w:rPr>
              <w:t>供货能力及进度保障（暗标）</w:t>
            </w:r>
          </w:p>
        </w:tc>
        <w:tc>
          <w:tcPr>
            <w:tcW w:w="787" w:type="dxa"/>
            <w:vAlign w:val="center"/>
          </w:tcPr>
          <w:p w14:paraId="0956E9C6">
            <w:pPr>
              <w:adjustRightInd/>
              <w:snapToGrid/>
              <w:spacing w:line="240" w:lineRule="auto"/>
              <w:ind w:right="113"/>
              <w:jc w:val="center"/>
              <w:rPr>
                <w:rFonts w:ascii="宋体" w:hAnsi="宋体" w:cs="宋体"/>
                <w:sz w:val="21"/>
                <w:szCs w:val="21"/>
                <w14:ligatures w14:val="none"/>
              </w:rPr>
            </w:pPr>
            <w:r>
              <w:rPr>
                <w:rFonts w:ascii="宋体" w:hAnsi="宋体" w:cs="宋体"/>
                <w:sz w:val="21"/>
                <w:szCs w:val="21"/>
                <w14:ligatures w14:val="none"/>
              </w:rPr>
              <w:t>20分</w:t>
            </w:r>
          </w:p>
        </w:tc>
        <w:tc>
          <w:tcPr>
            <w:tcW w:w="4935" w:type="dxa"/>
            <w:vAlign w:val="center"/>
          </w:tcPr>
          <w:p w14:paraId="66530C6C">
            <w:pPr>
              <w:adjustRightInd/>
              <w:snapToGrid/>
              <w:spacing w:line="240" w:lineRule="auto"/>
              <w:ind w:right="113"/>
              <w:jc w:val="both"/>
              <w:rPr>
                <w:rFonts w:ascii="宋体" w:hAnsi="宋体" w:cs="宋体"/>
                <w:sz w:val="21"/>
                <w:szCs w:val="21"/>
                <w14:ligatures w14:val="none"/>
              </w:rPr>
            </w:pPr>
            <w:r>
              <w:rPr>
                <w:rFonts w:ascii="宋体" w:hAnsi="宋体" w:cs="宋体"/>
                <w:sz w:val="21"/>
                <w:szCs w:val="21"/>
                <w14:ligatures w14:val="none"/>
              </w:rPr>
              <w:t>1.投标人提供的供货方案切实可行、供货能力强、交货进度有保障、能够保质保量的完成供货，针对供货过程中的特殊情况有预案，得16-20分；</w:t>
            </w:r>
          </w:p>
          <w:p w14:paraId="1B106D9E">
            <w:pPr>
              <w:adjustRightInd/>
              <w:snapToGrid/>
              <w:spacing w:line="240" w:lineRule="auto"/>
              <w:ind w:right="113"/>
              <w:jc w:val="both"/>
              <w:rPr>
                <w:rFonts w:ascii="宋体" w:hAnsi="宋体" w:cs="宋体"/>
                <w:sz w:val="21"/>
                <w:szCs w:val="21"/>
                <w14:ligatures w14:val="none"/>
              </w:rPr>
            </w:pPr>
            <w:r>
              <w:rPr>
                <w:rFonts w:ascii="宋体" w:hAnsi="宋体" w:cs="宋体"/>
                <w:sz w:val="21"/>
                <w:szCs w:val="21"/>
                <w14:ligatures w14:val="none"/>
              </w:rPr>
              <w:t>2.投标人提供的供货方案可行、供货能力较强、交货进度满足招标文件要求，得12-16分；</w:t>
            </w:r>
          </w:p>
          <w:p w14:paraId="604A0CD4">
            <w:pPr>
              <w:adjustRightInd/>
              <w:snapToGrid/>
              <w:spacing w:line="240" w:lineRule="auto"/>
              <w:ind w:right="113"/>
              <w:jc w:val="both"/>
              <w:rPr>
                <w:rFonts w:ascii="宋体" w:hAnsi="宋体" w:cs="宋体"/>
                <w:sz w:val="21"/>
                <w:szCs w:val="21"/>
                <w14:ligatures w14:val="none"/>
              </w:rPr>
            </w:pPr>
            <w:r>
              <w:rPr>
                <w:rFonts w:ascii="宋体" w:hAnsi="宋体" w:cs="宋体"/>
                <w:sz w:val="21"/>
                <w:szCs w:val="21"/>
                <w14:ligatures w14:val="none"/>
              </w:rPr>
              <w:t>3.投标人提供的供货方案一般、供货能力一般、交货进度基本满足招标文件要求，得12分。</w:t>
            </w:r>
          </w:p>
        </w:tc>
      </w:tr>
      <w:tr w14:paraId="4DE9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jc w:val="center"/>
        </w:trPr>
        <w:tc>
          <w:tcPr>
            <w:tcW w:w="959" w:type="dxa"/>
            <w:vMerge w:val="continue"/>
            <w:vAlign w:val="center"/>
          </w:tcPr>
          <w:p w14:paraId="571AC416">
            <w:pPr>
              <w:adjustRightInd/>
              <w:snapToGrid/>
              <w:spacing w:line="240" w:lineRule="auto"/>
              <w:jc w:val="center"/>
              <w:rPr>
                <w:rFonts w:ascii="宋体" w:hAnsi="宋体" w:cs="宋体"/>
                <w:kern w:val="0"/>
                <w:sz w:val="21"/>
                <w:szCs w:val="21"/>
                <w14:ligatures w14:val="none"/>
              </w:rPr>
            </w:pPr>
          </w:p>
        </w:tc>
        <w:tc>
          <w:tcPr>
            <w:tcW w:w="1186" w:type="dxa"/>
            <w:vMerge w:val="continue"/>
            <w:vAlign w:val="center"/>
          </w:tcPr>
          <w:p w14:paraId="38E16047">
            <w:pPr>
              <w:adjustRightInd/>
              <w:snapToGrid/>
              <w:spacing w:line="240" w:lineRule="auto"/>
              <w:jc w:val="center"/>
              <w:rPr>
                <w:rFonts w:ascii="宋体" w:hAnsi="宋体" w:cs="宋体"/>
                <w:kern w:val="0"/>
                <w:sz w:val="21"/>
                <w:szCs w:val="21"/>
                <w14:ligatures w14:val="none"/>
              </w:rPr>
            </w:pPr>
          </w:p>
        </w:tc>
        <w:tc>
          <w:tcPr>
            <w:tcW w:w="1507" w:type="dxa"/>
            <w:vAlign w:val="center"/>
          </w:tcPr>
          <w:p w14:paraId="393746EE">
            <w:pPr>
              <w:autoSpaceDE w:val="0"/>
              <w:autoSpaceDN w:val="0"/>
              <w:spacing w:line="320" w:lineRule="exact"/>
              <w:jc w:val="center"/>
              <w:rPr>
                <w:rFonts w:ascii="宋体" w:hAnsi="宋体" w:cs="宋体"/>
                <w:kern w:val="0"/>
                <w:sz w:val="21"/>
                <w:szCs w:val="21"/>
                <w14:ligatures w14:val="none"/>
              </w:rPr>
            </w:pPr>
            <w:r>
              <w:rPr>
                <w:rFonts w:ascii="宋体" w:hAnsi="宋体" w:cs="宋体"/>
                <w:kern w:val="0"/>
                <w:sz w:val="21"/>
                <w:szCs w:val="21"/>
                <w14:ligatures w14:val="none"/>
              </w:rPr>
              <w:t>技术服务及质保期服务</w:t>
            </w:r>
          </w:p>
          <w:p w14:paraId="18A8E8B6">
            <w:pPr>
              <w:autoSpaceDE w:val="0"/>
              <w:autoSpaceDN w:val="0"/>
              <w:spacing w:line="320" w:lineRule="exact"/>
              <w:jc w:val="center"/>
              <w:rPr>
                <w:rFonts w:ascii="宋体" w:hAnsi="宋体" w:cs="宋体"/>
                <w:kern w:val="0"/>
                <w:sz w:val="21"/>
                <w:szCs w:val="21"/>
                <w14:ligatures w14:val="none"/>
              </w:rPr>
            </w:pPr>
            <w:r>
              <w:rPr>
                <w:rFonts w:ascii="宋体" w:hAnsi="宋体" w:cs="宋体"/>
                <w:kern w:val="0"/>
                <w:sz w:val="21"/>
                <w:szCs w:val="21"/>
                <w14:ligatures w14:val="none"/>
              </w:rPr>
              <w:t>（暗标）</w:t>
            </w:r>
          </w:p>
        </w:tc>
        <w:tc>
          <w:tcPr>
            <w:tcW w:w="787" w:type="dxa"/>
            <w:vAlign w:val="center"/>
          </w:tcPr>
          <w:p w14:paraId="22F45633">
            <w:pPr>
              <w:adjustRightInd/>
              <w:snapToGrid/>
              <w:spacing w:line="240" w:lineRule="auto"/>
              <w:ind w:right="113"/>
              <w:jc w:val="center"/>
              <w:rPr>
                <w:rFonts w:ascii="宋体" w:hAnsi="宋体" w:cs="宋体"/>
                <w:sz w:val="21"/>
                <w:szCs w:val="21"/>
                <w14:ligatures w14:val="none"/>
              </w:rPr>
            </w:pPr>
            <w:r>
              <w:rPr>
                <w:rFonts w:ascii="宋体" w:hAnsi="宋体" w:cs="宋体"/>
                <w:sz w:val="21"/>
                <w:szCs w:val="21"/>
                <w14:ligatures w14:val="none"/>
              </w:rPr>
              <w:t>20分</w:t>
            </w:r>
          </w:p>
        </w:tc>
        <w:tc>
          <w:tcPr>
            <w:tcW w:w="4935" w:type="dxa"/>
            <w:vAlign w:val="center"/>
          </w:tcPr>
          <w:p w14:paraId="129BB254">
            <w:pPr>
              <w:adjustRightInd/>
              <w:snapToGrid/>
              <w:spacing w:line="240" w:lineRule="auto"/>
              <w:ind w:right="113"/>
              <w:jc w:val="both"/>
              <w:rPr>
                <w:rFonts w:ascii="宋体" w:hAnsi="宋体" w:cs="宋体"/>
                <w:sz w:val="21"/>
                <w:szCs w:val="21"/>
                <w14:ligatures w14:val="none"/>
              </w:rPr>
            </w:pPr>
            <w:r>
              <w:rPr>
                <w:rFonts w:ascii="宋体" w:hAnsi="宋体" w:cs="宋体"/>
                <w:sz w:val="21"/>
                <w:szCs w:val="21"/>
                <w:lang w:val="zh-CN"/>
                <w14:ligatures w14:val="none"/>
              </w:rPr>
              <w:t>服务方案切实可行，针对性强，</w:t>
            </w:r>
            <w:r>
              <w:rPr>
                <w:rFonts w:ascii="宋体" w:hAnsi="宋体" w:cs="宋体"/>
                <w:sz w:val="21"/>
                <w:szCs w:val="21"/>
                <w14:ligatures w14:val="none"/>
              </w:rPr>
              <w:t>服务体系完善</w:t>
            </w:r>
            <w:r>
              <w:rPr>
                <w:rFonts w:ascii="宋体" w:hAnsi="宋体" w:cs="宋体"/>
                <w:sz w:val="21"/>
                <w:szCs w:val="21"/>
                <w:lang w:val="zh-CN"/>
                <w14:ligatures w14:val="none"/>
              </w:rPr>
              <w:t>，得</w:t>
            </w:r>
            <w:r>
              <w:rPr>
                <w:rFonts w:ascii="宋体" w:hAnsi="宋体" w:cs="宋体"/>
                <w:sz w:val="21"/>
                <w:szCs w:val="21"/>
                <w14:ligatures w14:val="none"/>
              </w:rPr>
              <w:t>16</w:t>
            </w:r>
            <w:r>
              <w:rPr>
                <w:rFonts w:ascii="宋体" w:hAnsi="宋体" w:cs="宋体"/>
                <w:sz w:val="21"/>
                <w:szCs w:val="21"/>
                <w:lang w:val="zh-CN"/>
                <w14:ligatures w14:val="none"/>
              </w:rPr>
              <w:t>-</w:t>
            </w:r>
            <w:r>
              <w:rPr>
                <w:rFonts w:ascii="宋体" w:hAnsi="宋体" w:cs="宋体"/>
                <w:sz w:val="21"/>
                <w:szCs w:val="21"/>
                <w14:ligatures w14:val="none"/>
              </w:rPr>
              <w:t>20</w:t>
            </w:r>
            <w:r>
              <w:rPr>
                <w:rFonts w:ascii="宋体" w:hAnsi="宋体" w:cs="宋体"/>
                <w:sz w:val="21"/>
                <w:szCs w:val="21"/>
                <w:lang w:val="zh-CN"/>
                <w14:ligatures w14:val="none"/>
              </w:rPr>
              <w:t>分；</w:t>
            </w:r>
          </w:p>
          <w:p w14:paraId="7A150526">
            <w:pPr>
              <w:adjustRightInd/>
              <w:snapToGrid/>
              <w:spacing w:line="240" w:lineRule="auto"/>
              <w:ind w:right="113"/>
              <w:jc w:val="both"/>
              <w:rPr>
                <w:rFonts w:ascii="宋体" w:hAnsi="宋体" w:cs="宋体"/>
                <w:sz w:val="21"/>
                <w:szCs w:val="21"/>
                <w14:ligatures w14:val="none"/>
              </w:rPr>
            </w:pPr>
            <w:r>
              <w:rPr>
                <w:rFonts w:ascii="宋体" w:hAnsi="宋体" w:cs="宋体"/>
                <w:sz w:val="21"/>
                <w:szCs w:val="21"/>
                <w:lang w:val="zh-CN"/>
                <w14:ligatures w14:val="none"/>
              </w:rPr>
              <w:t>服务方案较切实可行，针对性较强，</w:t>
            </w:r>
            <w:r>
              <w:rPr>
                <w:rFonts w:ascii="宋体" w:hAnsi="宋体" w:cs="宋体"/>
                <w:sz w:val="21"/>
                <w:szCs w:val="21"/>
                <w14:ligatures w14:val="none"/>
              </w:rPr>
              <w:t>服务体系较完善</w:t>
            </w:r>
            <w:r>
              <w:rPr>
                <w:rFonts w:ascii="宋体" w:hAnsi="宋体" w:cs="宋体"/>
                <w:sz w:val="21"/>
                <w:szCs w:val="21"/>
                <w:lang w:val="zh-CN"/>
                <w14:ligatures w14:val="none"/>
              </w:rPr>
              <w:t>，得</w:t>
            </w:r>
            <w:r>
              <w:rPr>
                <w:rFonts w:ascii="宋体" w:hAnsi="宋体" w:cs="宋体"/>
                <w:sz w:val="21"/>
                <w:szCs w:val="21"/>
                <w14:ligatures w14:val="none"/>
              </w:rPr>
              <w:t>12</w:t>
            </w:r>
            <w:r>
              <w:rPr>
                <w:rFonts w:ascii="宋体" w:hAnsi="宋体" w:cs="宋体"/>
                <w:sz w:val="21"/>
                <w:szCs w:val="21"/>
                <w:lang w:val="zh-CN"/>
                <w14:ligatures w14:val="none"/>
              </w:rPr>
              <w:t>-</w:t>
            </w:r>
            <w:r>
              <w:rPr>
                <w:rFonts w:ascii="宋体" w:hAnsi="宋体" w:cs="宋体"/>
                <w:sz w:val="21"/>
                <w:szCs w:val="21"/>
                <w14:ligatures w14:val="none"/>
              </w:rPr>
              <w:t>16</w:t>
            </w:r>
            <w:r>
              <w:rPr>
                <w:rFonts w:ascii="宋体" w:hAnsi="宋体" w:cs="宋体"/>
                <w:sz w:val="21"/>
                <w:szCs w:val="21"/>
                <w:lang w:val="zh-CN"/>
                <w14:ligatures w14:val="none"/>
              </w:rPr>
              <w:t>分；</w:t>
            </w:r>
          </w:p>
          <w:p w14:paraId="13736B55">
            <w:pPr>
              <w:adjustRightInd/>
              <w:snapToGrid/>
              <w:spacing w:line="240" w:lineRule="auto"/>
              <w:ind w:right="113"/>
              <w:jc w:val="both"/>
              <w:rPr>
                <w:rFonts w:ascii="宋体" w:hAnsi="宋体" w:cs="宋体"/>
                <w:sz w:val="21"/>
                <w:szCs w:val="21"/>
                <w14:ligatures w14:val="none"/>
              </w:rPr>
            </w:pPr>
            <w:r>
              <w:rPr>
                <w:rFonts w:ascii="宋体" w:hAnsi="宋体" w:cs="宋体"/>
                <w:sz w:val="21"/>
                <w:szCs w:val="21"/>
                <w:lang w:val="zh-CN"/>
                <w14:ligatures w14:val="none"/>
              </w:rPr>
              <w:t>服务方案基本可行，</w:t>
            </w:r>
            <w:r>
              <w:rPr>
                <w:rFonts w:ascii="宋体" w:hAnsi="宋体" w:cs="宋体"/>
                <w:sz w:val="21"/>
                <w:szCs w:val="21"/>
                <w14:ligatures w14:val="none"/>
              </w:rPr>
              <w:t>服务体系基本完善</w:t>
            </w:r>
            <w:r>
              <w:rPr>
                <w:rFonts w:ascii="宋体" w:hAnsi="宋体" w:cs="宋体"/>
                <w:sz w:val="21"/>
                <w:szCs w:val="21"/>
                <w:lang w:val="zh-CN"/>
                <w14:ligatures w14:val="none"/>
              </w:rPr>
              <w:t>，得</w:t>
            </w:r>
            <w:r>
              <w:rPr>
                <w:rFonts w:ascii="宋体" w:hAnsi="宋体" w:cs="宋体"/>
                <w:sz w:val="21"/>
                <w:szCs w:val="21"/>
                <w14:ligatures w14:val="none"/>
              </w:rPr>
              <w:t>12</w:t>
            </w:r>
            <w:r>
              <w:rPr>
                <w:rFonts w:ascii="宋体" w:hAnsi="宋体" w:cs="宋体"/>
                <w:sz w:val="21"/>
                <w:szCs w:val="21"/>
                <w:lang w:val="zh-CN"/>
                <w14:ligatures w14:val="none"/>
              </w:rPr>
              <w:t>分；</w:t>
            </w:r>
          </w:p>
        </w:tc>
      </w:tr>
      <w:tr w14:paraId="6F5F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959" w:type="dxa"/>
            <w:tcBorders>
              <w:bottom w:val="single" w:color="auto" w:sz="4" w:space="0"/>
            </w:tcBorders>
            <w:vAlign w:val="center"/>
          </w:tcPr>
          <w:p w14:paraId="0CD50DDE">
            <w:pPr>
              <w:adjustRightInd/>
              <w:snapToGrid/>
              <w:spacing w:line="240" w:lineRule="auto"/>
              <w:jc w:val="center"/>
              <w:rPr>
                <w:rFonts w:ascii="宋体" w:hAnsi="宋体" w:cs="宋体"/>
                <w:kern w:val="0"/>
                <w:sz w:val="21"/>
                <w:szCs w:val="21"/>
                <w14:ligatures w14:val="none"/>
              </w:rPr>
            </w:pPr>
            <w:r>
              <w:rPr>
                <w:rFonts w:ascii="宋体" w:hAnsi="宋体" w:cs="宋体"/>
                <w:kern w:val="0"/>
                <w:sz w:val="21"/>
                <w:szCs w:val="21"/>
                <w14:ligatures w14:val="none"/>
              </w:rPr>
              <w:t>2.2.1</w:t>
            </w:r>
          </w:p>
          <w:p w14:paraId="6481C474">
            <w:pPr>
              <w:adjustRightInd/>
              <w:snapToGrid/>
              <w:spacing w:line="240" w:lineRule="auto"/>
              <w:jc w:val="center"/>
              <w:rPr>
                <w:rFonts w:ascii="宋体" w:hAnsi="宋体" w:cs="宋体"/>
                <w:sz w:val="21"/>
                <w:szCs w:val="21"/>
                <w14:ligatures w14:val="none"/>
              </w:rPr>
            </w:pPr>
            <w:r>
              <w:rPr>
                <w:rFonts w:ascii="宋体" w:hAnsi="宋体" w:cs="宋体"/>
                <w:kern w:val="0"/>
                <w:sz w:val="21"/>
                <w:szCs w:val="21"/>
                <w14:ligatures w14:val="none"/>
              </w:rPr>
              <w:t>(3)</w:t>
            </w:r>
          </w:p>
        </w:tc>
        <w:tc>
          <w:tcPr>
            <w:tcW w:w="1186" w:type="dxa"/>
            <w:tcBorders>
              <w:bottom w:val="single" w:color="auto" w:sz="4" w:space="0"/>
            </w:tcBorders>
            <w:vAlign w:val="center"/>
          </w:tcPr>
          <w:p w14:paraId="615A88EE">
            <w:pPr>
              <w:adjustRightInd/>
              <w:snapToGrid/>
              <w:spacing w:line="240" w:lineRule="auto"/>
              <w:ind w:left="126" w:hanging="126" w:hangingChars="60"/>
              <w:jc w:val="center"/>
              <w:rPr>
                <w:rFonts w:ascii="宋体" w:hAnsi="宋体" w:cs="宋体"/>
                <w:sz w:val="21"/>
                <w:szCs w:val="21"/>
                <w14:ligatures w14:val="none"/>
              </w:rPr>
            </w:pPr>
            <w:r>
              <w:rPr>
                <w:rFonts w:ascii="宋体" w:hAnsi="宋体" w:cs="宋体"/>
                <w:kern w:val="0"/>
                <w:sz w:val="21"/>
                <w:szCs w:val="21"/>
                <w14:ligatures w14:val="none"/>
              </w:rPr>
              <w:t>其他评分因素</w:t>
            </w:r>
          </w:p>
        </w:tc>
        <w:tc>
          <w:tcPr>
            <w:tcW w:w="7229" w:type="dxa"/>
            <w:gridSpan w:val="3"/>
            <w:tcBorders>
              <w:bottom w:val="single" w:color="auto" w:sz="4" w:space="0"/>
            </w:tcBorders>
            <w:vAlign w:val="center"/>
          </w:tcPr>
          <w:p w14:paraId="6943F6CA">
            <w:pPr>
              <w:adjustRightInd/>
              <w:snapToGrid/>
              <w:spacing w:line="240" w:lineRule="auto"/>
              <w:jc w:val="center"/>
              <w:rPr>
                <w:rFonts w:ascii="宋体" w:hAnsi="宋体" w:cs="宋体"/>
                <w:kern w:val="0"/>
                <w:sz w:val="21"/>
                <w:szCs w:val="21"/>
                <w14:ligatures w14:val="none"/>
              </w:rPr>
            </w:pPr>
            <w:r>
              <w:rPr>
                <w:rFonts w:ascii="宋体" w:hAnsi="宋体" w:cs="宋体"/>
                <w:kern w:val="0"/>
                <w:sz w:val="21"/>
                <w:szCs w:val="21"/>
                <w14:ligatures w14:val="none"/>
              </w:rPr>
              <w:t>无</w:t>
            </w:r>
          </w:p>
        </w:tc>
      </w:tr>
    </w:tbl>
    <w:p w14:paraId="3E92D706">
      <w:pPr>
        <w:rPr>
          <w:rFonts w:cs="Times New Roman"/>
          <w:bCs/>
          <w:snapToGrid w:val="0"/>
          <w:kern w:val="0"/>
          <w14:ligatures w14:val="none"/>
        </w:rPr>
      </w:pPr>
      <w:r>
        <w:rPr>
          <w:rFonts w:cs="Times New Roman"/>
          <w:bCs/>
          <w:snapToGrid w:val="0"/>
          <w:kern w:val="0"/>
          <w14:ligatures w14:val="none"/>
        </w:rPr>
        <w:t>注：1.打分保留一位小数，各评分因素得分应以评标委员会各成员的打分平均值确定，保留两位小数，第三位四舍五入。</w:t>
      </w:r>
    </w:p>
    <w:p w14:paraId="224FDD92">
      <w:pPr>
        <w:ind w:firstLine="480" w:firstLineChars="200"/>
        <w:rPr>
          <w:rFonts w:cs="Times New Roman"/>
          <w:bCs/>
          <w:snapToGrid w:val="0"/>
          <w:kern w:val="0"/>
          <w14:ligatures w14:val="none"/>
        </w:rPr>
      </w:pPr>
      <w:r>
        <w:rPr>
          <w:rFonts w:cs="Times New Roman"/>
          <w:bCs/>
          <w:snapToGrid w:val="0"/>
          <w:kern w:val="0"/>
          <w14:ligatures w14:val="none"/>
        </w:rPr>
        <w:t>2.评标委员会成员对某一项评分因素的评分低于权重分值60%的，应在评标报告中作出说明。如技术部分的评分因素缺项则该项得0分。</w:t>
      </w:r>
    </w:p>
    <w:p w14:paraId="6F3FE358"/>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974297"/>
    <w:multiLevelType w:val="singleLevel"/>
    <w:tmpl w:val="0A97429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504"/>
    <w:rsid w:val="00013504"/>
    <w:rsid w:val="0056678E"/>
    <w:rsid w:val="00615901"/>
    <w:rsid w:val="00B02811"/>
    <w:rsid w:val="00B525C3"/>
    <w:rsid w:val="00B70999"/>
    <w:rsid w:val="00EB31B5"/>
    <w:rsid w:val="38F70F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after="0" w:line="360" w:lineRule="auto"/>
    </w:pPr>
    <w:rPr>
      <w:rFonts w:ascii="Times New Roman" w:hAnsi="Times New Roman" w:eastAsia="宋体" w:cstheme="minorBidi"/>
      <w:kern w:val="2"/>
      <w:sz w:val="24"/>
      <w:szCs w:val="24"/>
      <w:lang w:val="en-US" w:eastAsia="zh-CN" w:bidi="ar-SA"/>
      <w14:ligatures w14:val="standardContextual"/>
    </w:rPr>
  </w:style>
  <w:style w:type="paragraph" w:styleId="2">
    <w:name w:val="heading 1"/>
    <w:basedOn w:val="1"/>
    <w:next w:val="1"/>
    <w:link w:val="1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8"/>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19"/>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rPr>
  </w:style>
  <w:style w:type="paragraph" w:styleId="7">
    <w:name w:val="heading 6"/>
    <w:basedOn w:val="1"/>
    <w:next w:val="1"/>
    <w:link w:val="20"/>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1"/>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3"/>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Title"/>
    <w:basedOn w:val="1"/>
    <w:next w:val="1"/>
    <w:link w:val="24"/>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5">
    <w:name w:val="标题 1 字符"/>
    <w:basedOn w:val="14"/>
    <w:link w:val="2"/>
    <w:qFormat/>
    <w:uiPriority w:val="9"/>
    <w:rPr>
      <w:rFonts w:asciiTheme="majorHAnsi" w:hAnsiTheme="majorHAnsi" w:eastAsiaTheme="majorEastAsia" w:cstheme="majorBidi"/>
      <w:color w:val="104862" w:themeColor="accent1" w:themeShade="BF"/>
      <w:sz w:val="48"/>
      <w:szCs w:val="48"/>
    </w:rPr>
  </w:style>
  <w:style w:type="character" w:customStyle="1" w:styleId="16">
    <w:name w:val="标题 2 字符"/>
    <w:basedOn w:val="14"/>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7">
    <w:name w:val="标题 3 字符"/>
    <w:basedOn w:val="14"/>
    <w:link w:val="4"/>
    <w:semiHidden/>
    <w:uiPriority w:val="9"/>
    <w:rPr>
      <w:rFonts w:asciiTheme="majorHAnsi" w:hAnsiTheme="majorHAnsi" w:eastAsiaTheme="majorEastAsia" w:cstheme="majorBidi"/>
      <w:color w:val="104862" w:themeColor="accent1" w:themeShade="BF"/>
      <w:sz w:val="32"/>
      <w:szCs w:val="32"/>
    </w:rPr>
  </w:style>
  <w:style w:type="character" w:customStyle="1" w:styleId="18">
    <w:name w:val="标题 4 字符"/>
    <w:basedOn w:val="14"/>
    <w:link w:val="5"/>
    <w:semiHidden/>
    <w:uiPriority w:val="9"/>
    <w:rPr>
      <w:rFonts w:cstheme="majorBidi"/>
      <w:color w:val="104862" w:themeColor="accent1" w:themeShade="BF"/>
      <w:sz w:val="28"/>
      <w:szCs w:val="28"/>
    </w:rPr>
  </w:style>
  <w:style w:type="character" w:customStyle="1" w:styleId="19">
    <w:name w:val="标题 5 字符"/>
    <w:basedOn w:val="14"/>
    <w:link w:val="6"/>
    <w:semiHidden/>
    <w:uiPriority w:val="9"/>
    <w:rPr>
      <w:rFonts w:cstheme="majorBidi"/>
      <w:color w:val="104862" w:themeColor="accent1" w:themeShade="BF"/>
      <w:sz w:val="24"/>
    </w:rPr>
  </w:style>
  <w:style w:type="character" w:customStyle="1" w:styleId="20">
    <w:name w:val="标题 6 字符"/>
    <w:basedOn w:val="14"/>
    <w:link w:val="7"/>
    <w:semiHidden/>
    <w:uiPriority w:val="9"/>
    <w:rPr>
      <w:rFonts w:cstheme="majorBidi"/>
      <w:b/>
      <w:bCs/>
      <w:color w:val="104862" w:themeColor="accent1" w:themeShade="BF"/>
      <w:sz w:val="24"/>
    </w:rPr>
  </w:style>
  <w:style w:type="character" w:customStyle="1" w:styleId="21">
    <w:name w:val="标题 7 字符"/>
    <w:basedOn w:val="14"/>
    <w:link w:val="8"/>
    <w:semiHidden/>
    <w:uiPriority w:val="9"/>
    <w:rPr>
      <w:rFonts w:cstheme="majorBidi"/>
      <w:b/>
      <w:bCs/>
      <w:color w:val="595959" w:themeColor="text1" w:themeTint="A6"/>
      <w:sz w:val="24"/>
      <w14:textFill>
        <w14:solidFill>
          <w14:schemeClr w14:val="tx1">
            <w14:lumMod w14:val="65000"/>
            <w14:lumOff w14:val="35000"/>
          </w14:schemeClr>
        </w14:solidFill>
      </w14:textFill>
    </w:rPr>
  </w:style>
  <w:style w:type="character" w:customStyle="1" w:styleId="22">
    <w:name w:val="标题 8 字符"/>
    <w:basedOn w:val="14"/>
    <w:link w:val="9"/>
    <w:semiHidden/>
    <w:uiPriority w:val="9"/>
    <w:rPr>
      <w:rFonts w:cstheme="majorBidi"/>
      <w:color w:val="595959" w:themeColor="text1" w:themeTint="A6"/>
      <w:sz w:val="24"/>
      <w14:textFill>
        <w14:solidFill>
          <w14:schemeClr w14:val="tx1">
            <w14:lumMod w14:val="65000"/>
            <w14:lumOff w14:val="35000"/>
          </w14:schemeClr>
        </w14:solidFill>
      </w14:textFill>
    </w:rPr>
  </w:style>
  <w:style w:type="character" w:customStyle="1" w:styleId="23">
    <w:name w:val="标题 9 字符"/>
    <w:basedOn w:val="14"/>
    <w:link w:val="10"/>
    <w:semiHidden/>
    <w:uiPriority w:val="9"/>
    <w:rPr>
      <w:rFonts w:eastAsiaTheme="majorEastAsia" w:cstheme="majorBidi"/>
      <w:color w:val="595959" w:themeColor="text1" w:themeTint="A6"/>
      <w:sz w:val="24"/>
      <w14:textFill>
        <w14:solidFill>
          <w14:schemeClr w14:val="tx1">
            <w14:lumMod w14:val="65000"/>
            <w14:lumOff w14:val="35000"/>
          </w14:schemeClr>
        </w14:solidFill>
      </w14:textFill>
    </w:rPr>
  </w:style>
  <w:style w:type="character" w:customStyle="1" w:styleId="24">
    <w:name w:val="标题 字符"/>
    <w:basedOn w:val="14"/>
    <w:link w:val="12"/>
    <w:uiPriority w:val="10"/>
    <w:rPr>
      <w:rFonts w:asciiTheme="majorHAnsi" w:hAnsiTheme="majorHAnsi" w:eastAsiaTheme="majorEastAsia" w:cstheme="majorBidi"/>
      <w:spacing w:val="-10"/>
      <w:kern w:val="28"/>
      <w:sz w:val="56"/>
      <w:szCs w:val="56"/>
    </w:rPr>
  </w:style>
  <w:style w:type="character" w:customStyle="1" w:styleId="25">
    <w:name w:val="副标题 字符"/>
    <w:basedOn w:val="14"/>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引用 字符"/>
    <w:basedOn w:val="14"/>
    <w:link w:val="26"/>
    <w:uiPriority w:val="29"/>
    <w:rPr>
      <w:rFonts w:ascii="Times New Roman" w:hAnsi="Times New Roman" w:eastAsia="宋体"/>
      <w:i/>
      <w:iCs/>
      <w:color w:val="404040" w:themeColor="text1" w:themeTint="BF"/>
      <w:sz w:val="24"/>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4"/>
    <w:qFormat/>
    <w:uiPriority w:val="21"/>
    <w:rPr>
      <w:i/>
      <w:iCs/>
      <w:color w:val="104862" w:themeColor="accent1" w:themeShade="BF"/>
    </w:rPr>
  </w:style>
  <w:style w:type="paragraph" w:styleId="30">
    <w:name w:val="Intense Quote"/>
    <w:basedOn w:val="1"/>
    <w:next w:val="1"/>
    <w:link w:val="3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1">
    <w:name w:val="明显引用 字符"/>
    <w:basedOn w:val="14"/>
    <w:link w:val="30"/>
    <w:uiPriority w:val="30"/>
    <w:rPr>
      <w:rFonts w:ascii="Times New Roman" w:hAnsi="Times New Roman" w:eastAsia="宋体"/>
      <w:i/>
      <w:iCs/>
      <w:color w:val="104862" w:themeColor="accent1" w:themeShade="BF"/>
      <w:sz w:val="24"/>
    </w:rPr>
  </w:style>
  <w:style w:type="character" w:customStyle="1" w:styleId="32">
    <w:name w:val="Intense Reference"/>
    <w:basedOn w:val="14"/>
    <w:qFormat/>
    <w:uiPriority w:val="32"/>
    <w:rPr>
      <w:b/>
      <w:bCs/>
      <w:smallCaps/>
      <w:color w:val="104862" w:themeColor="accent1" w:themeShade="BF"/>
      <w:spacing w:val="5"/>
    </w:rPr>
  </w:style>
  <w:style w:type="paragraph" w:customStyle="1" w:styleId="33">
    <w:name w:val="默认段落字体 Para Char"/>
    <w:basedOn w:val="1"/>
    <w:uiPriority w:val="0"/>
    <w:pPr>
      <w:widowControl/>
      <w:adjustRightInd/>
      <w:snapToGrid/>
      <w:spacing w:line="240" w:lineRule="auto"/>
    </w:pPr>
    <w:rPr>
      <w:rFonts w:ascii="宋体" w:hAnsi="宋体" w:cs="宋体"/>
      <w:kern w:val="0"/>
      <w:szCs w:val="20"/>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5369</Words>
  <Characters>5882</Characters>
  <Lines>43</Lines>
  <Paragraphs>12</Paragraphs>
  <TotalTime>0</TotalTime>
  <ScaleCrop>false</ScaleCrop>
  <LinksUpToDate>false</LinksUpToDate>
  <CharactersWithSpaces>5923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2026-10-21T08:13:00Z</dcterms:created>
  <dc:creator>nan hao</dc:creator>
  <cp:lastModifiedBy>冯士峰</cp:lastModifiedBy>
  <dcterms:modified xsi:type="dcterms:W3CDTF">2026-10-21T09:12:55Z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eyJoZGlkIjoiMjNhMGNiNzBmYzRmYmU1YWU1ZDVjYzI3MTI0YTIzZjQiLCJ1c2VySWQiOiIxNjg3ODQzOTczIn0=</vt:lpwstr>
  </property>
  <property fmtid="{D5CDD505-2E9C-101B-9397-08002B2CF9AE}" pid="3" name="KSOProductBuildVer">
    <vt:lpwstr>2052-12.1.0.29161</vt:lpwstr>
  </property>
  <property fmtid="{D5CDD505-2E9C-101B-9397-08002B2CF9AE}" pid="4" name="ICV">
    <vt:lpwstr>E686EAEDBCB14371BFE7659EE5BFC660_12</vt:lpwstr>
  </property>
</Properties>
</file>