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057F17">
      <w:pPr>
        <w:adjustRightInd/>
        <w:snapToGrid/>
        <w:spacing w:after="160" w:line="278" w:lineRule="auto"/>
        <w:jc w:val="both"/>
        <w:rPr>
          <w:rFonts w:cs="Times New Roman"/>
          <w14:ligatures w14:val="none"/>
        </w:rPr>
      </w:pPr>
      <w:bookmarkStart w:id="1" w:name="_GoBack"/>
      <w:bookmarkEnd w:id="1"/>
      <w:bookmarkStart w:id="0" w:name="_Toc514238200"/>
    </w:p>
    <w:p w14:paraId="3CE94922">
      <w:pPr>
        <w:jc w:val="both"/>
        <w:rPr>
          <w:rFonts w:ascii="宋体" w:hAnsi="宋体" w:cs="宋体"/>
          <w:b/>
          <w:bCs/>
          <w:kern w:val="0"/>
          <w:sz w:val="28"/>
          <w:szCs w:val="28"/>
          <w14:ligatures w14:val="none"/>
        </w:rPr>
      </w:pPr>
      <w:r>
        <w:rPr>
          <w:rFonts w:ascii="宋体" w:hAnsi="宋体" w:cs="宋体"/>
          <w:b/>
          <w:bCs/>
          <w:kern w:val="0"/>
          <w:sz w:val="28"/>
          <w:szCs w:val="28"/>
          <w14:ligatures w14:val="none"/>
        </w:rPr>
        <w:t>附件1：资格审查条件</w:t>
      </w:r>
    </w:p>
    <w:p w14:paraId="5CA76488">
      <w:pPr>
        <w:jc w:val="both"/>
        <w:rPr>
          <w:rFonts w:ascii="宋体" w:hAnsi="宋体" w:cs="宋体"/>
          <w:kern w:val="0"/>
          <w14:ligatures w14:val="none"/>
        </w:rPr>
      </w:pPr>
    </w:p>
    <w:p w14:paraId="1CC8A4AD">
      <w:pPr>
        <w:adjustRightInd/>
        <w:snapToGrid/>
        <w:spacing w:after="160"/>
        <w:jc w:val="center"/>
        <w:rPr>
          <w:rFonts w:ascii="宋体" w:hAnsi="宋体" w:cs="宋体"/>
          <w:b/>
          <w:kern w:val="28"/>
          <w:szCs w:val="21"/>
          <w14:ligatures w14:val="none"/>
        </w:rPr>
      </w:pPr>
      <w:r>
        <w:rPr>
          <w:rFonts w:ascii="宋体" w:hAnsi="宋体" w:cs="宋体"/>
          <w:b/>
          <w:kern w:val="28"/>
          <w:szCs w:val="21"/>
          <w14:ligatures w14:val="none"/>
        </w:rPr>
        <w:t>附录1资质最低要求</w:t>
      </w:r>
    </w:p>
    <w:tbl>
      <w:tblPr>
        <w:tblStyle w:val="13"/>
        <w:tblW w:w="93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354"/>
      </w:tblGrid>
      <w:tr w14:paraId="4EB9D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2" w:hRule="atLeast"/>
          <w:jc w:val="center"/>
        </w:trPr>
        <w:tc>
          <w:tcPr>
            <w:tcW w:w="9354" w:type="dxa"/>
            <w:vAlign w:val="center"/>
          </w:tcPr>
          <w:p w14:paraId="58625092">
            <w:pPr>
              <w:adjustRightInd/>
              <w:snapToGrid/>
              <w:spacing w:line="240" w:lineRule="auto"/>
              <w:jc w:val="center"/>
              <w:rPr>
                <w:rFonts w:ascii="宋体" w:hAnsi="宋体" w:cs="宋体"/>
                <w:b/>
                <w:kern w:val="28"/>
                <w:szCs w:val="21"/>
                <w14:ligatures w14:val="none"/>
              </w:rPr>
            </w:pPr>
            <w:r>
              <w:rPr>
                <w:rFonts w:ascii="宋体" w:hAnsi="宋体" w:cs="宋体"/>
                <w:b/>
                <w:kern w:val="28"/>
                <w:szCs w:val="21"/>
                <w14:ligatures w14:val="none"/>
              </w:rPr>
              <w:t>资质要求</w:t>
            </w:r>
          </w:p>
        </w:tc>
      </w:tr>
      <w:tr w14:paraId="0A4B9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25" w:hRule="atLeast"/>
          <w:jc w:val="center"/>
        </w:trPr>
        <w:tc>
          <w:tcPr>
            <w:tcW w:w="9354" w:type="dxa"/>
            <w:vAlign w:val="center"/>
          </w:tcPr>
          <w:p w14:paraId="4A2FD9D2">
            <w:pPr>
              <w:adjustRightInd/>
              <w:snapToGrid/>
              <w:spacing w:line="240" w:lineRule="auto"/>
              <w:jc w:val="both"/>
              <w:rPr>
                <w:rFonts w:ascii="宋体" w:hAnsi="宋体" w:cs="宋体"/>
                <w:kern w:val="28"/>
                <w:szCs w:val="21"/>
                <w14:ligatures w14:val="none"/>
              </w:rPr>
            </w:pPr>
            <w:r>
              <w:rPr>
                <w:rFonts w:ascii="宋体" w:hAnsi="宋体" w:cs="宋体"/>
                <w:kern w:val="28"/>
                <w:szCs w:val="21"/>
                <w14:ligatures w14:val="none"/>
              </w:rPr>
              <w:t>（1）投标人应是中华人民共和国境内的法人或其他组织，持有有效的营业执照；</w:t>
            </w:r>
          </w:p>
          <w:p w14:paraId="28C435AA">
            <w:pPr>
              <w:adjustRightInd/>
              <w:snapToGrid/>
              <w:spacing w:line="240" w:lineRule="auto"/>
              <w:jc w:val="both"/>
              <w:rPr>
                <w:rFonts w:cs="Times New Roman"/>
                <w:kern w:val="28"/>
                <w:szCs w:val="20"/>
                <w14:ligatures w14:val="none"/>
              </w:rPr>
            </w:pPr>
            <w:r>
              <w:rPr>
                <w:rFonts w:ascii="宋体" w:hAnsi="宋体" w:cs="宋体"/>
                <w:kern w:val="28"/>
                <w:szCs w:val="21"/>
                <w14:ligatures w14:val="none"/>
              </w:rPr>
              <w:t>（2）投标人应具有行政主管部门颁发的乙级及以上测绘资质证书（专业类别至少包含：工程测量、界线与不动产测绘）。</w:t>
            </w:r>
          </w:p>
        </w:tc>
      </w:tr>
    </w:tbl>
    <w:p w14:paraId="10B5E193">
      <w:pPr>
        <w:adjustRightInd/>
        <w:snapToGrid/>
        <w:spacing w:after="160"/>
        <w:jc w:val="center"/>
        <w:rPr>
          <w:rFonts w:ascii="宋体" w:hAnsi="宋体" w:cs="宋体"/>
          <w:b/>
          <w:kern w:val="28"/>
          <w:szCs w:val="21"/>
          <w14:ligatures w14:val="none"/>
        </w:rPr>
      </w:pPr>
    </w:p>
    <w:p w14:paraId="2C9B8E95">
      <w:pPr>
        <w:adjustRightInd/>
        <w:snapToGrid/>
        <w:spacing w:after="160"/>
        <w:jc w:val="center"/>
        <w:rPr>
          <w:rFonts w:ascii="宋体" w:hAnsi="宋体" w:cs="宋体"/>
          <w:b/>
          <w:bCs/>
          <w:kern w:val="28"/>
          <w:szCs w:val="21"/>
          <w14:ligatures w14:val="none"/>
        </w:rPr>
      </w:pPr>
      <w:r>
        <w:rPr>
          <w:rFonts w:ascii="宋体" w:hAnsi="宋体" w:cs="宋体"/>
          <w:b/>
          <w:kern w:val="28"/>
          <w:szCs w:val="21"/>
          <w14:ligatures w14:val="none"/>
        </w:rPr>
        <w:t>附录2业绩最低要求</w:t>
      </w:r>
      <w:r>
        <w:rPr>
          <w:rFonts w:ascii="宋体" w:hAnsi="宋体" w:cs="宋体"/>
          <w:b/>
          <w:bCs/>
          <w:kern w:val="28"/>
          <w:szCs w:val="21"/>
          <w14:ligatures w14:val="none"/>
        </w:rPr>
        <w:t xml:space="preserve"> </w:t>
      </w:r>
    </w:p>
    <w:tbl>
      <w:tblPr>
        <w:tblStyle w:val="1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309"/>
      </w:tblGrid>
      <w:tr w14:paraId="7E9D1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9309" w:type="dxa"/>
            <w:vAlign w:val="center"/>
          </w:tcPr>
          <w:p w14:paraId="66B9BD39">
            <w:pPr>
              <w:adjustRightInd/>
              <w:snapToGrid/>
              <w:spacing w:after="160" w:line="280" w:lineRule="exact"/>
              <w:jc w:val="center"/>
              <w:rPr>
                <w:rFonts w:ascii="宋体" w:hAnsi="宋体" w:cs="宋体"/>
                <w:b/>
                <w:kern w:val="28"/>
                <w:szCs w:val="21"/>
                <w14:ligatures w14:val="none"/>
              </w:rPr>
            </w:pPr>
            <w:r>
              <w:rPr>
                <w:rFonts w:ascii="宋体" w:hAnsi="宋体" w:cs="宋体"/>
                <w:b/>
                <w:kern w:val="28"/>
                <w:szCs w:val="21"/>
                <w14:ligatures w14:val="none"/>
              </w:rPr>
              <w:t>标准要求</w:t>
            </w:r>
          </w:p>
        </w:tc>
      </w:tr>
      <w:tr w14:paraId="757B9D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9309" w:type="dxa"/>
            <w:vAlign w:val="center"/>
          </w:tcPr>
          <w:p w14:paraId="6CA4486E">
            <w:pPr>
              <w:adjustRightInd/>
              <w:spacing w:after="160" w:line="278" w:lineRule="auto"/>
              <w:rPr>
                <w:rFonts w:cs="Times New Roman"/>
                <w:kern w:val="28"/>
                <w:szCs w:val="20"/>
                <w14:ligatures w14:val="none"/>
              </w:rPr>
            </w:pPr>
            <w:r>
              <w:rPr>
                <w:rFonts w:ascii="宋体" w:hAnsi="宋体" w:cs="宋体"/>
                <w:kern w:val="28"/>
                <w:szCs w:val="21"/>
                <w14:ligatures w14:val="none"/>
              </w:rPr>
              <w:t>投标人近5年（2021年10月1日至投标截止时间，以合同签订时间为准）至少完成过1项合同金额不少于20万元的房屋建筑工程测绘类服务业绩。</w:t>
            </w:r>
          </w:p>
        </w:tc>
      </w:tr>
    </w:tbl>
    <w:p w14:paraId="224D3CE8">
      <w:pPr>
        <w:adjustRightInd/>
        <w:snapToGrid/>
        <w:spacing w:after="160"/>
        <w:jc w:val="center"/>
        <w:rPr>
          <w:rFonts w:ascii="宋体" w:hAnsi="宋体" w:cs="宋体"/>
          <w:kern w:val="28"/>
          <w:szCs w:val="21"/>
          <w14:ligatures w14:val="none"/>
        </w:rPr>
      </w:pPr>
    </w:p>
    <w:p w14:paraId="082645DC">
      <w:pPr>
        <w:adjustRightInd/>
        <w:snapToGrid/>
        <w:spacing w:after="160"/>
        <w:jc w:val="center"/>
        <w:rPr>
          <w:rFonts w:ascii="宋体" w:hAnsi="宋体" w:cs="宋体"/>
          <w:b/>
          <w:kern w:val="28"/>
          <w:szCs w:val="21"/>
          <w14:ligatures w14:val="none"/>
        </w:rPr>
      </w:pPr>
      <w:r>
        <w:rPr>
          <w:rFonts w:ascii="宋体" w:hAnsi="宋体" w:cs="宋体"/>
          <w:b/>
          <w:kern w:val="28"/>
          <w:szCs w:val="21"/>
          <w14:ligatures w14:val="none"/>
        </w:rPr>
        <w:t>附录3信誉最低要求</w:t>
      </w:r>
    </w:p>
    <w:tbl>
      <w:tblPr>
        <w:tblStyle w:val="1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205"/>
      </w:tblGrid>
      <w:tr w14:paraId="63578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20" w:hRule="atLeast"/>
          <w:jc w:val="center"/>
        </w:trPr>
        <w:tc>
          <w:tcPr>
            <w:tcW w:w="9205" w:type="dxa"/>
            <w:vAlign w:val="center"/>
          </w:tcPr>
          <w:p w14:paraId="3F52B787">
            <w:pPr>
              <w:adjustRightInd/>
              <w:snapToGrid/>
              <w:spacing w:after="160" w:line="280" w:lineRule="exact"/>
              <w:jc w:val="center"/>
              <w:rPr>
                <w:rFonts w:ascii="宋体" w:hAnsi="宋体" w:cs="宋体"/>
                <w:b/>
                <w:kern w:val="28"/>
                <w:szCs w:val="21"/>
                <w14:ligatures w14:val="none"/>
              </w:rPr>
            </w:pPr>
            <w:r>
              <w:rPr>
                <w:rFonts w:ascii="宋体" w:hAnsi="宋体" w:cs="宋体"/>
                <w:b/>
                <w:kern w:val="28"/>
                <w:szCs w:val="21"/>
                <w14:ligatures w14:val="none"/>
              </w:rPr>
              <w:t>信誉要求</w:t>
            </w:r>
          </w:p>
        </w:tc>
      </w:tr>
      <w:tr w14:paraId="6FAC3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9205" w:type="dxa"/>
            <w:vAlign w:val="center"/>
          </w:tcPr>
          <w:p w14:paraId="311AE411">
            <w:pPr>
              <w:spacing w:after="160" w:line="278" w:lineRule="auto"/>
              <w:rPr>
                <w:rFonts w:cs="Times New Roman"/>
                <w:kern w:val="28"/>
                <w:szCs w:val="20"/>
                <w14:ligatures w14:val="none"/>
              </w:rPr>
            </w:pPr>
            <w:r>
              <w:rPr>
                <w:rFonts w:ascii="宋体" w:hAnsi="宋体" w:cs="宋体"/>
                <w:kern w:val="28"/>
                <w:szCs w:val="21"/>
                <w14:ligatures w14:val="none"/>
              </w:rPr>
              <w:t>投标人在近1年内（2025年10月1日至投标截止时间）不曾在房屋建筑工程测绘服务中违约而被驱逐或因投标人自身的原因而使建筑工程测绘服务合同被解除。</w:t>
            </w:r>
          </w:p>
        </w:tc>
      </w:tr>
    </w:tbl>
    <w:p w14:paraId="3D9678FD">
      <w:pPr>
        <w:adjustRightInd/>
        <w:snapToGrid/>
        <w:spacing w:after="160"/>
        <w:jc w:val="center"/>
        <w:outlineLvl w:val="3"/>
        <w:rPr>
          <w:rFonts w:ascii="宋体" w:hAnsi="宋体" w:cs="宋体"/>
          <w:b/>
          <w:kern w:val="28"/>
          <w:szCs w:val="21"/>
          <w14:ligatures w14:val="none"/>
        </w:rPr>
      </w:pPr>
    </w:p>
    <w:p w14:paraId="50AC4AAA">
      <w:pPr>
        <w:adjustRightInd/>
        <w:snapToGrid/>
        <w:spacing w:after="160"/>
        <w:jc w:val="center"/>
        <w:outlineLvl w:val="3"/>
        <w:rPr>
          <w:rFonts w:ascii="宋体" w:hAnsi="宋体" w:cs="宋体"/>
          <w:b/>
          <w:kern w:val="28"/>
          <w:szCs w:val="21"/>
          <w14:ligatures w14:val="none"/>
        </w:rPr>
      </w:pPr>
      <w:r>
        <w:rPr>
          <w:rFonts w:ascii="宋体" w:hAnsi="宋体" w:cs="宋体"/>
          <w:b/>
          <w:kern w:val="28"/>
          <w:szCs w:val="21"/>
          <w14:ligatures w14:val="none"/>
        </w:rPr>
        <w:t>附录4 主要人员最低要求</w:t>
      </w:r>
    </w:p>
    <w:tbl>
      <w:tblPr>
        <w:tblStyle w:val="13"/>
        <w:tblW w:w="92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871"/>
        <w:gridCol w:w="1350"/>
        <w:gridCol w:w="6015"/>
      </w:tblGrid>
      <w:tr w14:paraId="46B88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871" w:type="dxa"/>
            <w:vAlign w:val="center"/>
          </w:tcPr>
          <w:p w14:paraId="7CB943E8">
            <w:pPr>
              <w:spacing w:after="160" w:line="278" w:lineRule="auto"/>
              <w:jc w:val="center"/>
              <w:rPr>
                <w:rFonts w:ascii="宋体" w:hAnsi="宋体" w:cs="宋体"/>
                <w:b/>
                <w:kern w:val="28"/>
                <w:szCs w:val="21"/>
                <w14:ligatures w14:val="none"/>
              </w:rPr>
            </w:pPr>
            <w:r>
              <w:rPr>
                <w:rFonts w:ascii="宋体" w:hAnsi="宋体" w:cs="宋体"/>
                <w:b/>
                <w:kern w:val="28"/>
                <w:szCs w:val="21"/>
                <w14:ligatures w14:val="none"/>
              </w:rPr>
              <w:t>岗位</w:t>
            </w:r>
          </w:p>
        </w:tc>
        <w:tc>
          <w:tcPr>
            <w:tcW w:w="1350" w:type="dxa"/>
            <w:vAlign w:val="center"/>
          </w:tcPr>
          <w:p w14:paraId="6A6F078D">
            <w:pPr>
              <w:spacing w:after="160" w:line="278" w:lineRule="auto"/>
              <w:jc w:val="center"/>
              <w:rPr>
                <w:rFonts w:ascii="宋体" w:hAnsi="宋体" w:cs="宋体"/>
                <w:b/>
                <w:kern w:val="28"/>
                <w:szCs w:val="21"/>
                <w14:ligatures w14:val="none"/>
              </w:rPr>
            </w:pPr>
            <w:r>
              <w:rPr>
                <w:rFonts w:ascii="宋体" w:hAnsi="宋体" w:cs="宋体"/>
                <w:b/>
                <w:kern w:val="28"/>
                <w:szCs w:val="21"/>
                <w14:ligatures w14:val="none"/>
              </w:rPr>
              <w:t>数量要求</w:t>
            </w:r>
          </w:p>
        </w:tc>
        <w:tc>
          <w:tcPr>
            <w:tcW w:w="6015" w:type="dxa"/>
            <w:vAlign w:val="center"/>
          </w:tcPr>
          <w:p w14:paraId="40819832">
            <w:pPr>
              <w:spacing w:after="160" w:line="278" w:lineRule="auto"/>
              <w:jc w:val="center"/>
              <w:rPr>
                <w:rFonts w:ascii="宋体" w:hAnsi="宋体" w:cs="宋体"/>
                <w:b/>
                <w:kern w:val="28"/>
                <w:szCs w:val="21"/>
                <w14:ligatures w14:val="none"/>
              </w:rPr>
            </w:pPr>
            <w:r>
              <w:rPr>
                <w:rFonts w:ascii="宋体" w:hAnsi="宋体" w:cs="宋体"/>
                <w:b/>
                <w:kern w:val="28"/>
                <w:szCs w:val="21"/>
                <w14:ligatures w14:val="none"/>
              </w:rPr>
              <w:t>资格要求</w:t>
            </w:r>
          </w:p>
        </w:tc>
      </w:tr>
      <w:tr w14:paraId="53441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0" w:hRule="atLeast"/>
          <w:jc w:val="center"/>
        </w:trPr>
        <w:tc>
          <w:tcPr>
            <w:tcW w:w="1871" w:type="dxa"/>
            <w:vAlign w:val="center"/>
          </w:tcPr>
          <w:p w14:paraId="3000B8FA">
            <w:pPr>
              <w:spacing w:after="160" w:line="278" w:lineRule="auto"/>
              <w:jc w:val="center"/>
              <w:rPr>
                <w:rFonts w:ascii="宋体" w:hAnsi="宋体" w:cs="宋体"/>
                <w:kern w:val="28"/>
                <w:szCs w:val="21"/>
                <w14:ligatures w14:val="none"/>
              </w:rPr>
            </w:pPr>
            <w:r>
              <w:rPr>
                <w:rFonts w:ascii="宋体" w:hAnsi="宋体" w:cs="宋体"/>
                <w:kern w:val="28"/>
                <w:szCs w:val="21"/>
                <w14:ligatures w14:val="none"/>
              </w:rPr>
              <w:t>项目负责人</w:t>
            </w:r>
          </w:p>
        </w:tc>
        <w:tc>
          <w:tcPr>
            <w:tcW w:w="1350" w:type="dxa"/>
            <w:vAlign w:val="center"/>
          </w:tcPr>
          <w:p w14:paraId="26C52AFC">
            <w:pPr>
              <w:spacing w:after="160" w:line="278" w:lineRule="auto"/>
              <w:jc w:val="center"/>
              <w:rPr>
                <w:rFonts w:ascii="宋体" w:hAnsi="宋体" w:cs="宋体"/>
                <w:kern w:val="28"/>
                <w:szCs w:val="21"/>
                <w14:ligatures w14:val="none"/>
              </w:rPr>
            </w:pPr>
            <w:r>
              <w:rPr>
                <w:rFonts w:ascii="宋体" w:hAnsi="宋体" w:cs="宋体"/>
                <w:kern w:val="28"/>
                <w:szCs w:val="21"/>
                <w14:ligatures w14:val="none"/>
              </w:rPr>
              <w:t>1</w:t>
            </w:r>
          </w:p>
        </w:tc>
        <w:tc>
          <w:tcPr>
            <w:tcW w:w="6015" w:type="dxa"/>
            <w:vAlign w:val="center"/>
          </w:tcPr>
          <w:p w14:paraId="750EC90E">
            <w:pPr>
              <w:adjustRightInd/>
              <w:snapToGrid/>
              <w:spacing w:after="160" w:line="278" w:lineRule="auto"/>
              <w:jc w:val="both"/>
              <w:rPr>
                <w:rFonts w:cs="Times New Roman"/>
                <w:kern w:val="28"/>
                <w:szCs w:val="20"/>
                <w14:ligatures w14:val="none"/>
              </w:rPr>
            </w:pPr>
            <w:r>
              <w:rPr>
                <w:rFonts w:ascii="宋体" w:hAnsi="宋体" w:cs="宋体"/>
                <w:kern w:val="28"/>
                <w14:ligatures w14:val="none"/>
              </w:rPr>
              <w:t>具有工程测量专业高级及以上职称，近5年（2021年10月1日至投标截止时间，以合同签订时间为准）至少担任过1项合同金额不少于20万元的房屋建筑工程测绘类服务业绩的项目负责人。</w:t>
            </w:r>
          </w:p>
        </w:tc>
      </w:tr>
      <w:tr w14:paraId="59735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0" w:hRule="atLeast"/>
          <w:jc w:val="center"/>
        </w:trPr>
        <w:tc>
          <w:tcPr>
            <w:tcW w:w="1871" w:type="dxa"/>
            <w:vAlign w:val="center"/>
          </w:tcPr>
          <w:p w14:paraId="7553C52F">
            <w:pPr>
              <w:spacing w:after="160" w:line="278" w:lineRule="auto"/>
              <w:jc w:val="center"/>
              <w:rPr>
                <w:rFonts w:ascii="宋体" w:hAnsi="宋体" w:cs="宋体"/>
                <w:kern w:val="28"/>
                <w:szCs w:val="21"/>
                <w14:ligatures w14:val="none"/>
              </w:rPr>
            </w:pPr>
            <w:r>
              <w:rPr>
                <w:rFonts w:ascii="宋体" w:hAnsi="宋体" w:cs="宋体"/>
                <w:kern w:val="28"/>
                <w:szCs w:val="21"/>
                <w14:ligatures w14:val="none"/>
              </w:rPr>
              <w:t>其他人员</w:t>
            </w:r>
          </w:p>
        </w:tc>
        <w:tc>
          <w:tcPr>
            <w:tcW w:w="1350" w:type="dxa"/>
            <w:vAlign w:val="center"/>
          </w:tcPr>
          <w:p w14:paraId="29C0941C">
            <w:pPr>
              <w:spacing w:after="160" w:line="278" w:lineRule="auto"/>
              <w:jc w:val="center"/>
              <w:rPr>
                <w:rFonts w:ascii="宋体" w:hAnsi="宋体" w:cs="宋体"/>
                <w:kern w:val="28"/>
                <w:szCs w:val="21"/>
                <w14:ligatures w14:val="none"/>
              </w:rPr>
            </w:pPr>
            <w:r>
              <w:rPr>
                <w:rFonts w:ascii="宋体" w:hAnsi="宋体" w:cs="宋体"/>
                <w:kern w:val="28"/>
                <w:szCs w:val="21"/>
                <w14:ligatures w14:val="none"/>
              </w:rPr>
              <w:t>2</w:t>
            </w:r>
          </w:p>
        </w:tc>
        <w:tc>
          <w:tcPr>
            <w:tcW w:w="6015" w:type="dxa"/>
            <w:vAlign w:val="center"/>
          </w:tcPr>
          <w:p w14:paraId="5BFECFB6">
            <w:pPr>
              <w:adjustRightInd/>
              <w:snapToGrid/>
              <w:spacing w:after="160" w:line="278" w:lineRule="auto"/>
              <w:jc w:val="both"/>
              <w:rPr>
                <w:rFonts w:ascii="宋体" w:hAnsi="宋体" w:cs="宋体"/>
                <w:kern w:val="28"/>
                <w:szCs w:val="21"/>
                <w14:ligatures w14:val="none"/>
              </w:rPr>
            </w:pPr>
            <w:r>
              <w:rPr>
                <w:rFonts w:ascii="宋体" w:hAnsi="宋体" w:cs="宋体"/>
                <w:kern w:val="28"/>
                <w14:ligatures w14:val="none"/>
              </w:rPr>
              <w:t>均须具有工程测量专业中级及以上职称。</w:t>
            </w:r>
          </w:p>
        </w:tc>
      </w:tr>
      <w:bookmarkEnd w:id="0"/>
    </w:tbl>
    <w:p w14:paraId="389B6EAB">
      <w:pPr>
        <w:adjustRightInd/>
        <w:snapToGrid/>
        <w:spacing w:after="160" w:line="278" w:lineRule="auto"/>
        <w:jc w:val="both"/>
        <w:rPr>
          <w:rFonts w:cs="Times New Roman"/>
          <w:b/>
          <w:kern w:val="0"/>
          <w:sz w:val="28"/>
          <w:szCs w:val="21"/>
          <w14:ligatures w14:val="none"/>
        </w:rPr>
      </w:pPr>
    </w:p>
    <w:p w14:paraId="3DF162D9">
      <w:pPr>
        <w:adjustRightInd/>
        <w:snapToGrid/>
        <w:spacing w:line="520" w:lineRule="exact"/>
        <w:jc w:val="both"/>
        <w:rPr>
          <w:rFonts w:ascii="宋体" w:hAnsi="宋体" w:cs="Times New Roman"/>
          <w:b/>
          <w:kern w:val="0"/>
          <w:sz w:val="28"/>
          <w:szCs w:val="21"/>
          <w14:ligatures w14:val="none"/>
        </w:rPr>
      </w:pPr>
      <w:r>
        <w:rPr>
          <w:rFonts w:ascii="宋体" w:hAnsi="宋体" w:cs="Times New Roman"/>
          <w:b/>
          <w:kern w:val="0"/>
          <w:sz w:val="28"/>
          <w:szCs w:val="21"/>
          <w14:ligatures w14:val="none"/>
        </w:rPr>
        <w:t>附件2评标办法</w:t>
      </w:r>
    </w:p>
    <w:p w14:paraId="7069F8AB">
      <w:pPr>
        <w:adjustRightInd/>
        <w:snapToGrid/>
        <w:spacing w:line="520" w:lineRule="exact"/>
        <w:jc w:val="center"/>
        <w:rPr>
          <w:rFonts w:cs="Times New Roman"/>
          <w14:ligatures w14:val="none"/>
        </w:rPr>
      </w:pPr>
      <w:r>
        <w:rPr>
          <w:rFonts w:ascii="微软雅黑" w:hAnsi="微软雅黑" w:eastAsia="微软雅黑" w:cs="微软雅黑"/>
          <w:color w:val="000000"/>
          <w:sz w:val="27"/>
          <w:szCs w:val="27"/>
          <w14:ligatures w14:val="none"/>
        </w:rPr>
        <w:t>评标办法（综合评估法）</w:t>
      </w:r>
    </w:p>
    <w:p w14:paraId="2C75B028">
      <w:pPr>
        <w:adjustRightInd/>
        <w:snapToGrid/>
        <w:spacing w:after="160" w:line="278" w:lineRule="auto"/>
        <w:jc w:val="both"/>
        <w:rPr>
          <w:rFonts w:ascii="宋体" w:hAnsi="宋体" w:cs="宋体"/>
          <w:kern w:val="28"/>
          <w:szCs w:val="20"/>
          <w14:ligatures w14:val="none"/>
        </w:rPr>
      </w:pPr>
      <w:r>
        <w:rPr>
          <w:rFonts w:ascii="宋体" w:hAnsi="宋体" w:cs="宋体"/>
          <w:kern w:val="28"/>
          <w:szCs w:val="20"/>
          <w14:ligatures w14:val="none"/>
        </w:rPr>
        <w:t>评标办法前附表</w:t>
      </w:r>
    </w:p>
    <w:tbl>
      <w:tblPr>
        <w:tblStyle w:val="13"/>
        <w:tblW w:w="90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23"/>
        <w:gridCol w:w="1470"/>
        <w:gridCol w:w="6579"/>
      </w:tblGrid>
      <w:tr w14:paraId="71F25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tblHeader/>
          <w:jc w:val="center"/>
        </w:trPr>
        <w:tc>
          <w:tcPr>
            <w:tcW w:w="2493" w:type="dxa"/>
            <w:gridSpan w:val="2"/>
            <w:vAlign w:val="center"/>
          </w:tcPr>
          <w:p w14:paraId="39F3C812">
            <w:pPr>
              <w:adjustRightInd/>
              <w:snapToGrid/>
              <w:spacing w:after="160" w:line="278" w:lineRule="auto"/>
              <w:jc w:val="center"/>
              <w:rPr>
                <w:rFonts w:cs="Times New Roman"/>
                <w:kern w:val="28"/>
                <w:szCs w:val="20"/>
                <w14:ligatures w14:val="none"/>
              </w:rPr>
            </w:pPr>
            <w:r>
              <w:rPr>
                <w:rFonts w:cs="Times New Roman"/>
                <w:kern w:val="28"/>
                <w:szCs w:val="20"/>
                <w14:ligatures w14:val="none"/>
              </w:rPr>
              <w:t>条款号</w:t>
            </w:r>
          </w:p>
        </w:tc>
        <w:tc>
          <w:tcPr>
            <w:tcW w:w="6579" w:type="dxa"/>
            <w:vAlign w:val="center"/>
          </w:tcPr>
          <w:p w14:paraId="584F36B3">
            <w:pPr>
              <w:spacing w:line="240" w:lineRule="auto"/>
              <w:jc w:val="center"/>
              <w:rPr>
                <w:rFonts w:cs="Times New Roman"/>
                <w:b/>
                <w:kern w:val="28"/>
                <w:szCs w:val="21"/>
                <w14:ligatures w14:val="none"/>
              </w:rPr>
            </w:pPr>
            <w:r>
              <w:rPr>
                <w:rFonts w:cs="Times New Roman"/>
                <w:b/>
                <w:kern w:val="28"/>
                <w:szCs w:val="21"/>
                <w14:ligatures w14:val="none"/>
              </w:rPr>
              <w:t>评审因素与评审标准</w:t>
            </w:r>
          </w:p>
        </w:tc>
      </w:tr>
      <w:tr w14:paraId="15D385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79961CA4">
            <w:pPr>
              <w:adjustRightInd/>
              <w:snapToGrid/>
              <w:spacing w:after="160" w:line="278" w:lineRule="auto"/>
              <w:jc w:val="center"/>
              <w:rPr>
                <w:rFonts w:cs="Times New Roman"/>
                <w:kern w:val="28"/>
                <w:szCs w:val="20"/>
                <w14:ligatures w14:val="none"/>
              </w:rPr>
            </w:pPr>
            <w:r>
              <w:rPr>
                <w:rFonts w:cs="Times New Roman"/>
                <w:kern w:val="28"/>
                <w:szCs w:val="20"/>
                <w14:ligatures w14:val="none"/>
              </w:rPr>
              <w:t>1</w:t>
            </w:r>
          </w:p>
        </w:tc>
        <w:tc>
          <w:tcPr>
            <w:tcW w:w="1470" w:type="dxa"/>
            <w:vAlign w:val="center"/>
          </w:tcPr>
          <w:p w14:paraId="0ED5BFC9">
            <w:pPr>
              <w:adjustRightInd/>
              <w:snapToGrid/>
              <w:spacing w:after="160" w:line="278" w:lineRule="auto"/>
              <w:jc w:val="center"/>
              <w:rPr>
                <w:rFonts w:cs="Times New Roman"/>
                <w:kern w:val="28"/>
                <w:szCs w:val="20"/>
                <w14:ligatures w14:val="none"/>
              </w:rPr>
            </w:pPr>
            <w:r>
              <w:rPr>
                <w:rFonts w:cs="Times New Roman"/>
                <w:kern w:val="28"/>
                <w:szCs w:val="20"/>
                <w14:ligatures w14:val="none"/>
              </w:rPr>
              <w:t>评标办法</w:t>
            </w:r>
          </w:p>
        </w:tc>
        <w:tc>
          <w:tcPr>
            <w:tcW w:w="6579" w:type="dxa"/>
            <w:vAlign w:val="center"/>
          </w:tcPr>
          <w:p w14:paraId="392B2D67">
            <w:pPr>
              <w:spacing w:line="240" w:lineRule="auto"/>
              <w:rPr>
                <w:rFonts w:cs="Times New Roman"/>
                <w:kern w:val="28"/>
                <w:szCs w:val="21"/>
                <w14:ligatures w14:val="none"/>
              </w:rPr>
            </w:pPr>
            <w:r>
              <w:rPr>
                <w:rFonts w:cs="Times New Roman"/>
                <w:kern w:val="28"/>
                <w:szCs w:val="21"/>
                <w14:ligatures w14:val="none"/>
              </w:rPr>
              <w:t>本次评标采用综合评估法。</w:t>
            </w:r>
          </w:p>
          <w:p w14:paraId="4879A8C7">
            <w:pPr>
              <w:spacing w:line="240" w:lineRule="auto"/>
              <w:rPr>
                <w:rFonts w:cs="Times New Roman"/>
                <w:kern w:val="28"/>
                <w:szCs w:val="21"/>
                <w14:ligatures w14:val="none"/>
              </w:rPr>
            </w:pPr>
            <w:r>
              <w:rPr>
                <w:rFonts w:cs="Times New Roman"/>
                <w:kern w:val="28"/>
                <w:szCs w:val="21"/>
                <w14:ligatures w14:val="none"/>
              </w:rPr>
              <w:t>评标委员会对满足招标文件实质性要求的投标文件，按照本章第2.2款规定的评分标准进行打分，</w:t>
            </w:r>
            <w:r>
              <w:rPr>
                <w:rFonts w:cs="Times New Roman"/>
                <w:kern w:val="28"/>
                <w:szCs w:val="20"/>
                <w14:ligatures w14:val="none"/>
              </w:rPr>
              <w:t>并根据评审情况推荐1-3名中标候选人。</w:t>
            </w:r>
            <w:r>
              <w:rPr>
                <w:rFonts w:cs="Times New Roman"/>
                <w:kern w:val="28"/>
                <w:szCs w:val="21"/>
                <w14:ligatures w14:val="none"/>
              </w:rPr>
              <w:t>综合评分相等时，评标委员会依次按照以下优先顺序推荐中标候选人：</w:t>
            </w:r>
          </w:p>
          <w:p w14:paraId="7E4CA465">
            <w:pPr>
              <w:spacing w:line="240" w:lineRule="auto"/>
              <w:rPr>
                <w:rFonts w:cs="Times New Roman"/>
                <w:kern w:val="28"/>
                <w:szCs w:val="21"/>
                <w14:ligatures w14:val="none"/>
              </w:rPr>
            </w:pPr>
            <w:r>
              <w:rPr>
                <w:rFonts w:cs="Times New Roman"/>
                <w:kern w:val="28"/>
                <w:szCs w:val="21"/>
                <w14:ligatures w14:val="none"/>
              </w:rPr>
              <w:t>（1）评标价低的投标人优先；</w:t>
            </w:r>
          </w:p>
          <w:p w14:paraId="5D4BA92E">
            <w:pPr>
              <w:spacing w:line="240" w:lineRule="auto"/>
              <w:rPr>
                <w:rFonts w:cs="Times New Roman"/>
                <w:kern w:val="28"/>
                <w:szCs w:val="21"/>
                <w14:ligatures w14:val="none"/>
              </w:rPr>
            </w:pPr>
            <w:r>
              <w:rPr>
                <w:rFonts w:cs="Times New Roman"/>
                <w:kern w:val="28"/>
                <w:szCs w:val="21"/>
                <w14:ligatures w14:val="none"/>
              </w:rPr>
              <w:t>（2）技术建议书得分较高的投标人优先；</w:t>
            </w:r>
          </w:p>
          <w:p w14:paraId="3AA63888">
            <w:pPr>
              <w:spacing w:line="240" w:lineRule="auto"/>
              <w:rPr>
                <w:rFonts w:cs="Times New Roman"/>
                <w:kern w:val="28"/>
                <w:szCs w:val="21"/>
                <w14:ligatures w14:val="none"/>
              </w:rPr>
            </w:pPr>
            <w:r>
              <w:rPr>
                <w:rFonts w:cs="Times New Roman"/>
                <w:kern w:val="28"/>
                <w:szCs w:val="21"/>
                <w14:ligatures w14:val="none"/>
              </w:rPr>
              <w:t>（3）满足资格审查条件（业绩最低要求）要求的业绩累计合同金额高的优先。</w:t>
            </w:r>
          </w:p>
        </w:tc>
      </w:tr>
      <w:tr w14:paraId="419BF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6EBC60F7">
            <w:pPr>
              <w:adjustRightInd/>
              <w:snapToGrid/>
              <w:spacing w:after="160" w:line="278" w:lineRule="auto"/>
              <w:jc w:val="center"/>
              <w:rPr>
                <w:rFonts w:cs="Times New Roman"/>
                <w:kern w:val="28"/>
                <w:szCs w:val="20"/>
                <w14:ligatures w14:val="none"/>
              </w:rPr>
            </w:pPr>
            <w:r>
              <w:rPr>
                <w:rFonts w:cs="Times New Roman"/>
                <w:kern w:val="28"/>
                <w:szCs w:val="20"/>
                <w14:ligatures w14:val="none"/>
              </w:rPr>
              <w:t>2.1.1</w:t>
            </w:r>
          </w:p>
          <w:p w14:paraId="4BE0CE21">
            <w:pPr>
              <w:adjustRightInd/>
              <w:snapToGrid/>
              <w:spacing w:after="160" w:line="278" w:lineRule="auto"/>
              <w:jc w:val="center"/>
              <w:rPr>
                <w:rFonts w:cs="Times New Roman"/>
                <w:kern w:val="28"/>
                <w:szCs w:val="20"/>
                <w14:ligatures w14:val="none"/>
              </w:rPr>
            </w:pPr>
            <w:r>
              <w:rPr>
                <w:rFonts w:cs="Times New Roman"/>
                <w:kern w:val="28"/>
                <w:szCs w:val="20"/>
                <w14:ligatures w14:val="none"/>
              </w:rPr>
              <w:t>2.1.3</w:t>
            </w:r>
          </w:p>
        </w:tc>
        <w:tc>
          <w:tcPr>
            <w:tcW w:w="1470" w:type="dxa"/>
            <w:vAlign w:val="center"/>
          </w:tcPr>
          <w:p w14:paraId="0A509F22">
            <w:pPr>
              <w:adjustRightInd/>
              <w:snapToGrid/>
              <w:spacing w:after="160" w:line="278" w:lineRule="auto"/>
              <w:jc w:val="center"/>
              <w:rPr>
                <w:rFonts w:cs="Times New Roman"/>
                <w:kern w:val="28"/>
                <w:szCs w:val="20"/>
                <w14:ligatures w14:val="none"/>
              </w:rPr>
            </w:pPr>
            <w:r>
              <w:rPr>
                <w:rFonts w:cs="Times New Roman"/>
                <w:kern w:val="28"/>
                <w:szCs w:val="20"/>
                <w14:ligatures w14:val="none"/>
              </w:rPr>
              <w:t>形式评审与响应性评审标准</w:t>
            </w:r>
          </w:p>
        </w:tc>
        <w:tc>
          <w:tcPr>
            <w:tcW w:w="6579" w:type="dxa"/>
            <w:vAlign w:val="center"/>
          </w:tcPr>
          <w:p w14:paraId="51F59858">
            <w:pPr>
              <w:spacing w:line="240" w:lineRule="auto"/>
              <w:jc w:val="both"/>
              <w:rPr>
                <w:rFonts w:cs="Times New Roman"/>
                <w:b/>
                <w:bCs/>
                <w:kern w:val="28"/>
                <w:szCs w:val="21"/>
                <w14:ligatures w14:val="none"/>
              </w:rPr>
            </w:pPr>
            <w:r>
              <w:rPr>
                <w:rFonts w:cs="Times New Roman"/>
                <w:b/>
                <w:bCs/>
                <w:kern w:val="28"/>
                <w:szCs w:val="21"/>
                <w14:ligatures w14:val="none"/>
              </w:rPr>
              <w:t>第一个信封（商务文件）评审标准：</w:t>
            </w:r>
          </w:p>
          <w:p w14:paraId="55E23C43">
            <w:pPr>
              <w:spacing w:line="240" w:lineRule="auto"/>
              <w:jc w:val="both"/>
              <w:rPr>
                <w:rFonts w:cs="Times New Roman"/>
                <w:kern w:val="28"/>
                <w:szCs w:val="21"/>
                <w14:ligatures w14:val="none"/>
              </w:rPr>
            </w:pPr>
            <w:r>
              <w:rPr>
                <w:rFonts w:cs="Times New Roman"/>
                <w:kern w:val="28"/>
                <w:szCs w:val="21"/>
                <w14:ligatures w14:val="none"/>
              </w:rPr>
              <w:t>（1）投标文件按照招标文件规定的格式、内容填写，字迹清晰可辨：</w:t>
            </w:r>
          </w:p>
          <w:p w14:paraId="632EBD70">
            <w:pPr>
              <w:spacing w:line="240" w:lineRule="auto"/>
              <w:jc w:val="both"/>
              <w:rPr>
                <w:rFonts w:cs="Times New Roman"/>
                <w:kern w:val="28"/>
                <w:szCs w:val="21"/>
                <w14:ligatures w14:val="none"/>
              </w:rPr>
            </w:pPr>
            <w:r>
              <w:rPr>
                <w:rFonts w:cs="Times New Roman"/>
                <w:kern w:val="28"/>
                <w:szCs w:val="21"/>
                <w14:ligatures w14:val="none"/>
              </w:rPr>
              <w:t>a.投标函按招标文件规定填报了招标人名称、补遗书编号（如有）、项目负责人相关信息，未对投标函中填写的项目名称、质量要求、安全目标、服务期限进行修改；</w:t>
            </w:r>
          </w:p>
          <w:p w14:paraId="13266F7F">
            <w:pPr>
              <w:spacing w:line="240" w:lineRule="auto"/>
              <w:jc w:val="both"/>
              <w:rPr>
                <w:rFonts w:cs="Times New Roman"/>
                <w:kern w:val="28"/>
                <w:szCs w:val="21"/>
                <w14:ligatures w14:val="none"/>
              </w:rPr>
            </w:pPr>
            <w:r>
              <w:rPr>
                <w:rFonts w:cs="Times New Roman"/>
                <w:kern w:val="28"/>
                <w:szCs w:val="21"/>
                <w14:ligatures w14:val="none"/>
              </w:rPr>
              <w:t xml:space="preserve">b. 投标文件组成齐全完整，内容均按规定填写。 </w:t>
            </w:r>
          </w:p>
          <w:p w14:paraId="44900DA3">
            <w:pPr>
              <w:spacing w:line="240" w:lineRule="auto"/>
              <w:jc w:val="both"/>
              <w:rPr>
                <w:rFonts w:cs="Times New Roman"/>
                <w:kern w:val="28"/>
                <w:szCs w:val="21"/>
                <w14:ligatures w14:val="none"/>
              </w:rPr>
            </w:pPr>
            <w:r>
              <w:rPr>
                <w:rFonts w:cs="Times New Roman"/>
                <w:kern w:val="28"/>
                <w:szCs w:val="21"/>
                <w14:ligatures w14:val="none"/>
              </w:rPr>
              <w:t>（2）投标文件上法定代表人或其授权代理人的签名章、投标人的单位章盖章齐全，符合招标文件规定。</w:t>
            </w:r>
          </w:p>
          <w:p w14:paraId="65681063">
            <w:pPr>
              <w:spacing w:line="240" w:lineRule="auto"/>
              <w:jc w:val="both"/>
              <w:rPr>
                <w:rFonts w:cs="Times New Roman"/>
                <w:kern w:val="28"/>
                <w:szCs w:val="21"/>
                <w14:ligatures w14:val="none"/>
              </w:rPr>
            </w:pPr>
            <w:r>
              <w:rPr>
                <w:rFonts w:cs="Times New Roman"/>
                <w:kern w:val="28"/>
                <w:szCs w:val="21"/>
                <w14:ligatures w14:val="none"/>
              </w:rPr>
              <w:t>（3）投标人按照招标文件规定的金额、形式、时效和内容提供了投标保证金：符合投标须知前附表3.4.1项的规定。</w:t>
            </w:r>
          </w:p>
          <w:p w14:paraId="64498E90">
            <w:pPr>
              <w:spacing w:line="240" w:lineRule="auto"/>
              <w:jc w:val="both"/>
              <w:rPr>
                <w:rFonts w:cs="Times New Roman"/>
                <w:kern w:val="28"/>
                <w:szCs w:val="21"/>
                <w14:ligatures w14:val="none"/>
              </w:rPr>
            </w:pPr>
            <w:r>
              <w:rPr>
                <w:rFonts w:cs="Times New Roman"/>
                <w:kern w:val="28"/>
                <w:szCs w:val="21"/>
                <w14:ligatures w14:val="none"/>
              </w:rPr>
              <w:t>（4）投标人法定代表人授权委托代理人签署投标文件的，须提交授权委托书，授权委托书符合招标文件规定。</w:t>
            </w:r>
          </w:p>
          <w:p w14:paraId="74EF1A07">
            <w:pPr>
              <w:spacing w:line="240" w:lineRule="auto"/>
              <w:jc w:val="both"/>
              <w:rPr>
                <w:rFonts w:cs="Times New Roman"/>
                <w:kern w:val="28"/>
                <w:szCs w:val="21"/>
                <w14:ligatures w14:val="none"/>
              </w:rPr>
            </w:pPr>
            <w:r>
              <w:rPr>
                <w:rFonts w:cs="Times New Roman"/>
                <w:kern w:val="28"/>
                <w:szCs w:val="21"/>
                <w14:ligatures w14:val="none"/>
              </w:rPr>
              <w:t>（5）投标人法定代表人亲自签署投标文件的，提供了法定代表人身份证明，法定代表人身份证明符合招标文件规定。</w:t>
            </w:r>
          </w:p>
          <w:p w14:paraId="13C67814">
            <w:pPr>
              <w:spacing w:line="240" w:lineRule="auto"/>
              <w:jc w:val="both"/>
              <w:rPr>
                <w:rFonts w:cs="Times New Roman"/>
                <w:kern w:val="28"/>
                <w:szCs w:val="21"/>
                <w14:ligatures w14:val="none"/>
              </w:rPr>
            </w:pPr>
            <w:r>
              <w:rPr>
                <w:rFonts w:cs="Times New Roman"/>
                <w:kern w:val="28"/>
                <w:szCs w:val="21"/>
                <w14:ligatures w14:val="none"/>
              </w:rPr>
              <w:t>（6）投标人未以联合体形式投标。</w:t>
            </w:r>
          </w:p>
          <w:p w14:paraId="3FF962B8">
            <w:pPr>
              <w:spacing w:line="240" w:lineRule="auto"/>
              <w:jc w:val="both"/>
              <w:rPr>
                <w:rFonts w:cs="Times New Roman"/>
                <w:kern w:val="28"/>
                <w:szCs w:val="21"/>
                <w14:ligatures w14:val="none"/>
              </w:rPr>
            </w:pPr>
            <w:r>
              <w:rPr>
                <w:rFonts w:cs="Times New Roman"/>
                <w:kern w:val="28"/>
                <w:szCs w:val="21"/>
                <w14:ligatures w14:val="none"/>
              </w:rPr>
              <w:t>（7）投标人未有分包计划。</w:t>
            </w:r>
          </w:p>
          <w:p w14:paraId="5D4D034F">
            <w:pPr>
              <w:spacing w:line="240" w:lineRule="auto"/>
              <w:jc w:val="both"/>
              <w:rPr>
                <w:rFonts w:cs="Times New Roman"/>
                <w:kern w:val="28"/>
                <w:szCs w:val="21"/>
                <w14:ligatures w14:val="none"/>
              </w:rPr>
            </w:pPr>
            <w:r>
              <w:rPr>
                <w:rFonts w:cs="Times New Roman"/>
                <w:kern w:val="28"/>
                <w:szCs w:val="21"/>
                <w14:ligatures w14:val="none"/>
              </w:rPr>
              <w:t>（8）同一投标人未提交两个以上不同的投标文件。</w:t>
            </w:r>
          </w:p>
          <w:p w14:paraId="6E84DF10">
            <w:pPr>
              <w:spacing w:line="240" w:lineRule="auto"/>
              <w:jc w:val="both"/>
              <w:rPr>
                <w:rFonts w:cs="Times New Roman"/>
                <w:kern w:val="28"/>
                <w:szCs w:val="21"/>
                <w14:ligatures w14:val="none"/>
              </w:rPr>
            </w:pPr>
            <w:r>
              <w:rPr>
                <w:rFonts w:cs="Times New Roman"/>
                <w:kern w:val="28"/>
                <w:szCs w:val="21"/>
                <w14:ligatures w14:val="none"/>
              </w:rPr>
              <w:t>（9）投标文件第一信封中未出现有关投标报价的内容。</w:t>
            </w:r>
          </w:p>
          <w:p w14:paraId="7A6E6231">
            <w:pPr>
              <w:spacing w:line="240" w:lineRule="auto"/>
              <w:jc w:val="both"/>
              <w:rPr>
                <w:rFonts w:cs="Times New Roman"/>
                <w:kern w:val="28"/>
                <w:szCs w:val="21"/>
                <w14:ligatures w14:val="none"/>
              </w:rPr>
            </w:pPr>
            <w:r>
              <w:rPr>
                <w:rFonts w:cs="Times New Roman"/>
                <w:kern w:val="28"/>
                <w:szCs w:val="21"/>
                <w14:ligatures w14:val="none"/>
              </w:rPr>
              <w:t>（10）投标文件载明的招标项目完成期限符合招标文件规定。</w:t>
            </w:r>
          </w:p>
          <w:p w14:paraId="77B9FBE4">
            <w:pPr>
              <w:spacing w:line="240" w:lineRule="auto"/>
              <w:jc w:val="both"/>
              <w:rPr>
                <w:rFonts w:cs="Times New Roman"/>
                <w:kern w:val="28"/>
                <w:szCs w:val="21"/>
                <w14:ligatures w14:val="none"/>
              </w:rPr>
            </w:pPr>
            <w:r>
              <w:rPr>
                <w:rFonts w:cs="Times New Roman"/>
                <w:kern w:val="28"/>
                <w:szCs w:val="21"/>
                <w14:ligatures w14:val="none"/>
              </w:rPr>
              <w:t>（11）投标文件对招标文件的实质性要求和条件作出响应。</w:t>
            </w:r>
          </w:p>
          <w:p w14:paraId="3501510A">
            <w:pPr>
              <w:spacing w:line="240" w:lineRule="auto"/>
              <w:jc w:val="both"/>
              <w:rPr>
                <w:rFonts w:cs="Times New Roman"/>
                <w:kern w:val="28"/>
                <w:szCs w:val="21"/>
                <w14:ligatures w14:val="none"/>
              </w:rPr>
            </w:pPr>
            <w:r>
              <w:rPr>
                <w:rFonts w:cs="Times New Roman"/>
                <w:kern w:val="28"/>
                <w:szCs w:val="21"/>
                <w14:ligatures w14:val="none"/>
              </w:rPr>
              <w:t>（12）权利义务符合招标文件规定：</w:t>
            </w:r>
          </w:p>
          <w:p w14:paraId="0E8EC62D">
            <w:pPr>
              <w:spacing w:line="240" w:lineRule="auto"/>
              <w:jc w:val="both"/>
              <w:rPr>
                <w:rFonts w:cs="Times New Roman"/>
                <w:kern w:val="28"/>
                <w:szCs w:val="21"/>
                <w14:ligatures w14:val="none"/>
              </w:rPr>
            </w:pPr>
            <w:r>
              <w:rPr>
                <w:rFonts w:cs="Times New Roman"/>
                <w:kern w:val="28"/>
                <w:szCs w:val="21"/>
                <w14:ligatures w14:val="none"/>
              </w:rPr>
              <w:t>a.投标人应接受招标文件规定的风险划分原则，未提出新的风险划分办法；</w:t>
            </w:r>
          </w:p>
          <w:p w14:paraId="16556226">
            <w:pPr>
              <w:spacing w:line="240" w:lineRule="auto"/>
              <w:jc w:val="both"/>
              <w:rPr>
                <w:rFonts w:cs="Times New Roman"/>
                <w:kern w:val="28"/>
                <w:szCs w:val="21"/>
                <w14:ligatures w14:val="none"/>
              </w:rPr>
            </w:pPr>
            <w:r>
              <w:rPr>
                <w:rFonts w:cs="Times New Roman"/>
                <w:kern w:val="28"/>
                <w:szCs w:val="21"/>
                <w14:ligatures w14:val="none"/>
              </w:rPr>
              <w:t>b.投标人未增加发包人的责任范围，或减少投标人义务；</w:t>
            </w:r>
          </w:p>
          <w:p w14:paraId="64A30F50">
            <w:pPr>
              <w:spacing w:line="240" w:lineRule="auto"/>
              <w:jc w:val="both"/>
              <w:rPr>
                <w:rFonts w:cs="Times New Roman"/>
                <w:kern w:val="28"/>
                <w:szCs w:val="21"/>
                <w14:ligatures w14:val="none"/>
              </w:rPr>
            </w:pPr>
            <w:r>
              <w:rPr>
                <w:rFonts w:cs="Times New Roman"/>
                <w:kern w:val="28"/>
                <w:szCs w:val="21"/>
                <w14:ligatures w14:val="none"/>
              </w:rPr>
              <w:t>c.投标人未提出不同的支付办法；</w:t>
            </w:r>
          </w:p>
          <w:p w14:paraId="5E8F6327">
            <w:pPr>
              <w:spacing w:line="240" w:lineRule="auto"/>
              <w:jc w:val="both"/>
              <w:rPr>
                <w:rFonts w:cs="Times New Roman"/>
                <w:kern w:val="28"/>
                <w:szCs w:val="21"/>
                <w14:ligatures w14:val="none"/>
              </w:rPr>
            </w:pPr>
            <w:r>
              <w:rPr>
                <w:rFonts w:cs="Times New Roman"/>
                <w:kern w:val="28"/>
                <w:szCs w:val="21"/>
                <w14:ligatures w14:val="none"/>
              </w:rPr>
              <w:t>d.投标人对合同纠纷、事故处理办法未提出异议；</w:t>
            </w:r>
          </w:p>
          <w:p w14:paraId="3DDBA902">
            <w:pPr>
              <w:spacing w:line="240" w:lineRule="auto"/>
              <w:jc w:val="both"/>
              <w:rPr>
                <w:rFonts w:cs="Times New Roman"/>
                <w:kern w:val="28"/>
                <w:szCs w:val="21"/>
                <w14:ligatures w14:val="none"/>
              </w:rPr>
            </w:pPr>
            <w:r>
              <w:rPr>
                <w:rFonts w:cs="Times New Roman"/>
                <w:kern w:val="28"/>
                <w:szCs w:val="21"/>
                <w14:ligatures w14:val="none"/>
              </w:rPr>
              <w:t>e.投标人在投标活动中无欺诈行为；</w:t>
            </w:r>
          </w:p>
          <w:p w14:paraId="2EEF8366">
            <w:pPr>
              <w:spacing w:line="240" w:lineRule="auto"/>
              <w:jc w:val="both"/>
              <w:rPr>
                <w:rFonts w:cs="Times New Roman"/>
                <w:kern w:val="28"/>
                <w:szCs w:val="21"/>
                <w14:ligatures w14:val="none"/>
              </w:rPr>
            </w:pPr>
            <w:r>
              <w:rPr>
                <w:rFonts w:cs="Times New Roman"/>
                <w:kern w:val="28"/>
                <w:szCs w:val="21"/>
                <w14:ligatures w14:val="none"/>
              </w:rPr>
              <w:t>f.投标人未对合同条款有重要保留。</w:t>
            </w:r>
          </w:p>
          <w:p w14:paraId="3590B972">
            <w:pPr>
              <w:spacing w:line="240" w:lineRule="auto"/>
              <w:jc w:val="both"/>
              <w:rPr>
                <w:rFonts w:cs="Times New Roman"/>
                <w:b/>
                <w:bCs/>
                <w:szCs w:val="21"/>
                <w14:ligatures w14:val="none"/>
              </w:rPr>
            </w:pPr>
            <w:r>
              <w:rPr>
                <w:rFonts w:cs="Times New Roman"/>
                <w:b/>
                <w:bCs/>
                <w:szCs w:val="21"/>
                <w14:ligatures w14:val="none"/>
              </w:rPr>
              <w:t>第一个信封（技术文件（暗标））评审标准：</w:t>
            </w:r>
          </w:p>
          <w:p w14:paraId="0C2718A5">
            <w:pPr>
              <w:spacing w:line="240" w:lineRule="auto"/>
              <w:jc w:val="both"/>
              <w:rPr>
                <w:rFonts w:cs="Times New Roman"/>
                <w:b/>
                <w:bCs/>
                <w:szCs w:val="21"/>
                <w14:ligatures w14:val="none"/>
              </w:rPr>
            </w:pPr>
            <w:r>
              <w:rPr>
                <w:rFonts w:cs="Times New Roman"/>
                <w:b/>
                <w:bCs/>
                <w:szCs w:val="21"/>
                <w14:ligatures w14:val="none"/>
              </w:rPr>
              <w:t>（1）服务方案（投标文件暗标部分）编制符合招标文件第二章“投标人须知前附表”第10.3款的规定。</w:t>
            </w:r>
          </w:p>
          <w:p w14:paraId="52E91754">
            <w:pPr>
              <w:spacing w:line="240" w:lineRule="auto"/>
              <w:rPr>
                <w:rFonts w:cs="Times New Roman"/>
                <w:b/>
                <w:bCs/>
                <w:kern w:val="28"/>
                <w:szCs w:val="21"/>
                <w14:ligatures w14:val="none"/>
              </w:rPr>
            </w:pPr>
            <w:r>
              <w:rPr>
                <w:rFonts w:cs="Times New Roman"/>
                <w:b/>
                <w:bCs/>
                <w:kern w:val="28"/>
                <w:szCs w:val="21"/>
                <w14:ligatures w14:val="none"/>
              </w:rPr>
              <w:t>第二个信封（报价文件）评审标准：</w:t>
            </w:r>
          </w:p>
          <w:p w14:paraId="5330E3DB">
            <w:pPr>
              <w:spacing w:line="240" w:lineRule="auto"/>
              <w:jc w:val="both"/>
              <w:rPr>
                <w:rFonts w:cs="Times New Roman"/>
                <w:kern w:val="28"/>
                <w:szCs w:val="21"/>
                <w14:ligatures w14:val="none"/>
              </w:rPr>
            </w:pPr>
            <w:r>
              <w:rPr>
                <w:rFonts w:cs="Times New Roman"/>
                <w:kern w:val="28"/>
                <w:szCs w:val="21"/>
                <w14:ligatures w14:val="none"/>
              </w:rPr>
              <w:t>（1）投标文件按照招标文件规定的格式、内容填写，字迹清晰可辨：</w:t>
            </w:r>
          </w:p>
          <w:p w14:paraId="15A22972">
            <w:pPr>
              <w:spacing w:line="240" w:lineRule="auto"/>
              <w:jc w:val="both"/>
              <w:rPr>
                <w:rFonts w:cs="Times New Roman"/>
                <w:kern w:val="28"/>
                <w:szCs w:val="21"/>
                <w14:ligatures w14:val="none"/>
              </w:rPr>
            </w:pPr>
            <w:r>
              <w:rPr>
                <w:rFonts w:cs="Times New Roman"/>
                <w:kern w:val="28"/>
                <w:szCs w:val="21"/>
                <w14:ligatures w14:val="none"/>
              </w:rPr>
              <w:t>a.投标函按招标文件规定填报了招标人名称、项目名称、补遗书编号（如有）、投标价（包括大写金额和小写金额）；</w:t>
            </w:r>
          </w:p>
          <w:p w14:paraId="091CA893">
            <w:pPr>
              <w:spacing w:line="240" w:lineRule="auto"/>
              <w:jc w:val="both"/>
              <w:rPr>
                <w:rFonts w:cs="Times New Roman"/>
                <w:kern w:val="28"/>
                <w:szCs w:val="21"/>
                <w14:ligatures w14:val="none"/>
              </w:rPr>
            </w:pPr>
            <w:r>
              <w:rPr>
                <w:rFonts w:cs="Times New Roman"/>
                <w:kern w:val="28"/>
                <w:szCs w:val="21"/>
                <w14:ligatures w14:val="none"/>
              </w:rPr>
              <w:t>b.投标文件组成齐全完整，内容均按规定填写；</w:t>
            </w:r>
          </w:p>
          <w:p w14:paraId="2B7BBEAF">
            <w:pPr>
              <w:spacing w:line="240" w:lineRule="auto"/>
              <w:jc w:val="both"/>
              <w:rPr>
                <w:rFonts w:cs="Times New Roman"/>
                <w:kern w:val="28"/>
                <w:szCs w:val="21"/>
                <w14:ligatures w14:val="none"/>
              </w:rPr>
            </w:pPr>
            <w:r>
              <w:rPr>
                <w:rFonts w:cs="Times New Roman"/>
                <w:kern w:val="28"/>
                <w:szCs w:val="21"/>
                <w14:ligatures w14:val="none"/>
              </w:rPr>
              <w:t>（2）投标文件上法定代表人或其授权代理人的签字或盖章、投标人的单位章盖章齐全，符合招标文件规定。</w:t>
            </w:r>
          </w:p>
          <w:p w14:paraId="454F0AA7">
            <w:pPr>
              <w:spacing w:line="240" w:lineRule="auto"/>
              <w:jc w:val="both"/>
              <w:rPr>
                <w:rFonts w:cs="Times New Roman"/>
                <w:kern w:val="28"/>
                <w:szCs w:val="21"/>
                <w14:ligatures w14:val="none"/>
              </w:rPr>
            </w:pPr>
            <w:r>
              <w:rPr>
                <w:rFonts w:cs="Times New Roman"/>
                <w:kern w:val="28"/>
                <w:szCs w:val="21"/>
                <w14:ligatures w14:val="none"/>
              </w:rPr>
              <w:t>（3）投标报价未超过招标文件设定的最高投标限价。</w:t>
            </w:r>
          </w:p>
          <w:p w14:paraId="045882A9">
            <w:pPr>
              <w:spacing w:line="240" w:lineRule="auto"/>
              <w:jc w:val="both"/>
              <w:rPr>
                <w:rFonts w:cs="Times New Roman"/>
                <w:kern w:val="28"/>
                <w:szCs w:val="21"/>
                <w14:ligatures w14:val="none"/>
              </w:rPr>
            </w:pPr>
            <w:r>
              <w:rPr>
                <w:rFonts w:cs="Times New Roman"/>
                <w:kern w:val="28"/>
                <w:szCs w:val="21"/>
                <w14:ligatures w14:val="none"/>
              </w:rPr>
              <w:t>（4）投标报价中报价的大写金额能够确定具体数值。</w:t>
            </w:r>
          </w:p>
          <w:p w14:paraId="529946A4">
            <w:pPr>
              <w:spacing w:line="240" w:lineRule="auto"/>
              <w:jc w:val="both"/>
              <w:rPr>
                <w:rFonts w:cs="Times New Roman"/>
                <w:kern w:val="28"/>
                <w:szCs w:val="21"/>
                <w14:ligatures w14:val="none"/>
              </w:rPr>
            </w:pPr>
            <w:r>
              <w:rPr>
                <w:rFonts w:cs="Times New Roman"/>
                <w:kern w:val="28"/>
                <w:szCs w:val="21"/>
                <w14:ligatures w14:val="none"/>
              </w:rPr>
              <w:t>（5）同一投标人未提交两个以上不同的投标报价。</w:t>
            </w:r>
          </w:p>
          <w:p w14:paraId="5D37D2B9">
            <w:pPr>
              <w:spacing w:line="240" w:lineRule="auto"/>
              <w:jc w:val="both"/>
              <w:rPr>
                <w:rFonts w:cs="Times New Roman"/>
                <w:kern w:val="28"/>
                <w:szCs w:val="21"/>
                <w14:ligatures w14:val="none"/>
              </w:rPr>
            </w:pPr>
            <w:r>
              <w:rPr>
                <w:rFonts w:cs="Times New Roman"/>
                <w:kern w:val="28"/>
                <w:szCs w:val="21"/>
                <w14:ligatures w14:val="none"/>
              </w:rPr>
              <w:t>（6）投标人未提交调价函。</w:t>
            </w:r>
          </w:p>
        </w:tc>
      </w:tr>
      <w:tr w14:paraId="1F168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179AD792">
            <w:pPr>
              <w:adjustRightInd/>
              <w:snapToGrid/>
              <w:spacing w:after="160" w:line="278" w:lineRule="auto"/>
              <w:jc w:val="center"/>
              <w:rPr>
                <w:rFonts w:cs="Times New Roman"/>
                <w:kern w:val="28"/>
                <w:szCs w:val="20"/>
                <w14:ligatures w14:val="none"/>
              </w:rPr>
            </w:pPr>
            <w:r>
              <w:rPr>
                <w:rFonts w:cs="Times New Roman"/>
                <w:kern w:val="28"/>
                <w:szCs w:val="20"/>
                <w14:ligatures w14:val="none"/>
              </w:rPr>
              <w:t>2.1.2</w:t>
            </w:r>
          </w:p>
        </w:tc>
        <w:tc>
          <w:tcPr>
            <w:tcW w:w="1470" w:type="dxa"/>
            <w:vAlign w:val="center"/>
          </w:tcPr>
          <w:p w14:paraId="2A4CC52C">
            <w:pPr>
              <w:adjustRightInd/>
              <w:snapToGrid/>
              <w:spacing w:after="160" w:line="278" w:lineRule="auto"/>
              <w:jc w:val="center"/>
              <w:rPr>
                <w:rFonts w:cs="Times New Roman"/>
                <w:kern w:val="28"/>
                <w:szCs w:val="20"/>
                <w14:ligatures w14:val="none"/>
              </w:rPr>
            </w:pPr>
            <w:r>
              <w:rPr>
                <w:rFonts w:cs="Times New Roman"/>
                <w:kern w:val="28"/>
                <w:szCs w:val="20"/>
                <w14:ligatures w14:val="none"/>
              </w:rPr>
              <w:t>资格评审标准</w:t>
            </w:r>
          </w:p>
        </w:tc>
        <w:tc>
          <w:tcPr>
            <w:tcW w:w="6579" w:type="dxa"/>
            <w:vAlign w:val="center"/>
          </w:tcPr>
          <w:p w14:paraId="5E34E740">
            <w:pPr>
              <w:spacing w:line="240" w:lineRule="auto"/>
              <w:jc w:val="both"/>
              <w:rPr>
                <w:rFonts w:cs="Times New Roman"/>
                <w:kern w:val="28"/>
                <w:szCs w:val="21"/>
                <w14:ligatures w14:val="none"/>
              </w:rPr>
            </w:pPr>
            <w:r>
              <w:rPr>
                <w:rFonts w:cs="Times New Roman"/>
                <w:kern w:val="28"/>
                <w:szCs w:val="21"/>
                <w14:ligatures w14:val="none"/>
              </w:rPr>
              <w:t>（1）投标人具备有效的营业执照、资质证书和基本账户开户许可证（或基本存款账户信息）；</w:t>
            </w:r>
          </w:p>
          <w:p w14:paraId="2E9859EB">
            <w:pPr>
              <w:spacing w:line="240" w:lineRule="auto"/>
              <w:jc w:val="both"/>
              <w:rPr>
                <w:rFonts w:cs="Times New Roman"/>
                <w:kern w:val="28"/>
                <w:szCs w:val="21"/>
                <w14:ligatures w14:val="none"/>
              </w:rPr>
            </w:pPr>
            <w:r>
              <w:rPr>
                <w:rFonts w:cs="Times New Roman"/>
                <w:kern w:val="28"/>
                <w:szCs w:val="21"/>
                <w14:ligatures w14:val="none"/>
              </w:rPr>
              <w:t>（2）投标人的资质等级符合招标文件规定；</w:t>
            </w:r>
          </w:p>
          <w:p w14:paraId="25BE53C8">
            <w:pPr>
              <w:spacing w:line="240" w:lineRule="auto"/>
              <w:jc w:val="both"/>
              <w:rPr>
                <w:rFonts w:cs="Times New Roman"/>
                <w:kern w:val="28"/>
                <w:szCs w:val="21"/>
                <w14:ligatures w14:val="none"/>
              </w:rPr>
            </w:pPr>
            <w:r>
              <w:rPr>
                <w:rFonts w:cs="Times New Roman"/>
                <w:kern w:val="28"/>
                <w:szCs w:val="21"/>
                <w14:ligatures w14:val="none"/>
              </w:rPr>
              <w:t>（3）投标人的类似项目业绩符合招标文件规定；</w:t>
            </w:r>
          </w:p>
          <w:p w14:paraId="11A0D71B">
            <w:pPr>
              <w:spacing w:line="240" w:lineRule="auto"/>
              <w:jc w:val="both"/>
              <w:rPr>
                <w:rFonts w:cs="Times New Roman"/>
                <w:kern w:val="28"/>
                <w:szCs w:val="21"/>
                <w14:ligatures w14:val="none"/>
              </w:rPr>
            </w:pPr>
            <w:r>
              <w:rPr>
                <w:rFonts w:cs="Times New Roman"/>
                <w:kern w:val="28"/>
                <w:szCs w:val="21"/>
                <w14:ligatures w14:val="none"/>
              </w:rPr>
              <w:t>（4）投标人的信誉符合招标文件规定；</w:t>
            </w:r>
          </w:p>
          <w:p w14:paraId="6268EA2B">
            <w:pPr>
              <w:spacing w:line="240" w:lineRule="auto"/>
              <w:jc w:val="both"/>
              <w:rPr>
                <w:rFonts w:cs="Times New Roman"/>
                <w:kern w:val="28"/>
                <w:szCs w:val="21"/>
                <w14:ligatures w14:val="none"/>
              </w:rPr>
            </w:pPr>
            <w:r>
              <w:rPr>
                <w:rFonts w:cs="Times New Roman"/>
                <w:kern w:val="28"/>
                <w:szCs w:val="21"/>
                <w14:ligatures w14:val="none"/>
              </w:rPr>
              <w:t>（5）投标人的主要人员资格符合招标文件规定；</w:t>
            </w:r>
          </w:p>
          <w:p w14:paraId="6DEC58C6">
            <w:pPr>
              <w:spacing w:line="240" w:lineRule="auto"/>
              <w:jc w:val="both"/>
              <w:rPr>
                <w:rFonts w:cs="Times New Roman"/>
                <w:kern w:val="28"/>
                <w:szCs w:val="20"/>
                <w14:ligatures w14:val="none"/>
              </w:rPr>
            </w:pPr>
            <w:r>
              <w:rPr>
                <w:rFonts w:cs="Times New Roman"/>
                <w:kern w:val="28"/>
                <w:szCs w:val="21"/>
                <w14:ligatures w14:val="none"/>
              </w:rPr>
              <w:t>（6）投标人不存在第二章“投标人须知”第 1.4.3 项或第1.4.4项规定的任何一种情形。</w:t>
            </w:r>
          </w:p>
        </w:tc>
      </w:tr>
      <w:tr w14:paraId="0C6ED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3E1FF216">
            <w:pPr>
              <w:adjustRightInd/>
              <w:snapToGrid/>
              <w:spacing w:after="160" w:line="278" w:lineRule="auto"/>
              <w:jc w:val="center"/>
              <w:rPr>
                <w:rFonts w:cs="Times New Roman"/>
                <w:kern w:val="28"/>
                <w:szCs w:val="20"/>
                <w14:ligatures w14:val="none"/>
              </w:rPr>
            </w:pPr>
            <w:r>
              <w:rPr>
                <w:rFonts w:cs="Times New Roman"/>
                <w:kern w:val="28"/>
                <w:szCs w:val="20"/>
                <w14:ligatures w14:val="none"/>
              </w:rPr>
              <w:t>2.2.1</w:t>
            </w:r>
          </w:p>
        </w:tc>
        <w:tc>
          <w:tcPr>
            <w:tcW w:w="1470" w:type="dxa"/>
            <w:vAlign w:val="center"/>
          </w:tcPr>
          <w:p w14:paraId="6A971D64">
            <w:pPr>
              <w:adjustRightInd/>
              <w:snapToGrid/>
              <w:spacing w:after="160" w:line="278" w:lineRule="auto"/>
              <w:jc w:val="center"/>
              <w:rPr>
                <w:rFonts w:cs="Times New Roman"/>
                <w:kern w:val="28"/>
                <w:szCs w:val="20"/>
                <w14:ligatures w14:val="none"/>
              </w:rPr>
            </w:pPr>
            <w:r>
              <w:rPr>
                <w:rFonts w:cs="Times New Roman"/>
                <w:kern w:val="28"/>
                <w:szCs w:val="20"/>
                <w14:ligatures w14:val="none"/>
              </w:rPr>
              <w:t>分值构成</w:t>
            </w:r>
          </w:p>
          <w:p w14:paraId="424F78A5">
            <w:pPr>
              <w:adjustRightInd/>
              <w:snapToGrid/>
              <w:spacing w:after="160" w:line="278" w:lineRule="auto"/>
              <w:jc w:val="center"/>
              <w:rPr>
                <w:rFonts w:cs="Times New Roman"/>
                <w:kern w:val="28"/>
                <w:szCs w:val="20"/>
                <w14:ligatures w14:val="none"/>
              </w:rPr>
            </w:pPr>
            <w:r>
              <w:rPr>
                <w:rFonts w:cs="Times New Roman"/>
                <w:kern w:val="28"/>
                <w:szCs w:val="20"/>
                <w14:ligatures w14:val="none"/>
              </w:rPr>
              <w:t>（总分100分）</w:t>
            </w:r>
          </w:p>
        </w:tc>
        <w:tc>
          <w:tcPr>
            <w:tcW w:w="6579" w:type="dxa"/>
            <w:vAlign w:val="center"/>
          </w:tcPr>
          <w:p w14:paraId="7DD41A52">
            <w:pPr>
              <w:spacing w:line="240" w:lineRule="auto"/>
              <w:jc w:val="both"/>
              <w:rPr>
                <w:rFonts w:cs="Times New Roman"/>
                <w:b/>
                <w:kern w:val="28"/>
                <w:szCs w:val="21"/>
                <w14:ligatures w14:val="none"/>
              </w:rPr>
            </w:pPr>
            <w:r>
              <w:rPr>
                <w:rFonts w:cs="Times New Roman"/>
                <w:b/>
                <w:kern w:val="28"/>
                <w:szCs w:val="21"/>
                <w14:ligatures w14:val="none"/>
              </w:rPr>
              <w:t>第一个信封（商务及技术文件）评分分值构成：</w:t>
            </w:r>
          </w:p>
          <w:p w14:paraId="4D02A776">
            <w:pPr>
              <w:spacing w:line="240" w:lineRule="auto"/>
              <w:jc w:val="both"/>
              <w:rPr>
                <w:rFonts w:cs="Times New Roman"/>
                <w:kern w:val="28"/>
                <w:szCs w:val="21"/>
                <w14:ligatures w14:val="none"/>
              </w:rPr>
            </w:pPr>
            <w:r>
              <w:rPr>
                <w:rFonts w:cs="Times New Roman"/>
                <w:kern w:val="28"/>
                <w:szCs w:val="21"/>
                <w14:ligatures w14:val="none"/>
              </w:rPr>
              <w:t>（1）服务方案（暗标）：40分</w:t>
            </w:r>
          </w:p>
          <w:p w14:paraId="79DF3474">
            <w:pPr>
              <w:spacing w:line="240" w:lineRule="auto"/>
              <w:jc w:val="both"/>
              <w:rPr>
                <w:rFonts w:cs="Times New Roman"/>
                <w:kern w:val="28"/>
                <w:szCs w:val="21"/>
                <w14:ligatures w14:val="none"/>
              </w:rPr>
            </w:pPr>
            <w:r>
              <w:rPr>
                <w:rFonts w:cs="Times New Roman"/>
                <w:kern w:val="28"/>
                <w:szCs w:val="21"/>
                <w14:ligatures w14:val="none"/>
              </w:rPr>
              <w:t>（2）主要人员：15分</w:t>
            </w:r>
          </w:p>
          <w:p w14:paraId="02EC3723">
            <w:pPr>
              <w:spacing w:line="240" w:lineRule="auto"/>
              <w:jc w:val="both"/>
              <w:rPr>
                <w:rFonts w:cs="Times New Roman"/>
                <w:kern w:val="28"/>
                <w:szCs w:val="21"/>
                <w14:ligatures w14:val="none"/>
              </w:rPr>
            </w:pPr>
            <w:r>
              <w:rPr>
                <w:rFonts w:cs="Times New Roman"/>
                <w:kern w:val="28"/>
                <w:szCs w:val="21"/>
                <w14:ligatures w14:val="none"/>
              </w:rPr>
              <w:t>（3）其他评分因素：</w:t>
            </w:r>
          </w:p>
          <w:p w14:paraId="3B0BE9E5">
            <w:pPr>
              <w:spacing w:line="240" w:lineRule="auto"/>
              <w:jc w:val="both"/>
              <w:rPr>
                <w:rFonts w:cs="Times New Roman"/>
                <w:kern w:val="28"/>
                <w:szCs w:val="21"/>
                <w14:ligatures w14:val="none"/>
              </w:rPr>
            </w:pPr>
            <w:r>
              <w:rPr>
                <w:rFonts w:cs="Times New Roman"/>
                <w:kern w:val="28"/>
                <w:szCs w:val="21"/>
                <w14:ligatures w14:val="none"/>
              </w:rPr>
              <w:t>业绩：15分</w:t>
            </w:r>
          </w:p>
          <w:p w14:paraId="5318C82A">
            <w:pPr>
              <w:spacing w:line="240" w:lineRule="auto"/>
              <w:jc w:val="both"/>
              <w:rPr>
                <w:rFonts w:cs="Times New Roman"/>
                <w:b/>
                <w:kern w:val="28"/>
                <w:szCs w:val="21"/>
                <w14:ligatures w14:val="none"/>
              </w:rPr>
            </w:pPr>
            <w:r>
              <w:rPr>
                <w:rFonts w:cs="Times New Roman"/>
                <w:b/>
                <w:kern w:val="28"/>
                <w:szCs w:val="21"/>
                <w14:ligatures w14:val="none"/>
              </w:rPr>
              <w:t>第二个信封（报价文件）评分分值构成：</w:t>
            </w:r>
          </w:p>
          <w:p w14:paraId="78C3D928">
            <w:pPr>
              <w:spacing w:line="240" w:lineRule="auto"/>
              <w:jc w:val="both"/>
              <w:rPr>
                <w:rFonts w:cs="Times New Roman"/>
                <w:kern w:val="28"/>
                <w:szCs w:val="21"/>
                <w14:ligatures w14:val="none"/>
              </w:rPr>
            </w:pPr>
            <w:r>
              <w:rPr>
                <w:rFonts w:cs="Times New Roman"/>
                <w:kern w:val="28"/>
                <w:szCs w:val="21"/>
                <w14:ligatures w14:val="none"/>
              </w:rPr>
              <w:t>评标价：</w:t>
            </w:r>
            <w:r>
              <w:rPr>
                <w:rFonts w:cs="Times New Roman"/>
                <w:kern w:val="28"/>
                <w:szCs w:val="21"/>
                <w:u w:val="single"/>
                <w14:ligatures w14:val="none"/>
              </w:rPr>
              <w:t>30</w:t>
            </w:r>
            <w:r>
              <w:rPr>
                <w:rFonts w:cs="Times New Roman"/>
                <w:kern w:val="28"/>
                <w:szCs w:val="21"/>
                <w14:ligatures w14:val="none"/>
              </w:rPr>
              <w:t>分</w:t>
            </w:r>
          </w:p>
        </w:tc>
      </w:tr>
      <w:tr w14:paraId="64D01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12EBA2FA">
            <w:pPr>
              <w:adjustRightInd/>
              <w:snapToGrid/>
              <w:spacing w:after="160" w:line="278" w:lineRule="auto"/>
              <w:jc w:val="center"/>
              <w:rPr>
                <w:rFonts w:cs="Times New Roman"/>
                <w:kern w:val="28"/>
                <w:szCs w:val="20"/>
                <w14:ligatures w14:val="none"/>
              </w:rPr>
            </w:pPr>
            <w:r>
              <w:rPr>
                <w:rFonts w:cs="Times New Roman"/>
                <w:kern w:val="28"/>
                <w:szCs w:val="20"/>
                <w14:ligatures w14:val="none"/>
              </w:rPr>
              <w:t>2.2.2</w:t>
            </w:r>
          </w:p>
        </w:tc>
        <w:tc>
          <w:tcPr>
            <w:tcW w:w="1470" w:type="dxa"/>
            <w:vAlign w:val="center"/>
          </w:tcPr>
          <w:p w14:paraId="74D8159A">
            <w:pPr>
              <w:adjustRightInd/>
              <w:snapToGrid/>
              <w:spacing w:after="160" w:line="278" w:lineRule="auto"/>
              <w:jc w:val="center"/>
              <w:rPr>
                <w:rFonts w:cs="Times New Roman"/>
                <w:kern w:val="28"/>
                <w:szCs w:val="20"/>
                <w14:ligatures w14:val="none"/>
              </w:rPr>
            </w:pPr>
            <w:r>
              <w:rPr>
                <w:rFonts w:cs="Times New Roman"/>
                <w:kern w:val="28"/>
                <w:szCs w:val="20"/>
                <w14:ligatures w14:val="none"/>
              </w:rPr>
              <w:t>评标基准价计算方法</w:t>
            </w:r>
          </w:p>
        </w:tc>
        <w:tc>
          <w:tcPr>
            <w:tcW w:w="6579" w:type="dxa"/>
            <w:vAlign w:val="center"/>
          </w:tcPr>
          <w:p w14:paraId="20C1AB69">
            <w:pPr>
              <w:spacing w:line="240" w:lineRule="auto"/>
              <w:jc w:val="both"/>
              <w:rPr>
                <w:rFonts w:cs="Times New Roman"/>
                <w:kern w:val="28"/>
                <w:szCs w:val="21"/>
                <w14:ligatures w14:val="none"/>
              </w:rPr>
            </w:pPr>
            <w:r>
              <w:rPr>
                <w:rFonts w:cs="Times New Roman"/>
                <w:kern w:val="28"/>
                <w:szCs w:val="21"/>
                <w14:ligatures w14:val="none"/>
              </w:rPr>
              <w:t>评标基准价的计算：</w:t>
            </w:r>
          </w:p>
          <w:p w14:paraId="40D9955D">
            <w:pPr>
              <w:spacing w:line="240" w:lineRule="auto"/>
              <w:jc w:val="both"/>
              <w:rPr>
                <w:rFonts w:cs="Times New Roman"/>
                <w:kern w:val="28"/>
                <w:szCs w:val="21"/>
                <w14:ligatures w14:val="none"/>
              </w:rPr>
            </w:pPr>
            <w:r>
              <w:rPr>
                <w:rFonts w:cs="Times New Roman"/>
                <w:kern w:val="28"/>
                <w:szCs w:val="21"/>
                <w14:ligatures w14:val="none"/>
              </w:rPr>
              <w:t>在第二个信封开标现场，招标人将当场计算并宣布评标基准价。</w:t>
            </w:r>
          </w:p>
          <w:p w14:paraId="7643EFCB">
            <w:pPr>
              <w:spacing w:line="240" w:lineRule="auto"/>
              <w:jc w:val="both"/>
              <w:rPr>
                <w:rFonts w:cs="Times New Roman"/>
                <w:kern w:val="28"/>
                <w:szCs w:val="21"/>
                <w14:ligatures w14:val="none"/>
              </w:rPr>
            </w:pPr>
            <w:r>
              <w:rPr>
                <w:rFonts w:cs="Times New Roman"/>
                <w:kern w:val="28"/>
                <w:szCs w:val="21"/>
                <w14:ligatures w14:val="none"/>
              </w:rPr>
              <w:t>（1）评标价的确定：</w:t>
            </w:r>
          </w:p>
          <w:p w14:paraId="275324E0">
            <w:pPr>
              <w:spacing w:line="240" w:lineRule="auto"/>
              <w:jc w:val="both"/>
              <w:rPr>
                <w:rFonts w:cs="Times New Roman"/>
                <w:kern w:val="28"/>
                <w:szCs w:val="21"/>
                <w14:ligatures w14:val="none"/>
              </w:rPr>
            </w:pPr>
            <w:r>
              <w:rPr>
                <w:rFonts w:cs="Times New Roman"/>
                <w:kern w:val="28"/>
                <w:szCs w:val="21"/>
                <w14:ligatures w14:val="none"/>
              </w:rPr>
              <w:t>评标价=投标函文字报价</w:t>
            </w:r>
          </w:p>
          <w:p w14:paraId="3BBA6F08">
            <w:pPr>
              <w:spacing w:line="240" w:lineRule="auto"/>
              <w:jc w:val="both"/>
              <w:rPr>
                <w:rFonts w:cs="Times New Roman"/>
                <w:kern w:val="28"/>
                <w:szCs w:val="21"/>
                <w14:ligatures w14:val="none"/>
              </w:rPr>
            </w:pPr>
            <w:r>
              <w:rPr>
                <w:rFonts w:cs="Times New Roman"/>
                <w:kern w:val="28"/>
                <w:szCs w:val="21"/>
                <w14:ligatures w14:val="none"/>
              </w:rPr>
              <w:t>（2）评标价平均值的计算：</w:t>
            </w:r>
          </w:p>
          <w:p w14:paraId="7A424E95">
            <w:pPr>
              <w:spacing w:line="240" w:lineRule="auto"/>
              <w:jc w:val="both"/>
              <w:rPr>
                <w:rFonts w:cs="Times New Roman"/>
                <w:kern w:val="0"/>
                <w:szCs w:val="21"/>
                <w14:ligatures w14:val="none"/>
              </w:rPr>
            </w:pPr>
            <w:r>
              <w:rPr>
                <w:rFonts w:cs="Times New Roman"/>
                <w:kern w:val="28"/>
                <w:szCs w:val="21"/>
                <w14:ligatures w14:val="none"/>
              </w:rPr>
              <w:t>除按第二章“投标人须知”第 5.2.4 项规定开标现场被宣布为不进入评标基准价计算的投标报价之外，所有投标人的评标价去掉一个最高值和一个最低值后的算术平均值即为评标价平均值（如果参与评标价平均值计算的有效投标人少于6家时，则计算评标价平均值时不去掉最高值和最低值）。</w:t>
            </w:r>
          </w:p>
          <w:p w14:paraId="5CCDB1AC">
            <w:pPr>
              <w:spacing w:line="240" w:lineRule="auto"/>
              <w:jc w:val="both"/>
              <w:rPr>
                <w:rFonts w:cs="Times New Roman"/>
                <w:kern w:val="28"/>
                <w:szCs w:val="21"/>
                <w14:ligatures w14:val="none"/>
              </w:rPr>
            </w:pPr>
            <w:r>
              <w:rPr>
                <w:rFonts w:cs="Times New Roman"/>
                <w:kern w:val="28"/>
                <w:szCs w:val="21"/>
                <w14:ligatures w14:val="none"/>
              </w:rPr>
              <w:t>（3）评标基准价的确定：</w:t>
            </w:r>
          </w:p>
          <w:p w14:paraId="5A2603F3">
            <w:pPr>
              <w:spacing w:line="240" w:lineRule="auto"/>
              <w:jc w:val="both"/>
              <w:rPr>
                <w:rFonts w:cs="Times New Roman"/>
                <w:kern w:val="28"/>
                <w:szCs w:val="21"/>
                <w14:ligatures w14:val="none"/>
              </w:rPr>
            </w:pPr>
            <w:r>
              <w:rPr>
                <w:rFonts w:cs="Times New Roman"/>
                <w:kern w:val="28"/>
                <w:szCs w:val="21"/>
                <w14:ligatures w14:val="none"/>
              </w:rPr>
              <w:t>将评标价平均值直接作为评标基准价（评标基准价保留小数点两位，小数点后第三位四舍五入）。当所有投标价都高于招标人最高投标限价时，招标人将重新招标。</w:t>
            </w:r>
          </w:p>
          <w:p w14:paraId="7F7273C4">
            <w:pPr>
              <w:spacing w:line="240" w:lineRule="auto"/>
              <w:jc w:val="both"/>
              <w:rPr>
                <w:rFonts w:cs="Times New Roman"/>
                <w:kern w:val="28"/>
                <w:szCs w:val="21"/>
                <w14:ligatures w14:val="none"/>
              </w:rPr>
            </w:pPr>
            <w:r>
              <w:rPr>
                <w:rFonts w:cs="Times New Roman"/>
                <w:kern w:val="28"/>
                <w:szCs w:val="21"/>
                <w14:ligatures w14:val="none"/>
              </w:rPr>
              <w:t>在评标过程中，评标委员会应对招标人计算的评标基准价进行复核，存在计算错误的应予以修正并在评标报告中作出说明。除此之外，评标基准价在整个评标期间保持不变，不随任何因素发生变化。</w:t>
            </w:r>
          </w:p>
        </w:tc>
      </w:tr>
      <w:tr w14:paraId="7040A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1DC35389">
            <w:pPr>
              <w:adjustRightInd/>
              <w:snapToGrid/>
              <w:spacing w:after="160" w:line="278" w:lineRule="auto"/>
              <w:jc w:val="center"/>
              <w:rPr>
                <w:rFonts w:cs="Times New Roman"/>
                <w:kern w:val="28"/>
                <w:szCs w:val="20"/>
                <w14:ligatures w14:val="none"/>
              </w:rPr>
            </w:pPr>
            <w:r>
              <w:rPr>
                <w:rFonts w:cs="Times New Roman"/>
                <w:kern w:val="28"/>
                <w:szCs w:val="20"/>
                <w14:ligatures w14:val="none"/>
              </w:rPr>
              <w:t>2.2.3</w:t>
            </w:r>
          </w:p>
        </w:tc>
        <w:tc>
          <w:tcPr>
            <w:tcW w:w="1470" w:type="dxa"/>
            <w:vAlign w:val="center"/>
          </w:tcPr>
          <w:p w14:paraId="696865C4">
            <w:pPr>
              <w:adjustRightInd/>
              <w:snapToGrid/>
              <w:spacing w:after="160" w:line="278" w:lineRule="auto"/>
              <w:jc w:val="center"/>
              <w:rPr>
                <w:rFonts w:cs="Times New Roman"/>
                <w:kern w:val="28"/>
                <w:szCs w:val="20"/>
                <w14:ligatures w14:val="none"/>
              </w:rPr>
            </w:pPr>
            <w:r>
              <w:rPr>
                <w:rFonts w:cs="Times New Roman"/>
                <w:kern w:val="28"/>
                <w:szCs w:val="20"/>
                <w14:ligatures w14:val="none"/>
              </w:rPr>
              <w:t>评标价的偏差率计算公式</w:t>
            </w:r>
          </w:p>
        </w:tc>
        <w:tc>
          <w:tcPr>
            <w:tcW w:w="6579" w:type="dxa"/>
            <w:vAlign w:val="center"/>
          </w:tcPr>
          <w:p w14:paraId="6514F67A">
            <w:pPr>
              <w:spacing w:line="240" w:lineRule="auto"/>
              <w:jc w:val="both"/>
              <w:rPr>
                <w:rFonts w:cs="Times New Roman"/>
                <w:kern w:val="28"/>
                <w:szCs w:val="21"/>
                <w14:ligatures w14:val="none"/>
              </w:rPr>
            </w:pPr>
            <w:r>
              <w:rPr>
                <w:rFonts w:cs="Times New Roman"/>
                <w:kern w:val="28"/>
                <w:szCs w:val="21"/>
                <w14:ligatures w14:val="none"/>
              </w:rPr>
              <w:t>偏差率=100%×（投标人评标价-评标基准价）/评标基准价</w:t>
            </w:r>
          </w:p>
        </w:tc>
      </w:tr>
      <w:tr w14:paraId="0CAB6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7AE8185B">
            <w:pPr>
              <w:adjustRightInd/>
              <w:snapToGrid/>
              <w:spacing w:after="160" w:line="240" w:lineRule="auto"/>
              <w:jc w:val="center"/>
              <w:rPr>
                <w:rFonts w:cs="Times New Roman"/>
                <w:kern w:val="28"/>
                <w:szCs w:val="20"/>
                <w14:ligatures w14:val="none"/>
              </w:rPr>
            </w:pPr>
            <w:r>
              <w:rPr>
                <w:rFonts w:cs="Times New Roman"/>
                <w:kern w:val="28"/>
                <w:szCs w:val="20"/>
                <w14:ligatures w14:val="none"/>
              </w:rPr>
              <w:t>3.5.3</w:t>
            </w:r>
          </w:p>
        </w:tc>
        <w:tc>
          <w:tcPr>
            <w:tcW w:w="8049" w:type="dxa"/>
            <w:gridSpan w:val="2"/>
            <w:vAlign w:val="center"/>
          </w:tcPr>
          <w:p w14:paraId="34FB678D">
            <w:pPr>
              <w:adjustRightInd/>
              <w:snapToGrid/>
              <w:spacing w:line="240" w:lineRule="auto"/>
              <w:rPr>
                <w:rFonts w:cs="Times New Roman"/>
                <w:kern w:val="28"/>
                <w:szCs w:val="20"/>
                <w14:ligatures w14:val="none"/>
              </w:rPr>
            </w:pPr>
            <w:r>
              <w:rPr>
                <w:rFonts w:cs="Times New Roman"/>
                <w:kern w:val="28"/>
                <w:szCs w:val="20"/>
                <w14:ligatures w14:val="none"/>
              </w:rPr>
              <w:t>本项修改为：</w:t>
            </w:r>
          </w:p>
          <w:p w14:paraId="2BC055E1">
            <w:pPr>
              <w:adjustRightInd/>
              <w:snapToGrid/>
              <w:spacing w:line="240" w:lineRule="auto"/>
              <w:rPr>
                <w:rFonts w:cs="Times New Roman"/>
                <w:kern w:val="28"/>
                <w:szCs w:val="20"/>
                <w14:ligatures w14:val="none"/>
              </w:rPr>
            </w:pPr>
            <w:r>
              <w:rPr>
                <w:rFonts w:cs="Times New Roman"/>
                <w:kern w:val="28"/>
                <w:szCs w:val="20"/>
                <w14:ligatures w14:val="none"/>
              </w:rPr>
              <w:t>评标委员会发现投标人的投标报价低于最高投标限价的65%（含），应当要求该投标人在规定时间内作出书面说明并提供相应的证明材料。投标人不能合理说明或者不能提供相应证明材料的，评标委员会应当认定该投标人以低于成本或者影响履约的异常低价竞标，并否决其投标。</w:t>
            </w:r>
          </w:p>
        </w:tc>
      </w:tr>
      <w:tr w14:paraId="0EF03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25C5270E">
            <w:pPr>
              <w:adjustRightInd/>
              <w:snapToGrid/>
              <w:spacing w:after="160" w:line="278" w:lineRule="auto"/>
              <w:jc w:val="center"/>
              <w:rPr>
                <w:rFonts w:cs="Times New Roman"/>
                <w:kern w:val="28"/>
                <w:szCs w:val="20"/>
                <w14:ligatures w14:val="none"/>
              </w:rPr>
            </w:pPr>
            <w:r>
              <w:rPr>
                <w:rFonts w:cs="Times New Roman"/>
                <w:kern w:val="28"/>
                <w:szCs w:val="20"/>
                <w14:ligatures w14:val="none"/>
              </w:rPr>
              <w:t>3.6.1</w:t>
            </w:r>
          </w:p>
        </w:tc>
        <w:tc>
          <w:tcPr>
            <w:tcW w:w="1470" w:type="dxa"/>
            <w:vAlign w:val="center"/>
          </w:tcPr>
          <w:p w14:paraId="17780E1E">
            <w:pPr>
              <w:adjustRightInd/>
              <w:snapToGrid/>
              <w:spacing w:line="240" w:lineRule="auto"/>
              <w:rPr>
                <w:rFonts w:cs="Times New Roman"/>
                <w:kern w:val="28"/>
                <w:szCs w:val="20"/>
                <w14:ligatures w14:val="none"/>
              </w:rPr>
            </w:pPr>
            <w:r>
              <w:rPr>
                <w:rFonts w:cs="Times New Roman"/>
                <w:kern w:val="28"/>
                <w:szCs w:val="20"/>
                <w14:ligatures w14:val="none"/>
              </w:rPr>
              <w:t>投标文件相关信息的核查</w:t>
            </w:r>
          </w:p>
        </w:tc>
        <w:tc>
          <w:tcPr>
            <w:tcW w:w="6579" w:type="dxa"/>
            <w:vAlign w:val="center"/>
          </w:tcPr>
          <w:p w14:paraId="73C25A0E">
            <w:pPr>
              <w:adjustRightInd/>
              <w:snapToGrid/>
              <w:spacing w:line="240" w:lineRule="auto"/>
              <w:rPr>
                <w:rFonts w:cs="Times New Roman"/>
                <w:kern w:val="28"/>
                <w:szCs w:val="20"/>
                <w14:ligatures w14:val="none"/>
              </w:rPr>
            </w:pPr>
            <w:r>
              <w:rPr>
                <w:rFonts w:cs="Times New Roman"/>
                <w:kern w:val="28"/>
                <w:szCs w:val="20"/>
                <w14:ligatures w14:val="none"/>
              </w:rPr>
              <w:t>本项修改为：</w:t>
            </w:r>
          </w:p>
          <w:p w14:paraId="0205BE08">
            <w:pPr>
              <w:adjustRightInd/>
              <w:snapToGrid/>
              <w:spacing w:line="240" w:lineRule="auto"/>
              <w:rPr>
                <w:rFonts w:cs="Times New Roman"/>
                <w:kern w:val="28"/>
                <w:szCs w:val="20"/>
                <w14:ligatures w14:val="none"/>
              </w:rPr>
            </w:pPr>
            <w:r>
              <w:rPr>
                <w:rFonts w:cs="Times New Roman"/>
                <w:kern w:val="28"/>
                <w:szCs w:val="20"/>
                <w14:ligatures w14:val="none"/>
              </w:rPr>
              <w:t>评标委员会在评标过程中将对投标人的信誉情况进行查询。如投标人存在下列情形之一的，评标委员会应否决其投标。</w:t>
            </w:r>
          </w:p>
          <w:p w14:paraId="3157DE99">
            <w:pPr>
              <w:adjustRightInd/>
              <w:snapToGrid/>
              <w:spacing w:line="240" w:lineRule="auto"/>
              <w:rPr>
                <w:rFonts w:cs="Times New Roman"/>
                <w:kern w:val="28"/>
                <w:szCs w:val="20"/>
                <w14:ligatures w14:val="none"/>
              </w:rPr>
            </w:pPr>
            <w:r>
              <w:rPr>
                <w:rFonts w:cs="Times New Roman"/>
                <w:kern w:val="28"/>
                <w:szCs w:val="20"/>
                <w14:ligatures w14:val="none"/>
              </w:rPr>
              <w:t>（1）在国家企业信用信息公示系统（https://www.gsxt.gov.cn/）中被列入严重违法失信名单（黑名单）（不含分公司）；</w:t>
            </w:r>
          </w:p>
          <w:p w14:paraId="13035513">
            <w:pPr>
              <w:adjustRightInd/>
              <w:snapToGrid/>
              <w:spacing w:line="240" w:lineRule="auto"/>
              <w:rPr>
                <w:rFonts w:cs="Times New Roman"/>
                <w:kern w:val="28"/>
                <w:szCs w:val="20"/>
                <w14:ligatures w14:val="none"/>
              </w:rPr>
            </w:pPr>
            <w:r>
              <w:rPr>
                <w:rFonts w:cs="Times New Roman"/>
                <w:kern w:val="28"/>
                <w:szCs w:val="20"/>
                <w14:ligatures w14:val="none"/>
              </w:rPr>
              <w:t>（2）在“信用中国"网站（http://www.creditchina.gov.cn/）中被列入经营（活动）异常名录、重大税收违法失信主体名单、安全生产严重失信主体名单和政府采购严重违法失信行为记录名单（均不含分公司）；</w:t>
            </w:r>
          </w:p>
          <w:p w14:paraId="01E37AF2">
            <w:pPr>
              <w:adjustRightInd/>
              <w:snapToGrid/>
              <w:spacing w:line="240" w:lineRule="auto"/>
              <w:rPr>
                <w:rFonts w:cs="Times New Roman"/>
                <w:kern w:val="28"/>
                <w:szCs w:val="20"/>
                <w14:ligatures w14:val="none"/>
              </w:rPr>
            </w:pPr>
            <w:r>
              <w:rPr>
                <w:rFonts w:cs="Times New Roman"/>
                <w:kern w:val="28"/>
                <w:szCs w:val="20"/>
                <w14:ligatures w14:val="none"/>
              </w:rPr>
              <w:t>（3）在中国执行信息公开网（zxgk.court.gov.cn）中被列入失信被执行人（不含分公司）。</w:t>
            </w:r>
          </w:p>
        </w:tc>
      </w:tr>
      <w:tr w14:paraId="72F05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314DE93F">
            <w:pPr>
              <w:adjustRightInd/>
              <w:snapToGrid/>
              <w:spacing w:after="160" w:line="278" w:lineRule="auto"/>
              <w:jc w:val="center"/>
              <w:rPr>
                <w:rFonts w:cs="Times New Roman"/>
                <w:kern w:val="28"/>
                <w:szCs w:val="20"/>
                <w14:ligatures w14:val="none"/>
              </w:rPr>
            </w:pPr>
            <w:r>
              <w:rPr>
                <w:rFonts w:cs="Times New Roman"/>
                <w:kern w:val="28"/>
                <w:szCs w:val="20"/>
                <w14:ligatures w14:val="none"/>
              </w:rPr>
              <w:t>3.6.3</w:t>
            </w:r>
          </w:p>
        </w:tc>
        <w:tc>
          <w:tcPr>
            <w:tcW w:w="1470" w:type="dxa"/>
            <w:vAlign w:val="center"/>
          </w:tcPr>
          <w:p w14:paraId="14F9F234">
            <w:pPr>
              <w:adjustRightInd/>
              <w:snapToGrid/>
              <w:spacing w:after="160" w:line="278" w:lineRule="auto"/>
              <w:jc w:val="center"/>
              <w:rPr>
                <w:rFonts w:cs="Times New Roman"/>
                <w:kern w:val="28"/>
                <w:szCs w:val="20"/>
                <w14:ligatures w14:val="none"/>
              </w:rPr>
            </w:pPr>
            <w:r>
              <w:rPr>
                <w:rFonts w:cs="Times New Roman"/>
                <w:kern w:val="28"/>
                <w:szCs w:val="20"/>
                <w14:ligatures w14:val="none"/>
              </w:rPr>
              <w:t>投标人异常投标情形的核查</w:t>
            </w:r>
          </w:p>
        </w:tc>
        <w:tc>
          <w:tcPr>
            <w:tcW w:w="6579" w:type="dxa"/>
            <w:vAlign w:val="center"/>
          </w:tcPr>
          <w:p w14:paraId="53CD5FF9">
            <w:pPr>
              <w:spacing w:line="240" w:lineRule="auto"/>
              <w:jc w:val="both"/>
              <w:rPr>
                <w:rFonts w:cs="Times New Roman"/>
                <w:kern w:val="28"/>
                <w:szCs w:val="21"/>
                <w14:ligatures w14:val="none"/>
              </w:rPr>
            </w:pPr>
            <w:r>
              <w:rPr>
                <w:rFonts w:cs="Times New Roman"/>
                <w:kern w:val="28"/>
                <w:szCs w:val="21"/>
                <w14:ligatures w14:val="none"/>
              </w:rPr>
              <w:t>补充本项：</w:t>
            </w:r>
          </w:p>
          <w:p w14:paraId="08E7BE4F">
            <w:pPr>
              <w:autoSpaceDE w:val="0"/>
              <w:autoSpaceDN w:val="0"/>
              <w:spacing w:line="240" w:lineRule="auto"/>
              <w:jc w:val="both"/>
              <w:rPr>
                <w:rFonts w:cs="Times New Roman"/>
                <w:kern w:val="28"/>
                <w:szCs w:val="21"/>
                <w14:ligatures w14:val="none"/>
              </w:rPr>
            </w:pPr>
            <w:r>
              <w:rPr>
                <w:rFonts w:cs="Times New Roman"/>
                <w:kern w:val="28"/>
                <w:szCs w:val="21"/>
                <w14:ligatures w14:val="none"/>
              </w:rPr>
              <w:t>评标委员会在评标过程中发现存在投标文件异常一致或投标活动异常关联等异常投标情形的，应当要求该投标人在规定时间内作出书面说明并提供相应的证明材料。投标人不能合理说明或者不能提供相应证明材料的，评标委员会应当认定该投标人存在异常投标情形，并否决其投标。</w:t>
            </w:r>
          </w:p>
          <w:p w14:paraId="3D7C90ED">
            <w:pPr>
              <w:autoSpaceDE w:val="0"/>
              <w:autoSpaceDN w:val="0"/>
              <w:spacing w:line="240" w:lineRule="auto"/>
              <w:jc w:val="both"/>
              <w:rPr>
                <w:rFonts w:cs="Times New Roman"/>
                <w:kern w:val="28"/>
                <w:szCs w:val="21"/>
                <w14:ligatures w14:val="none"/>
              </w:rPr>
            </w:pPr>
            <w:r>
              <w:rPr>
                <w:rFonts w:cs="Times New Roman"/>
                <w:kern w:val="28"/>
                <w:szCs w:val="21"/>
                <w14:ligatures w14:val="none"/>
              </w:rPr>
              <w:t>有下列情形之一的，属于投标文件异常一致或投标活动异常关联等异常投标情形：</w:t>
            </w:r>
          </w:p>
          <w:p w14:paraId="6ED09EB9">
            <w:pPr>
              <w:autoSpaceDE w:val="0"/>
              <w:autoSpaceDN w:val="0"/>
              <w:spacing w:line="240" w:lineRule="auto"/>
              <w:jc w:val="both"/>
              <w:rPr>
                <w:rFonts w:cs="Times New Roman"/>
                <w:kern w:val="28"/>
                <w:szCs w:val="21"/>
                <w14:ligatures w14:val="none"/>
              </w:rPr>
            </w:pPr>
            <w:r>
              <w:rPr>
                <w:rFonts w:cs="Times New Roman"/>
                <w:kern w:val="28"/>
                <w:szCs w:val="21"/>
                <w14:ligatures w14:val="none"/>
              </w:rPr>
              <w:t>（1）投标人投标文件制作机器码雷同；</w:t>
            </w:r>
          </w:p>
          <w:p w14:paraId="54661C1D">
            <w:pPr>
              <w:autoSpaceDE w:val="0"/>
              <w:autoSpaceDN w:val="0"/>
              <w:spacing w:line="240" w:lineRule="auto"/>
              <w:jc w:val="both"/>
              <w:rPr>
                <w:rFonts w:cs="Times New Roman"/>
                <w:kern w:val="28"/>
                <w:szCs w:val="21"/>
                <w14:ligatures w14:val="none"/>
              </w:rPr>
            </w:pPr>
            <w:r>
              <w:rPr>
                <w:rFonts w:cs="Times New Roman"/>
                <w:kern w:val="28"/>
                <w:szCs w:val="21"/>
                <w14:ligatures w14:val="none"/>
              </w:rPr>
              <w:t>（2）投标文件创建标识码雷同；</w:t>
            </w:r>
          </w:p>
          <w:p w14:paraId="6C515694">
            <w:pPr>
              <w:autoSpaceDE w:val="0"/>
              <w:autoSpaceDN w:val="0"/>
              <w:spacing w:line="240" w:lineRule="auto"/>
              <w:jc w:val="both"/>
              <w:rPr>
                <w:rFonts w:cs="Times New Roman"/>
                <w:kern w:val="28"/>
                <w:szCs w:val="21"/>
                <w14:ligatures w14:val="none"/>
              </w:rPr>
            </w:pPr>
            <w:r>
              <w:rPr>
                <w:rFonts w:cs="Times New Roman"/>
                <w:kern w:val="28"/>
                <w:szCs w:val="21"/>
                <w14:ligatures w14:val="none"/>
              </w:rPr>
              <w:t>（3）投标文件制作计算机MAC地址雷同；</w:t>
            </w:r>
          </w:p>
          <w:p w14:paraId="07736800">
            <w:pPr>
              <w:autoSpaceDE w:val="0"/>
              <w:autoSpaceDN w:val="0"/>
              <w:spacing w:line="240" w:lineRule="auto"/>
              <w:jc w:val="both"/>
              <w:rPr>
                <w:rFonts w:cs="Times New Roman"/>
                <w:kern w:val="28"/>
                <w:szCs w:val="21"/>
                <w14:ligatures w14:val="none"/>
              </w:rPr>
            </w:pPr>
            <w:r>
              <w:rPr>
                <w:rFonts w:cs="Times New Roman"/>
                <w:kern w:val="28"/>
                <w:szCs w:val="21"/>
                <w14:ligatures w14:val="none"/>
              </w:rPr>
              <w:t>（4）投标文件制作计算机硬盘序列号雷同；</w:t>
            </w:r>
          </w:p>
          <w:p w14:paraId="716981C4">
            <w:pPr>
              <w:autoSpaceDE w:val="0"/>
              <w:autoSpaceDN w:val="0"/>
              <w:spacing w:line="240" w:lineRule="auto"/>
              <w:jc w:val="both"/>
              <w:rPr>
                <w:rFonts w:cs="Times New Roman"/>
                <w:kern w:val="28"/>
                <w:szCs w:val="21"/>
                <w14:ligatures w14:val="none"/>
              </w:rPr>
            </w:pPr>
            <w:r>
              <w:rPr>
                <w:rFonts w:cs="Times New Roman"/>
                <w:kern w:val="28"/>
                <w:szCs w:val="21"/>
                <w14:ligatures w14:val="none"/>
              </w:rPr>
              <w:t>（5）投标文件上传IP地址雷同；</w:t>
            </w:r>
          </w:p>
          <w:p w14:paraId="77A43E20">
            <w:pPr>
              <w:autoSpaceDE w:val="0"/>
              <w:autoSpaceDN w:val="0"/>
              <w:spacing w:line="240" w:lineRule="auto"/>
              <w:jc w:val="both"/>
              <w:rPr>
                <w:rFonts w:cs="Times New Roman"/>
                <w:kern w:val="28"/>
                <w:szCs w:val="21"/>
                <w14:ligatures w14:val="none"/>
              </w:rPr>
            </w:pPr>
            <w:r>
              <w:rPr>
                <w:rFonts w:cs="Times New Roman"/>
                <w:kern w:val="28"/>
                <w:szCs w:val="21"/>
                <w14:ligatures w14:val="none"/>
              </w:rPr>
              <w:t>（6）投标文件解密IP地址雷同。</w:t>
            </w:r>
          </w:p>
        </w:tc>
      </w:tr>
    </w:tbl>
    <w:p w14:paraId="085205D6">
      <w:pPr>
        <w:adjustRightInd/>
        <w:snapToGrid/>
        <w:spacing w:after="160" w:line="278" w:lineRule="auto"/>
        <w:jc w:val="both"/>
        <w:rPr>
          <w:rFonts w:ascii="宋体" w:hAnsi="宋体" w:cs="宋体"/>
          <w:kern w:val="28"/>
          <w:szCs w:val="20"/>
          <w14:ligatures w14:val="none"/>
        </w:rPr>
      </w:pPr>
    </w:p>
    <w:p w14:paraId="4DB69205">
      <w:pPr>
        <w:adjustRightInd/>
        <w:snapToGrid/>
        <w:spacing w:after="160" w:line="278" w:lineRule="auto"/>
        <w:jc w:val="both"/>
        <w:rPr>
          <w:rFonts w:ascii="宋体" w:hAnsi="宋体" w:cs="宋体"/>
          <w:kern w:val="28"/>
          <w:szCs w:val="20"/>
          <w14:ligatures w14:val="none"/>
        </w:rPr>
      </w:pPr>
      <w:r>
        <w:rPr>
          <w:rFonts w:ascii="宋体" w:hAnsi="宋体" w:cs="宋体"/>
          <w:kern w:val="28"/>
          <w:szCs w:val="20"/>
          <w14:ligatures w14:val="none"/>
        </w:rPr>
        <w:br w:type="page"/>
      </w:r>
      <w:r>
        <w:rPr>
          <w:rFonts w:ascii="宋体" w:hAnsi="宋体" w:cs="宋体"/>
          <w:kern w:val="28"/>
          <w:szCs w:val="20"/>
          <w14:ligatures w14:val="none"/>
        </w:rPr>
        <w:t>具体评分标准如下：</w:t>
      </w:r>
    </w:p>
    <w:tbl>
      <w:tblPr>
        <w:tblStyle w:val="1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624"/>
        <w:gridCol w:w="675"/>
        <w:gridCol w:w="644"/>
        <w:gridCol w:w="7"/>
        <w:gridCol w:w="637"/>
        <w:gridCol w:w="5044"/>
      </w:tblGrid>
      <w:tr w14:paraId="37905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59" w:type="pct"/>
            <w:gridSpan w:val="6"/>
            <w:tcBorders>
              <w:top w:val="single" w:color="auto" w:sz="4" w:space="0"/>
              <w:left w:val="single" w:color="auto" w:sz="4" w:space="0"/>
              <w:bottom w:val="single" w:color="auto" w:sz="4" w:space="0"/>
              <w:right w:val="single" w:color="auto" w:sz="4" w:space="0"/>
            </w:tcBorders>
            <w:vAlign w:val="center"/>
          </w:tcPr>
          <w:p w14:paraId="700CBB41">
            <w:pPr>
              <w:spacing w:after="160" w:line="240" w:lineRule="auto"/>
              <w:jc w:val="center"/>
              <w:textAlignment w:val="baseline"/>
              <w:rPr>
                <w:rFonts w:cs="Times New Roman"/>
                <w:sz w:val="21"/>
                <w:szCs w:val="20"/>
                <w14:ligatures w14:val="none"/>
              </w:rPr>
            </w:pPr>
            <w:r>
              <w:rPr>
                <w:rFonts w:cs="Times New Roman"/>
                <w:sz w:val="21"/>
                <w:szCs w:val="20"/>
                <w14:ligatures w14:val="none"/>
              </w:rPr>
              <w:t>评分因素与权重分值</w:t>
            </w:r>
          </w:p>
        </w:tc>
        <w:tc>
          <w:tcPr>
            <w:tcW w:w="3041" w:type="pct"/>
            <w:vMerge w:val="restart"/>
            <w:tcBorders>
              <w:top w:val="single" w:color="auto" w:sz="4" w:space="0"/>
              <w:left w:val="single" w:color="auto" w:sz="4" w:space="0"/>
              <w:bottom w:val="single" w:color="auto" w:sz="4" w:space="0"/>
              <w:right w:val="single" w:color="auto" w:sz="4" w:space="0"/>
            </w:tcBorders>
            <w:vAlign w:val="center"/>
          </w:tcPr>
          <w:p w14:paraId="3378ACF7">
            <w:pPr>
              <w:spacing w:after="160" w:line="240" w:lineRule="auto"/>
              <w:jc w:val="center"/>
              <w:textAlignment w:val="baseline"/>
              <w:rPr>
                <w:rFonts w:cs="Times New Roman"/>
                <w:sz w:val="21"/>
                <w:szCs w:val="20"/>
                <w14:ligatures w14:val="none"/>
              </w:rPr>
            </w:pPr>
            <w:r>
              <w:rPr>
                <w:rFonts w:cs="Times New Roman"/>
                <w:sz w:val="21"/>
                <w:szCs w:val="20"/>
                <w14:ligatures w14:val="none"/>
              </w:rPr>
              <w:t>评分标准</w:t>
            </w:r>
          </w:p>
        </w:tc>
      </w:tr>
      <w:tr w14:paraId="7E324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tcBorders>
              <w:top w:val="single" w:color="auto" w:sz="4" w:space="0"/>
              <w:left w:val="single" w:color="auto" w:sz="4" w:space="0"/>
              <w:bottom w:val="single" w:color="auto" w:sz="4" w:space="0"/>
              <w:right w:val="single" w:color="auto" w:sz="4" w:space="0"/>
            </w:tcBorders>
            <w:vAlign w:val="center"/>
          </w:tcPr>
          <w:p w14:paraId="38A93DA0">
            <w:pPr>
              <w:spacing w:after="160" w:line="240" w:lineRule="auto"/>
              <w:jc w:val="center"/>
              <w:textAlignment w:val="baseline"/>
              <w:rPr>
                <w:rFonts w:cs="Times New Roman"/>
                <w:sz w:val="21"/>
                <w:szCs w:val="20"/>
                <w14:ligatures w14:val="none"/>
              </w:rPr>
            </w:pPr>
            <w:r>
              <w:rPr>
                <w:rFonts w:cs="Times New Roman"/>
                <w:sz w:val="21"/>
                <w:szCs w:val="20"/>
                <w14:ligatures w14:val="none"/>
              </w:rPr>
              <w:t>条款号</w:t>
            </w:r>
          </w:p>
        </w:tc>
        <w:tc>
          <w:tcPr>
            <w:tcW w:w="376" w:type="pct"/>
            <w:tcBorders>
              <w:top w:val="single" w:color="auto" w:sz="4" w:space="0"/>
              <w:left w:val="single" w:color="auto" w:sz="4" w:space="0"/>
              <w:bottom w:val="single" w:color="auto" w:sz="4" w:space="0"/>
              <w:right w:val="single" w:color="auto" w:sz="4" w:space="0"/>
            </w:tcBorders>
            <w:vAlign w:val="center"/>
          </w:tcPr>
          <w:p w14:paraId="4FADEDFA">
            <w:pPr>
              <w:spacing w:after="160" w:line="240" w:lineRule="auto"/>
              <w:jc w:val="center"/>
              <w:textAlignment w:val="baseline"/>
              <w:rPr>
                <w:rFonts w:cs="Times New Roman"/>
                <w:sz w:val="21"/>
                <w:szCs w:val="20"/>
                <w14:ligatures w14:val="none"/>
              </w:rPr>
            </w:pPr>
            <w:r>
              <w:rPr>
                <w:rFonts w:cs="Times New Roman"/>
                <w:sz w:val="21"/>
                <w:szCs w:val="20"/>
                <w14:ligatures w14:val="none"/>
              </w:rPr>
              <w:t>评分因素</w:t>
            </w:r>
          </w:p>
        </w:tc>
        <w:tc>
          <w:tcPr>
            <w:tcW w:w="407" w:type="pct"/>
            <w:tcBorders>
              <w:top w:val="single" w:color="auto" w:sz="4" w:space="0"/>
              <w:left w:val="single" w:color="auto" w:sz="4" w:space="0"/>
              <w:bottom w:val="single" w:color="auto" w:sz="4" w:space="0"/>
              <w:right w:val="single" w:color="auto" w:sz="4" w:space="0"/>
            </w:tcBorders>
            <w:vAlign w:val="center"/>
          </w:tcPr>
          <w:p w14:paraId="5E8F7B44">
            <w:pPr>
              <w:spacing w:after="160" w:line="240" w:lineRule="auto"/>
              <w:jc w:val="center"/>
              <w:textAlignment w:val="baseline"/>
              <w:rPr>
                <w:rFonts w:cs="Times New Roman"/>
                <w:sz w:val="21"/>
                <w:szCs w:val="20"/>
                <w14:ligatures w14:val="none"/>
              </w:rPr>
            </w:pPr>
            <w:r>
              <w:rPr>
                <w:rFonts w:cs="Times New Roman"/>
                <w:sz w:val="21"/>
                <w:szCs w:val="20"/>
                <w14:ligatures w14:val="none"/>
              </w:rPr>
              <w:t>评分因素权重分值</w:t>
            </w:r>
          </w:p>
        </w:tc>
        <w:tc>
          <w:tcPr>
            <w:tcW w:w="392" w:type="pct"/>
            <w:gridSpan w:val="2"/>
            <w:tcBorders>
              <w:top w:val="single" w:color="auto" w:sz="4" w:space="0"/>
              <w:left w:val="single" w:color="auto" w:sz="4" w:space="0"/>
              <w:bottom w:val="single" w:color="auto" w:sz="4" w:space="0"/>
              <w:right w:val="single" w:color="auto" w:sz="4" w:space="0"/>
            </w:tcBorders>
            <w:vAlign w:val="center"/>
          </w:tcPr>
          <w:p w14:paraId="4178CBAD">
            <w:pPr>
              <w:spacing w:after="160" w:line="240" w:lineRule="auto"/>
              <w:jc w:val="center"/>
              <w:textAlignment w:val="baseline"/>
              <w:rPr>
                <w:rFonts w:cs="Times New Roman"/>
                <w:sz w:val="21"/>
                <w:szCs w:val="20"/>
                <w14:ligatures w14:val="none"/>
              </w:rPr>
            </w:pPr>
            <w:r>
              <w:rPr>
                <w:rFonts w:cs="Times New Roman"/>
                <w:sz w:val="21"/>
                <w:szCs w:val="21"/>
                <w:shd w:val="clear" w:color="auto" w:fill="FFFFFF"/>
                <w:lang w:val="zh-CN" w:bidi="zh-CN"/>
                <w14:ligatures w14:val="none"/>
              </w:rPr>
              <w:t>各评分因素细分项</w:t>
            </w:r>
          </w:p>
        </w:tc>
        <w:tc>
          <w:tcPr>
            <w:tcW w:w="384" w:type="pct"/>
            <w:tcBorders>
              <w:top w:val="single" w:color="auto" w:sz="4" w:space="0"/>
              <w:left w:val="single" w:color="auto" w:sz="4" w:space="0"/>
              <w:bottom w:val="single" w:color="auto" w:sz="4" w:space="0"/>
              <w:right w:val="single" w:color="auto" w:sz="4" w:space="0"/>
            </w:tcBorders>
            <w:vAlign w:val="center"/>
          </w:tcPr>
          <w:p w14:paraId="522A7BDF">
            <w:pPr>
              <w:spacing w:after="160" w:line="240" w:lineRule="auto"/>
              <w:jc w:val="center"/>
              <w:textAlignment w:val="baseline"/>
              <w:rPr>
                <w:rFonts w:cs="Times New Roman"/>
                <w:sz w:val="21"/>
                <w:szCs w:val="20"/>
                <w14:ligatures w14:val="none"/>
              </w:rPr>
            </w:pPr>
            <w:r>
              <w:rPr>
                <w:rFonts w:cs="Times New Roman"/>
                <w:sz w:val="21"/>
                <w:szCs w:val="20"/>
                <w14:ligatures w14:val="none"/>
              </w:rPr>
              <w:t>分值</w:t>
            </w:r>
          </w:p>
        </w:tc>
        <w:tc>
          <w:tcPr>
            <w:tcW w:w="3041" w:type="pct"/>
            <w:vMerge w:val="continue"/>
            <w:tcBorders>
              <w:top w:val="single" w:color="auto" w:sz="4" w:space="0"/>
              <w:left w:val="single" w:color="auto" w:sz="4" w:space="0"/>
              <w:bottom w:val="single" w:color="auto" w:sz="4" w:space="0"/>
              <w:right w:val="single" w:color="auto" w:sz="4" w:space="0"/>
            </w:tcBorders>
            <w:vAlign w:val="center"/>
          </w:tcPr>
          <w:p w14:paraId="42DEF38D">
            <w:pPr>
              <w:widowControl/>
              <w:spacing w:after="160" w:line="240" w:lineRule="auto"/>
              <w:rPr>
                <w:rFonts w:cs="Times New Roman"/>
                <w:kern w:val="28"/>
                <w:szCs w:val="20"/>
                <w14:ligatures w14:val="none"/>
              </w:rPr>
            </w:pPr>
          </w:p>
        </w:tc>
      </w:tr>
      <w:tr w14:paraId="393F8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vMerge w:val="restart"/>
            <w:tcBorders>
              <w:top w:val="single" w:color="auto" w:sz="4" w:space="0"/>
              <w:left w:val="single" w:color="auto" w:sz="4" w:space="0"/>
              <w:right w:val="single" w:color="auto" w:sz="4" w:space="0"/>
            </w:tcBorders>
            <w:vAlign w:val="center"/>
          </w:tcPr>
          <w:p w14:paraId="69764D79">
            <w:pPr>
              <w:widowControl/>
              <w:spacing w:after="160" w:line="240" w:lineRule="auto"/>
              <w:jc w:val="center"/>
              <w:rPr>
                <w:rFonts w:cs="Times New Roman"/>
                <w:kern w:val="28"/>
                <w:szCs w:val="20"/>
                <w14:ligatures w14:val="none"/>
              </w:rPr>
            </w:pPr>
            <w:r>
              <w:rPr>
                <w:rFonts w:cs="Times New Roman"/>
                <w:kern w:val="28"/>
                <w:szCs w:val="20"/>
                <w14:ligatures w14:val="none"/>
              </w:rPr>
              <w:t>2.2.4（1）</w:t>
            </w:r>
          </w:p>
        </w:tc>
        <w:tc>
          <w:tcPr>
            <w:tcW w:w="376" w:type="pct"/>
            <w:vMerge w:val="restart"/>
            <w:tcBorders>
              <w:top w:val="single" w:color="auto" w:sz="4" w:space="0"/>
              <w:left w:val="single" w:color="auto" w:sz="4" w:space="0"/>
              <w:right w:val="single" w:color="auto" w:sz="4" w:space="0"/>
            </w:tcBorders>
            <w:vAlign w:val="center"/>
          </w:tcPr>
          <w:p w14:paraId="7A870E1E">
            <w:pPr>
              <w:widowControl/>
              <w:spacing w:after="160" w:line="240" w:lineRule="auto"/>
              <w:jc w:val="center"/>
              <w:rPr>
                <w:rFonts w:cs="Times New Roman"/>
                <w:kern w:val="28"/>
                <w:szCs w:val="20"/>
                <w14:ligatures w14:val="none"/>
              </w:rPr>
            </w:pPr>
            <w:r>
              <w:rPr>
                <w:rFonts w:cs="Times New Roman"/>
                <w:kern w:val="28"/>
                <w:szCs w:val="20"/>
                <w14:ligatures w14:val="none"/>
              </w:rPr>
              <w:t>服务方案（暗标）</w:t>
            </w:r>
          </w:p>
        </w:tc>
        <w:tc>
          <w:tcPr>
            <w:tcW w:w="407" w:type="pct"/>
            <w:vMerge w:val="restart"/>
            <w:tcBorders>
              <w:top w:val="single" w:color="auto" w:sz="4" w:space="0"/>
              <w:left w:val="single" w:color="auto" w:sz="4" w:space="0"/>
              <w:right w:val="single" w:color="auto" w:sz="4" w:space="0"/>
            </w:tcBorders>
            <w:vAlign w:val="center"/>
          </w:tcPr>
          <w:p w14:paraId="2A359C12">
            <w:pPr>
              <w:widowControl/>
              <w:spacing w:after="160" w:line="240" w:lineRule="auto"/>
              <w:jc w:val="center"/>
              <w:rPr>
                <w:rFonts w:cs="Times New Roman"/>
                <w:kern w:val="28"/>
                <w:szCs w:val="20"/>
                <w14:ligatures w14:val="none"/>
              </w:rPr>
            </w:pPr>
            <w:r>
              <w:rPr>
                <w:rFonts w:cs="Times New Roman"/>
                <w:kern w:val="28"/>
                <w:szCs w:val="20"/>
                <w14:ligatures w14:val="none"/>
              </w:rPr>
              <w:t>40分</w:t>
            </w:r>
          </w:p>
        </w:tc>
        <w:tc>
          <w:tcPr>
            <w:tcW w:w="392" w:type="pct"/>
            <w:gridSpan w:val="2"/>
            <w:tcBorders>
              <w:top w:val="single" w:color="auto" w:sz="4" w:space="0"/>
              <w:left w:val="single" w:color="auto" w:sz="4" w:space="0"/>
              <w:bottom w:val="single" w:color="auto" w:sz="4" w:space="0"/>
              <w:right w:val="single" w:color="auto" w:sz="4" w:space="0"/>
            </w:tcBorders>
            <w:vAlign w:val="center"/>
          </w:tcPr>
          <w:p w14:paraId="65B12C16">
            <w:pPr>
              <w:spacing w:after="160" w:line="240" w:lineRule="auto"/>
              <w:jc w:val="center"/>
              <w:textAlignment w:val="baseline"/>
              <w:rPr>
                <w:rFonts w:cs="Times New Roman"/>
                <w:sz w:val="21"/>
                <w:szCs w:val="20"/>
                <w14:ligatures w14:val="none"/>
              </w:rPr>
            </w:pPr>
            <w:r>
              <w:rPr>
                <w:rFonts w:ascii="宋体" w:hAnsi="宋体" w:cs="宋体"/>
                <w:sz w:val="21"/>
                <w:szCs w:val="21"/>
                <w14:ligatures w14:val="none"/>
              </w:rPr>
              <w:t>项目总体理解和概括</w:t>
            </w:r>
          </w:p>
        </w:tc>
        <w:tc>
          <w:tcPr>
            <w:tcW w:w="384" w:type="pct"/>
            <w:tcBorders>
              <w:top w:val="single" w:color="auto" w:sz="4" w:space="0"/>
              <w:left w:val="single" w:color="auto" w:sz="4" w:space="0"/>
              <w:bottom w:val="single" w:color="auto" w:sz="4" w:space="0"/>
              <w:right w:val="single" w:color="auto" w:sz="4" w:space="0"/>
            </w:tcBorders>
            <w:vAlign w:val="center"/>
          </w:tcPr>
          <w:p w14:paraId="58F5481E">
            <w:pPr>
              <w:spacing w:after="160" w:line="240" w:lineRule="auto"/>
              <w:jc w:val="center"/>
              <w:textAlignment w:val="baseline"/>
              <w:rPr>
                <w:rFonts w:cs="Times New Roman"/>
                <w:sz w:val="21"/>
                <w:szCs w:val="20"/>
                <w14:ligatures w14:val="none"/>
              </w:rPr>
            </w:pPr>
            <w:r>
              <w:rPr>
                <w:rFonts w:ascii="宋体" w:hAnsi="宋体" w:cs="宋体"/>
                <w:sz w:val="21"/>
                <w:szCs w:val="21"/>
                <w14:ligatures w14:val="none"/>
              </w:rPr>
              <w:t>5分</w:t>
            </w:r>
          </w:p>
        </w:tc>
        <w:tc>
          <w:tcPr>
            <w:tcW w:w="3041" w:type="pct"/>
            <w:tcBorders>
              <w:top w:val="single" w:color="auto" w:sz="4" w:space="0"/>
              <w:left w:val="single" w:color="auto" w:sz="4" w:space="0"/>
              <w:right w:val="single" w:color="auto" w:sz="4" w:space="0"/>
            </w:tcBorders>
            <w:vAlign w:val="center"/>
          </w:tcPr>
          <w:p w14:paraId="54DC97F7">
            <w:pPr>
              <w:tabs>
                <w:tab w:val="left" w:pos="3060"/>
              </w:tabs>
              <w:adjustRightInd/>
              <w:snapToGrid/>
              <w:spacing w:after="160" w:line="240" w:lineRule="auto"/>
              <w:jc w:val="both"/>
              <w:rPr>
                <w:rFonts w:ascii="宋体" w:hAnsi="宋体" w:cs="宋体"/>
                <w:kern w:val="28"/>
                <w:sz w:val="21"/>
                <w:szCs w:val="21"/>
                <w14:ligatures w14:val="none"/>
              </w:rPr>
            </w:pPr>
            <w:r>
              <w:rPr>
                <w:rFonts w:ascii="宋体" w:hAnsi="宋体" w:cs="宋体"/>
                <w:kern w:val="28"/>
                <w:sz w:val="21"/>
                <w:szCs w:val="21"/>
                <w14:ligatures w14:val="none"/>
              </w:rPr>
              <w:t>对项目理解全面深刻，重点难点把握准确得4-5分；</w:t>
            </w:r>
          </w:p>
          <w:p w14:paraId="2DBEBC3E">
            <w:pPr>
              <w:tabs>
                <w:tab w:val="left" w:pos="3060"/>
              </w:tabs>
              <w:adjustRightInd/>
              <w:snapToGrid/>
              <w:spacing w:after="160" w:line="240" w:lineRule="auto"/>
              <w:jc w:val="both"/>
              <w:rPr>
                <w:rFonts w:ascii="宋体" w:hAnsi="宋体" w:cs="宋体"/>
                <w:kern w:val="28"/>
                <w:sz w:val="21"/>
                <w:szCs w:val="21"/>
                <w14:ligatures w14:val="none"/>
              </w:rPr>
            </w:pPr>
            <w:r>
              <w:rPr>
                <w:rFonts w:ascii="宋体" w:hAnsi="宋体" w:cs="宋体"/>
                <w:kern w:val="28"/>
                <w:sz w:val="21"/>
                <w:szCs w:val="21"/>
                <w14:ligatures w14:val="none"/>
              </w:rPr>
              <w:t>对项目理解比较清楚，掌握项目技术咨询的重点难点得3-4分；</w:t>
            </w:r>
          </w:p>
          <w:p w14:paraId="09486461">
            <w:pPr>
              <w:spacing w:after="160" w:line="240" w:lineRule="auto"/>
              <w:textAlignment w:val="baseline"/>
              <w:rPr>
                <w:rFonts w:cs="Times New Roman"/>
                <w:sz w:val="21"/>
                <w:szCs w:val="20"/>
                <w14:ligatures w14:val="none"/>
              </w:rPr>
            </w:pPr>
            <w:r>
              <w:rPr>
                <w:rFonts w:ascii="宋体" w:hAnsi="宋体" w:cs="宋体"/>
                <w:sz w:val="21"/>
                <w:szCs w:val="21"/>
                <w14:ligatures w14:val="none"/>
              </w:rPr>
              <w:t>对项目理解一般，基本掌握项目技术咨询的重点难点得3分。</w:t>
            </w:r>
          </w:p>
        </w:tc>
      </w:tr>
      <w:tr w14:paraId="20220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vMerge w:val="continue"/>
            <w:tcBorders>
              <w:left w:val="single" w:color="auto" w:sz="4" w:space="0"/>
              <w:right w:val="single" w:color="auto" w:sz="4" w:space="0"/>
            </w:tcBorders>
            <w:vAlign w:val="center"/>
          </w:tcPr>
          <w:p w14:paraId="550A4063">
            <w:pPr>
              <w:widowControl/>
              <w:spacing w:after="160" w:line="240" w:lineRule="auto"/>
              <w:jc w:val="center"/>
              <w:rPr>
                <w:rFonts w:cs="Times New Roman"/>
                <w:kern w:val="28"/>
                <w:szCs w:val="20"/>
                <w14:ligatures w14:val="none"/>
              </w:rPr>
            </w:pPr>
          </w:p>
        </w:tc>
        <w:tc>
          <w:tcPr>
            <w:tcW w:w="376" w:type="pct"/>
            <w:vMerge w:val="continue"/>
            <w:tcBorders>
              <w:left w:val="single" w:color="auto" w:sz="4" w:space="0"/>
              <w:right w:val="single" w:color="auto" w:sz="4" w:space="0"/>
            </w:tcBorders>
            <w:vAlign w:val="center"/>
          </w:tcPr>
          <w:p w14:paraId="0554F4FA">
            <w:pPr>
              <w:widowControl/>
              <w:spacing w:after="160" w:line="240" w:lineRule="auto"/>
              <w:jc w:val="center"/>
              <w:rPr>
                <w:rFonts w:cs="Times New Roman"/>
                <w:kern w:val="28"/>
                <w:szCs w:val="20"/>
                <w14:ligatures w14:val="none"/>
              </w:rPr>
            </w:pPr>
          </w:p>
        </w:tc>
        <w:tc>
          <w:tcPr>
            <w:tcW w:w="407" w:type="pct"/>
            <w:vMerge w:val="continue"/>
            <w:tcBorders>
              <w:left w:val="single" w:color="auto" w:sz="4" w:space="0"/>
              <w:right w:val="single" w:color="auto" w:sz="4" w:space="0"/>
            </w:tcBorders>
            <w:vAlign w:val="center"/>
          </w:tcPr>
          <w:p w14:paraId="2746DA96">
            <w:pPr>
              <w:widowControl/>
              <w:spacing w:after="160" w:line="240" w:lineRule="auto"/>
              <w:jc w:val="center"/>
              <w:rPr>
                <w:rFonts w:cs="Times New Roman"/>
                <w:kern w:val="28"/>
                <w:szCs w:val="20"/>
                <w14:ligatures w14:val="none"/>
              </w:rPr>
            </w:pPr>
          </w:p>
        </w:tc>
        <w:tc>
          <w:tcPr>
            <w:tcW w:w="392" w:type="pct"/>
            <w:gridSpan w:val="2"/>
            <w:tcBorders>
              <w:top w:val="single" w:color="auto" w:sz="4" w:space="0"/>
              <w:left w:val="single" w:color="auto" w:sz="4" w:space="0"/>
              <w:bottom w:val="single" w:color="auto" w:sz="4" w:space="0"/>
              <w:right w:val="single" w:color="auto" w:sz="4" w:space="0"/>
            </w:tcBorders>
            <w:vAlign w:val="center"/>
          </w:tcPr>
          <w:p w14:paraId="643C7612">
            <w:pPr>
              <w:spacing w:after="160" w:line="240" w:lineRule="auto"/>
              <w:jc w:val="center"/>
              <w:textAlignment w:val="baseline"/>
              <w:rPr>
                <w:rFonts w:cs="Times New Roman"/>
                <w:sz w:val="21"/>
                <w:szCs w:val="20"/>
                <w14:ligatures w14:val="none"/>
              </w:rPr>
            </w:pPr>
            <w:r>
              <w:rPr>
                <w:rFonts w:ascii="宋体" w:hAnsi="宋体" w:cs="宋体"/>
                <w:sz w:val="21"/>
                <w:szCs w:val="21"/>
                <w14:ligatures w14:val="none"/>
              </w:rPr>
              <w:t>项目实施方案</w:t>
            </w:r>
          </w:p>
        </w:tc>
        <w:tc>
          <w:tcPr>
            <w:tcW w:w="384" w:type="pct"/>
            <w:tcBorders>
              <w:top w:val="single" w:color="auto" w:sz="4" w:space="0"/>
              <w:left w:val="single" w:color="auto" w:sz="4" w:space="0"/>
              <w:bottom w:val="single" w:color="auto" w:sz="4" w:space="0"/>
              <w:right w:val="single" w:color="auto" w:sz="4" w:space="0"/>
            </w:tcBorders>
            <w:vAlign w:val="center"/>
          </w:tcPr>
          <w:p w14:paraId="7E8A789C">
            <w:pPr>
              <w:spacing w:after="160" w:line="240" w:lineRule="auto"/>
              <w:jc w:val="center"/>
              <w:textAlignment w:val="baseline"/>
              <w:rPr>
                <w:rFonts w:cs="Times New Roman"/>
                <w:sz w:val="21"/>
                <w:szCs w:val="20"/>
                <w14:ligatures w14:val="none"/>
              </w:rPr>
            </w:pPr>
            <w:r>
              <w:rPr>
                <w:rFonts w:ascii="宋体" w:hAnsi="宋体" w:cs="宋体"/>
                <w:sz w:val="21"/>
                <w:szCs w:val="21"/>
                <w14:ligatures w14:val="none"/>
              </w:rPr>
              <w:t>5分</w:t>
            </w:r>
          </w:p>
        </w:tc>
        <w:tc>
          <w:tcPr>
            <w:tcW w:w="3041" w:type="pct"/>
            <w:tcBorders>
              <w:top w:val="single" w:color="auto" w:sz="4" w:space="0"/>
              <w:left w:val="single" w:color="auto" w:sz="4" w:space="0"/>
              <w:right w:val="single" w:color="auto" w:sz="4" w:space="0"/>
            </w:tcBorders>
            <w:vAlign w:val="center"/>
          </w:tcPr>
          <w:p w14:paraId="21420457">
            <w:pPr>
              <w:tabs>
                <w:tab w:val="left" w:pos="3060"/>
              </w:tabs>
              <w:adjustRightInd/>
              <w:snapToGrid/>
              <w:spacing w:after="160" w:line="240" w:lineRule="auto"/>
              <w:jc w:val="both"/>
              <w:rPr>
                <w:rFonts w:ascii="宋体" w:hAnsi="宋体" w:cs="宋体"/>
                <w:kern w:val="28"/>
                <w:sz w:val="21"/>
                <w:szCs w:val="21"/>
                <w14:ligatures w14:val="none"/>
              </w:rPr>
            </w:pPr>
            <w:r>
              <w:rPr>
                <w:rFonts w:ascii="宋体" w:hAnsi="宋体" w:cs="宋体"/>
                <w:kern w:val="28"/>
                <w:sz w:val="21"/>
                <w:szCs w:val="21"/>
                <w14:ligatures w14:val="none"/>
              </w:rPr>
              <w:t xml:space="preserve">方案详实，关键路径清晰，得4-5分； </w:t>
            </w:r>
          </w:p>
          <w:p w14:paraId="7CAD4742">
            <w:pPr>
              <w:tabs>
                <w:tab w:val="left" w:pos="3060"/>
              </w:tabs>
              <w:adjustRightInd/>
              <w:snapToGrid/>
              <w:spacing w:after="160" w:line="240" w:lineRule="auto"/>
              <w:jc w:val="both"/>
              <w:rPr>
                <w:rFonts w:ascii="宋体" w:hAnsi="宋体" w:cs="宋体"/>
                <w:kern w:val="28"/>
                <w:sz w:val="21"/>
                <w:szCs w:val="21"/>
                <w14:ligatures w14:val="none"/>
              </w:rPr>
            </w:pPr>
            <w:r>
              <w:rPr>
                <w:rFonts w:ascii="宋体" w:hAnsi="宋体" w:cs="宋体"/>
                <w:kern w:val="28"/>
                <w:sz w:val="21"/>
                <w:szCs w:val="21"/>
                <w14:ligatures w14:val="none"/>
              </w:rPr>
              <w:t xml:space="preserve">方案内容完整，实施路径较明确，得3-4分； </w:t>
            </w:r>
          </w:p>
          <w:p w14:paraId="1E939E06">
            <w:pPr>
              <w:spacing w:after="160" w:line="240" w:lineRule="auto"/>
              <w:textAlignment w:val="baseline"/>
              <w:rPr>
                <w:rFonts w:cs="Times New Roman"/>
                <w:sz w:val="21"/>
                <w:szCs w:val="20"/>
                <w14:ligatures w14:val="none"/>
              </w:rPr>
            </w:pPr>
            <w:r>
              <w:rPr>
                <w:rFonts w:ascii="宋体" w:hAnsi="宋体" w:cs="宋体"/>
                <w:sz w:val="21"/>
                <w:szCs w:val="21"/>
                <w14:ligatures w14:val="none"/>
              </w:rPr>
              <w:t>方案要素较齐全，得3分。</w:t>
            </w:r>
          </w:p>
        </w:tc>
      </w:tr>
      <w:tr w14:paraId="3297C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vMerge w:val="continue"/>
            <w:tcBorders>
              <w:left w:val="single" w:color="auto" w:sz="4" w:space="0"/>
              <w:right w:val="single" w:color="auto" w:sz="4" w:space="0"/>
            </w:tcBorders>
            <w:vAlign w:val="center"/>
          </w:tcPr>
          <w:p w14:paraId="547914C5">
            <w:pPr>
              <w:widowControl/>
              <w:spacing w:after="160" w:line="240" w:lineRule="auto"/>
              <w:jc w:val="center"/>
              <w:rPr>
                <w:rFonts w:cs="Times New Roman"/>
                <w:kern w:val="28"/>
                <w:szCs w:val="20"/>
                <w14:ligatures w14:val="none"/>
              </w:rPr>
            </w:pPr>
          </w:p>
        </w:tc>
        <w:tc>
          <w:tcPr>
            <w:tcW w:w="376" w:type="pct"/>
            <w:vMerge w:val="continue"/>
            <w:tcBorders>
              <w:left w:val="single" w:color="auto" w:sz="4" w:space="0"/>
              <w:right w:val="single" w:color="auto" w:sz="4" w:space="0"/>
            </w:tcBorders>
            <w:vAlign w:val="center"/>
          </w:tcPr>
          <w:p w14:paraId="441EACD9">
            <w:pPr>
              <w:widowControl/>
              <w:spacing w:after="160" w:line="240" w:lineRule="auto"/>
              <w:jc w:val="center"/>
              <w:rPr>
                <w:rFonts w:cs="Times New Roman"/>
                <w:kern w:val="28"/>
                <w:szCs w:val="20"/>
                <w14:ligatures w14:val="none"/>
              </w:rPr>
            </w:pPr>
          </w:p>
        </w:tc>
        <w:tc>
          <w:tcPr>
            <w:tcW w:w="407" w:type="pct"/>
            <w:vMerge w:val="continue"/>
            <w:tcBorders>
              <w:left w:val="single" w:color="auto" w:sz="4" w:space="0"/>
              <w:right w:val="single" w:color="auto" w:sz="4" w:space="0"/>
            </w:tcBorders>
            <w:vAlign w:val="center"/>
          </w:tcPr>
          <w:p w14:paraId="67D9CE28">
            <w:pPr>
              <w:widowControl/>
              <w:spacing w:after="160" w:line="240" w:lineRule="auto"/>
              <w:jc w:val="center"/>
              <w:rPr>
                <w:rFonts w:cs="Times New Roman"/>
                <w:kern w:val="28"/>
                <w:szCs w:val="20"/>
                <w14:ligatures w14:val="none"/>
              </w:rPr>
            </w:pPr>
          </w:p>
        </w:tc>
        <w:tc>
          <w:tcPr>
            <w:tcW w:w="392" w:type="pct"/>
            <w:gridSpan w:val="2"/>
            <w:tcBorders>
              <w:top w:val="single" w:color="auto" w:sz="4" w:space="0"/>
              <w:left w:val="single" w:color="auto" w:sz="4" w:space="0"/>
              <w:bottom w:val="single" w:color="auto" w:sz="4" w:space="0"/>
              <w:right w:val="single" w:color="auto" w:sz="4" w:space="0"/>
            </w:tcBorders>
            <w:vAlign w:val="center"/>
          </w:tcPr>
          <w:p w14:paraId="29C6BFC1">
            <w:pPr>
              <w:spacing w:after="160" w:line="240" w:lineRule="auto"/>
              <w:jc w:val="center"/>
              <w:textAlignment w:val="baseline"/>
              <w:rPr>
                <w:rFonts w:cs="Times New Roman"/>
                <w:sz w:val="21"/>
                <w:szCs w:val="20"/>
                <w14:ligatures w14:val="none"/>
              </w:rPr>
            </w:pPr>
            <w:r>
              <w:rPr>
                <w:rFonts w:ascii="宋体" w:hAnsi="宋体" w:cs="宋体"/>
                <w:sz w:val="21"/>
                <w:szCs w:val="21"/>
                <w14:ligatures w14:val="none"/>
              </w:rPr>
              <w:t>技术咨询服务进度的控制措施</w:t>
            </w:r>
          </w:p>
        </w:tc>
        <w:tc>
          <w:tcPr>
            <w:tcW w:w="384" w:type="pct"/>
            <w:tcBorders>
              <w:top w:val="single" w:color="auto" w:sz="4" w:space="0"/>
              <w:left w:val="single" w:color="auto" w:sz="4" w:space="0"/>
              <w:bottom w:val="single" w:color="auto" w:sz="4" w:space="0"/>
              <w:right w:val="single" w:color="auto" w:sz="4" w:space="0"/>
            </w:tcBorders>
            <w:vAlign w:val="center"/>
          </w:tcPr>
          <w:p w14:paraId="48B7262E">
            <w:pPr>
              <w:spacing w:after="160" w:line="240" w:lineRule="auto"/>
              <w:jc w:val="center"/>
              <w:textAlignment w:val="baseline"/>
              <w:rPr>
                <w:rFonts w:cs="Times New Roman"/>
                <w:sz w:val="21"/>
                <w:szCs w:val="20"/>
                <w14:ligatures w14:val="none"/>
              </w:rPr>
            </w:pPr>
            <w:r>
              <w:rPr>
                <w:rFonts w:ascii="宋体" w:hAnsi="宋体" w:cs="宋体"/>
                <w:sz w:val="21"/>
                <w:szCs w:val="21"/>
                <w14:ligatures w14:val="none"/>
              </w:rPr>
              <w:t>10分</w:t>
            </w:r>
          </w:p>
        </w:tc>
        <w:tc>
          <w:tcPr>
            <w:tcW w:w="3041" w:type="pct"/>
            <w:tcBorders>
              <w:top w:val="single" w:color="auto" w:sz="4" w:space="0"/>
              <w:left w:val="single" w:color="auto" w:sz="4" w:space="0"/>
              <w:right w:val="single" w:color="auto" w:sz="4" w:space="0"/>
            </w:tcBorders>
            <w:vAlign w:val="center"/>
          </w:tcPr>
          <w:p w14:paraId="35408F19">
            <w:pPr>
              <w:tabs>
                <w:tab w:val="left" w:pos="3060"/>
              </w:tabs>
              <w:adjustRightInd/>
              <w:snapToGrid/>
              <w:spacing w:after="160" w:line="240" w:lineRule="auto"/>
              <w:jc w:val="both"/>
              <w:rPr>
                <w:rFonts w:ascii="宋体" w:hAnsi="宋体" w:cs="宋体"/>
                <w:kern w:val="28"/>
                <w:sz w:val="21"/>
                <w:szCs w:val="21"/>
                <w14:ligatures w14:val="none"/>
              </w:rPr>
            </w:pPr>
            <w:r>
              <w:rPr>
                <w:rFonts w:ascii="宋体" w:hAnsi="宋体" w:cs="宋体"/>
                <w:kern w:val="28"/>
                <w:sz w:val="21"/>
                <w:szCs w:val="21"/>
                <w14:ligatures w14:val="none"/>
              </w:rPr>
              <w:t xml:space="preserve">技术咨询服务进度控制措施明确、进度安排合理得8-10分； </w:t>
            </w:r>
          </w:p>
          <w:p w14:paraId="08BE8A80">
            <w:pPr>
              <w:tabs>
                <w:tab w:val="left" w:pos="3060"/>
              </w:tabs>
              <w:adjustRightInd/>
              <w:snapToGrid/>
              <w:spacing w:after="160" w:line="240" w:lineRule="auto"/>
              <w:jc w:val="both"/>
              <w:rPr>
                <w:rFonts w:ascii="宋体" w:hAnsi="宋体" w:cs="宋体"/>
                <w:kern w:val="28"/>
                <w:sz w:val="21"/>
                <w:szCs w:val="21"/>
                <w14:ligatures w14:val="none"/>
              </w:rPr>
            </w:pPr>
            <w:r>
              <w:rPr>
                <w:rFonts w:ascii="宋体" w:hAnsi="宋体" w:cs="宋体"/>
                <w:kern w:val="28"/>
                <w:sz w:val="21"/>
                <w:szCs w:val="21"/>
                <w14:ligatures w14:val="none"/>
              </w:rPr>
              <w:t xml:space="preserve">技术咨询服务进度控制措施较明确、进度安排较合理得6-8分； </w:t>
            </w:r>
          </w:p>
          <w:p w14:paraId="10D410DE">
            <w:pPr>
              <w:spacing w:after="160" w:line="240" w:lineRule="auto"/>
              <w:textAlignment w:val="baseline"/>
              <w:rPr>
                <w:rFonts w:cs="Times New Roman"/>
                <w:sz w:val="21"/>
                <w:szCs w:val="20"/>
                <w14:ligatures w14:val="none"/>
              </w:rPr>
            </w:pPr>
            <w:r>
              <w:rPr>
                <w:rFonts w:ascii="宋体" w:hAnsi="宋体" w:cs="宋体"/>
                <w:sz w:val="21"/>
                <w:szCs w:val="21"/>
                <w14:ligatures w14:val="none"/>
              </w:rPr>
              <w:t>技术咨询服务进度控制措施一般、进度安排一般得6分。</w:t>
            </w:r>
          </w:p>
        </w:tc>
      </w:tr>
      <w:tr w14:paraId="6F9B5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vMerge w:val="continue"/>
            <w:tcBorders>
              <w:left w:val="single" w:color="auto" w:sz="4" w:space="0"/>
              <w:right w:val="single" w:color="auto" w:sz="4" w:space="0"/>
            </w:tcBorders>
            <w:vAlign w:val="center"/>
          </w:tcPr>
          <w:p w14:paraId="0410635C">
            <w:pPr>
              <w:widowControl/>
              <w:spacing w:after="160" w:line="240" w:lineRule="auto"/>
              <w:jc w:val="center"/>
              <w:rPr>
                <w:rFonts w:cs="Times New Roman"/>
                <w:kern w:val="28"/>
                <w:szCs w:val="20"/>
                <w14:ligatures w14:val="none"/>
              </w:rPr>
            </w:pPr>
          </w:p>
        </w:tc>
        <w:tc>
          <w:tcPr>
            <w:tcW w:w="376" w:type="pct"/>
            <w:vMerge w:val="continue"/>
            <w:tcBorders>
              <w:left w:val="single" w:color="auto" w:sz="4" w:space="0"/>
              <w:right w:val="single" w:color="auto" w:sz="4" w:space="0"/>
            </w:tcBorders>
            <w:vAlign w:val="center"/>
          </w:tcPr>
          <w:p w14:paraId="03C0825D">
            <w:pPr>
              <w:widowControl/>
              <w:spacing w:after="160" w:line="240" w:lineRule="auto"/>
              <w:jc w:val="center"/>
              <w:rPr>
                <w:rFonts w:cs="Times New Roman"/>
                <w:kern w:val="28"/>
                <w:szCs w:val="20"/>
                <w14:ligatures w14:val="none"/>
              </w:rPr>
            </w:pPr>
          </w:p>
        </w:tc>
        <w:tc>
          <w:tcPr>
            <w:tcW w:w="407" w:type="pct"/>
            <w:vMerge w:val="continue"/>
            <w:tcBorders>
              <w:left w:val="single" w:color="auto" w:sz="4" w:space="0"/>
              <w:right w:val="single" w:color="auto" w:sz="4" w:space="0"/>
            </w:tcBorders>
            <w:vAlign w:val="center"/>
          </w:tcPr>
          <w:p w14:paraId="0B55D745">
            <w:pPr>
              <w:widowControl/>
              <w:spacing w:after="160" w:line="240" w:lineRule="auto"/>
              <w:jc w:val="center"/>
              <w:rPr>
                <w:rFonts w:cs="Times New Roman"/>
                <w:kern w:val="28"/>
                <w:szCs w:val="20"/>
                <w14:ligatures w14:val="none"/>
              </w:rPr>
            </w:pPr>
          </w:p>
        </w:tc>
        <w:tc>
          <w:tcPr>
            <w:tcW w:w="392" w:type="pct"/>
            <w:gridSpan w:val="2"/>
            <w:tcBorders>
              <w:top w:val="single" w:color="auto" w:sz="4" w:space="0"/>
              <w:left w:val="single" w:color="auto" w:sz="4" w:space="0"/>
              <w:bottom w:val="single" w:color="auto" w:sz="4" w:space="0"/>
              <w:right w:val="single" w:color="auto" w:sz="4" w:space="0"/>
            </w:tcBorders>
            <w:vAlign w:val="center"/>
          </w:tcPr>
          <w:p w14:paraId="77302F5B">
            <w:pPr>
              <w:spacing w:after="160" w:line="240" w:lineRule="auto"/>
              <w:jc w:val="center"/>
              <w:textAlignment w:val="baseline"/>
              <w:rPr>
                <w:rFonts w:cs="Times New Roman"/>
                <w:sz w:val="21"/>
                <w:szCs w:val="20"/>
                <w14:ligatures w14:val="none"/>
              </w:rPr>
            </w:pPr>
            <w:r>
              <w:rPr>
                <w:rFonts w:ascii="宋体" w:hAnsi="宋体" w:cs="宋体"/>
                <w:sz w:val="21"/>
                <w:szCs w:val="21"/>
                <w14:ligatures w14:val="none"/>
              </w:rPr>
              <w:t>质量目标及质量保证措施</w:t>
            </w:r>
          </w:p>
        </w:tc>
        <w:tc>
          <w:tcPr>
            <w:tcW w:w="384" w:type="pct"/>
            <w:tcBorders>
              <w:top w:val="single" w:color="auto" w:sz="4" w:space="0"/>
              <w:left w:val="single" w:color="auto" w:sz="4" w:space="0"/>
              <w:bottom w:val="single" w:color="auto" w:sz="4" w:space="0"/>
              <w:right w:val="single" w:color="auto" w:sz="4" w:space="0"/>
            </w:tcBorders>
            <w:vAlign w:val="center"/>
          </w:tcPr>
          <w:p w14:paraId="0E95A63B">
            <w:pPr>
              <w:spacing w:after="160" w:line="240" w:lineRule="auto"/>
              <w:jc w:val="center"/>
              <w:textAlignment w:val="baseline"/>
              <w:rPr>
                <w:rFonts w:cs="Times New Roman"/>
                <w:sz w:val="21"/>
                <w:szCs w:val="20"/>
                <w14:ligatures w14:val="none"/>
              </w:rPr>
            </w:pPr>
            <w:r>
              <w:rPr>
                <w:rFonts w:ascii="宋体" w:hAnsi="宋体" w:cs="宋体"/>
                <w:sz w:val="21"/>
                <w:szCs w:val="21"/>
                <w14:ligatures w14:val="none"/>
              </w:rPr>
              <w:t>10分</w:t>
            </w:r>
          </w:p>
        </w:tc>
        <w:tc>
          <w:tcPr>
            <w:tcW w:w="3041" w:type="pct"/>
            <w:tcBorders>
              <w:top w:val="single" w:color="auto" w:sz="4" w:space="0"/>
              <w:left w:val="single" w:color="auto" w:sz="4" w:space="0"/>
              <w:right w:val="single" w:color="auto" w:sz="4" w:space="0"/>
            </w:tcBorders>
            <w:vAlign w:val="center"/>
          </w:tcPr>
          <w:p w14:paraId="1E16D5C4">
            <w:pPr>
              <w:tabs>
                <w:tab w:val="left" w:pos="3060"/>
              </w:tabs>
              <w:adjustRightInd/>
              <w:snapToGrid/>
              <w:spacing w:after="160" w:line="240" w:lineRule="auto"/>
              <w:jc w:val="both"/>
              <w:rPr>
                <w:rFonts w:ascii="宋体" w:hAnsi="宋体" w:cs="宋体"/>
                <w:kern w:val="28"/>
                <w:sz w:val="21"/>
                <w:szCs w:val="21"/>
                <w14:ligatures w14:val="none"/>
              </w:rPr>
            </w:pPr>
            <w:r>
              <w:rPr>
                <w:rFonts w:ascii="宋体" w:hAnsi="宋体" w:cs="宋体"/>
                <w:kern w:val="28"/>
                <w:sz w:val="21"/>
                <w:szCs w:val="21"/>
                <w14:ligatures w14:val="none"/>
              </w:rPr>
              <w:t>质量目标及保证措施合理得当，针对性、可操作性强得8-10分；</w:t>
            </w:r>
          </w:p>
          <w:p w14:paraId="6D1379BF">
            <w:pPr>
              <w:tabs>
                <w:tab w:val="left" w:pos="3060"/>
              </w:tabs>
              <w:adjustRightInd/>
              <w:snapToGrid/>
              <w:spacing w:after="160" w:line="240" w:lineRule="auto"/>
              <w:jc w:val="both"/>
              <w:rPr>
                <w:rFonts w:ascii="宋体" w:hAnsi="宋体" w:cs="宋体"/>
                <w:kern w:val="28"/>
                <w:sz w:val="21"/>
                <w:szCs w:val="21"/>
                <w14:ligatures w14:val="none"/>
              </w:rPr>
            </w:pPr>
            <w:r>
              <w:rPr>
                <w:rFonts w:ascii="宋体" w:hAnsi="宋体" w:cs="宋体"/>
                <w:kern w:val="28"/>
                <w:sz w:val="21"/>
                <w:szCs w:val="21"/>
                <w14:ligatures w14:val="none"/>
              </w:rPr>
              <w:t>质量目标及保证措施，针对性、可操作性较强得6-8分；</w:t>
            </w:r>
          </w:p>
          <w:p w14:paraId="1F328169">
            <w:pPr>
              <w:spacing w:after="160" w:line="240" w:lineRule="auto"/>
              <w:textAlignment w:val="baseline"/>
              <w:rPr>
                <w:rFonts w:cs="Times New Roman"/>
                <w:sz w:val="21"/>
                <w:szCs w:val="20"/>
                <w14:ligatures w14:val="none"/>
              </w:rPr>
            </w:pPr>
            <w:r>
              <w:rPr>
                <w:rFonts w:ascii="宋体" w:hAnsi="宋体" w:cs="宋体"/>
                <w:sz w:val="21"/>
                <w:szCs w:val="21"/>
                <w14:ligatures w14:val="none"/>
              </w:rPr>
              <w:t>质量目标及保证措施一般，可操作性一般得6分。</w:t>
            </w:r>
          </w:p>
        </w:tc>
      </w:tr>
      <w:tr w14:paraId="5CBD7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vMerge w:val="continue"/>
            <w:tcBorders>
              <w:left w:val="single" w:color="auto" w:sz="4" w:space="0"/>
              <w:bottom w:val="single" w:color="auto" w:sz="4" w:space="0"/>
              <w:right w:val="single" w:color="auto" w:sz="4" w:space="0"/>
            </w:tcBorders>
            <w:vAlign w:val="center"/>
          </w:tcPr>
          <w:p w14:paraId="3580AE4B">
            <w:pPr>
              <w:widowControl/>
              <w:spacing w:after="160" w:line="240" w:lineRule="auto"/>
              <w:jc w:val="center"/>
              <w:rPr>
                <w:rFonts w:cs="Times New Roman"/>
                <w:kern w:val="28"/>
                <w:szCs w:val="20"/>
                <w14:ligatures w14:val="none"/>
              </w:rPr>
            </w:pPr>
          </w:p>
        </w:tc>
        <w:tc>
          <w:tcPr>
            <w:tcW w:w="376" w:type="pct"/>
            <w:vMerge w:val="continue"/>
            <w:tcBorders>
              <w:left w:val="single" w:color="auto" w:sz="4" w:space="0"/>
              <w:bottom w:val="single" w:color="auto" w:sz="4" w:space="0"/>
              <w:right w:val="single" w:color="auto" w:sz="4" w:space="0"/>
            </w:tcBorders>
            <w:vAlign w:val="center"/>
          </w:tcPr>
          <w:p w14:paraId="24AB50AF">
            <w:pPr>
              <w:widowControl/>
              <w:spacing w:after="160" w:line="240" w:lineRule="auto"/>
              <w:jc w:val="center"/>
              <w:rPr>
                <w:rFonts w:cs="Times New Roman"/>
                <w:kern w:val="28"/>
                <w:szCs w:val="20"/>
                <w14:ligatures w14:val="none"/>
              </w:rPr>
            </w:pPr>
          </w:p>
        </w:tc>
        <w:tc>
          <w:tcPr>
            <w:tcW w:w="407" w:type="pct"/>
            <w:vMerge w:val="continue"/>
            <w:tcBorders>
              <w:left w:val="single" w:color="auto" w:sz="4" w:space="0"/>
              <w:bottom w:val="single" w:color="auto" w:sz="4" w:space="0"/>
              <w:right w:val="single" w:color="auto" w:sz="4" w:space="0"/>
            </w:tcBorders>
            <w:vAlign w:val="center"/>
          </w:tcPr>
          <w:p w14:paraId="5B431074">
            <w:pPr>
              <w:widowControl/>
              <w:spacing w:after="160" w:line="240" w:lineRule="auto"/>
              <w:jc w:val="center"/>
              <w:rPr>
                <w:rFonts w:cs="Times New Roman"/>
                <w:kern w:val="28"/>
                <w:szCs w:val="20"/>
                <w14:ligatures w14:val="none"/>
              </w:rPr>
            </w:pPr>
          </w:p>
        </w:tc>
        <w:tc>
          <w:tcPr>
            <w:tcW w:w="392" w:type="pct"/>
            <w:gridSpan w:val="2"/>
            <w:tcBorders>
              <w:top w:val="single" w:color="auto" w:sz="4" w:space="0"/>
              <w:left w:val="single" w:color="auto" w:sz="4" w:space="0"/>
              <w:bottom w:val="single" w:color="auto" w:sz="4" w:space="0"/>
              <w:right w:val="single" w:color="auto" w:sz="4" w:space="0"/>
            </w:tcBorders>
            <w:vAlign w:val="center"/>
          </w:tcPr>
          <w:p w14:paraId="36DB2BE6">
            <w:pPr>
              <w:spacing w:after="160" w:line="240" w:lineRule="auto"/>
              <w:jc w:val="center"/>
              <w:textAlignment w:val="baseline"/>
              <w:rPr>
                <w:rFonts w:cs="Times New Roman"/>
                <w:sz w:val="21"/>
                <w:szCs w:val="20"/>
                <w14:ligatures w14:val="none"/>
              </w:rPr>
            </w:pPr>
            <w:r>
              <w:rPr>
                <w:rFonts w:ascii="宋体" w:hAnsi="宋体" w:cs="宋体"/>
                <w:sz w:val="21"/>
                <w:szCs w:val="21"/>
                <w14:ligatures w14:val="none"/>
              </w:rPr>
              <w:t>服务承诺</w:t>
            </w:r>
          </w:p>
        </w:tc>
        <w:tc>
          <w:tcPr>
            <w:tcW w:w="384" w:type="pct"/>
            <w:tcBorders>
              <w:top w:val="single" w:color="auto" w:sz="4" w:space="0"/>
              <w:left w:val="single" w:color="auto" w:sz="4" w:space="0"/>
              <w:bottom w:val="single" w:color="auto" w:sz="4" w:space="0"/>
              <w:right w:val="single" w:color="auto" w:sz="4" w:space="0"/>
            </w:tcBorders>
            <w:vAlign w:val="center"/>
          </w:tcPr>
          <w:p w14:paraId="112FF6C4">
            <w:pPr>
              <w:spacing w:after="160" w:line="240" w:lineRule="auto"/>
              <w:jc w:val="center"/>
              <w:textAlignment w:val="baseline"/>
              <w:rPr>
                <w:rFonts w:cs="Times New Roman"/>
                <w:sz w:val="21"/>
                <w:szCs w:val="20"/>
                <w14:ligatures w14:val="none"/>
              </w:rPr>
            </w:pPr>
            <w:r>
              <w:rPr>
                <w:rFonts w:ascii="宋体" w:hAnsi="宋体" w:cs="宋体"/>
                <w:sz w:val="21"/>
                <w:szCs w:val="21"/>
                <w14:ligatures w14:val="none"/>
              </w:rPr>
              <w:t>10分</w:t>
            </w:r>
          </w:p>
        </w:tc>
        <w:tc>
          <w:tcPr>
            <w:tcW w:w="3041" w:type="pct"/>
            <w:tcBorders>
              <w:top w:val="single" w:color="auto" w:sz="4" w:space="0"/>
              <w:left w:val="single" w:color="auto" w:sz="4" w:space="0"/>
              <w:right w:val="single" w:color="auto" w:sz="4" w:space="0"/>
            </w:tcBorders>
            <w:vAlign w:val="center"/>
          </w:tcPr>
          <w:p w14:paraId="781A795E">
            <w:pPr>
              <w:tabs>
                <w:tab w:val="left" w:pos="3060"/>
              </w:tabs>
              <w:adjustRightInd/>
              <w:snapToGrid/>
              <w:spacing w:after="160" w:line="240" w:lineRule="auto"/>
              <w:jc w:val="both"/>
              <w:rPr>
                <w:rFonts w:ascii="宋体" w:hAnsi="宋体" w:cs="宋体"/>
                <w:kern w:val="28"/>
                <w:sz w:val="21"/>
                <w:szCs w:val="21"/>
                <w14:ligatures w14:val="none"/>
              </w:rPr>
            </w:pPr>
            <w:r>
              <w:rPr>
                <w:rFonts w:ascii="宋体" w:hAnsi="宋体" w:cs="宋体"/>
                <w:kern w:val="28"/>
                <w:sz w:val="21"/>
                <w:szCs w:val="21"/>
                <w14:ligatures w14:val="none"/>
              </w:rPr>
              <w:t>服务承诺内容科学合理，详尽可行性强，思路清晰、 内容具体、有针对性得8-10分；</w:t>
            </w:r>
          </w:p>
          <w:p w14:paraId="2AAF05E2">
            <w:pPr>
              <w:tabs>
                <w:tab w:val="left" w:pos="3060"/>
              </w:tabs>
              <w:adjustRightInd/>
              <w:snapToGrid/>
              <w:spacing w:after="160" w:line="240" w:lineRule="auto"/>
              <w:jc w:val="both"/>
              <w:rPr>
                <w:rFonts w:ascii="宋体" w:hAnsi="宋体" w:cs="宋体"/>
                <w:kern w:val="28"/>
                <w:sz w:val="21"/>
                <w:szCs w:val="21"/>
                <w14:ligatures w14:val="none"/>
              </w:rPr>
            </w:pPr>
            <w:r>
              <w:rPr>
                <w:rFonts w:ascii="宋体" w:hAnsi="宋体" w:cs="宋体"/>
                <w:kern w:val="28"/>
                <w:sz w:val="21"/>
                <w:szCs w:val="21"/>
                <w14:ligatures w14:val="none"/>
              </w:rPr>
              <w:t>服务承诺内容符合招标项目需要，较合理可行服务内容过于简略或缺项得6-8分；</w:t>
            </w:r>
          </w:p>
          <w:p w14:paraId="178176F6">
            <w:pPr>
              <w:spacing w:after="160" w:line="240" w:lineRule="auto"/>
              <w:textAlignment w:val="baseline"/>
              <w:rPr>
                <w:rFonts w:cs="Times New Roman"/>
                <w:sz w:val="21"/>
                <w:szCs w:val="20"/>
                <w14:ligatures w14:val="none"/>
              </w:rPr>
            </w:pPr>
            <w:r>
              <w:rPr>
                <w:rFonts w:ascii="宋体" w:hAnsi="宋体" w:cs="宋体"/>
                <w:sz w:val="21"/>
                <w:szCs w:val="21"/>
                <w14:ligatures w14:val="none"/>
              </w:rPr>
              <w:t>承诺内容一般、内容不具体，内容欠针对性的得6分。</w:t>
            </w:r>
          </w:p>
        </w:tc>
      </w:tr>
      <w:tr w14:paraId="33B89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vMerge w:val="restart"/>
            <w:tcBorders>
              <w:top w:val="nil"/>
              <w:left w:val="single" w:color="auto" w:sz="4" w:space="0"/>
              <w:bottom w:val="single" w:color="auto" w:sz="4" w:space="0"/>
              <w:right w:val="single" w:color="auto" w:sz="4" w:space="0"/>
            </w:tcBorders>
            <w:vAlign w:val="center"/>
          </w:tcPr>
          <w:p w14:paraId="6B6EB956">
            <w:pPr>
              <w:spacing w:after="160" w:line="240" w:lineRule="auto"/>
              <w:jc w:val="center"/>
              <w:textAlignment w:val="baseline"/>
              <w:rPr>
                <w:rFonts w:cs="Times New Roman"/>
                <w:sz w:val="21"/>
                <w:szCs w:val="20"/>
                <w14:ligatures w14:val="none"/>
              </w:rPr>
            </w:pPr>
            <w:r>
              <w:rPr>
                <w:rFonts w:cs="Times New Roman"/>
                <w:sz w:val="21"/>
                <w:szCs w:val="20"/>
                <w14:ligatures w14:val="none"/>
              </w:rPr>
              <w:t>2.2.4（2）</w:t>
            </w:r>
          </w:p>
        </w:tc>
        <w:tc>
          <w:tcPr>
            <w:tcW w:w="376" w:type="pct"/>
            <w:vMerge w:val="restart"/>
            <w:tcBorders>
              <w:top w:val="nil"/>
              <w:left w:val="single" w:color="auto" w:sz="4" w:space="0"/>
              <w:bottom w:val="single" w:color="auto" w:sz="4" w:space="0"/>
              <w:right w:val="single" w:color="auto" w:sz="4" w:space="0"/>
            </w:tcBorders>
            <w:vAlign w:val="center"/>
          </w:tcPr>
          <w:p w14:paraId="11C8FFA5">
            <w:pPr>
              <w:spacing w:after="160" w:line="240" w:lineRule="auto"/>
              <w:jc w:val="center"/>
              <w:textAlignment w:val="baseline"/>
              <w:rPr>
                <w:rFonts w:cs="Times New Roman"/>
                <w:sz w:val="21"/>
                <w:szCs w:val="20"/>
                <w14:ligatures w14:val="none"/>
              </w:rPr>
            </w:pPr>
            <w:r>
              <w:rPr>
                <w:rFonts w:cs="Times New Roman"/>
                <w:sz w:val="21"/>
                <w:szCs w:val="20"/>
                <w14:ligatures w14:val="none"/>
              </w:rPr>
              <w:t>主要人员</w:t>
            </w:r>
          </w:p>
        </w:tc>
        <w:tc>
          <w:tcPr>
            <w:tcW w:w="407" w:type="pct"/>
            <w:vMerge w:val="restart"/>
            <w:tcBorders>
              <w:top w:val="nil"/>
              <w:left w:val="single" w:color="auto" w:sz="4" w:space="0"/>
              <w:bottom w:val="single" w:color="auto" w:sz="4" w:space="0"/>
              <w:right w:val="single" w:color="auto" w:sz="4" w:space="0"/>
            </w:tcBorders>
            <w:vAlign w:val="center"/>
          </w:tcPr>
          <w:p w14:paraId="670429E4">
            <w:pPr>
              <w:spacing w:after="160" w:line="240" w:lineRule="auto"/>
              <w:jc w:val="center"/>
              <w:textAlignment w:val="baseline"/>
              <w:rPr>
                <w:rFonts w:cs="Times New Roman"/>
                <w:sz w:val="21"/>
                <w:szCs w:val="20"/>
                <w14:ligatures w14:val="none"/>
              </w:rPr>
            </w:pPr>
            <w:r>
              <w:rPr>
                <w:rFonts w:ascii="宋体" w:hAnsi="宋体" w:cs="宋体"/>
                <w:snapToGrid w:val="0"/>
                <w:kern w:val="0"/>
                <w:sz w:val="21"/>
                <w:szCs w:val="21"/>
                <w14:ligatures w14:val="none"/>
              </w:rPr>
              <w:t>15分</w:t>
            </w:r>
          </w:p>
        </w:tc>
        <w:tc>
          <w:tcPr>
            <w:tcW w:w="392" w:type="pct"/>
            <w:gridSpan w:val="2"/>
            <w:vMerge w:val="restart"/>
            <w:tcBorders>
              <w:top w:val="single" w:color="auto" w:sz="4" w:space="0"/>
              <w:left w:val="single" w:color="auto" w:sz="4" w:space="0"/>
              <w:bottom w:val="single" w:color="auto" w:sz="4" w:space="0"/>
              <w:right w:val="single" w:color="auto" w:sz="4" w:space="0"/>
            </w:tcBorders>
            <w:vAlign w:val="center"/>
          </w:tcPr>
          <w:p w14:paraId="25C7FE93">
            <w:pPr>
              <w:tabs>
                <w:tab w:val="left" w:pos="3060"/>
              </w:tabs>
              <w:spacing w:line="240" w:lineRule="auto"/>
              <w:jc w:val="center"/>
              <w:rPr>
                <w:rFonts w:ascii="宋体" w:hAnsi="宋体" w:cs="宋体"/>
                <w:snapToGrid w:val="0"/>
                <w:kern w:val="0"/>
                <w:sz w:val="21"/>
                <w:szCs w:val="21"/>
                <w14:ligatures w14:val="none"/>
              </w:rPr>
            </w:pPr>
            <w:r>
              <w:rPr>
                <w:rFonts w:ascii="宋体" w:hAnsi="宋体" w:cs="宋体"/>
                <w:snapToGrid w:val="0"/>
                <w:kern w:val="0"/>
                <w:sz w:val="21"/>
                <w:szCs w:val="21"/>
                <w14:ligatures w14:val="none"/>
              </w:rPr>
              <w:t>项目</w:t>
            </w:r>
          </w:p>
          <w:p w14:paraId="047E12B7">
            <w:pPr>
              <w:spacing w:after="160" w:line="240" w:lineRule="auto"/>
              <w:jc w:val="center"/>
              <w:textAlignment w:val="baseline"/>
              <w:rPr>
                <w:rFonts w:cs="Times New Roman"/>
                <w:sz w:val="21"/>
                <w:szCs w:val="20"/>
                <w14:ligatures w14:val="none"/>
              </w:rPr>
            </w:pPr>
            <w:r>
              <w:rPr>
                <w:rFonts w:ascii="宋体" w:hAnsi="宋体" w:cs="宋体"/>
                <w:snapToGrid w:val="0"/>
                <w:kern w:val="0"/>
                <w:sz w:val="21"/>
                <w:szCs w:val="21"/>
                <w14:ligatures w14:val="none"/>
              </w:rPr>
              <w:t>负责人</w:t>
            </w:r>
          </w:p>
        </w:tc>
        <w:tc>
          <w:tcPr>
            <w:tcW w:w="384" w:type="pct"/>
            <w:tcBorders>
              <w:top w:val="single" w:color="auto" w:sz="4" w:space="0"/>
              <w:left w:val="single" w:color="auto" w:sz="4" w:space="0"/>
              <w:right w:val="single" w:color="auto" w:sz="4" w:space="0"/>
            </w:tcBorders>
            <w:vAlign w:val="center"/>
          </w:tcPr>
          <w:p w14:paraId="73A0AAA1">
            <w:pPr>
              <w:spacing w:after="160" w:line="240" w:lineRule="auto"/>
              <w:jc w:val="center"/>
              <w:textAlignment w:val="baseline"/>
              <w:rPr>
                <w:rFonts w:cs="Times New Roman"/>
                <w:sz w:val="21"/>
                <w:szCs w:val="20"/>
                <w14:ligatures w14:val="none"/>
              </w:rPr>
            </w:pPr>
            <w:r>
              <w:rPr>
                <w:rFonts w:ascii="宋体" w:hAnsi="宋体" w:cs="宋体"/>
                <w:snapToGrid w:val="0"/>
                <w:kern w:val="0"/>
                <w:sz w:val="21"/>
                <w:szCs w:val="21"/>
                <w14:ligatures w14:val="none"/>
              </w:rPr>
              <w:t>9分</w:t>
            </w:r>
          </w:p>
        </w:tc>
        <w:tc>
          <w:tcPr>
            <w:tcW w:w="3041" w:type="pct"/>
            <w:tcBorders>
              <w:top w:val="single" w:color="auto" w:sz="4" w:space="0"/>
              <w:left w:val="single" w:color="auto" w:sz="4" w:space="0"/>
              <w:bottom w:val="single" w:color="auto" w:sz="4" w:space="0"/>
              <w:right w:val="single" w:color="auto" w:sz="4" w:space="0"/>
            </w:tcBorders>
            <w:vAlign w:val="center"/>
          </w:tcPr>
          <w:p w14:paraId="75BECC82">
            <w:pPr>
              <w:spacing w:after="160" w:line="240" w:lineRule="auto"/>
              <w:textAlignment w:val="baseline"/>
              <w:rPr>
                <w:rFonts w:cs="Times New Roman"/>
                <w:sz w:val="21"/>
                <w:szCs w:val="20"/>
                <w14:ligatures w14:val="none"/>
              </w:rPr>
            </w:pPr>
            <w:r>
              <w:rPr>
                <w:rFonts w:ascii="宋体" w:hAnsi="宋体" w:cs="宋体"/>
                <w:snapToGrid w:val="0"/>
                <w:kern w:val="0"/>
                <w:sz w:val="21"/>
                <w:szCs w:val="21"/>
                <w14:ligatures w14:val="none"/>
              </w:rPr>
              <w:t>满足投标人资格要求第3.1.4项项目负责人要求，得9分</w:t>
            </w:r>
          </w:p>
        </w:tc>
      </w:tr>
      <w:tr w14:paraId="63A06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vMerge w:val="continue"/>
            <w:tcBorders>
              <w:top w:val="nil"/>
              <w:left w:val="single" w:color="auto" w:sz="4" w:space="0"/>
              <w:bottom w:val="single" w:color="auto" w:sz="4" w:space="0"/>
              <w:right w:val="single" w:color="auto" w:sz="4" w:space="0"/>
            </w:tcBorders>
            <w:vAlign w:val="center"/>
          </w:tcPr>
          <w:p w14:paraId="4BB8A728">
            <w:pPr>
              <w:widowControl/>
              <w:spacing w:after="160" w:line="240" w:lineRule="auto"/>
              <w:rPr>
                <w:rFonts w:cs="Times New Roman"/>
                <w:kern w:val="28"/>
                <w:szCs w:val="20"/>
                <w14:ligatures w14:val="none"/>
              </w:rPr>
            </w:pPr>
          </w:p>
        </w:tc>
        <w:tc>
          <w:tcPr>
            <w:tcW w:w="376" w:type="pct"/>
            <w:vMerge w:val="continue"/>
            <w:tcBorders>
              <w:top w:val="nil"/>
              <w:left w:val="single" w:color="auto" w:sz="4" w:space="0"/>
              <w:bottom w:val="single" w:color="auto" w:sz="4" w:space="0"/>
              <w:right w:val="single" w:color="auto" w:sz="4" w:space="0"/>
            </w:tcBorders>
            <w:vAlign w:val="center"/>
          </w:tcPr>
          <w:p w14:paraId="05F17ECE">
            <w:pPr>
              <w:widowControl/>
              <w:spacing w:after="160" w:line="240" w:lineRule="auto"/>
              <w:rPr>
                <w:rFonts w:cs="Times New Roman"/>
                <w:kern w:val="28"/>
                <w:szCs w:val="20"/>
                <w14:ligatures w14:val="none"/>
              </w:rPr>
            </w:pPr>
          </w:p>
        </w:tc>
        <w:tc>
          <w:tcPr>
            <w:tcW w:w="407" w:type="pct"/>
            <w:vMerge w:val="continue"/>
            <w:tcBorders>
              <w:top w:val="nil"/>
              <w:left w:val="single" w:color="auto" w:sz="4" w:space="0"/>
              <w:bottom w:val="single" w:color="auto" w:sz="4" w:space="0"/>
              <w:right w:val="single" w:color="auto" w:sz="4" w:space="0"/>
            </w:tcBorders>
            <w:vAlign w:val="center"/>
          </w:tcPr>
          <w:p w14:paraId="1C9A4D13">
            <w:pPr>
              <w:widowControl/>
              <w:spacing w:after="160" w:line="240" w:lineRule="auto"/>
              <w:rPr>
                <w:rFonts w:cs="Times New Roman"/>
                <w:kern w:val="28"/>
                <w:szCs w:val="20"/>
                <w14:ligatures w14:val="none"/>
              </w:rPr>
            </w:pPr>
          </w:p>
        </w:tc>
        <w:tc>
          <w:tcPr>
            <w:tcW w:w="392" w:type="pct"/>
            <w:gridSpan w:val="2"/>
            <w:vMerge w:val="continue"/>
            <w:tcBorders>
              <w:top w:val="single" w:color="auto" w:sz="4" w:space="0"/>
              <w:left w:val="single" w:color="auto" w:sz="4" w:space="0"/>
              <w:bottom w:val="single" w:color="auto" w:sz="4" w:space="0"/>
              <w:right w:val="single" w:color="auto" w:sz="4" w:space="0"/>
            </w:tcBorders>
            <w:vAlign w:val="center"/>
          </w:tcPr>
          <w:p w14:paraId="668B9A22">
            <w:pPr>
              <w:widowControl/>
              <w:spacing w:after="160" w:line="240" w:lineRule="auto"/>
              <w:rPr>
                <w:rFonts w:cs="Times New Roman"/>
                <w:kern w:val="28"/>
                <w:szCs w:val="20"/>
                <w14:ligatures w14:val="none"/>
              </w:rPr>
            </w:pPr>
          </w:p>
        </w:tc>
        <w:tc>
          <w:tcPr>
            <w:tcW w:w="384" w:type="pct"/>
            <w:tcBorders>
              <w:left w:val="single" w:color="auto" w:sz="4" w:space="0"/>
              <w:bottom w:val="single" w:color="auto" w:sz="4" w:space="0"/>
              <w:right w:val="single" w:color="auto" w:sz="4" w:space="0"/>
            </w:tcBorders>
            <w:vAlign w:val="center"/>
          </w:tcPr>
          <w:p w14:paraId="14A4E817">
            <w:pPr>
              <w:spacing w:after="160" w:line="240" w:lineRule="auto"/>
              <w:jc w:val="center"/>
              <w:textAlignment w:val="baseline"/>
              <w:rPr>
                <w:rFonts w:cs="Times New Roman"/>
                <w:sz w:val="21"/>
                <w:szCs w:val="20"/>
                <w14:ligatures w14:val="none"/>
              </w:rPr>
            </w:pPr>
            <w:r>
              <w:rPr>
                <w:rFonts w:ascii="宋体" w:hAnsi="宋体" w:cs="宋体"/>
                <w:snapToGrid w:val="0"/>
                <w:kern w:val="0"/>
                <w:sz w:val="21"/>
                <w:szCs w:val="21"/>
                <w14:ligatures w14:val="none"/>
              </w:rPr>
              <w:t>6分</w:t>
            </w:r>
          </w:p>
        </w:tc>
        <w:tc>
          <w:tcPr>
            <w:tcW w:w="3041" w:type="pct"/>
            <w:tcBorders>
              <w:top w:val="single" w:color="auto" w:sz="4" w:space="0"/>
              <w:left w:val="single" w:color="auto" w:sz="4" w:space="0"/>
              <w:bottom w:val="single" w:color="auto" w:sz="4" w:space="0"/>
              <w:right w:val="single" w:color="auto" w:sz="4" w:space="0"/>
            </w:tcBorders>
            <w:vAlign w:val="center"/>
          </w:tcPr>
          <w:p w14:paraId="156876C0">
            <w:pPr>
              <w:spacing w:after="160" w:line="240" w:lineRule="auto"/>
              <w:textAlignment w:val="baseline"/>
              <w:rPr>
                <w:rFonts w:cs="Times New Roman"/>
                <w:sz w:val="21"/>
                <w:szCs w:val="20"/>
                <w14:ligatures w14:val="none"/>
              </w:rPr>
            </w:pPr>
            <w:r>
              <w:rPr>
                <w:rFonts w:ascii="宋体" w:hAnsi="宋体" w:cs="宋体"/>
                <w:snapToGrid w:val="0"/>
                <w:kern w:val="0"/>
                <w:sz w:val="21"/>
                <w:szCs w:val="21"/>
                <w14:ligatures w14:val="none"/>
              </w:rPr>
              <w:t>每</w:t>
            </w:r>
            <w:r>
              <w:rPr>
                <w:rFonts w:ascii="宋体" w:hAnsi="宋体" w:cs="宋体"/>
                <w:kern w:val="0"/>
                <w:sz w:val="21"/>
                <w:szCs w:val="21"/>
                <w14:ligatures w14:val="none"/>
              </w:rPr>
              <w:t>增加1</w:t>
            </w:r>
            <w:r>
              <w:rPr>
                <w:rFonts w:ascii="宋体" w:hAnsi="宋体" w:cs="宋体"/>
                <w:snapToGrid w:val="0"/>
                <w:kern w:val="0"/>
                <w:sz w:val="21"/>
                <w:szCs w:val="21"/>
                <w14:ligatures w14:val="none"/>
              </w:rPr>
              <w:t>项满足投标人资格要求第3.1.4项项目负责人要求的业绩，加6分，</w:t>
            </w:r>
            <w:r>
              <w:rPr>
                <w:rFonts w:ascii="宋体" w:hAnsi="宋体" w:cs="宋体"/>
                <w:kern w:val="0"/>
                <w:sz w:val="21"/>
                <w:szCs w:val="21"/>
                <w14:ligatures w14:val="none"/>
              </w:rPr>
              <w:t>本项最多加6分。</w:t>
            </w:r>
          </w:p>
        </w:tc>
      </w:tr>
      <w:tr w14:paraId="770FE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tcBorders>
              <w:top w:val="nil"/>
              <w:left w:val="single" w:color="auto" w:sz="4" w:space="0"/>
              <w:bottom w:val="single" w:color="auto" w:sz="4" w:space="0"/>
              <w:right w:val="single" w:color="auto" w:sz="4" w:space="0"/>
            </w:tcBorders>
            <w:vAlign w:val="center"/>
          </w:tcPr>
          <w:p w14:paraId="1B8F431B">
            <w:pPr>
              <w:spacing w:after="160" w:line="240" w:lineRule="auto"/>
              <w:jc w:val="center"/>
              <w:textAlignment w:val="baseline"/>
              <w:rPr>
                <w:rFonts w:cs="Times New Roman"/>
                <w:sz w:val="21"/>
                <w:szCs w:val="20"/>
                <w14:ligatures w14:val="none"/>
              </w:rPr>
            </w:pPr>
            <w:r>
              <w:rPr>
                <w:rFonts w:cs="Times New Roman"/>
                <w:sz w:val="21"/>
                <w:szCs w:val="20"/>
                <w14:ligatures w14:val="none"/>
              </w:rPr>
              <w:t>2.2.4（3）</w:t>
            </w:r>
          </w:p>
        </w:tc>
        <w:tc>
          <w:tcPr>
            <w:tcW w:w="376" w:type="pct"/>
            <w:tcBorders>
              <w:top w:val="nil"/>
              <w:left w:val="single" w:color="auto" w:sz="4" w:space="0"/>
              <w:bottom w:val="single" w:color="auto" w:sz="4" w:space="0"/>
              <w:right w:val="single" w:color="auto" w:sz="4" w:space="0"/>
            </w:tcBorders>
            <w:vAlign w:val="center"/>
          </w:tcPr>
          <w:p w14:paraId="620E10E3">
            <w:pPr>
              <w:spacing w:after="160" w:line="240" w:lineRule="auto"/>
              <w:jc w:val="center"/>
              <w:textAlignment w:val="baseline"/>
              <w:rPr>
                <w:rFonts w:cs="Times New Roman"/>
                <w:sz w:val="21"/>
                <w:szCs w:val="20"/>
                <w14:ligatures w14:val="none"/>
              </w:rPr>
            </w:pPr>
            <w:r>
              <w:rPr>
                <w:rFonts w:ascii="宋体" w:hAnsi="宋体" w:cs="宋体"/>
                <w:kern w:val="0"/>
                <w:sz w:val="21"/>
                <w:szCs w:val="21"/>
                <w14:ligatures w14:val="none"/>
              </w:rPr>
              <w:t>评标价</w:t>
            </w:r>
          </w:p>
        </w:tc>
        <w:tc>
          <w:tcPr>
            <w:tcW w:w="407" w:type="pct"/>
            <w:tcBorders>
              <w:top w:val="nil"/>
              <w:left w:val="single" w:color="auto" w:sz="4" w:space="0"/>
              <w:bottom w:val="single" w:color="auto" w:sz="4" w:space="0"/>
              <w:right w:val="single" w:color="auto" w:sz="4" w:space="0"/>
            </w:tcBorders>
            <w:vAlign w:val="center"/>
          </w:tcPr>
          <w:p w14:paraId="50AAC981">
            <w:pPr>
              <w:spacing w:after="160" w:line="240" w:lineRule="auto"/>
              <w:jc w:val="center"/>
              <w:textAlignment w:val="baseline"/>
              <w:rPr>
                <w:rFonts w:cs="Times New Roman"/>
                <w:sz w:val="21"/>
                <w:szCs w:val="20"/>
                <w14:ligatures w14:val="none"/>
              </w:rPr>
            </w:pPr>
            <w:r>
              <w:rPr>
                <w:rFonts w:ascii="宋体" w:hAnsi="宋体" w:cs="宋体"/>
                <w:kern w:val="0"/>
                <w:sz w:val="21"/>
                <w:szCs w:val="21"/>
                <w14:ligatures w14:val="none"/>
              </w:rPr>
              <w:t>30分</w:t>
            </w:r>
          </w:p>
        </w:tc>
        <w:tc>
          <w:tcPr>
            <w:tcW w:w="3818" w:type="pct"/>
            <w:gridSpan w:val="4"/>
            <w:tcBorders>
              <w:top w:val="single" w:color="auto" w:sz="4" w:space="0"/>
              <w:left w:val="single" w:color="auto" w:sz="4" w:space="0"/>
              <w:bottom w:val="single" w:color="auto" w:sz="4" w:space="0"/>
              <w:right w:val="single" w:color="auto" w:sz="4" w:space="0"/>
            </w:tcBorders>
            <w:vAlign w:val="center"/>
          </w:tcPr>
          <w:p w14:paraId="43012910">
            <w:pPr>
              <w:spacing w:line="240" w:lineRule="auto"/>
              <w:jc w:val="both"/>
              <w:rPr>
                <w:rFonts w:ascii="宋体" w:hAnsi="宋体" w:cs="宋体"/>
                <w:kern w:val="0"/>
                <w:sz w:val="21"/>
                <w:szCs w:val="21"/>
                <w14:ligatures w14:val="none"/>
              </w:rPr>
            </w:pPr>
            <w:r>
              <w:rPr>
                <w:rFonts w:ascii="宋体" w:hAnsi="宋体" w:cs="宋体"/>
                <w:kern w:val="0"/>
                <w:sz w:val="21"/>
                <w:szCs w:val="21"/>
                <w14:ligatures w14:val="none"/>
              </w:rPr>
              <w:t>评标价得分计算公式示例：</w:t>
            </w:r>
          </w:p>
          <w:p w14:paraId="1E91246E">
            <w:pPr>
              <w:spacing w:line="240" w:lineRule="auto"/>
              <w:jc w:val="both"/>
              <w:rPr>
                <w:rFonts w:ascii="宋体" w:hAnsi="宋体" w:cs="宋体"/>
                <w:kern w:val="0"/>
                <w:sz w:val="21"/>
                <w:szCs w:val="21"/>
                <w14:ligatures w14:val="none"/>
              </w:rPr>
            </w:pPr>
            <w:r>
              <w:rPr>
                <w:rFonts w:ascii="宋体" w:hAnsi="宋体" w:cs="宋体"/>
                <w:kern w:val="0"/>
                <w:sz w:val="21"/>
                <w:szCs w:val="21"/>
                <w14:ligatures w14:val="none"/>
              </w:rPr>
              <w:t>（1）如果投标人的评标价＞评标基准价，则评标价得分=F-（投标人评标价-评标基准价）/评标基准价×100×E1；</w:t>
            </w:r>
          </w:p>
          <w:p w14:paraId="412F4CBA">
            <w:pPr>
              <w:spacing w:line="240" w:lineRule="auto"/>
              <w:jc w:val="both"/>
              <w:rPr>
                <w:rFonts w:ascii="宋体" w:hAnsi="宋体" w:cs="宋体"/>
                <w:kern w:val="0"/>
                <w:sz w:val="21"/>
                <w:szCs w:val="21"/>
                <w14:ligatures w14:val="none"/>
              </w:rPr>
            </w:pPr>
            <w:r>
              <w:rPr>
                <w:rFonts w:ascii="宋体" w:hAnsi="宋体" w:cs="宋体"/>
                <w:kern w:val="0"/>
                <w:sz w:val="21"/>
                <w:szCs w:val="21"/>
                <w14:ligatures w14:val="none"/>
              </w:rPr>
              <w:t>（2）如果投标人的评标价≤评标基准价，则评标价得分=F+（投标人评标价-评标基准价）/评标基准价×100×E2。</w:t>
            </w:r>
          </w:p>
          <w:p w14:paraId="4E9F6153">
            <w:pPr>
              <w:spacing w:line="240" w:lineRule="auto"/>
              <w:rPr>
                <w:rFonts w:ascii="宋体" w:hAnsi="宋体" w:cs="宋体"/>
                <w:kern w:val="0"/>
                <w:sz w:val="21"/>
                <w:szCs w:val="21"/>
                <w14:ligatures w14:val="none"/>
              </w:rPr>
            </w:pPr>
            <w:r>
              <w:rPr>
                <w:rFonts w:ascii="宋体" w:hAnsi="宋体" w:cs="宋体"/>
                <w:kern w:val="0"/>
                <w:sz w:val="21"/>
                <w:szCs w:val="21"/>
                <w14:ligatures w14:val="none"/>
              </w:rPr>
              <w:t>其中，F=30；E1=0.4；E2=0.2；评标价最低得分为0分。</w:t>
            </w:r>
          </w:p>
          <w:p w14:paraId="53657A41">
            <w:pPr>
              <w:spacing w:after="160" w:line="240" w:lineRule="auto"/>
              <w:textAlignment w:val="baseline"/>
              <w:rPr>
                <w:rFonts w:cs="Times New Roman"/>
                <w:sz w:val="21"/>
                <w:szCs w:val="20"/>
                <w14:ligatures w14:val="none"/>
              </w:rPr>
            </w:pPr>
            <w:r>
              <w:rPr>
                <w:rFonts w:ascii="宋体" w:hAnsi="宋体" w:cs="宋体"/>
                <w:kern w:val="0"/>
                <w:sz w:val="21"/>
                <w:szCs w:val="21"/>
                <w14:ligatures w14:val="none"/>
              </w:rPr>
              <w:t>评标价得分保留两位小数，第三位四舍五入。</w:t>
            </w:r>
          </w:p>
        </w:tc>
      </w:tr>
      <w:tr w14:paraId="55CEA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vMerge w:val="restart"/>
            <w:tcBorders>
              <w:top w:val="single" w:color="auto" w:sz="4" w:space="0"/>
              <w:left w:val="single" w:color="auto" w:sz="4" w:space="0"/>
              <w:right w:val="single" w:color="auto" w:sz="4" w:space="0"/>
            </w:tcBorders>
            <w:vAlign w:val="center"/>
          </w:tcPr>
          <w:p w14:paraId="37F4BEE4">
            <w:pPr>
              <w:spacing w:after="160" w:line="240" w:lineRule="auto"/>
              <w:jc w:val="center"/>
              <w:textAlignment w:val="baseline"/>
              <w:rPr>
                <w:rFonts w:cs="Times New Roman"/>
                <w:sz w:val="21"/>
                <w:szCs w:val="20"/>
                <w14:ligatures w14:val="none"/>
              </w:rPr>
            </w:pPr>
            <w:r>
              <w:rPr>
                <w:rFonts w:cs="Times New Roman"/>
                <w:sz w:val="21"/>
                <w:szCs w:val="20"/>
                <w14:ligatures w14:val="none"/>
              </w:rPr>
              <w:t>2.2.4（4）</w:t>
            </w:r>
          </w:p>
        </w:tc>
        <w:tc>
          <w:tcPr>
            <w:tcW w:w="376" w:type="pct"/>
            <w:vMerge w:val="restart"/>
            <w:tcBorders>
              <w:top w:val="single" w:color="auto" w:sz="4" w:space="0"/>
              <w:left w:val="single" w:color="auto" w:sz="4" w:space="0"/>
              <w:right w:val="single" w:color="auto" w:sz="4" w:space="0"/>
            </w:tcBorders>
            <w:vAlign w:val="center"/>
          </w:tcPr>
          <w:p w14:paraId="434C0C2A">
            <w:pPr>
              <w:spacing w:after="160" w:line="240" w:lineRule="auto"/>
              <w:jc w:val="center"/>
              <w:textAlignment w:val="baseline"/>
              <w:rPr>
                <w:rFonts w:cs="Times New Roman"/>
                <w:sz w:val="21"/>
                <w:szCs w:val="20"/>
                <w14:ligatures w14:val="none"/>
              </w:rPr>
            </w:pPr>
            <w:r>
              <w:rPr>
                <w:rFonts w:ascii="宋体" w:hAnsi="宋体" w:cs="宋体"/>
                <w:kern w:val="0"/>
                <w:sz w:val="21"/>
                <w:szCs w:val="21"/>
                <w14:ligatures w14:val="none"/>
              </w:rPr>
              <w:t>其他因素</w:t>
            </w:r>
          </w:p>
        </w:tc>
        <w:tc>
          <w:tcPr>
            <w:tcW w:w="407" w:type="pct"/>
            <w:vMerge w:val="restart"/>
            <w:tcBorders>
              <w:top w:val="single" w:color="auto" w:sz="4" w:space="0"/>
              <w:left w:val="single" w:color="auto" w:sz="4" w:space="0"/>
              <w:right w:val="single" w:color="auto" w:sz="4" w:space="0"/>
            </w:tcBorders>
            <w:vAlign w:val="center"/>
          </w:tcPr>
          <w:p w14:paraId="577B9135">
            <w:pPr>
              <w:spacing w:after="160" w:line="240" w:lineRule="auto"/>
              <w:jc w:val="center"/>
              <w:textAlignment w:val="baseline"/>
              <w:rPr>
                <w:rFonts w:cs="Times New Roman"/>
                <w:sz w:val="21"/>
                <w:szCs w:val="20"/>
                <w14:ligatures w14:val="none"/>
              </w:rPr>
            </w:pPr>
            <w:r>
              <w:rPr>
                <w:rFonts w:ascii="宋体" w:hAnsi="宋体" w:cs="宋体"/>
                <w:kern w:val="0"/>
                <w:sz w:val="21"/>
                <w:szCs w:val="21"/>
                <w14:ligatures w14:val="none"/>
              </w:rPr>
              <w:t>15分</w:t>
            </w:r>
          </w:p>
        </w:tc>
        <w:tc>
          <w:tcPr>
            <w:tcW w:w="388" w:type="pct"/>
            <w:vMerge w:val="restart"/>
            <w:tcBorders>
              <w:top w:val="single" w:color="auto" w:sz="4" w:space="0"/>
              <w:left w:val="single" w:color="auto" w:sz="4" w:space="0"/>
              <w:right w:val="single" w:color="auto" w:sz="4" w:space="0"/>
            </w:tcBorders>
            <w:vAlign w:val="center"/>
          </w:tcPr>
          <w:p w14:paraId="3A7E71F3">
            <w:pPr>
              <w:spacing w:after="160" w:line="240" w:lineRule="auto"/>
              <w:jc w:val="center"/>
              <w:textAlignment w:val="baseline"/>
              <w:rPr>
                <w:rFonts w:cs="Times New Roman"/>
                <w:sz w:val="21"/>
                <w:szCs w:val="20"/>
                <w14:ligatures w14:val="none"/>
              </w:rPr>
            </w:pPr>
            <w:r>
              <w:rPr>
                <w:rFonts w:ascii="宋体" w:hAnsi="宋体" w:cs="宋体"/>
                <w:kern w:val="0"/>
                <w:sz w:val="21"/>
                <w:szCs w:val="21"/>
                <w14:ligatures w14:val="none"/>
              </w:rPr>
              <w:t>业绩</w:t>
            </w:r>
          </w:p>
        </w:tc>
        <w:tc>
          <w:tcPr>
            <w:tcW w:w="388" w:type="pct"/>
            <w:gridSpan w:val="2"/>
            <w:tcBorders>
              <w:top w:val="single" w:color="auto" w:sz="4" w:space="0"/>
              <w:left w:val="single" w:color="auto" w:sz="4" w:space="0"/>
              <w:right w:val="single" w:color="auto" w:sz="4" w:space="0"/>
            </w:tcBorders>
            <w:vAlign w:val="center"/>
          </w:tcPr>
          <w:p w14:paraId="1FE64CFF">
            <w:pPr>
              <w:spacing w:after="160" w:line="240" w:lineRule="auto"/>
              <w:jc w:val="center"/>
              <w:textAlignment w:val="baseline"/>
              <w:rPr>
                <w:rFonts w:cs="Times New Roman"/>
                <w:sz w:val="21"/>
                <w:szCs w:val="20"/>
                <w14:ligatures w14:val="none"/>
              </w:rPr>
            </w:pPr>
            <w:r>
              <w:rPr>
                <w:rFonts w:ascii="宋体" w:hAnsi="宋体" w:cs="宋体"/>
                <w:kern w:val="0"/>
                <w:sz w:val="21"/>
                <w:szCs w:val="21"/>
                <w14:ligatures w14:val="none"/>
              </w:rPr>
              <w:t>9分</w:t>
            </w:r>
          </w:p>
        </w:tc>
        <w:tc>
          <w:tcPr>
            <w:tcW w:w="3041" w:type="pct"/>
            <w:tcBorders>
              <w:top w:val="single" w:color="auto" w:sz="4" w:space="0"/>
              <w:left w:val="single" w:color="auto" w:sz="4" w:space="0"/>
              <w:bottom w:val="single" w:color="auto" w:sz="4" w:space="0"/>
              <w:right w:val="single" w:color="auto" w:sz="4" w:space="0"/>
            </w:tcBorders>
            <w:vAlign w:val="center"/>
          </w:tcPr>
          <w:p w14:paraId="6124A4AE">
            <w:pPr>
              <w:spacing w:after="160" w:line="240" w:lineRule="auto"/>
              <w:textAlignment w:val="baseline"/>
              <w:rPr>
                <w:rFonts w:cs="Times New Roman"/>
                <w:sz w:val="21"/>
                <w:szCs w:val="20"/>
                <w14:ligatures w14:val="none"/>
              </w:rPr>
            </w:pPr>
            <w:r>
              <w:rPr>
                <w:rFonts w:ascii="宋体" w:hAnsi="宋体" w:cs="宋体"/>
                <w:snapToGrid w:val="0"/>
                <w:kern w:val="0"/>
                <w:sz w:val="21"/>
                <w:szCs w:val="21"/>
                <w14:ligatures w14:val="none"/>
              </w:rPr>
              <w:t>满足投标人资格要求第3.1.2项业绩要求，得9分</w:t>
            </w:r>
          </w:p>
        </w:tc>
      </w:tr>
      <w:tr w14:paraId="519B2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vMerge w:val="continue"/>
            <w:tcBorders>
              <w:left w:val="single" w:color="auto" w:sz="4" w:space="0"/>
              <w:right w:val="single" w:color="auto" w:sz="4" w:space="0"/>
            </w:tcBorders>
            <w:vAlign w:val="center"/>
          </w:tcPr>
          <w:p w14:paraId="73610608">
            <w:pPr>
              <w:spacing w:after="160" w:line="240" w:lineRule="auto"/>
              <w:jc w:val="center"/>
              <w:textAlignment w:val="baseline"/>
              <w:rPr>
                <w:rFonts w:cs="Times New Roman"/>
                <w:sz w:val="21"/>
                <w:szCs w:val="20"/>
                <w14:ligatures w14:val="none"/>
              </w:rPr>
            </w:pPr>
          </w:p>
        </w:tc>
        <w:tc>
          <w:tcPr>
            <w:tcW w:w="376" w:type="pct"/>
            <w:vMerge w:val="continue"/>
            <w:tcBorders>
              <w:left w:val="single" w:color="auto" w:sz="4" w:space="0"/>
              <w:right w:val="single" w:color="auto" w:sz="4" w:space="0"/>
            </w:tcBorders>
            <w:vAlign w:val="center"/>
          </w:tcPr>
          <w:p w14:paraId="6C3154E5">
            <w:pPr>
              <w:spacing w:after="160" w:line="240" w:lineRule="auto"/>
              <w:jc w:val="center"/>
              <w:textAlignment w:val="baseline"/>
              <w:rPr>
                <w:rFonts w:cs="Times New Roman"/>
                <w:sz w:val="21"/>
                <w:szCs w:val="20"/>
                <w14:ligatures w14:val="none"/>
              </w:rPr>
            </w:pPr>
          </w:p>
        </w:tc>
        <w:tc>
          <w:tcPr>
            <w:tcW w:w="407" w:type="pct"/>
            <w:vMerge w:val="continue"/>
            <w:tcBorders>
              <w:left w:val="single" w:color="auto" w:sz="4" w:space="0"/>
              <w:right w:val="single" w:color="auto" w:sz="4" w:space="0"/>
            </w:tcBorders>
            <w:vAlign w:val="center"/>
          </w:tcPr>
          <w:p w14:paraId="3B92B5ED">
            <w:pPr>
              <w:spacing w:after="160" w:line="240" w:lineRule="auto"/>
              <w:jc w:val="center"/>
              <w:textAlignment w:val="baseline"/>
              <w:rPr>
                <w:rFonts w:cs="Times New Roman"/>
                <w:sz w:val="21"/>
                <w:szCs w:val="20"/>
                <w14:ligatures w14:val="none"/>
              </w:rPr>
            </w:pPr>
          </w:p>
        </w:tc>
        <w:tc>
          <w:tcPr>
            <w:tcW w:w="388" w:type="pct"/>
            <w:vMerge w:val="continue"/>
            <w:tcBorders>
              <w:left w:val="single" w:color="auto" w:sz="4" w:space="0"/>
              <w:bottom w:val="single" w:color="auto" w:sz="4" w:space="0"/>
              <w:right w:val="single" w:color="auto" w:sz="4" w:space="0"/>
            </w:tcBorders>
            <w:vAlign w:val="center"/>
          </w:tcPr>
          <w:p w14:paraId="065A0BC2">
            <w:pPr>
              <w:spacing w:after="160" w:line="240" w:lineRule="auto"/>
              <w:jc w:val="center"/>
              <w:textAlignment w:val="baseline"/>
              <w:rPr>
                <w:rFonts w:cs="Times New Roman"/>
                <w:sz w:val="21"/>
                <w:szCs w:val="20"/>
                <w14:ligatures w14:val="none"/>
              </w:rPr>
            </w:pPr>
          </w:p>
        </w:tc>
        <w:tc>
          <w:tcPr>
            <w:tcW w:w="388" w:type="pct"/>
            <w:gridSpan w:val="2"/>
            <w:tcBorders>
              <w:left w:val="single" w:color="auto" w:sz="4" w:space="0"/>
              <w:bottom w:val="single" w:color="auto" w:sz="4" w:space="0"/>
              <w:right w:val="single" w:color="auto" w:sz="4" w:space="0"/>
            </w:tcBorders>
            <w:vAlign w:val="center"/>
          </w:tcPr>
          <w:p w14:paraId="4781CFF7">
            <w:pPr>
              <w:spacing w:after="160" w:line="240" w:lineRule="auto"/>
              <w:jc w:val="center"/>
              <w:textAlignment w:val="baseline"/>
              <w:rPr>
                <w:rFonts w:cs="Times New Roman"/>
                <w:sz w:val="21"/>
                <w:szCs w:val="20"/>
                <w14:ligatures w14:val="none"/>
              </w:rPr>
            </w:pPr>
            <w:r>
              <w:rPr>
                <w:rFonts w:ascii="宋体" w:hAnsi="宋体" w:cs="宋体"/>
                <w:kern w:val="0"/>
                <w:sz w:val="21"/>
                <w:szCs w:val="21"/>
                <w14:ligatures w14:val="none"/>
              </w:rPr>
              <w:t>6分</w:t>
            </w:r>
          </w:p>
        </w:tc>
        <w:tc>
          <w:tcPr>
            <w:tcW w:w="3041" w:type="pct"/>
            <w:tcBorders>
              <w:top w:val="single" w:color="auto" w:sz="4" w:space="0"/>
              <w:left w:val="single" w:color="auto" w:sz="4" w:space="0"/>
              <w:bottom w:val="single" w:color="auto" w:sz="4" w:space="0"/>
              <w:right w:val="single" w:color="auto" w:sz="4" w:space="0"/>
            </w:tcBorders>
            <w:vAlign w:val="center"/>
          </w:tcPr>
          <w:p w14:paraId="5A14234D">
            <w:pPr>
              <w:spacing w:after="160" w:line="240" w:lineRule="auto"/>
              <w:textAlignment w:val="baseline"/>
              <w:rPr>
                <w:rFonts w:cs="Times New Roman"/>
                <w:sz w:val="21"/>
                <w:szCs w:val="21"/>
                <w14:ligatures w14:val="none"/>
              </w:rPr>
            </w:pPr>
            <w:r>
              <w:rPr>
                <w:rFonts w:ascii="宋体" w:hAnsi="宋体" w:cs="宋体"/>
                <w:snapToGrid w:val="0"/>
                <w:kern w:val="0"/>
                <w:sz w:val="21"/>
                <w:szCs w:val="21"/>
                <w14:ligatures w14:val="none"/>
              </w:rPr>
              <w:t>每</w:t>
            </w:r>
            <w:r>
              <w:rPr>
                <w:rFonts w:ascii="宋体" w:hAnsi="宋体" w:cs="宋体"/>
                <w:kern w:val="0"/>
                <w:sz w:val="21"/>
                <w:szCs w:val="21"/>
                <w14:ligatures w14:val="none"/>
              </w:rPr>
              <w:t>增加1</w:t>
            </w:r>
            <w:r>
              <w:rPr>
                <w:rFonts w:ascii="宋体" w:hAnsi="宋体" w:cs="宋体"/>
                <w:snapToGrid w:val="0"/>
                <w:kern w:val="0"/>
                <w:sz w:val="21"/>
                <w:szCs w:val="21"/>
                <w14:ligatures w14:val="none"/>
              </w:rPr>
              <w:t>项满足投标人资格要求第3.1.2项业绩要求的业绩加3分，</w:t>
            </w:r>
            <w:r>
              <w:rPr>
                <w:rFonts w:ascii="宋体" w:hAnsi="宋体" w:cs="宋体"/>
                <w:kern w:val="0"/>
                <w:sz w:val="21"/>
                <w:szCs w:val="21"/>
                <w14:ligatures w14:val="none"/>
              </w:rPr>
              <w:t>本项最多加6分。</w:t>
            </w:r>
          </w:p>
        </w:tc>
      </w:tr>
    </w:tbl>
    <w:p w14:paraId="4782C22C">
      <w:pPr>
        <w:adjustRightInd/>
        <w:snapToGrid/>
        <w:spacing w:after="160" w:line="278" w:lineRule="auto"/>
        <w:ind w:right="113"/>
        <w:jc w:val="both"/>
        <w:rPr>
          <w:rFonts w:hAnsi="宋体" w:cs="Times New Roman"/>
          <w:kern w:val="28"/>
          <w:szCs w:val="20"/>
          <w14:ligatures w14:val="none"/>
        </w:rPr>
      </w:pPr>
      <w:r>
        <w:rPr>
          <w:rFonts w:hAnsi="宋体" w:cs="Times New Roman"/>
          <w:kern w:val="28"/>
          <w:szCs w:val="20"/>
          <w14:ligatures w14:val="none"/>
        </w:rPr>
        <w:t>注：1、第2.2.4（1）项各评委打分保留1位小数，投标人该项得分以各评委打分平均值计算所得，保留两位小数，第三位小数四舍五入。</w:t>
      </w:r>
    </w:p>
    <w:p w14:paraId="7E5FF124">
      <w:pPr>
        <w:adjustRightInd/>
        <w:snapToGrid/>
        <w:spacing w:after="160" w:line="278" w:lineRule="auto"/>
        <w:ind w:right="113"/>
        <w:jc w:val="both"/>
        <w:rPr>
          <w:rFonts w:cs="Times New Roman"/>
          <w:b/>
          <w:kern w:val="0"/>
          <w:sz w:val="28"/>
          <w:szCs w:val="21"/>
          <w14:ligatures w14:val="none"/>
        </w:rPr>
      </w:pPr>
      <w:r>
        <w:rPr>
          <w:rFonts w:hAnsi="宋体" w:cs="Times New Roman"/>
          <w:kern w:val="28"/>
          <w:szCs w:val="20"/>
          <w14:ligatures w14:val="none"/>
        </w:rPr>
        <w:t>2、第2.2.4（1）项评标委员会成员对某一项评分因素的评分低于权重分值 60%的，应在评标报告中作出说明。评审因素细分项缺项则该项得0分。</w:t>
      </w:r>
    </w:p>
    <w:p w14:paraId="3E4EF4A3"/>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ED2"/>
    <w:rsid w:val="000A3ED2"/>
    <w:rsid w:val="0056678E"/>
    <w:rsid w:val="00615901"/>
    <w:rsid w:val="00673213"/>
    <w:rsid w:val="00B525C3"/>
    <w:rsid w:val="00B70999"/>
    <w:rsid w:val="00EB31B5"/>
    <w:rsid w:val="1FCF67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after="0" w:line="360" w:lineRule="auto"/>
    </w:pPr>
    <w:rPr>
      <w:rFonts w:ascii="Times New Roman" w:hAnsi="Times New Roman" w:eastAsia="宋体" w:cstheme="minorBidi"/>
      <w:kern w:val="2"/>
      <w:sz w:val="24"/>
      <w:szCs w:val="24"/>
      <w:lang w:val="en-US" w:eastAsia="zh-CN" w:bidi="ar-SA"/>
      <w14:ligatures w14:val="standardContextual"/>
    </w:rPr>
  </w:style>
  <w:style w:type="paragraph" w:styleId="2">
    <w:name w:val="heading 1"/>
    <w:basedOn w:val="1"/>
    <w:next w:val="1"/>
    <w:link w:val="15"/>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7"/>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18"/>
    <w:semiHidden/>
    <w:unhideWhenUsed/>
    <w:qFormat/>
    <w:uiPriority w:val="9"/>
    <w:pPr>
      <w:keepNext/>
      <w:keepLines/>
      <w:spacing w:before="80" w:after="40"/>
      <w:outlineLvl w:val="3"/>
    </w:pPr>
    <w:rPr>
      <w:rFonts w:asciiTheme="minorHAnsi" w:hAnsiTheme="minorHAnsi" w:eastAsiaTheme="minorEastAsia" w:cstheme="majorBidi"/>
      <w:color w:val="104862" w:themeColor="accent1" w:themeShade="BF"/>
      <w:sz w:val="28"/>
      <w:szCs w:val="28"/>
    </w:rPr>
  </w:style>
  <w:style w:type="paragraph" w:styleId="6">
    <w:name w:val="heading 5"/>
    <w:basedOn w:val="1"/>
    <w:next w:val="1"/>
    <w:link w:val="19"/>
    <w:semiHidden/>
    <w:unhideWhenUsed/>
    <w:qFormat/>
    <w:uiPriority w:val="9"/>
    <w:pPr>
      <w:keepNext/>
      <w:keepLines/>
      <w:spacing w:before="80" w:after="40"/>
      <w:outlineLvl w:val="4"/>
    </w:pPr>
    <w:rPr>
      <w:rFonts w:asciiTheme="minorHAnsi" w:hAnsiTheme="minorHAnsi" w:eastAsiaTheme="minorEastAsia" w:cstheme="majorBidi"/>
      <w:color w:val="104862" w:themeColor="accent1" w:themeShade="BF"/>
    </w:rPr>
  </w:style>
  <w:style w:type="paragraph" w:styleId="7">
    <w:name w:val="heading 6"/>
    <w:basedOn w:val="1"/>
    <w:next w:val="1"/>
    <w:link w:val="20"/>
    <w:semiHidden/>
    <w:unhideWhenUsed/>
    <w:qFormat/>
    <w:uiPriority w:val="9"/>
    <w:pPr>
      <w:keepNext/>
      <w:keepLines/>
      <w:spacing w:before="40"/>
      <w:outlineLvl w:val="5"/>
    </w:pPr>
    <w:rPr>
      <w:rFonts w:asciiTheme="minorHAnsi" w:hAnsiTheme="minorHAnsi" w:eastAsiaTheme="minorEastAsia" w:cstheme="majorBidi"/>
      <w:b/>
      <w:bCs/>
      <w:color w:val="104862" w:themeColor="accent1" w:themeShade="BF"/>
    </w:rPr>
  </w:style>
  <w:style w:type="paragraph" w:styleId="8">
    <w:name w:val="heading 7"/>
    <w:basedOn w:val="1"/>
    <w:next w:val="1"/>
    <w:link w:val="21"/>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3"/>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4">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11">
    <w:name w:val="Subtitle"/>
    <w:basedOn w:val="1"/>
    <w:next w:val="1"/>
    <w:link w:val="25"/>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4"/>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5">
    <w:name w:val="标题 1 字符"/>
    <w:basedOn w:val="14"/>
    <w:link w:val="2"/>
    <w:uiPriority w:val="9"/>
    <w:rPr>
      <w:rFonts w:asciiTheme="majorHAnsi" w:hAnsiTheme="majorHAnsi" w:eastAsiaTheme="majorEastAsia" w:cstheme="majorBidi"/>
      <w:color w:val="104862" w:themeColor="accent1" w:themeShade="BF"/>
      <w:sz w:val="48"/>
      <w:szCs w:val="48"/>
    </w:rPr>
  </w:style>
  <w:style w:type="character" w:customStyle="1" w:styleId="16">
    <w:name w:val="标题 2 字符"/>
    <w:basedOn w:val="14"/>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7">
    <w:name w:val="标题 3 字符"/>
    <w:basedOn w:val="14"/>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18">
    <w:name w:val="标题 4 字符"/>
    <w:basedOn w:val="14"/>
    <w:link w:val="5"/>
    <w:semiHidden/>
    <w:qFormat/>
    <w:uiPriority w:val="9"/>
    <w:rPr>
      <w:rFonts w:cstheme="majorBidi"/>
      <w:color w:val="104862" w:themeColor="accent1" w:themeShade="BF"/>
      <w:sz w:val="28"/>
      <w:szCs w:val="28"/>
    </w:rPr>
  </w:style>
  <w:style w:type="character" w:customStyle="1" w:styleId="19">
    <w:name w:val="标题 5 字符"/>
    <w:basedOn w:val="14"/>
    <w:link w:val="6"/>
    <w:semiHidden/>
    <w:uiPriority w:val="9"/>
    <w:rPr>
      <w:rFonts w:cstheme="majorBidi"/>
      <w:color w:val="104862" w:themeColor="accent1" w:themeShade="BF"/>
      <w:sz w:val="24"/>
    </w:rPr>
  </w:style>
  <w:style w:type="character" w:customStyle="1" w:styleId="20">
    <w:name w:val="标题 6 字符"/>
    <w:basedOn w:val="14"/>
    <w:link w:val="7"/>
    <w:semiHidden/>
    <w:uiPriority w:val="9"/>
    <w:rPr>
      <w:rFonts w:cstheme="majorBidi"/>
      <w:b/>
      <w:bCs/>
      <w:color w:val="104862" w:themeColor="accent1" w:themeShade="BF"/>
      <w:sz w:val="24"/>
    </w:rPr>
  </w:style>
  <w:style w:type="character" w:customStyle="1" w:styleId="21">
    <w:name w:val="标题 7 字符"/>
    <w:basedOn w:val="14"/>
    <w:link w:val="8"/>
    <w:semiHidden/>
    <w:uiPriority w:val="9"/>
    <w:rPr>
      <w:rFonts w:cstheme="majorBidi"/>
      <w:b/>
      <w:bCs/>
      <w:color w:val="595959" w:themeColor="text1" w:themeTint="A6"/>
      <w:sz w:val="24"/>
      <w14:textFill>
        <w14:solidFill>
          <w14:schemeClr w14:val="tx1">
            <w14:lumMod w14:val="65000"/>
            <w14:lumOff w14:val="35000"/>
          </w14:schemeClr>
        </w14:solidFill>
      </w14:textFill>
    </w:rPr>
  </w:style>
  <w:style w:type="character" w:customStyle="1" w:styleId="22">
    <w:name w:val="标题 8 字符"/>
    <w:basedOn w:val="14"/>
    <w:link w:val="9"/>
    <w:semiHidden/>
    <w:uiPriority w:val="9"/>
    <w:rPr>
      <w:rFonts w:cstheme="majorBidi"/>
      <w:color w:val="595959" w:themeColor="text1" w:themeTint="A6"/>
      <w:sz w:val="24"/>
      <w14:textFill>
        <w14:solidFill>
          <w14:schemeClr w14:val="tx1">
            <w14:lumMod w14:val="65000"/>
            <w14:lumOff w14:val="35000"/>
          </w14:schemeClr>
        </w14:solidFill>
      </w14:textFill>
    </w:rPr>
  </w:style>
  <w:style w:type="character" w:customStyle="1" w:styleId="23">
    <w:name w:val="标题 9 字符"/>
    <w:basedOn w:val="14"/>
    <w:link w:val="10"/>
    <w:semiHidden/>
    <w:uiPriority w:val="9"/>
    <w:rPr>
      <w:rFonts w:eastAsiaTheme="majorEastAsia" w:cstheme="majorBidi"/>
      <w:color w:val="595959" w:themeColor="text1" w:themeTint="A6"/>
      <w:sz w:val="24"/>
      <w14:textFill>
        <w14:solidFill>
          <w14:schemeClr w14:val="tx1">
            <w14:lumMod w14:val="65000"/>
            <w14:lumOff w14:val="35000"/>
          </w14:schemeClr>
        </w14:solidFill>
      </w14:textFill>
    </w:rPr>
  </w:style>
  <w:style w:type="character" w:customStyle="1" w:styleId="24">
    <w:name w:val="标题 字符"/>
    <w:basedOn w:val="14"/>
    <w:link w:val="12"/>
    <w:uiPriority w:val="10"/>
    <w:rPr>
      <w:rFonts w:asciiTheme="majorHAnsi" w:hAnsiTheme="majorHAnsi" w:eastAsiaTheme="majorEastAsia" w:cstheme="majorBidi"/>
      <w:spacing w:val="-10"/>
      <w:kern w:val="28"/>
      <w:sz w:val="56"/>
      <w:szCs w:val="56"/>
    </w:rPr>
  </w:style>
  <w:style w:type="character" w:customStyle="1" w:styleId="25">
    <w:name w:val="副标题 字符"/>
    <w:basedOn w:val="14"/>
    <w:link w:val="11"/>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引用 字符"/>
    <w:basedOn w:val="14"/>
    <w:link w:val="26"/>
    <w:uiPriority w:val="29"/>
    <w:rPr>
      <w:rFonts w:ascii="Times New Roman" w:hAnsi="Times New Roman" w:eastAsia="宋体"/>
      <w:i/>
      <w:iCs/>
      <w:color w:val="404040" w:themeColor="text1" w:themeTint="BF"/>
      <w:sz w:val="24"/>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4"/>
    <w:qFormat/>
    <w:uiPriority w:val="21"/>
    <w:rPr>
      <w:i/>
      <w:iCs/>
      <w:color w:val="104862" w:themeColor="accent1" w:themeShade="BF"/>
    </w:rPr>
  </w:style>
  <w:style w:type="paragraph" w:styleId="30">
    <w:name w:val="Intense Quote"/>
    <w:basedOn w:val="1"/>
    <w:next w:val="1"/>
    <w:link w:val="3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1">
    <w:name w:val="明显引用 字符"/>
    <w:basedOn w:val="14"/>
    <w:link w:val="30"/>
    <w:uiPriority w:val="30"/>
    <w:rPr>
      <w:rFonts w:ascii="Times New Roman" w:hAnsi="Times New Roman" w:eastAsia="宋体"/>
      <w:i/>
      <w:iCs/>
      <w:color w:val="104862" w:themeColor="accent1" w:themeShade="BF"/>
      <w:sz w:val="24"/>
    </w:rPr>
  </w:style>
  <w:style w:type="character" w:customStyle="1" w:styleId="32">
    <w:name w:val="Intense Reference"/>
    <w:basedOn w:val="14"/>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5956</Words>
  <Characters>6560</Characters>
  <Lines>49</Lines>
  <Paragraphs>13</Paragraphs>
  <TotalTime>0</TotalTime>
  <ScaleCrop>false</ScaleCrop>
  <LinksUpToDate>false</LinksUpToDate>
  <CharactersWithSpaces>6653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2026-10-21T08:13:00Z</dcterms:created>
  <dc:creator>nan hao</dc:creator>
  <cp:lastModifiedBy>冯士峰</cp:lastModifiedBy>
  <dcterms:modified xsi:type="dcterms:W3CDTF">2026-10-21T09:11:08Z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eyJoZGlkIjoiMjNhMGNiNzBmYzRmYmU1YWU1ZDVjYzI3MTI0YTIzZjQiLCJ1c2VySWQiOiIxNjg3ODQzOTczIn0=</vt:lpwstr>
  </property>
  <property fmtid="{D5CDD505-2E9C-101B-9397-08002B2CF9AE}" pid="3" name="KSOProductBuildVer">
    <vt:lpwstr>2052-12.1.0.29161</vt:lpwstr>
  </property>
  <property fmtid="{D5CDD505-2E9C-101B-9397-08002B2CF9AE}" pid="4" name="ICV">
    <vt:lpwstr>0B09249C01914CC384B9F35BD387D1F9_12</vt:lpwstr>
  </property>
</Properties>
</file>