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9CBC2">
      <w:pPr>
        <w:rPr>
          <w:rFonts w:hint="eastAsia" w:ascii="宋体" w:hAnsi="宋体" w:cs="宋体"/>
          <w:b/>
          <w:color w:val="auto"/>
          <w:sz w:val="28"/>
          <w:szCs w:val="28"/>
          <w:highlight w:val="none"/>
        </w:rPr>
      </w:pPr>
      <w:bookmarkStart w:id="19" w:name="_GoBack"/>
      <w:bookmarkEnd w:id="19"/>
      <w:r>
        <w:rPr>
          <w:rFonts w:hint="eastAsia" w:ascii="宋体" w:hAnsi="宋体" w:cs="宋体"/>
          <w:b/>
          <w:color w:val="auto"/>
          <w:sz w:val="28"/>
          <w:szCs w:val="28"/>
          <w:highlight w:val="none"/>
        </w:rPr>
        <w:t>附件1：资格审查条件</w:t>
      </w:r>
    </w:p>
    <w:p w14:paraId="3D78D823">
      <w:pPr>
        <w:pStyle w:val="13"/>
        <w:rPr>
          <w:rFonts w:hint="eastAsia"/>
          <w:color w:val="auto"/>
          <w:highlight w:val="none"/>
        </w:rPr>
      </w:pPr>
    </w:p>
    <w:p w14:paraId="11012EE9">
      <w:pPr>
        <w:adjustRightInd w:val="0"/>
        <w:snapToGrid w:val="0"/>
        <w:spacing w:line="360" w:lineRule="auto"/>
        <w:jc w:val="cente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t>附录1  资格审查条件（资质最低要求）</w:t>
      </w:r>
    </w:p>
    <w:tbl>
      <w:tblPr>
        <w:tblStyle w:val="1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357"/>
        <w:gridCol w:w="7165"/>
      </w:tblGrid>
      <w:tr w14:paraId="06815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1425" w:type="dxa"/>
            <w:tcBorders>
              <w:top w:val="single" w:color="000000" w:sz="2" w:space="0"/>
              <w:left w:val="single" w:color="auto" w:sz="4" w:space="0"/>
              <w:bottom w:val="single" w:color="000000" w:sz="4" w:space="0"/>
              <w:right w:val="single" w:color="000000" w:sz="2" w:space="0"/>
            </w:tcBorders>
            <w:noWrap w:val="0"/>
            <w:vAlign w:val="center"/>
          </w:tcPr>
          <w:p w14:paraId="3781597D">
            <w:pPr>
              <w:adjustRightInd w:val="0"/>
              <w:snapToGrid w:val="0"/>
              <w:spacing w:line="240" w:lineRule="auto"/>
              <w:jc w:val="center"/>
              <w:textAlignment w:val="baseline"/>
              <w:rPr>
                <w:rStyle w:val="14"/>
                <w:rFonts w:hint="eastAsia" w:ascii="宋体" w:hAnsi="宋体" w:eastAsia="宋体"/>
                <w:b w:val="0"/>
                <w:bCs w:val="0"/>
                <w:snapToGrid w:val="0"/>
                <w:color w:val="auto"/>
                <w:kern w:val="0"/>
                <w:sz w:val="24"/>
                <w:szCs w:val="24"/>
                <w:highlight w:val="none"/>
                <w:lang w:eastAsia="zh-CN"/>
              </w:rPr>
            </w:pPr>
            <w:r>
              <w:rPr>
                <w:rFonts w:hint="eastAsia" w:ascii="宋体" w:hAnsi="宋体" w:cs="宋体"/>
                <w:b w:val="0"/>
                <w:bCs w:val="0"/>
                <w:color w:val="auto"/>
                <w:sz w:val="24"/>
                <w:szCs w:val="24"/>
                <w:highlight w:val="none"/>
                <w:lang w:val="en-US" w:eastAsia="zh-CN"/>
              </w:rPr>
              <w:t>标段号</w:t>
            </w:r>
          </w:p>
        </w:tc>
        <w:tc>
          <w:tcPr>
            <w:tcW w:w="7651" w:type="dxa"/>
            <w:tcBorders>
              <w:top w:val="single" w:color="000000" w:sz="2" w:space="0"/>
              <w:left w:val="single" w:color="auto" w:sz="4" w:space="0"/>
              <w:bottom w:val="single" w:color="000000" w:sz="4" w:space="0"/>
              <w:right w:val="single" w:color="000000" w:sz="2" w:space="0"/>
            </w:tcBorders>
            <w:noWrap w:val="0"/>
            <w:vAlign w:val="center"/>
          </w:tcPr>
          <w:p w14:paraId="519F4336">
            <w:pPr>
              <w:adjustRightInd w:val="0"/>
              <w:snapToGrid w:val="0"/>
              <w:spacing w:line="240" w:lineRule="auto"/>
              <w:jc w:val="center"/>
              <w:textAlignment w:val="baseline"/>
              <w:rPr>
                <w:rStyle w:val="14"/>
                <w:rFonts w:ascii="宋体" w:hAnsi="宋体"/>
                <w:b w:val="0"/>
                <w:bCs w:val="0"/>
                <w:snapToGrid w:val="0"/>
                <w:color w:val="auto"/>
                <w:kern w:val="0"/>
                <w:sz w:val="24"/>
                <w:szCs w:val="24"/>
                <w:highlight w:val="none"/>
              </w:rPr>
            </w:pPr>
            <w:r>
              <w:rPr>
                <w:rStyle w:val="14"/>
                <w:rFonts w:ascii="宋体" w:hAnsi="宋体"/>
                <w:b w:val="0"/>
                <w:bCs w:val="0"/>
                <w:snapToGrid w:val="0"/>
                <w:color w:val="auto"/>
                <w:kern w:val="0"/>
                <w:sz w:val="24"/>
                <w:szCs w:val="24"/>
                <w:highlight w:val="none"/>
              </w:rPr>
              <w:t>资质要求</w:t>
            </w:r>
          </w:p>
        </w:tc>
      </w:tr>
      <w:tr w14:paraId="57C0A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1" w:hRule="atLeast"/>
          <w:jc w:val="center"/>
        </w:trPr>
        <w:tc>
          <w:tcPr>
            <w:tcW w:w="1425" w:type="dxa"/>
            <w:tcBorders>
              <w:top w:val="single" w:color="000000" w:sz="2" w:space="0"/>
              <w:left w:val="single" w:color="auto" w:sz="4" w:space="0"/>
              <w:bottom w:val="single" w:color="000000" w:sz="2" w:space="0"/>
              <w:right w:val="single" w:color="000000" w:sz="2" w:space="0"/>
            </w:tcBorders>
            <w:noWrap w:val="0"/>
            <w:vAlign w:val="center"/>
          </w:tcPr>
          <w:p w14:paraId="2F384349">
            <w:pPr>
              <w:pStyle w:val="16"/>
              <w:adjustRightInd w:val="0"/>
              <w:snapToGrid w:val="0"/>
              <w:spacing w:line="240" w:lineRule="auto"/>
              <w:jc w:val="center"/>
              <w:rPr>
                <w:rStyle w:val="14"/>
                <w:rFonts w:hint="eastAsia" w:hAnsi="宋体"/>
                <w:bCs w:val="0"/>
                <w:snapToGrid w:val="0"/>
                <w:color w:val="auto"/>
                <w:sz w:val="24"/>
                <w:szCs w:val="24"/>
                <w:highlight w:val="none"/>
                <w:lang w:val="en-US" w:eastAsia="zh-CN"/>
              </w:rPr>
            </w:pPr>
            <w:r>
              <w:rPr>
                <w:rStyle w:val="14"/>
                <w:rFonts w:hint="eastAsia" w:hAnsi="宋体"/>
                <w:bCs w:val="0"/>
                <w:snapToGrid w:val="0"/>
                <w:color w:val="auto"/>
                <w:sz w:val="24"/>
                <w:szCs w:val="24"/>
                <w:highlight w:val="none"/>
                <w:lang w:val="en-US" w:eastAsia="zh-CN"/>
              </w:rPr>
              <w:t>一标段</w:t>
            </w:r>
          </w:p>
          <w:p w14:paraId="0BCEA216">
            <w:pPr>
              <w:pStyle w:val="16"/>
              <w:adjustRightInd w:val="0"/>
              <w:snapToGrid w:val="0"/>
              <w:spacing w:line="240" w:lineRule="auto"/>
              <w:jc w:val="center"/>
              <w:rPr>
                <w:rStyle w:val="14"/>
                <w:rFonts w:hint="eastAsia" w:hAnsi="宋体"/>
                <w:bCs w:val="0"/>
                <w:snapToGrid w:val="0"/>
                <w:color w:val="auto"/>
                <w:sz w:val="24"/>
                <w:szCs w:val="24"/>
                <w:highlight w:val="none"/>
                <w:lang w:val="en-US" w:eastAsia="zh-CN"/>
              </w:rPr>
            </w:pPr>
            <w:r>
              <w:rPr>
                <w:rStyle w:val="14"/>
                <w:rFonts w:hint="eastAsia" w:hAnsi="宋体"/>
                <w:bCs w:val="0"/>
                <w:snapToGrid w:val="0"/>
                <w:color w:val="auto"/>
                <w:sz w:val="24"/>
                <w:szCs w:val="24"/>
                <w:highlight w:val="none"/>
                <w:lang w:val="en-US" w:eastAsia="zh-CN"/>
              </w:rPr>
              <w:t>二标段</w:t>
            </w:r>
          </w:p>
          <w:p w14:paraId="3A34022F">
            <w:pPr>
              <w:pStyle w:val="16"/>
              <w:adjustRightInd w:val="0"/>
              <w:snapToGrid w:val="0"/>
              <w:spacing w:line="240" w:lineRule="auto"/>
              <w:jc w:val="center"/>
              <w:rPr>
                <w:rStyle w:val="14"/>
                <w:rFonts w:hint="eastAsia" w:hAnsi="宋体" w:eastAsia="宋体"/>
                <w:bCs w:val="0"/>
                <w:snapToGrid w:val="0"/>
                <w:color w:val="auto"/>
                <w:sz w:val="24"/>
                <w:szCs w:val="24"/>
                <w:highlight w:val="none"/>
                <w:lang w:val="en-US" w:eastAsia="zh-CN"/>
              </w:rPr>
            </w:pPr>
            <w:r>
              <w:rPr>
                <w:rStyle w:val="14"/>
                <w:rFonts w:hint="eastAsia" w:hAnsi="宋体"/>
                <w:bCs w:val="0"/>
                <w:snapToGrid w:val="0"/>
                <w:color w:val="auto"/>
                <w:sz w:val="24"/>
                <w:szCs w:val="24"/>
                <w:highlight w:val="none"/>
                <w:lang w:val="en-US" w:eastAsia="zh-CN"/>
              </w:rPr>
              <w:t>三标段</w:t>
            </w:r>
          </w:p>
        </w:tc>
        <w:tc>
          <w:tcPr>
            <w:tcW w:w="7651" w:type="dxa"/>
            <w:tcBorders>
              <w:top w:val="single" w:color="000000" w:sz="2" w:space="0"/>
              <w:left w:val="single" w:color="auto" w:sz="4" w:space="0"/>
              <w:bottom w:val="single" w:color="000000" w:sz="2" w:space="0"/>
              <w:right w:val="single" w:color="000000" w:sz="2" w:space="0"/>
            </w:tcBorders>
            <w:noWrap w:val="0"/>
            <w:vAlign w:val="center"/>
          </w:tcPr>
          <w:p w14:paraId="005F8FA8">
            <w:pPr>
              <w:pStyle w:val="16"/>
              <w:adjustRightInd w:val="0"/>
              <w:snapToGrid w:val="0"/>
              <w:spacing w:line="240" w:lineRule="auto"/>
              <w:jc w:val="both"/>
              <w:rPr>
                <w:rStyle w:val="14"/>
                <w:rFonts w:hint="eastAsia" w:hAnsi="宋体"/>
                <w:bCs w:val="0"/>
                <w:snapToGrid w:val="0"/>
                <w:color w:val="auto"/>
                <w:sz w:val="24"/>
                <w:szCs w:val="24"/>
                <w:highlight w:val="none"/>
              </w:rPr>
            </w:pPr>
            <w:r>
              <w:rPr>
                <w:rFonts w:hint="eastAsia" w:hAnsi="宋体"/>
                <w:color w:val="auto"/>
                <w:sz w:val="24"/>
                <w:szCs w:val="24"/>
                <w:highlight w:val="none"/>
              </w:rPr>
              <w:t>投标人为中华人民共和国境内</w:t>
            </w:r>
            <w:r>
              <w:rPr>
                <w:rFonts w:hint="eastAsia" w:hAnsi="宋体"/>
                <w:color w:val="auto"/>
                <w:sz w:val="24"/>
                <w:szCs w:val="24"/>
                <w:highlight w:val="none"/>
                <w:lang w:val="en-US" w:eastAsia="zh-CN"/>
              </w:rPr>
              <w:t>的</w:t>
            </w:r>
            <w:r>
              <w:rPr>
                <w:rFonts w:hint="eastAsia" w:hAnsi="宋体"/>
                <w:color w:val="auto"/>
                <w:sz w:val="24"/>
                <w:szCs w:val="24"/>
                <w:highlight w:val="none"/>
              </w:rPr>
              <w:t>法人或其他组织，</w:t>
            </w:r>
            <w:r>
              <w:rPr>
                <w:rFonts w:hint="eastAsia" w:hAnsi="宋体"/>
                <w:color w:val="auto"/>
                <w:sz w:val="24"/>
                <w:szCs w:val="24"/>
                <w:highlight w:val="none"/>
                <w:lang w:val="en-US" w:eastAsia="zh-CN"/>
              </w:rPr>
              <w:t>持有有效营业执照的所投设备制造商</w:t>
            </w:r>
            <w:r>
              <w:rPr>
                <w:rFonts w:hint="eastAsia" w:hAnsi="宋体"/>
                <w:color w:val="auto"/>
                <w:sz w:val="24"/>
                <w:szCs w:val="24"/>
                <w:highlight w:val="none"/>
                <w:lang w:eastAsia="zh-CN"/>
              </w:rPr>
              <w:t>。</w:t>
            </w:r>
          </w:p>
        </w:tc>
      </w:tr>
    </w:tbl>
    <w:p w14:paraId="19DEB399">
      <w:pPr>
        <w:pStyle w:val="4"/>
        <w:spacing w:line="240" w:lineRule="auto"/>
        <w:ind w:left="0" w:leftChars="0" w:firstLine="0" w:firstLineChars="0"/>
        <w:jc w:val="center"/>
        <w:rPr>
          <w:rFonts w:hint="eastAsia"/>
          <w:color w:val="auto"/>
          <w:sz w:val="24"/>
          <w:szCs w:val="24"/>
          <w:highlight w:val="none"/>
        </w:rPr>
      </w:pPr>
    </w:p>
    <w:p w14:paraId="1AC1B2F1">
      <w:pPr>
        <w:spacing w:line="240" w:lineRule="auto"/>
        <w:jc w:val="center"/>
        <w:rPr>
          <w:rFonts w:ascii="宋体" w:hAnsi="宋体"/>
          <w:b/>
          <w:bCs/>
          <w:snapToGrid w:val="0"/>
          <w:color w:val="auto"/>
          <w:kern w:val="0"/>
          <w:sz w:val="24"/>
          <w:szCs w:val="24"/>
          <w:highlight w:val="none"/>
        </w:rPr>
      </w:pPr>
    </w:p>
    <w:p w14:paraId="0C048991">
      <w:pPr>
        <w:spacing w:line="240" w:lineRule="auto"/>
        <w:jc w:val="center"/>
        <w:rPr>
          <w:rFonts w:hint="eastAsia" w:ascii="宋体" w:hAnsi="宋体"/>
          <w:b/>
          <w:bCs/>
          <w:snapToGrid w:val="0"/>
          <w:color w:val="auto"/>
          <w:kern w:val="0"/>
          <w:sz w:val="24"/>
          <w:szCs w:val="24"/>
          <w:highlight w:val="none"/>
        </w:rPr>
      </w:pPr>
      <w:r>
        <w:rPr>
          <w:rFonts w:hint="eastAsia" w:ascii="宋体" w:hAnsi="宋体"/>
          <w:b/>
          <w:bCs/>
          <w:snapToGrid w:val="0"/>
          <w:color w:val="auto"/>
          <w:kern w:val="0"/>
          <w:sz w:val="24"/>
          <w:szCs w:val="24"/>
          <w:highlight w:val="none"/>
        </w:rPr>
        <w:t>附录2 资格审查条件(财务最低要求)</w:t>
      </w:r>
    </w:p>
    <w:tbl>
      <w:tblPr>
        <w:tblStyle w:val="1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357"/>
        <w:gridCol w:w="7165"/>
      </w:tblGrid>
      <w:tr w14:paraId="44548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1425" w:type="dxa"/>
            <w:tcBorders>
              <w:top w:val="single" w:color="000000" w:sz="2" w:space="0"/>
              <w:left w:val="single" w:color="auto" w:sz="4" w:space="0"/>
              <w:bottom w:val="single" w:color="000000" w:sz="4" w:space="0"/>
              <w:right w:val="single" w:color="000000" w:sz="2" w:space="0"/>
            </w:tcBorders>
            <w:noWrap w:val="0"/>
            <w:vAlign w:val="center"/>
          </w:tcPr>
          <w:p w14:paraId="2F1D3887">
            <w:pPr>
              <w:adjustRightInd w:val="0"/>
              <w:snapToGrid w:val="0"/>
              <w:spacing w:line="240" w:lineRule="auto"/>
              <w:jc w:val="center"/>
              <w:textAlignment w:val="baseline"/>
              <w:rPr>
                <w:rStyle w:val="14"/>
                <w:rFonts w:hint="eastAsia" w:ascii="宋体" w:hAnsi="宋体" w:eastAsia="宋体"/>
                <w:b w:val="0"/>
                <w:bCs w:val="0"/>
                <w:snapToGrid w:val="0"/>
                <w:color w:val="auto"/>
                <w:kern w:val="0"/>
                <w:sz w:val="24"/>
                <w:szCs w:val="24"/>
                <w:highlight w:val="none"/>
                <w:lang w:eastAsia="zh-CN"/>
              </w:rPr>
            </w:pPr>
            <w:r>
              <w:rPr>
                <w:rFonts w:hint="eastAsia" w:ascii="宋体" w:hAnsi="宋体" w:cs="宋体"/>
                <w:b w:val="0"/>
                <w:bCs w:val="0"/>
                <w:color w:val="auto"/>
                <w:sz w:val="24"/>
                <w:szCs w:val="24"/>
                <w:highlight w:val="none"/>
                <w:lang w:val="en-US" w:eastAsia="zh-CN"/>
              </w:rPr>
              <w:t>标段号</w:t>
            </w:r>
          </w:p>
        </w:tc>
        <w:tc>
          <w:tcPr>
            <w:tcW w:w="7651" w:type="dxa"/>
            <w:tcBorders>
              <w:top w:val="single" w:color="000000" w:sz="2" w:space="0"/>
              <w:left w:val="single" w:color="auto" w:sz="4" w:space="0"/>
              <w:bottom w:val="single" w:color="000000" w:sz="4" w:space="0"/>
              <w:right w:val="single" w:color="000000" w:sz="2" w:space="0"/>
            </w:tcBorders>
            <w:noWrap w:val="0"/>
            <w:vAlign w:val="center"/>
          </w:tcPr>
          <w:p w14:paraId="3B0CBE27">
            <w:pPr>
              <w:adjustRightInd w:val="0"/>
              <w:snapToGrid w:val="0"/>
              <w:spacing w:line="240" w:lineRule="auto"/>
              <w:jc w:val="center"/>
              <w:textAlignment w:val="baseline"/>
              <w:rPr>
                <w:rStyle w:val="14"/>
                <w:rFonts w:ascii="宋体" w:hAnsi="宋体"/>
                <w:b w:val="0"/>
                <w:bCs w:val="0"/>
                <w:snapToGrid w:val="0"/>
                <w:color w:val="auto"/>
                <w:kern w:val="0"/>
                <w:sz w:val="24"/>
                <w:szCs w:val="24"/>
                <w:highlight w:val="none"/>
              </w:rPr>
            </w:pPr>
            <w:r>
              <w:rPr>
                <w:rStyle w:val="14"/>
                <w:rFonts w:hint="eastAsia" w:ascii="宋体" w:hAnsi="宋体"/>
                <w:b w:val="0"/>
                <w:bCs w:val="0"/>
                <w:snapToGrid w:val="0"/>
                <w:color w:val="auto"/>
                <w:kern w:val="0"/>
                <w:sz w:val="24"/>
                <w:szCs w:val="24"/>
                <w:highlight w:val="none"/>
              </w:rPr>
              <w:t>财务要求</w:t>
            </w:r>
          </w:p>
        </w:tc>
      </w:tr>
      <w:tr w14:paraId="48D76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1" w:hRule="atLeast"/>
          <w:jc w:val="center"/>
        </w:trPr>
        <w:tc>
          <w:tcPr>
            <w:tcW w:w="1425" w:type="dxa"/>
            <w:tcBorders>
              <w:top w:val="single" w:color="000000" w:sz="2" w:space="0"/>
              <w:left w:val="single" w:color="auto" w:sz="4" w:space="0"/>
              <w:bottom w:val="single" w:color="000000" w:sz="2" w:space="0"/>
              <w:right w:val="single" w:color="000000" w:sz="2" w:space="0"/>
            </w:tcBorders>
            <w:noWrap w:val="0"/>
            <w:vAlign w:val="center"/>
          </w:tcPr>
          <w:p w14:paraId="052CC97B">
            <w:pPr>
              <w:pStyle w:val="16"/>
              <w:adjustRightInd w:val="0"/>
              <w:snapToGrid w:val="0"/>
              <w:spacing w:line="240" w:lineRule="auto"/>
              <w:jc w:val="center"/>
              <w:rPr>
                <w:rStyle w:val="14"/>
                <w:rFonts w:hint="eastAsia" w:hAnsi="宋体"/>
                <w:bCs w:val="0"/>
                <w:snapToGrid w:val="0"/>
                <w:color w:val="auto"/>
                <w:sz w:val="24"/>
                <w:szCs w:val="24"/>
                <w:highlight w:val="none"/>
                <w:lang w:val="en-US" w:eastAsia="zh-CN"/>
              </w:rPr>
            </w:pPr>
            <w:r>
              <w:rPr>
                <w:rStyle w:val="14"/>
                <w:rFonts w:hint="eastAsia" w:hAnsi="宋体"/>
                <w:bCs w:val="0"/>
                <w:snapToGrid w:val="0"/>
                <w:color w:val="auto"/>
                <w:sz w:val="24"/>
                <w:szCs w:val="24"/>
                <w:highlight w:val="none"/>
                <w:lang w:val="en-US" w:eastAsia="zh-CN"/>
              </w:rPr>
              <w:t>一标段</w:t>
            </w:r>
          </w:p>
          <w:p w14:paraId="49D33C22">
            <w:pPr>
              <w:pStyle w:val="16"/>
              <w:adjustRightInd w:val="0"/>
              <w:snapToGrid w:val="0"/>
              <w:spacing w:line="240" w:lineRule="auto"/>
              <w:jc w:val="center"/>
              <w:rPr>
                <w:rStyle w:val="14"/>
                <w:rFonts w:hint="eastAsia" w:hAnsi="宋体" w:eastAsia="宋体"/>
                <w:bCs w:val="0"/>
                <w:snapToGrid w:val="0"/>
                <w:color w:val="auto"/>
                <w:sz w:val="24"/>
                <w:szCs w:val="24"/>
                <w:highlight w:val="none"/>
                <w:lang w:val="en-US" w:eastAsia="zh-CN"/>
              </w:rPr>
            </w:pPr>
          </w:p>
        </w:tc>
        <w:tc>
          <w:tcPr>
            <w:tcW w:w="7651" w:type="dxa"/>
            <w:tcBorders>
              <w:top w:val="single" w:color="000000" w:sz="2" w:space="0"/>
              <w:left w:val="single" w:color="auto" w:sz="4" w:space="0"/>
              <w:bottom w:val="single" w:color="000000" w:sz="2" w:space="0"/>
              <w:right w:val="single" w:color="000000" w:sz="2" w:space="0"/>
            </w:tcBorders>
            <w:noWrap w:val="0"/>
            <w:vAlign w:val="center"/>
          </w:tcPr>
          <w:p w14:paraId="43C8ED20">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投标人承诺为本项目所提供的营运资金不得少于</w:t>
            </w:r>
            <w:r>
              <w:rPr>
                <w:rFonts w:hint="eastAsia" w:hAnsi="宋体"/>
                <w:strike w:val="0"/>
                <w:dstrike w:val="0"/>
                <w:color w:val="auto"/>
                <w:sz w:val="24"/>
                <w:szCs w:val="24"/>
                <w:highlight w:val="none"/>
                <w:lang w:val="en-US" w:eastAsia="zh-CN"/>
              </w:rPr>
              <w:t>1200</w:t>
            </w:r>
            <w:r>
              <w:rPr>
                <w:rFonts w:hint="eastAsia" w:hAnsi="宋体"/>
                <w:strike w:val="0"/>
                <w:dstrike w:val="0"/>
                <w:color w:val="auto"/>
                <w:sz w:val="24"/>
                <w:szCs w:val="24"/>
                <w:highlight w:val="none"/>
              </w:rPr>
              <w:t>万元。以下三种方式均为有效证明</w:t>
            </w:r>
            <w:r>
              <w:rPr>
                <w:rFonts w:hint="eastAsia" w:hAnsi="宋体"/>
                <w:strike w:val="0"/>
                <w:dstrike w:val="0"/>
                <w:color w:val="auto"/>
                <w:sz w:val="24"/>
                <w:szCs w:val="24"/>
                <w:highlight w:val="none"/>
                <w:lang w:eastAsia="zh-CN"/>
              </w:rPr>
              <w:t>：</w:t>
            </w:r>
          </w:p>
          <w:p w14:paraId="37281BD1">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1</w:t>
            </w:r>
            <w:r>
              <w:rPr>
                <w:rFonts w:hint="eastAsia" w:hAnsi="宋体"/>
                <w:strike w:val="0"/>
                <w:dstrike w:val="0"/>
                <w:color w:val="auto"/>
                <w:sz w:val="24"/>
                <w:szCs w:val="24"/>
                <w:highlight w:val="none"/>
                <w:lang w:eastAsia="zh-CN"/>
              </w:rPr>
              <w:t>.</w:t>
            </w:r>
            <w:r>
              <w:rPr>
                <w:rFonts w:hint="eastAsia" w:hAnsi="宋体"/>
                <w:strike w:val="0"/>
                <w:dstrike w:val="0"/>
                <w:color w:val="auto"/>
                <w:sz w:val="24"/>
                <w:szCs w:val="24"/>
                <w:highlight w:val="none"/>
              </w:rPr>
              <w:t>以经会</w:t>
            </w:r>
            <w:r>
              <w:rPr>
                <w:rFonts w:hint="eastAsia" w:hAnsi="宋体"/>
                <w:strike w:val="0"/>
                <w:dstrike w:val="0"/>
                <w:color w:val="auto"/>
                <w:sz w:val="24"/>
                <w:szCs w:val="24"/>
                <w:highlight w:val="none"/>
                <w:lang w:eastAsia="zh-CN"/>
              </w:rPr>
              <w:t>计师</w:t>
            </w:r>
            <w:r>
              <w:rPr>
                <w:rFonts w:hint="eastAsia" w:hAnsi="宋体"/>
                <w:strike w:val="0"/>
                <w:dstrike w:val="0"/>
                <w:color w:val="auto"/>
                <w:sz w:val="24"/>
                <w:szCs w:val="24"/>
                <w:highlight w:val="none"/>
              </w:rPr>
              <w:t>事务所或审计机构审计的2025年度财务会计报表中“流动资产-流动负债”计算，以年末数为准</w:t>
            </w:r>
            <w:r>
              <w:rPr>
                <w:rFonts w:hint="eastAsia" w:hAnsi="宋体"/>
                <w:strike w:val="0"/>
                <w:dstrike w:val="0"/>
                <w:color w:val="auto"/>
                <w:sz w:val="24"/>
                <w:szCs w:val="24"/>
                <w:highlight w:val="none"/>
                <w:lang w:eastAsia="zh-CN"/>
              </w:rPr>
              <w:t>；</w:t>
            </w:r>
          </w:p>
          <w:p w14:paraId="32582ADE">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2.为申请本项目而专门开具的银行信贷证明</w:t>
            </w:r>
            <w:r>
              <w:rPr>
                <w:rFonts w:hint="eastAsia" w:hAnsi="宋体"/>
                <w:strike w:val="0"/>
                <w:dstrike w:val="0"/>
                <w:color w:val="auto"/>
                <w:sz w:val="24"/>
                <w:szCs w:val="24"/>
                <w:highlight w:val="none"/>
                <w:lang w:eastAsia="zh-CN"/>
              </w:rPr>
              <w:t>；</w:t>
            </w:r>
          </w:p>
          <w:p w14:paraId="65510150">
            <w:pPr>
              <w:pStyle w:val="16"/>
              <w:adjustRightInd w:val="0"/>
              <w:snapToGrid w:val="0"/>
              <w:spacing w:line="240" w:lineRule="auto"/>
              <w:jc w:val="both"/>
              <w:rPr>
                <w:rStyle w:val="14"/>
                <w:rFonts w:hint="eastAsia" w:hAnsi="宋体"/>
                <w:bCs w:val="0"/>
                <w:strike w:val="0"/>
                <w:dstrike w:val="0"/>
                <w:snapToGrid w:val="0"/>
                <w:color w:val="auto"/>
                <w:sz w:val="24"/>
                <w:szCs w:val="24"/>
                <w:highlight w:val="none"/>
              </w:rPr>
            </w:pPr>
            <w:r>
              <w:rPr>
                <w:rFonts w:hint="eastAsia" w:hAnsi="宋体"/>
                <w:strike w:val="0"/>
                <w:dstrike w:val="0"/>
                <w:color w:val="auto"/>
                <w:sz w:val="24"/>
                <w:szCs w:val="24"/>
                <w:highlight w:val="none"/>
              </w:rPr>
              <w:t>3.以经会计事务所或审计机构审计的2025年度财务会计报表中“流动资产-流动负债”计算，以年末数为准)以及为申请本项目而专门开具的银行信贷证明总和。</w:t>
            </w:r>
          </w:p>
        </w:tc>
      </w:tr>
      <w:tr w14:paraId="336FF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1" w:hRule="atLeast"/>
          <w:jc w:val="center"/>
        </w:trPr>
        <w:tc>
          <w:tcPr>
            <w:tcW w:w="1425" w:type="dxa"/>
            <w:tcBorders>
              <w:top w:val="single" w:color="000000" w:sz="2" w:space="0"/>
              <w:left w:val="single" w:color="auto" w:sz="4" w:space="0"/>
              <w:bottom w:val="single" w:color="000000" w:sz="2" w:space="0"/>
              <w:right w:val="single" w:color="000000" w:sz="2" w:space="0"/>
            </w:tcBorders>
            <w:noWrap w:val="0"/>
            <w:vAlign w:val="center"/>
          </w:tcPr>
          <w:p w14:paraId="53DC9EF6">
            <w:pPr>
              <w:pStyle w:val="16"/>
              <w:adjustRightInd w:val="0"/>
              <w:snapToGrid w:val="0"/>
              <w:spacing w:line="240" w:lineRule="auto"/>
              <w:jc w:val="center"/>
              <w:rPr>
                <w:rStyle w:val="14"/>
                <w:rFonts w:hint="eastAsia" w:hAnsi="宋体" w:eastAsia="宋体"/>
                <w:bCs w:val="0"/>
                <w:snapToGrid w:val="0"/>
                <w:color w:val="auto"/>
                <w:sz w:val="24"/>
                <w:szCs w:val="24"/>
                <w:highlight w:val="none"/>
                <w:lang w:val="en-US" w:eastAsia="zh-CN"/>
              </w:rPr>
            </w:pPr>
            <w:r>
              <w:rPr>
                <w:rStyle w:val="14"/>
                <w:rFonts w:hint="eastAsia" w:hAnsi="宋体"/>
                <w:bCs w:val="0"/>
                <w:snapToGrid w:val="0"/>
                <w:color w:val="auto"/>
                <w:sz w:val="24"/>
                <w:szCs w:val="24"/>
                <w:highlight w:val="none"/>
                <w:lang w:val="en-US" w:eastAsia="zh-CN"/>
              </w:rPr>
              <w:t>二标段</w:t>
            </w:r>
          </w:p>
        </w:tc>
        <w:tc>
          <w:tcPr>
            <w:tcW w:w="7651" w:type="dxa"/>
            <w:tcBorders>
              <w:top w:val="single" w:color="000000" w:sz="2" w:space="0"/>
              <w:left w:val="single" w:color="auto" w:sz="4" w:space="0"/>
              <w:bottom w:val="single" w:color="000000" w:sz="2" w:space="0"/>
              <w:right w:val="single" w:color="000000" w:sz="2" w:space="0"/>
            </w:tcBorders>
            <w:noWrap w:val="0"/>
            <w:vAlign w:val="center"/>
          </w:tcPr>
          <w:p w14:paraId="65F05CEB">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投标人承诺为本项目所提供的营运资金不得少于</w:t>
            </w:r>
            <w:r>
              <w:rPr>
                <w:rFonts w:hint="eastAsia" w:hAnsi="宋体"/>
                <w:strike w:val="0"/>
                <w:dstrike w:val="0"/>
                <w:color w:val="auto"/>
                <w:sz w:val="24"/>
                <w:szCs w:val="24"/>
                <w:highlight w:val="none"/>
                <w:lang w:val="en-US" w:eastAsia="zh-CN"/>
              </w:rPr>
              <w:t>500</w:t>
            </w:r>
            <w:r>
              <w:rPr>
                <w:rFonts w:hint="eastAsia" w:hAnsi="宋体"/>
                <w:strike w:val="0"/>
                <w:dstrike w:val="0"/>
                <w:color w:val="auto"/>
                <w:sz w:val="24"/>
                <w:szCs w:val="24"/>
                <w:highlight w:val="none"/>
              </w:rPr>
              <w:t>万元。以下三种方式均为有效证明</w:t>
            </w:r>
            <w:r>
              <w:rPr>
                <w:rFonts w:hint="eastAsia" w:hAnsi="宋体"/>
                <w:strike w:val="0"/>
                <w:dstrike w:val="0"/>
                <w:color w:val="auto"/>
                <w:sz w:val="24"/>
                <w:szCs w:val="24"/>
                <w:highlight w:val="none"/>
                <w:lang w:eastAsia="zh-CN"/>
              </w:rPr>
              <w:t>：</w:t>
            </w:r>
          </w:p>
          <w:p w14:paraId="7A493520">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1</w:t>
            </w:r>
            <w:r>
              <w:rPr>
                <w:rFonts w:hint="eastAsia" w:hAnsi="宋体"/>
                <w:strike w:val="0"/>
                <w:dstrike w:val="0"/>
                <w:color w:val="auto"/>
                <w:sz w:val="24"/>
                <w:szCs w:val="24"/>
                <w:highlight w:val="none"/>
                <w:lang w:eastAsia="zh-CN"/>
              </w:rPr>
              <w:t>.</w:t>
            </w:r>
            <w:r>
              <w:rPr>
                <w:rFonts w:hint="eastAsia" w:hAnsi="宋体"/>
                <w:strike w:val="0"/>
                <w:dstrike w:val="0"/>
                <w:color w:val="auto"/>
                <w:sz w:val="24"/>
                <w:szCs w:val="24"/>
                <w:highlight w:val="none"/>
              </w:rPr>
              <w:t>以经会</w:t>
            </w:r>
            <w:r>
              <w:rPr>
                <w:rFonts w:hint="eastAsia" w:hAnsi="宋体"/>
                <w:strike w:val="0"/>
                <w:dstrike w:val="0"/>
                <w:color w:val="auto"/>
                <w:sz w:val="24"/>
                <w:szCs w:val="24"/>
                <w:highlight w:val="none"/>
                <w:lang w:eastAsia="zh-CN"/>
              </w:rPr>
              <w:t>计师</w:t>
            </w:r>
            <w:r>
              <w:rPr>
                <w:rFonts w:hint="eastAsia" w:hAnsi="宋体"/>
                <w:strike w:val="0"/>
                <w:dstrike w:val="0"/>
                <w:color w:val="auto"/>
                <w:sz w:val="24"/>
                <w:szCs w:val="24"/>
                <w:highlight w:val="none"/>
              </w:rPr>
              <w:t>事务所或审计机构审计的2025年度财务会计报表中“流动资产-流动负债”计算，以年末数为准</w:t>
            </w:r>
            <w:r>
              <w:rPr>
                <w:rFonts w:hint="eastAsia" w:hAnsi="宋体"/>
                <w:strike w:val="0"/>
                <w:dstrike w:val="0"/>
                <w:color w:val="auto"/>
                <w:sz w:val="24"/>
                <w:szCs w:val="24"/>
                <w:highlight w:val="none"/>
                <w:lang w:eastAsia="zh-CN"/>
              </w:rPr>
              <w:t>；</w:t>
            </w:r>
          </w:p>
          <w:p w14:paraId="385F3F35">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2.为申请本项目而专门开具的银行信贷证明</w:t>
            </w:r>
            <w:r>
              <w:rPr>
                <w:rFonts w:hint="eastAsia" w:hAnsi="宋体"/>
                <w:strike w:val="0"/>
                <w:dstrike w:val="0"/>
                <w:color w:val="auto"/>
                <w:sz w:val="24"/>
                <w:szCs w:val="24"/>
                <w:highlight w:val="none"/>
                <w:lang w:eastAsia="zh-CN"/>
              </w:rPr>
              <w:t>；</w:t>
            </w:r>
          </w:p>
          <w:p w14:paraId="22053DB3">
            <w:pPr>
              <w:pStyle w:val="16"/>
              <w:adjustRightInd w:val="0"/>
              <w:snapToGrid w:val="0"/>
              <w:spacing w:line="240" w:lineRule="auto"/>
              <w:jc w:val="both"/>
              <w:rPr>
                <w:rFonts w:hint="eastAsia" w:hAnsi="宋体"/>
                <w:strike w:val="0"/>
                <w:dstrike w:val="0"/>
                <w:color w:val="auto"/>
                <w:sz w:val="24"/>
                <w:szCs w:val="24"/>
                <w:highlight w:val="none"/>
              </w:rPr>
            </w:pPr>
            <w:r>
              <w:rPr>
                <w:rFonts w:hint="eastAsia" w:hAnsi="宋体"/>
                <w:strike w:val="0"/>
                <w:dstrike w:val="0"/>
                <w:color w:val="auto"/>
                <w:sz w:val="24"/>
                <w:szCs w:val="24"/>
                <w:highlight w:val="none"/>
              </w:rPr>
              <w:t>3.以经会计事务所或审计机构审计的2025年度财务会计报表中“流动资产-流动负债”计算，以年末数为准)以及为申请本项目而专门开具的银行信贷证明总和。</w:t>
            </w:r>
          </w:p>
        </w:tc>
      </w:tr>
      <w:tr w14:paraId="3BF6F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1" w:hRule="atLeast"/>
          <w:jc w:val="center"/>
        </w:trPr>
        <w:tc>
          <w:tcPr>
            <w:tcW w:w="1425" w:type="dxa"/>
            <w:tcBorders>
              <w:top w:val="single" w:color="000000" w:sz="2" w:space="0"/>
              <w:left w:val="single" w:color="auto" w:sz="4" w:space="0"/>
              <w:bottom w:val="single" w:color="000000" w:sz="2" w:space="0"/>
              <w:right w:val="single" w:color="000000" w:sz="2" w:space="0"/>
            </w:tcBorders>
            <w:noWrap w:val="0"/>
            <w:vAlign w:val="center"/>
          </w:tcPr>
          <w:p w14:paraId="429E9965">
            <w:pPr>
              <w:pStyle w:val="16"/>
              <w:adjustRightInd w:val="0"/>
              <w:snapToGrid w:val="0"/>
              <w:spacing w:line="240" w:lineRule="auto"/>
              <w:jc w:val="center"/>
              <w:rPr>
                <w:rStyle w:val="14"/>
                <w:rFonts w:hint="eastAsia" w:hAnsi="宋体"/>
                <w:bCs w:val="0"/>
                <w:snapToGrid w:val="0"/>
                <w:color w:val="auto"/>
                <w:sz w:val="24"/>
                <w:szCs w:val="24"/>
                <w:highlight w:val="none"/>
                <w:lang w:val="en-US" w:eastAsia="zh-CN"/>
              </w:rPr>
            </w:pPr>
            <w:r>
              <w:rPr>
                <w:rStyle w:val="14"/>
                <w:rFonts w:hint="eastAsia" w:hAnsi="宋体"/>
                <w:bCs w:val="0"/>
                <w:snapToGrid w:val="0"/>
                <w:color w:val="auto"/>
                <w:sz w:val="24"/>
                <w:szCs w:val="24"/>
                <w:highlight w:val="none"/>
                <w:lang w:val="en-US" w:eastAsia="zh-CN"/>
              </w:rPr>
              <w:t>三标段</w:t>
            </w:r>
          </w:p>
          <w:p w14:paraId="7C11EB91">
            <w:pPr>
              <w:pStyle w:val="16"/>
              <w:adjustRightInd w:val="0"/>
              <w:snapToGrid w:val="0"/>
              <w:spacing w:line="240" w:lineRule="auto"/>
              <w:jc w:val="center"/>
              <w:rPr>
                <w:rStyle w:val="14"/>
                <w:rFonts w:hint="eastAsia" w:hAnsi="宋体" w:eastAsia="宋体"/>
                <w:bCs w:val="0"/>
                <w:snapToGrid w:val="0"/>
                <w:color w:val="auto"/>
                <w:sz w:val="24"/>
                <w:szCs w:val="24"/>
                <w:highlight w:val="none"/>
                <w:lang w:val="en-US" w:eastAsia="zh-CN"/>
              </w:rPr>
            </w:pPr>
          </w:p>
        </w:tc>
        <w:tc>
          <w:tcPr>
            <w:tcW w:w="7651" w:type="dxa"/>
            <w:tcBorders>
              <w:top w:val="single" w:color="000000" w:sz="2" w:space="0"/>
              <w:left w:val="single" w:color="auto" w:sz="4" w:space="0"/>
              <w:bottom w:val="single" w:color="000000" w:sz="2" w:space="0"/>
              <w:right w:val="single" w:color="000000" w:sz="2" w:space="0"/>
            </w:tcBorders>
            <w:noWrap w:val="0"/>
            <w:vAlign w:val="center"/>
          </w:tcPr>
          <w:p w14:paraId="0B0767D1">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投标人承诺为本项目所提供的营运资金不得少于</w:t>
            </w:r>
            <w:r>
              <w:rPr>
                <w:rFonts w:hint="eastAsia" w:hAnsi="宋体"/>
                <w:strike w:val="0"/>
                <w:dstrike w:val="0"/>
                <w:color w:val="auto"/>
                <w:sz w:val="24"/>
                <w:szCs w:val="24"/>
                <w:highlight w:val="none"/>
                <w:lang w:val="en-US" w:eastAsia="zh-CN"/>
              </w:rPr>
              <w:t>5000</w:t>
            </w:r>
            <w:r>
              <w:rPr>
                <w:rFonts w:hint="eastAsia" w:hAnsi="宋体"/>
                <w:strike w:val="0"/>
                <w:dstrike w:val="0"/>
                <w:color w:val="auto"/>
                <w:sz w:val="24"/>
                <w:szCs w:val="24"/>
                <w:highlight w:val="none"/>
              </w:rPr>
              <w:t>万元。以下三种方式均为有效证明</w:t>
            </w:r>
            <w:r>
              <w:rPr>
                <w:rFonts w:hint="eastAsia" w:hAnsi="宋体"/>
                <w:strike w:val="0"/>
                <w:dstrike w:val="0"/>
                <w:color w:val="auto"/>
                <w:sz w:val="24"/>
                <w:szCs w:val="24"/>
                <w:highlight w:val="none"/>
                <w:lang w:eastAsia="zh-CN"/>
              </w:rPr>
              <w:t>：</w:t>
            </w:r>
          </w:p>
          <w:p w14:paraId="1892F51F">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1</w:t>
            </w:r>
            <w:r>
              <w:rPr>
                <w:rFonts w:hint="eastAsia" w:hAnsi="宋体"/>
                <w:strike w:val="0"/>
                <w:dstrike w:val="0"/>
                <w:color w:val="auto"/>
                <w:sz w:val="24"/>
                <w:szCs w:val="24"/>
                <w:highlight w:val="none"/>
                <w:lang w:eastAsia="zh-CN"/>
              </w:rPr>
              <w:t>.</w:t>
            </w:r>
            <w:r>
              <w:rPr>
                <w:rFonts w:hint="eastAsia" w:hAnsi="宋体"/>
                <w:strike w:val="0"/>
                <w:dstrike w:val="0"/>
                <w:color w:val="auto"/>
                <w:sz w:val="24"/>
                <w:szCs w:val="24"/>
                <w:highlight w:val="none"/>
              </w:rPr>
              <w:t>以经会</w:t>
            </w:r>
            <w:r>
              <w:rPr>
                <w:rFonts w:hint="eastAsia" w:hAnsi="宋体"/>
                <w:strike w:val="0"/>
                <w:dstrike w:val="0"/>
                <w:color w:val="auto"/>
                <w:sz w:val="24"/>
                <w:szCs w:val="24"/>
                <w:highlight w:val="none"/>
                <w:lang w:eastAsia="zh-CN"/>
              </w:rPr>
              <w:t>计师</w:t>
            </w:r>
            <w:r>
              <w:rPr>
                <w:rFonts w:hint="eastAsia" w:hAnsi="宋体"/>
                <w:strike w:val="0"/>
                <w:dstrike w:val="0"/>
                <w:color w:val="auto"/>
                <w:sz w:val="24"/>
                <w:szCs w:val="24"/>
                <w:highlight w:val="none"/>
              </w:rPr>
              <w:t>事务所或审计机构审计的2025年度财务会计报表中“流动资产-流动负债”计算，以年末数为准</w:t>
            </w:r>
            <w:r>
              <w:rPr>
                <w:rFonts w:hint="eastAsia" w:hAnsi="宋体"/>
                <w:strike w:val="0"/>
                <w:dstrike w:val="0"/>
                <w:color w:val="auto"/>
                <w:sz w:val="24"/>
                <w:szCs w:val="24"/>
                <w:highlight w:val="none"/>
                <w:lang w:eastAsia="zh-CN"/>
              </w:rPr>
              <w:t>；</w:t>
            </w:r>
          </w:p>
          <w:p w14:paraId="0F2636CB">
            <w:pPr>
              <w:pStyle w:val="16"/>
              <w:adjustRightInd w:val="0"/>
              <w:snapToGrid w:val="0"/>
              <w:spacing w:line="240" w:lineRule="auto"/>
              <w:jc w:val="both"/>
              <w:rPr>
                <w:rFonts w:hint="eastAsia" w:hAnsi="宋体" w:eastAsia="宋体"/>
                <w:strike w:val="0"/>
                <w:dstrike w:val="0"/>
                <w:color w:val="auto"/>
                <w:sz w:val="24"/>
                <w:szCs w:val="24"/>
                <w:highlight w:val="none"/>
                <w:lang w:eastAsia="zh-CN"/>
              </w:rPr>
            </w:pPr>
            <w:r>
              <w:rPr>
                <w:rFonts w:hint="eastAsia" w:hAnsi="宋体"/>
                <w:strike w:val="0"/>
                <w:dstrike w:val="0"/>
                <w:color w:val="auto"/>
                <w:sz w:val="24"/>
                <w:szCs w:val="24"/>
                <w:highlight w:val="none"/>
              </w:rPr>
              <w:t>2.为申请本项目而专门开具的银行信贷证明</w:t>
            </w:r>
            <w:r>
              <w:rPr>
                <w:rFonts w:hint="eastAsia" w:hAnsi="宋体"/>
                <w:strike w:val="0"/>
                <w:dstrike w:val="0"/>
                <w:color w:val="auto"/>
                <w:sz w:val="24"/>
                <w:szCs w:val="24"/>
                <w:highlight w:val="none"/>
                <w:lang w:eastAsia="zh-CN"/>
              </w:rPr>
              <w:t>；</w:t>
            </w:r>
          </w:p>
          <w:p w14:paraId="374203F7">
            <w:pPr>
              <w:pStyle w:val="16"/>
              <w:adjustRightInd w:val="0"/>
              <w:snapToGrid w:val="0"/>
              <w:spacing w:line="240" w:lineRule="auto"/>
              <w:jc w:val="both"/>
              <w:rPr>
                <w:rFonts w:hint="eastAsia" w:hAnsi="宋体"/>
                <w:strike w:val="0"/>
                <w:dstrike w:val="0"/>
                <w:color w:val="auto"/>
                <w:sz w:val="24"/>
                <w:szCs w:val="24"/>
                <w:highlight w:val="none"/>
              </w:rPr>
            </w:pPr>
            <w:r>
              <w:rPr>
                <w:rFonts w:hint="eastAsia" w:hAnsi="宋体"/>
                <w:strike w:val="0"/>
                <w:dstrike w:val="0"/>
                <w:color w:val="auto"/>
                <w:sz w:val="24"/>
                <w:szCs w:val="24"/>
                <w:highlight w:val="none"/>
              </w:rPr>
              <w:t>3.以经会计事务所或审计机构审计的2025年度财务会计报表中“流动资产-流动负债”计算，以年末数为准)以及为申请本项目而专门开具的银行信贷证明总和。</w:t>
            </w:r>
          </w:p>
        </w:tc>
      </w:tr>
    </w:tbl>
    <w:p w14:paraId="0249A903">
      <w:pPr>
        <w:spacing w:line="240" w:lineRule="auto"/>
        <w:jc w:val="center"/>
        <w:rPr>
          <w:rFonts w:hint="eastAsia" w:ascii="宋体" w:hAnsi="宋体"/>
          <w:b/>
          <w:bCs/>
          <w:snapToGrid w:val="0"/>
          <w:color w:val="auto"/>
          <w:kern w:val="0"/>
          <w:sz w:val="24"/>
          <w:szCs w:val="24"/>
          <w:highlight w:val="none"/>
        </w:rPr>
      </w:pPr>
    </w:p>
    <w:p w14:paraId="75CAB920">
      <w:pPr>
        <w:spacing w:line="240" w:lineRule="auto"/>
        <w:jc w:val="center"/>
        <w:rPr>
          <w:rFonts w:ascii="宋体" w:hAnsi="宋体"/>
          <w:b/>
          <w:bCs/>
          <w:snapToGrid w:val="0"/>
          <w:color w:val="auto"/>
          <w:kern w:val="0"/>
          <w:sz w:val="24"/>
          <w:szCs w:val="24"/>
          <w:highlight w:val="none"/>
        </w:rPr>
      </w:pPr>
    </w:p>
    <w:p w14:paraId="0DF71297">
      <w:pPr>
        <w:spacing w:line="240" w:lineRule="auto"/>
        <w:jc w:val="center"/>
        <w:rPr>
          <w:rFonts w:ascii="宋体" w:hAnsi="宋体"/>
          <w:b/>
          <w:bCs/>
          <w:snapToGrid w:val="0"/>
          <w:color w:val="auto"/>
          <w:kern w:val="0"/>
          <w:sz w:val="24"/>
          <w:szCs w:val="24"/>
          <w:highlight w:val="none"/>
        </w:rPr>
      </w:pPr>
    </w:p>
    <w:p w14:paraId="7F4C5243">
      <w:pPr>
        <w:spacing w:line="240" w:lineRule="auto"/>
        <w:jc w:val="center"/>
        <w:rPr>
          <w:rFonts w:ascii="宋体" w:hAnsi="宋体"/>
          <w:b/>
          <w:bCs/>
          <w:snapToGrid w:val="0"/>
          <w:color w:val="auto"/>
          <w:kern w:val="0"/>
          <w:sz w:val="24"/>
          <w:szCs w:val="24"/>
          <w:highlight w:val="none"/>
        </w:rPr>
      </w:pPr>
    </w:p>
    <w:p w14:paraId="4DD6D051">
      <w:pP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br w:type="page"/>
      </w:r>
    </w:p>
    <w:p w14:paraId="1DF4F98C">
      <w:pPr>
        <w:spacing w:line="240" w:lineRule="auto"/>
        <w:jc w:val="center"/>
        <w:rPr>
          <w:rFonts w:hint="eastAsia" w:ascii="宋体" w:hAnsi="宋体"/>
          <w:color w:val="auto"/>
          <w:sz w:val="24"/>
          <w:szCs w:val="24"/>
          <w:highlight w:val="none"/>
        </w:rPr>
      </w:pPr>
      <w:r>
        <w:rPr>
          <w:rFonts w:ascii="宋体" w:hAnsi="宋体"/>
          <w:b/>
          <w:bCs/>
          <w:snapToGrid w:val="0"/>
          <w:color w:val="auto"/>
          <w:kern w:val="0"/>
          <w:sz w:val="24"/>
          <w:szCs w:val="24"/>
          <w:highlight w:val="none"/>
        </w:rPr>
        <w:t>附录</w:t>
      </w:r>
      <w:r>
        <w:rPr>
          <w:rFonts w:hint="eastAsia" w:ascii="宋体" w:hAnsi="宋体"/>
          <w:b/>
          <w:bCs/>
          <w:snapToGrid w:val="0"/>
          <w:color w:val="auto"/>
          <w:kern w:val="0"/>
          <w:sz w:val="24"/>
          <w:szCs w:val="24"/>
          <w:highlight w:val="none"/>
          <w:lang w:val="en-US" w:eastAsia="zh-CN"/>
        </w:rPr>
        <w:t>3</w:t>
      </w:r>
      <w:r>
        <w:rPr>
          <w:rFonts w:ascii="宋体" w:hAnsi="宋体"/>
          <w:b/>
          <w:bCs/>
          <w:snapToGrid w:val="0"/>
          <w:color w:val="auto"/>
          <w:kern w:val="0"/>
          <w:sz w:val="24"/>
          <w:szCs w:val="24"/>
          <w:highlight w:val="none"/>
        </w:rPr>
        <w:t xml:space="preserve">  资格审查条件（业绩最低要求）</w:t>
      </w:r>
    </w:p>
    <w:tbl>
      <w:tblPr>
        <w:tblStyle w:val="10"/>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15"/>
        <w:gridCol w:w="7607"/>
      </w:tblGrid>
      <w:tr w14:paraId="720DF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537" w:type="pct"/>
            <w:tcBorders>
              <w:top w:val="single" w:color="000000" w:sz="2" w:space="0"/>
              <w:left w:val="single" w:color="auto" w:sz="4" w:space="0"/>
              <w:bottom w:val="single" w:color="000000" w:sz="4" w:space="0"/>
              <w:right w:val="single" w:color="000000" w:sz="2" w:space="0"/>
            </w:tcBorders>
            <w:noWrap w:val="0"/>
            <w:vAlign w:val="center"/>
          </w:tcPr>
          <w:p w14:paraId="64236404">
            <w:pPr>
              <w:adjustRightInd w:val="0"/>
              <w:snapToGrid w:val="0"/>
              <w:spacing w:line="240" w:lineRule="auto"/>
              <w:jc w:val="center"/>
              <w:textAlignment w:val="baseline"/>
              <w:rPr>
                <w:rStyle w:val="14"/>
                <w:rFonts w:ascii="宋体" w:hAnsi="宋体"/>
                <w:snapToGrid w:val="0"/>
                <w:color w:val="auto"/>
                <w:kern w:val="0"/>
                <w:sz w:val="24"/>
                <w:szCs w:val="24"/>
                <w:highlight w:val="none"/>
              </w:rPr>
            </w:pPr>
            <w:r>
              <w:rPr>
                <w:rFonts w:hint="eastAsia" w:ascii="宋体" w:hAnsi="宋体" w:cs="宋体"/>
                <w:b w:val="0"/>
                <w:bCs w:val="0"/>
                <w:color w:val="auto"/>
                <w:sz w:val="24"/>
                <w:szCs w:val="24"/>
                <w:highlight w:val="none"/>
                <w:lang w:val="en-US" w:eastAsia="zh-CN"/>
              </w:rPr>
              <w:t>标段号</w:t>
            </w:r>
          </w:p>
        </w:tc>
        <w:tc>
          <w:tcPr>
            <w:tcW w:w="4462" w:type="pct"/>
            <w:tcBorders>
              <w:top w:val="single" w:color="000000" w:sz="2" w:space="0"/>
              <w:left w:val="single" w:color="auto" w:sz="4" w:space="0"/>
              <w:bottom w:val="single" w:color="000000" w:sz="4" w:space="0"/>
              <w:right w:val="single" w:color="000000" w:sz="2" w:space="0"/>
            </w:tcBorders>
            <w:noWrap w:val="0"/>
            <w:vAlign w:val="center"/>
          </w:tcPr>
          <w:p w14:paraId="3C37A6F4">
            <w:pPr>
              <w:adjustRightInd w:val="0"/>
              <w:snapToGrid w:val="0"/>
              <w:spacing w:line="240" w:lineRule="auto"/>
              <w:jc w:val="center"/>
              <w:textAlignment w:val="baseline"/>
              <w:rPr>
                <w:rStyle w:val="14"/>
                <w:rFonts w:ascii="宋体" w:hAnsi="宋体"/>
                <w:snapToGrid w:val="0"/>
                <w:color w:val="auto"/>
                <w:kern w:val="0"/>
                <w:sz w:val="24"/>
                <w:szCs w:val="24"/>
                <w:highlight w:val="none"/>
              </w:rPr>
            </w:pPr>
            <w:r>
              <w:rPr>
                <w:rStyle w:val="14"/>
                <w:rFonts w:hint="eastAsia" w:ascii="Times New Roman" w:hAnsi="宋体" w:eastAsia="宋体" w:cs="Times New Roman"/>
                <w:bCs w:val="0"/>
                <w:snapToGrid w:val="0"/>
                <w:color w:val="auto"/>
                <w:sz w:val="24"/>
                <w:szCs w:val="24"/>
                <w:highlight w:val="none"/>
                <w:lang w:eastAsia="zh-CN"/>
              </w:rPr>
              <w:t>业绩要求</w:t>
            </w:r>
          </w:p>
        </w:tc>
      </w:tr>
      <w:tr w14:paraId="06CD8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trPr>
        <w:tc>
          <w:tcPr>
            <w:tcW w:w="537"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6BBE4B06">
            <w:pPr>
              <w:adjustRightInd w:val="0"/>
              <w:snapToGrid w:val="0"/>
              <w:spacing w:line="240" w:lineRule="auto"/>
              <w:jc w:val="center"/>
              <w:rPr>
                <w:rFonts w:hint="default" w:ascii="Times New Roman" w:hAnsi="宋体" w:eastAsia="宋体" w:cs="Times New Roman"/>
                <w:bCs w:val="0"/>
                <w:snapToGrid w:val="0"/>
                <w:color w:val="auto"/>
                <w:kern w:val="0"/>
                <w:sz w:val="24"/>
                <w:szCs w:val="24"/>
                <w:highlight w:val="none"/>
                <w:lang w:val="en-US" w:eastAsia="zh-CN" w:bidi="ar-SA"/>
              </w:rPr>
            </w:pPr>
            <w:r>
              <w:rPr>
                <w:rStyle w:val="14"/>
                <w:rFonts w:hint="eastAsia" w:hAnsi="宋体"/>
                <w:bCs w:val="0"/>
                <w:snapToGrid w:val="0"/>
                <w:color w:val="auto"/>
                <w:sz w:val="24"/>
                <w:szCs w:val="24"/>
                <w:highlight w:val="none"/>
                <w:lang w:val="en-US" w:eastAsia="zh-CN"/>
              </w:rPr>
              <w:t>一标段</w:t>
            </w:r>
          </w:p>
        </w:tc>
        <w:tc>
          <w:tcPr>
            <w:tcW w:w="8101" w:type="dxa"/>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33A1EB52">
            <w:pPr>
              <w:ind w:firstLine="420" w:firstLineChars="0"/>
              <w:jc w:val="left"/>
              <w:rPr>
                <w:rFonts w:hint="eastAsia" w:ascii="Times New Roman" w:hAnsi="宋体" w:eastAsia="宋体" w:cs="Times New Roman"/>
                <w:bCs w:val="0"/>
                <w:snapToGrid w:val="0"/>
                <w:color w:val="auto"/>
                <w:kern w:val="0"/>
                <w:sz w:val="24"/>
                <w:szCs w:val="24"/>
                <w:highlight w:val="none"/>
                <w:lang w:val="en-US" w:eastAsia="zh-CN" w:bidi="ar-SA"/>
              </w:rPr>
            </w:pPr>
            <w:r>
              <w:rPr>
                <w:rStyle w:val="14"/>
                <w:rFonts w:hint="eastAsia" w:ascii="Times New Roman" w:hAnsi="宋体" w:eastAsia="宋体" w:cs="Times New Roman"/>
                <w:bCs w:val="0"/>
                <w:snapToGrid w:val="0"/>
                <w:color w:val="auto"/>
                <w:sz w:val="24"/>
                <w:szCs w:val="24"/>
                <w:highlight w:val="none"/>
                <w:lang w:eastAsia="zh-CN"/>
              </w:rPr>
              <w:t>近</w:t>
            </w:r>
            <w:r>
              <w:rPr>
                <w:rStyle w:val="14"/>
                <w:rFonts w:hint="eastAsia" w:hAnsi="宋体" w:cs="Times New Roman"/>
                <w:bCs w:val="0"/>
                <w:snapToGrid w:val="0"/>
                <w:color w:val="auto"/>
                <w:sz w:val="24"/>
                <w:szCs w:val="24"/>
                <w:highlight w:val="none"/>
                <w:lang w:val="en-US" w:eastAsia="zh-CN"/>
              </w:rPr>
              <w:t>3</w:t>
            </w:r>
            <w:r>
              <w:rPr>
                <w:rStyle w:val="14"/>
                <w:rFonts w:hint="eastAsia" w:ascii="Times New Roman" w:hAnsi="宋体" w:eastAsia="宋体" w:cs="Times New Roman"/>
                <w:bCs w:val="0"/>
                <w:snapToGrid w:val="0"/>
                <w:color w:val="auto"/>
                <w:sz w:val="24"/>
                <w:szCs w:val="24"/>
                <w:highlight w:val="none"/>
                <w:lang w:eastAsia="zh-CN"/>
              </w:rPr>
              <w:t>年内（</w:t>
            </w:r>
            <w:r>
              <w:rPr>
                <w:rStyle w:val="14"/>
                <w:rFonts w:hint="eastAsia" w:hAnsi="宋体" w:cs="Times New Roman"/>
                <w:bCs w:val="0"/>
                <w:snapToGrid w:val="0"/>
                <w:color w:val="auto"/>
                <w:sz w:val="24"/>
                <w:szCs w:val="24"/>
                <w:highlight w:val="none"/>
                <w:lang w:eastAsia="zh-CN"/>
              </w:rPr>
              <w:t>2023年</w:t>
            </w:r>
            <w:r>
              <w:rPr>
                <w:rStyle w:val="14"/>
                <w:rFonts w:hint="eastAsia" w:hAnsi="宋体" w:cs="Times New Roman"/>
                <w:bCs w:val="0"/>
                <w:snapToGrid w:val="0"/>
                <w:color w:val="auto"/>
                <w:sz w:val="24"/>
                <w:szCs w:val="24"/>
                <w:highlight w:val="none"/>
                <w:lang w:val="en-US" w:eastAsia="zh-CN"/>
              </w:rPr>
              <w:t>10</w:t>
            </w:r>
            <w:r>
              <w:rPr>
                <w:rStyle w:val="14"/>
                <w:rFonts w:hint="eastAsia" w:hAnsi="宋体" w:cs="Times New Roman"/>
                <w:bCs w:val="0"/>
                <w:snapToGrid w:val="0"/>
                <w:color w:val="auto"/>
                <w:sz w:val="24"/>
                <w:szCs w:val="24"/>
                <w:highlight w:val="none"/>
                <w:lang w:eastAsia="zh-CN"/>
              </w:rPr>
              <w:t>月1日</w:t>
            </w:r>
            <w:r>
              <w:rPr>
                <w:rStyle w:val="14"/>
                <w:rFonts w:hint="eastAsia" w:ascii="Times New Roman" w:hAnsi="宋体" w:eastAsia="宋体" w:cs="Times New Roman"/>
                <w:bCs w:val="0"/>
                <w:snapToGrid w:val="0"/>
                <w:color w:val="auto"/>
                <w:sz w:val="24"/>
                <w:szCs w:val="24"/>
                <w:highlight w:val="none"/>
                <w:lang w:eastAsia="zh-CN"/>
              </w:rPr>
              <w:t>至投标截止时间，以合同签订时间为准），</w:t>
            </w:r>
            <w:r>
              <w:rPr>
                <w:rStyle w:val="14"/>
                <w:rFonts w:hint="eastAsia" w:hAnsi="宋体" w:cs="Times New Roman"/>
                <w:bCs w:val="0"/>
                <w:snapToGrid w:val="0"/>
                <w:color w:val="auto"/>
                <w:sz w:val="24"/>
                <w:szCs w:val="24"/>
                <w:highlight w:val="none"/>
                <w:lang w:val="en-US" w:eastAsia="zh-CN"/>
              </w:rPr>
              <w:t>累计完成</w:t>
            </w:r>
            <w:r>
              <w:rPr>
                <w:rStyle w:val="14"/>
                <w:rFonts w:hint="eastAsia" w:ascii="Times New Roman" w:hAnsi="宋体" w:eastAsia="宋体" w:cs="Times New Roman"/>
                <w:bCs w:val="0"/>
                <w:snapToGrid w:val="0"/>
                <w:color w:val="auto"/>
                <w:sz w:val="24"/>
                <w:szCs w:val="24"/>
                <w:highlight w:val="none"/>
                <w:lang w:val="en-US" w:eastAsia="zh-CN"/>
              </w:rPr>
              <w:t>过</w:t>
            </w:r>
            <w:r>
              <w:rPr>
                <w:rStyle w:val="14"/>
                <w:rFonts w:hint="eastAsia" w:hAnsi="宋体" w:cs="Times New Roman"/>
                <w:bCs w:val="0"/>
                <w:snapToGrid w:val="0"/>
                <w:color w:val="auto"/>
                <w:sz w:val="24"/>
                <w:szCs w:val="24"/>
                <w:highlight w:val="none"/>
                <w:lang w:val="en-US" w:eastAsia="zh-CN"/>
              </w:rPr>
              <w:t>不少于</w:t>
            </w:r>
            <w:r>
              <w:rPr>
                <w:rStyle w:val="14"/>
                <w:rFonts w:hint="eastAsia" w:ascii="Times New Roman" w:hAnsi="宋体" w:eastAsia="宋体" w:cs="Times New Roman"/>
                <w:bCs w:val="0"/>
                <w:snapToGrid w:val="0"/>
                <w:color w:val="auto"/>
                <w:sz w:val="24"/>
                <w:szCs w:val="24"/>
                <w:highlight w:val="none"/>
                <w:lang w:val="en-US" w:eastAsia="zh-CN"/>
              </w:rPr>
              <w:t>30台</w:t>
            </w:r>
            <w:r>
              <w:rPr>
                <w:rStyle w:val="14"/>
                <w:rFonts w:hint="eastAsia" w:hAnsi="宋体" w:cs="Times New Roman"/>
                <w:bCs w:val="0"/>
                <w:snapToGrid w:val="0"/>
                <w:color w:val="auto"/>
                <w:sz w:val="24"/>
                <w:szCs w:val="24"/>
                <w:highlight w:val="none"/>
                <w:lang w:val="en-US" w:eastAsia="zh-CN"/>
              </w:rPr>
              <w:t>（含）35</w:t>
            </w:r>
            <w:r>
              <w:rPr>
                <w:rStyle w:val="14"/>
                <w:rFonts w:hint="eastAsia" w:ascii="Times New Roman" w:hAnsi="宋体" w:eastAsia="宋体" w:cs="Times New Roman"/>
                <w:bCs w:val="0"/>
                <w:snapToGrid w:val="0"/>
                <w:color w:val="auto"/>
                <w:sz w:val="24"/>
                <w:szCs w:val="24"/>
                <w:highlight w:val="none"/>
                <w:lang w:val="en-US" w:eastAsia="zh-CN"/>
              </w:rPr>
              <w:t>kV</w:t>
            </w:r>
            <w:r>
              <w:rPr>
                <w:rStyle w:val="14"/>
                <w:rFonts w:hint="eastAsia" w:hAnsi="宋体" w:cs="Times New Roman"/>
                <w:bCs w:val="0"/>
                <w:snapToGrid w:val="0"/>
                <w:color w:val="auto"/>
                <w:sz w:val="24"/>
                <w:szCs w:val="24"/>
                <w:highlight w:val="none"/>
                <w:lang w:val="en-US" w:eastAsia="zh-CN"/>
              </w:rPr>
              <w:t>/6900</w:t>
            </w:r>
            <w:r>
              <w:rPr>
                <w:rStyle w:val="14"/>
                <w:rFonts w:hint="eastAsia" w:ascii="Times New Roman" w:hAnsi="宋体" w:eastAsia="宋体" w:cs="Times New Roman"/>
                <w:bCs w:val="0"/>
                <w:snapToGrid w:val="0"/>
                <w:color w:val="auto"/>
                <w:sz w:val="24"/>
                <w:szCs w:val="24"/>
                <w:highlight w:val="none"/>
                <w:lang w:val="en-US" w:eastAsia="zh-CN"/>
              </w:rPr>
              <w:t>kV</w:t>
            </w:r>
            <w:r>
              <w:rPr>
                <w:rStyle w:val="14"/>
                <w:rFonts w:hint="eastAsia" w:hAnsi="宋体" w:cs="Times New Roman"/>
                <w:bCs w:val="0"/>
                <w:snapToGrid w:val="0"/>
                <w:color w:val="auto"/>
                <w:sz w:val="24"/>
                <w:szCs w:val="24"/>
                <w:highlight w:val="none"/>
                <w:lang w:val="en-US" w:eastAsia="zh-CN"/>
              </w:rPr>
              <w:t>A</w:t>
            </w:r>
            <w:r>
              <w:rPr>
                <w:rStyle w:val="14"/>
                <w:rFonts w:hint="eastAsia" w:ascii="Times New Roman" w:hAnsi="宋体" w:eastAsia="宋体" w:cs="Times New Roman"/>
                <w:bCs w:val="0"/>
                <w:snapToGrid w:val="0"/>
                <w:color w:val="auto"/>
                <w:sz w:val="24"/>
                <w:szCs w:val="24"/>
                <w:highlight w:val="none"/>
                <w:lang w:val="en-US" w:eastAsia="zh-CN"/>
              </w:rPr>
              <w:t>所投品牌</w:t>
            </w:r>
            <w:r>
              <w:rPr>
                <w:rStyle w:val="14"/>
                <w:rFonts w:hint="eastAsia" w:hAnsi="宋体" w:cs="Times New Roman"/>
                <w:bCs w:val="0"/>
                <w:snapToGrid w:val="0"/>
                <w:color w:val="auto"/>
                <w:sz w:val="24"/>
                <w:szCs w:val="24"/>
                <w:highlight w:val="none"/>
                <w:lang w:eastAsia="zh-CN"/>
              </w:rPr>
              <w:t>箱式变压器</w:t>
            </w:r>
            <w:r>
              <w:rPr>
                <w:rStyle w:val="14"/>
                <w:rFonts w:hint="eastAsia" w:ascii="Times New Roman" w:hAnsi="宋体" w:eastAsia="宋体" w:cs="Times New Roman"/>
                <w:bCs w:val="0"/>
                <w:snapToGrid w:val="0"/>
                <w:color w:val="auto"/>
                <w:sz w:val="24"/>
                <w:szCs w:val="24"/>
                <w:highlight w:val="none"/>
                <w:lang w:val="en-US" w:eastAsia="zh-CN"/>
              </w:rPr>
              <w:t>设备供货业绩</w:t>
            </w:r>
            <w:r>
              <w:rPr>
                <w:rStyle w:val="14"/>
                <w:rFonts w:hint="eastAsia" w:ascii="Times New Roman" w:hAnsi="宋体" w:eastAsia="宋体" w:cs="Times New Roman"/>
                <w:bCs w:val="0"/>
                <w:snapToGrid w:val="0"/>
                <w:color w:val="auto"/>
                <w:sz w:val="24"/>
                <w:szCs w:val="24"/>
                <w:highlight w:val="none"/>
                <w:lang w:eastAsia="zh-CN"/>
              </w:rPr>
              <w:t>。</w:t>
            </w:r>
          </w:p>
        </w:tc>
      </w:tr>
      <w:tr w14:paraId="4D00A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trPr>
        <w:tc>
          <w:tcPr>
            <w:tcW w:w="537"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39E02BAF">
            <w:pPr>
              <w:adjustRightInd w:val="0"/>
              <w:snapToGrid w:val="0"/>
              <w:spacing w:line="240" w:lineRule="auto"/>
              <w:jc w:val="center"/>
              <w:rPr>
                <w:rFonts w:hint="default" w:ascii="Times New Roman" w:hAnsi="宋体" w:eastAsia="宋体" w:cs="Times New Roman"/>
                <w:bCs w:val="0"/>
                <w:snapToGrid w:val="0"/>
                <w:color w:val="auto"/>
                <w:kern w:val="0"/>
                <w:sz w:val="24"/>
                <w:szCs w:val="24"/>
                <w:highlight w:val="yellow"/>
                <w:lang w:val="en-US" w:eastAsia="zh-CN" w:bidi="ar-SA"/>
              </w:rPr>
            </w:pPr>
            <w:r>
              <w:rPr>
                <w:rStyle w:val="14"/>
                <w:rFonts w:hint="eastAsia" w:hAnsi="宋体"/>
                <w:bCs w:val="0"/>
                <w:snapToGrid w:val="0"/>
                <w:color w:val="auto"/>
                <w:sz w:val="24"/>
                <w:szCs w:val="24"/>
                <w:highlight w:val="none"/>
                <w:lang w:val="en-US" w:eastAsia="zh-CN"/>
              </w:rPr>
              <w:t>二标段</w:t>
            </w:r>
          </w:p>
        </w:tc>
        <w:tc>
          <w:tcPr>
            <w:tcW w:w="8101" w:type="dxa"/>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0D6238C4">
            <w:pPr>
              <w:pStyle w:val="16"/>
              <w:keepNext w:val="0"/>
              <w:keepLines w:val="0"/>
              <w:pageBreakBefore w:val="0"/>
              <w:widowControl/>
              <w:kinsoku/>
              <w:wordWrap/>
              <w:overflowPunct/>
              <w:topLinePunct w:val="0"/>
              <w:autoSpaceDE/>
              <w:autoSpaceDN/>
              <w:bidi w:val="0"/>
              <w:adjustRightInd w:val="0"/>
              <w:snapToGrid w:val="0"/>
              <w:spacing w:line="240" w:lineRule="auto"/>
              <w:ind w:firstLine="480" w:firstLineChars="200"/>
              <w:jc w:val="both"/>
              <w:textAlignment w:val="auto"/>
              <w:rPr>
                <w:rFonts w:hint="eastAsia" w:hAnsi="宋体"/>
                <w:color w:val="auto"/>
                <w:sz w:val="24"/>
                <w:szCs w:val="24"/>
                <w:highlight w:val="none"/>
                <w:lang w:val="en-US" w:eastAsia="zh-CN"/>
              </w:rPr>
            </w:pPr>
            <w:r>
              <w:rPr>
                <w:rFonts w:hint="eastAsia" w:hAnsi="宋体"/>
                <w:color w:val="auto"/>
                <w:sz w:val="24"/>
                <w:szCs w:val="24"/>
                <w:highlight w:val="none"/>
                <w:lang w:val="en-US" w:eastAsia="zh-CN"/>
              </w:rPr>
              <w:t>近3年内（2023年10月1日至投标截止时间，以合同签订时间为准），至少完成过1台220kV/200MVA所投品牌双绕组变压器设备供货业绩。</w:t>
            </w:r>
          </w:p>
          <w:p w14:paraId="5E1AC17F">
            <w:pPr>
              <w:keepNext w:val="0"/>
              <w:keepLines w:val="0"/>
              <w:pageBreakBefore w:val="0"/>
              <w:widowControl/>
              <w:kinsoku/>
              <w:wordWrap/>
              <w:overflowPunct/>
              <w:topLinePunct w:val="0"/>
              <w:autoSpaceDE/>
              <w:autoSpaceDN/>
              <w:bidi w:val="0"/>
              <w:adjustRightInd/>
              <w:snapToGrid/>
              <w:ind w:firstLine="420" w:firstLineChars="0"/>
              <w:jc w:val="center"/>
              <w:textAlignment w:val="auto"/>
              <w:rPr>
                <w:rFonts w:hint="eastAsia" w:ascii="Times New Roman" w:hAnsi="宋体" w:eastAsia="宋体" w:cs="Times New Roman"/>
                <w:bCs w:val="0"/>
                <w:snapToGrid w:val="0"/>
                <w:color w:val="auto"/>
                <w:kern w:val="0"/>
                <w:sz w:val="24"/>
                <w:szCs w:val="24"/>
                <w:highlight w:val="none"/>
                <w:lang w:val="en-US" w:eastAsia="zh-CN" w:bidi="ar-SA"/>
              </w:rPr>
            </w:pPr>
          </w:p>
        </w:tc>
      </w:tr>
      <w:tr w14:paraId="5FC45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trPr>
        <w:tc>
          <w:tcPr>
            <w:tcW w:w="537"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2198BE03">
            <w:pPr>
              <w:adjustRightInd w:val="0"/>
              <w:snapToGrid w:val="0"/>
              <w:spacing w:line="240" w:lineRule="auto"/>
              <w:jc w:val="center"/>
              <w:rPr>
                <w:rFonts w:hint="default" w:ascii="Times New Roman" w:hAnsi="宋体" w:eastAsia="宋体" w:cs="Times New Roman"/>
                <w:bCs w:val="0"/>
                <w:snapToGrid w:val="0"/>
                <w:color w:val="auto"/>
                <w:kern w:val="0"/>
                <w:sz w:val="24"/>
                <w:szCs w:val="24"/>
                <w:highlight w:val="none"/>
                <w:lang w:val="en-US" w:eastAsia="zh-CN" w:bidi="ar-SA"/>
              </w:rPr>
            </w:pPr>
            <w:r>
              <w:rPr>
                <w:rStyle w:val="14"/>
                <w:rFonts w:hint="eastAsia" w:hAnsi="宋体"/>
                <w:bCs w:val="0"/>
                <w:snapToGrid w:val="0"/>
                <w:color w:val="auto"/>
                <w:sz w:val="24"/>
                <w:szCs w:val="24"/>
                <w:highlight w:val="none"/>
                <w:lang w:val="en-US" w:eastAsia="zh-CN"/>
              </w:rPr>
              <w:t>三标段</w:t>
            </w:r>
          </w:p>
        </w:tc>
        <w:tc>
          <w:tcPr>
            <w:tcW w:w="8101" w:type="dxa"/>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317D1996">
            <w:pPr>
              <w:ind w:firstLine="420" w:firstLineChars="0"/>
              <w:jc w:val="left"/>
              <w:rPr>
                <w:rFonts w:hint="eastAsia" w:ascii="Times New Roman" w:hAnsi="宋体" w:eastAsia="宋体" w:cs="Times New Roman"/>
                <w:bCs w:val="0"/>
                <w:snapToGrid w:val="0"/>
                <w:color w:val="auto"/>
                <w:kern w:val="0"/>
                <w:sz w:val="24"/>
                <w:szCs w:val="24"/>
                <w:highlight w:val="none"/>
                <w:lang w:val="en-US" w:eastAsia="zh-CN" w:bidi="ar-SA"/>
              </w:rPr>
            </w:pPr>
            <w:r>
              <w:rPr>
                <w:rStyle w:val="14"/>
                <w:rFonts w:hint="eastAsia" w:ascii="Times New Roman" w:hAnsi="宋体" w:eastAsia="宋体" w:cs="Times New Roman"/>
                <w:bCs w:val="0"/>
                <w:snapToGrid w:val="0"/>
                <w:color w:val="auto"/>
                <w:sz w:val="24"/>
                <w:szCs w:val="24"/>
                <w:highlight w:val="none"/>
                <w:lang w:val="en-US" w:eastAsia="zh-CN" w:bidi="ar-SA"/>
              </w:rPr>
              <w:t>近3年内（2023年</w:t>
            </w:r>
            <w:r>
              <w:rPr>
                <w:rStyle w:val="14"/>
                <w:rFonts w:hint="eastAsia" w:hAnsi="宋体" w:cs="Times New Roman"/>
                <w:bCs w:val="0"/>
                <w:snapToGrid w:val="0"/>
                <w:color w:val="auto"/>
                <w:sz w:val="24"/>
                <w:szCs w:val="24"/>
                <w:highlight w:val="none"/>
                <w:lang w:val="en-US" w:eastAsia="zh-CN" w:bidi="ar-SA"/>
              </w:rPr>
              <w:t>10</w:t>
            </w:r>
            <w:r>
              <w:rPr>
                <w:rStyle w:val="14"/>
                <w:rFonts w:hint="eastAsia" w:ascii="Times New Roman" w:hAnsi="宋体" w:eastAsia="宋体" w:cs="Times New Roman"/>
                <w:bCs w:val="0"/>
                <w:snapToGrid w:val="0"/>
                <w:color w:val="auto"/>
                <w:sz w:val="24"/>
                <w:szCs w:val="24"/>
                <w:highlight w:val="none"/>
                <w:lang w:val="en-US" w:eastAsia="zh-CN" w:bidi="ar-SA"/>
              </w:rPr>
              <w:t>月1日至投标截止时间，以合同签订时间为准），累计完成过容量不低于160MWh（功率不低于40MW）所投品牌储能设备供货业绩。</w:t>
            </w:r>
          </w:p>
        </w:tc>
      </w:tr>
    </w:tbl>
    <w:p w14:paraId="6597C4C0">
      <w:pPr>
        <w:adjustRightInd w:val="0"/>
        <w:snapToGrid w:val="0"/>
        <w:spacing w:line="360" w:lineRule="auto"/>
        <w:jc w:val="center"/>
        <w:rPr>
          <w:rFonts w:ascii="宋体" w:hAnsi="宋体"/>
          <w:b/>
          <w:bCs/>
          <w:snapToGrid w:val="0"/>
          <w:color w:val="auto"/>
          <w:kern w:val="0"/>
          <w:sz w:val="24"/>
          <w:szCs w:val="24"/>
          <w:highlight w:val="none"/>
        </w:rPr>
      </w:pPr>
    </w:p>
    <w:p w14:paraId="61EDBDF3">
      <w:pPr>
        <w:adjustRightInd w:val="0"/>
        <w:snapToGrid w:val="0"/>
        <w:spacing w:line="360" w:lineRule="auto"/>
        <w:jc w:val="center"/>
        <w:rPr>
          <w:rFonts w:ascii="宋体" w:hAnsi="宋体"/>
          <w:b/>
          <w:bCs/>
          <w:snapToGrid w:val="0"/>
          <w:color w:val="auto"/>
          <w:kern w:val="0"/>
          <w:sz w:val="24"/>
          <w:szCs w:val="24"/>
          <w:highlight w:val="none"/>
        </w:rPr>
      </w:pPr>
    </w:p>
    <w:p w14:paraId="1AE7E00A">
      <w:pPr>
        <w:adjustRightInd w:val="0"/>
        <w:snapToGrid w:val="0"/>
        <w:spacing w:line="360" w:lineRule="auto"/>
        <w:jc w:val="cente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t>附录</w:t>
      </w:r>
      <w:r>
        <w:rPr>
          <w:rFonts w:hint="eastAsia" w:ascii="宋体" w:hAnsi="宋体"/>
          <w:b/>
          <w:bCs/>
          <w:snapToGrid w:val="0"/>
          <w:color w:val="auto"/>
          <w:kern w:val="0"/>
          <w:sz w:val="24"/>
          <w:szCs w:val="24"/>
          <w:highlight w:val="none"/>
          <w:lang w:val="en-US" w:eastAsia="zh-CN"/>
        </w:rPr>
        <w:t>4</w:t>
      </w:r>
      <w:r>
        <w:rPr>
          <w:rFonts w:ascii="宋体" w:hAnsi="宋体"/>
          <w:b/>
          <w:bCs/>
          <w:snapToGrid w:val="0"/>
          <w:color w:val="auto"/>
          <w:kern w:val="0"/>
          <w:sz w:val="24"/>
          <w:szCs w:val="24"/>
          <w:highlight w:val="none"/>
        </w:rPr>
        <w:t xml:space="preserve"> 资格审查条件（信誉最低要求）</w:t>
      </w:r>
    </w:p>
    <w:tbl>
      <w:tblPr>
        <w:tblStyle w:val="1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522"/>
      </w:tblGrid>
      <w:tr w14:paraId="6D23E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541" w:type="dxa"/>
            <w:tcBorders>
              <w:top w:val="single" w:color="000000" w:sz="2" w:space="0"/>
              <w:left w:val="single" w:color="auto" w:sz="4" w:space="0"/>
              <w:bottom w:val="single" w:color="000000" w:sz="4" w:space="0"/>
              <w:right w:val="single" w:color="000000" w:sz="2" w:space="0"/>
            </w:tcBorders>
            <w:noWrap w:val="0"/>
            <w:vAlign w:val="center"/>
          </w:tcPr>
          <w:p w14:paraId="5B3983AD">
            <w:pPr>
              <w:adjustRightInd w:val="0"/>
              <w:snapToGrid w:val="0"/>
              <w:spacing w:line="240" w:lineRule="auto"/>
              <w:jc w:val="center"/>
              <w:textAlignment w:val="baseline"/>
              <w:rPr>
                <w:rStyle w:val="14"/>
                <w:rFonts w:ascii="宋体" w:hAnsi="宋体"/>
                <w:snapToGrid w:val="0"/>
                <w:color w:val="auto"/>
                <w:kern w:val="0"/>
                <w:sz w:val="24"/>
                <w:szCs w:val="24"/>
                <w:highlight w:val="none"/>
              </w:rPr>
            </w:pPr>
            <w:r>
              <w:rPr>
                <w:rStyle w:val="14"/>
                <w:rFonts w:ascii="宋体" w:hAnsi="宋体"/>
                <w:snapToGrid w:val="0"/>
                <w:color w:val="auto"/>
                <w:kern w:val="0"/>
                <w:sz w:val="24"/>
                <w:szCs w:val="24"/>
                <w:highlight w:val="none"/>
              </w:rPr>
              <w:t>信誉要求</w:t>
            </w:r>
          </w:p>
        </w:tc>
      </w:tr>
      <w:tr w14:paraId="70B71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34" w:hRule="atLeast"/>
          <w:jc w:val="center"/>
        </w:trPr>
        <w:tc>
          <w:tcPr>
            <w:tcW w:w="7541" w:type="dxa"/>
            <w:tcBorders>
              <w:top w:val="single" w:color="000000" w:sz="2" w:space="0"/>
              <w:left w:val="single" w:color="auto" w:sz="4" w:space="0"/>
              <w:right w:val="single" w:color="000000" w:sz="2" w:space="0"/>
            </w:tcBorders>
            <w:noWrap w:val="0"/>
            <w:vAlign w:val="center"/>
          </w:tcPr>
          <w:p w14:paraId="3788BC4C">
            <w:pPr>
              <w:pStyle w:val="12"/>
              <w:spacing w:line="240" w:lineRule="auto"/>
              <w:ind w:firstLineChars="200"/>
              <w:rPr>
                <w:rStyle w:val="14"/>
                <w:rFonts w:ascii="宋体" w:hAnsi="宋体"/>
                <w:snapToGrid w:val="0"/>
                <w:color w:val="auto"/>
                <w:sz w:val="24"/>
                <w:szCs w:val="24"/>
                <w:highlight w:val="none"/>
                <w:lang w:bidi="ar"/>
              </w:rPr>
            </w:pPr>
            <w:r>
              <w:rPr>
                <w:rFonts w:hint="eastAsia" w:ascii="宋体" w:hAnsi="宋体"/>
                <w:snapToGrid w:val="0"/>
                <w:color w:val="auto"/>
                <w:sz w:val="24"/>
                <w:szCs w:val="24"/>
                <w:highlight w:val="none"/>
                <w:lang w:bidi="ar"/>
              </w:rPr>
              <w:t>投标人在近1年</w:t>
            </w:r>
            <w:r>
              <w:rPr>
                <w:rFonts w:hint="eastAsia" w:ascii="宋体" w:hAnsi="宋体"/>
                <w:snapToGrid w:val="0"/>
                <w:color w:val="auto"/>
                <w:sz w:val="24"/>
                <w:szCs w:val="24"/>
                <w:highlight w:val="none"/>
                <w:shd w:val="clear"/>
                <w:lang w:bidi="ar"/>
              </w:rPr>
              <w:t>内（202</w:t>
            </w:r>
            <w:r>
              <w:rPr>
                <w:rFonts w:hint="eastAsia" w:ascii="宋体" w:hAnsi="宋体"/>
                <w:snapToGrid w:val="0"/>
                <w:color w:val="auto"/>
                <w:sz w:val="24"/>
                <w:szCs w:val="24"/>
                <w:highlight w:val="none"/>
                <w:shd w:val="clear"/>
                <w:lang w:val="en-US" w:eastAsia="zh-CN" w:bidi="ar"/>
              </w:rPr>
              <w:t>5</w:t>
            </w:r>
            <w:r>
              <w:rPr>
                <w:rFonts w:hint="eastAsia" w:ascii="宋体" w:hAnsi="宋体"/>
                <w:snapToGrid w:val="0"/>
                <w:color w:val="auto"/>
                <w:sz w:val="24"/>
                <w:szCs w:val="24"/>
                <w:highlight w:val="none"/>
                <w:shd w:val="clear"/>
                <w:lang w:bidi="ar"/>
              </w:rPr>
              <w:t>年</w:t>
            </w:r>
            <w:r>
              <w:rPr>
                <w:rFonts w:hint="eastAsia" w:ascii="宋体" w:hAnsi="宋体"/>
                <w:snapToGrid w:val="0"/>
                <w:color w:val="auto"/>
                <w:sz w:val="24"/>
                <w:szCs w:val="24"/>
                <w:highlight w:val="none"/>
                <w:shd w:val="clear"/>
                <w:lang w:val="en-US" w:eastAsia="zh-CN" w:bidi="ar"/>
              </w:rPr>
              <w:t>10月1日</w:t>
            </w:r>
            <w:r>
              <w:rPr>
                <w:rFonts w:hint="eastAsia" w:ascii="宋体" w:hAnsi="宋体"/>
                <w:snapToGrid w:val="0"/>
                <w:color w:val="auto"/>
                <w:sz w:val="24"/>
                <w:szCs w:val="24"/>
                <w:highlight w:val="none"/>
                <w:shd w:val="clear"/>
                <w:lang w:bidi="ar"/>
              </w:rPr>
              <w:t>至</w:t>
            </w:r>
            <w:r>
              <w:rPr>
                <w:rFonts w:hint="eastAsia" w:ascii="宋体" w:hAnsi="宋体"/>
                <w:snapToGrid w:val="0"/>
                <w:color w:val="auto"/>
                <w:sz w:val="24"/>
                <w:szCs w:val="24"/>
                <w:highlight w:val="none"/>
                <w:shd w:val="clear"/>
                <w:lang w:val="en-US" w:eastAsia="zh-CN" w:bidi="ar"/>
              </w:rPr>
              <w:t>投标截止时间</w:t>
            </w:r>
            <w:r>
              <w:rPr>
                <w:rFonts w:hint="eastAsia" w:ascii="宋体" w:hAnsi="宋体"/>
                <w:snapToGrid w:val="0"/>
                <w:color w:val="auto"/>
                <w:sz w:val="24"/>
                <w:szCs w:val="24"/>
                <w:highlight w:val="none"/>
                <w:shd w:val="clear"/>
                <w:lang w:bidi="ar"/>
              </w:rPr>
              <w:t>）不曾在</w:t>
            </w:r>
            <w:r>
              <w:rPr>
                <w:rFonts w:hint="eastAsia" w:ascii="宋体" w:hAnsi="宋体"/>
                <w:snapToGrid w:val="0"/>
                <w:color w:val="auto"/>
                <w:sz w:val="24"/>
                <w:szCs w:val="24"/>
                <w:highlight w:val="none"/>
                <w:shd w:val="clear"/>
                <w:lang w:val="en-US" w:eastAsia="zh-CN" w:bidi="ar"/>
              </w:rPr>
              <w:t>所投品牌</w:t>
            </w:r>
            <w:r>
              <w:rPr>
                <w:rFonts w:hint="eastAsia" w:ascii="宋体" w:hAnsi="宋体"/>
                <w:snapToGrid w:val="0"/>
                <w:color w:val="auto"/>
                <w:sz w:val="24"/>
                <w:szCs w:val="24"/>
                <w:highlight w:val="none"/>
                <w:shd w:val="clear"/>
                <w:lang w:bidi="ar"/>
              </w:rPr>
              <w:t>设备供货合同中违约而被驱逐或因投标人自身的原因而使</w:t>
            </w:r>
            <w:r>
              <w:rPr>
                <w:rFonts w:hint="eastAsia" w:ascii="宋体" w:hAnsi="宋体"/>
                <w:snapToGrid w:val="0"/>
                <w:color w:val="auto"/>
                <w:sz w:val="24"/>
                <w:szCs w:val="24"/>
                <w:highlight w:val="none"/>
                <w:shd w:val="clear"/>
                <w:lang w:val="en-US" w:eastAsia="zh-CN" w:bidi="ar"/>
              </w:rPr>
              <w:t>所投品牌</w:t>
            </w:r>
            <w:r>
              <w:rPr>
                <w:rFonts w:hint="eastAsia" w:ascii="宋体" w:hAnsi="宋体"/>
                <w:snapToGrid w:val="0"/>
                <w:color w:val="auto"/>
                <w:sz w:val="24"/>
                <w:szCs w:val="24"/>
                <w:highlight w:val="none"/>
                <w:shd w:val="clear"/>
                <w:lang w:bidi="ar"/>
              </w:rPr>
              <w:t>设备供货合同被解除。</w:t>
            </w:r>
          </w:p>
        </w:tc>
      </w:tr>
    </w:tbl>
    <w:p w14:paraId="5E992E99">
      <w:pPr>
        <w:jc w:val="center"/>
        <w:rPr>
          <w:rFonts w:hint="eastAsia" w:ascii="黑体" w:hAnsi="黑体" w:eastAsia="黑体" w:cs="黑体"/>
          <w:bCs/>
          <w:color w:val="auto"/>
          <w:sz w:val="24"/>
          <w:highlight w:val="none"/>
        </w:rPr>
      </w:pPr>
    </w:p>
    <w:p w14:paraId="46EE496E">
      <w:pPr>
        <w:jc w:val="center"/>
        <w:rPr>
          <w:rFonts w:hint="eastAsia" w:ascii="黑体" w:hAnsi="黑体" w:eastAsia="黑体" w:cs="黑体"/>
          <w:bCs/>
          <w:color w:val="auto"/>
          <w:sz w:val="24"/>
          <w:highlight w:val="none"/>
        </w:rPr>
      </w:pPr>
    </w:p>
    <w:p w14:paraId="79F13B91">
      <w:pPr>
        <w:widowControl/>
        <w:jc w:val="left"/>
        <w:rPr>
          <w:rFonts w:ascii="宋体" w:hAnsi="宋体"/>
          <w:b/>
          <w:color w:val="auto"/>
          <w:sz w:val="24"/>
          <w:highlight w:val="none"/>
        </w:rPr>
      </w:pPr>
    </w:p>
    <w:p w14:paraId="1CC64864">
      <w:pPr>
        <w:pStyle w:val="5"/>
        <w:rPr>
          <w:rFonts w:hint="eastAsia"/>
          <w:color w:val="auto"/>
          <w:highlight w:val="none"/>
        </w:rPr>
      </w:pPr>
    </w:p>
    <w:p w14:paraId="56194269">
      <w:pPr>
        <w:pStyle w:val="2"/>
        <w:spacing w:before="120" w:line="360" w:lineRule="auto"/>
        <w:rPr>
          <w:rFonts w:hint="eastAsia" w:ascii="宋体" w:hAnsi="宋体" w:eastAsia="宋体"/>
          <w:snapToGrid w:val="0"/>
          <w:color w:val="auto"/>
          <w:kern w:val="0"/>
          <w:sz w:val="28"/>
          <w:szCs w:val="28"/>
          <w:highlight w:val="none"/>
          <w:lang w:eastAsia="zh-CN"/>
        </w:rPr>
      </w:pPr>
      <w:r>
        <w:rPr>
          <w:rFonts w:ascii="宋体" w:hAnsi="宋体"/>
          <w:color w:val="auto"/>
          <w:w w:val="99"/>
          <w:sz w:val="28"/>
          <w:szCs w:val="28"/>
          <w:highlight w:val="none"/>
        </w:rPr>
        <w:br w:type="page"/>
      </w:r>
      <w:bookmarkStart w:id="0" w:name="_Toc136511007"/>
      <w:bookmarkStart w:id="1" w:name="_Toc147943860"/>
      <w:bookmarkStart w:id="2" w:name="_Toc10475"/>
      <w:bookmarkStart w:id="3" w:name="_Toc16918"/>
      <w:r>
        <w:rPr>
          <w:rFonts w:ascii="宋体" w:hAnsi="宋体"/>
          <w:snapToGrid w:val="0"/>
          <w:color w:val="auto"/>
          <w:kern w:val="0"/>
          <w:sz w:val="28"/>
          <w:szCs w:val="28"/>
          <w:highlight w:val="none"/>
        </w:rPr>
        <w:t>附件2：</w:t>
      </w:r>
      <w:bookmarkEnd w:id="0"/>
      <w:bookmarkEnd w:id="1"/>
      <w:r>
        <w:rPr>
          <w:rFonts w:hint="eastAsia" w:ascii="宋体" w:hAnsi="宋体"/>
          <w:snapToGrid w:val="0"/>
          <w:color w:val="auto"/>
          <w:kern w:val="0"/>
          <w:sz w:val="28"/>
          <w:szCs w:val="28"/>
          <w:highlight w:val="none"/>
        </w:rPr>
        <w:t>评标办法</w:t>
      </w:r>
      <w:bookmarkEnd w:id="2"/>
      <w:bookmarkEnd w:id="3"/>
    </w:p>
    <w:p w14:paraId="79BD3926">
      <w:pPr>
        <w:adjustRightInd w:val="0"/>
        <w:snapToGrid w:val="0"/>
        <w:spacing w:line="360" w:lineRule="auto"/>
        <w:jc w:val="center"/>
        <w:textAlignment w:val="baseline"/>
        <w:rPr>
          <w:rFonts w:ascii="宋体" w:hAnsi="宋体"/>
          <w:b/>
          <w:bCs/>
          <w:snapToGrid w:val="0"/>
          <w:color w:val="auto"/>
          <w:kern w:val="0"/>
          <w:sz w:val="24"/>
          <w:highlight w:val="none"/>
        </w:rPr>
      </w:pPr>
      <w:bookmarkStart w:id="4" w:name="_Toc450319202"/>
      <w:bookmarkStart w:id="5" w:name="_Toc509659998"/>
      <w:bookmarkStart w:id="6" w:name="_Toc134890522"/>
      <w:bookmarkStart w:id="7" w:name="_Toc459307890"/>
      <w:bookmarkStart w:id="8" w:name="_Toc134792341"/>
      <w:bookmarkStart w:id="9" w:name="_Toc509660966"/>
      <w:bookmarkStart w:id="10" w:name="_Toc502992691"/>
      <w:bookmarkStart w:id="11" w:name="_Toc134792409"/>
      <w:bookmarkStart w:id="12" w:name="_Toc531949857"/>
      <w:bookmarkStart w:id="13" w:name="_Toc134792892"/>
      <w:bookmarkStart w:id="14" w:name="_Toc134890444"/>
      <w:bookmarkStart w:id="15" w:name="_Toc445382083"/>
      <w:bookmarkStart w:id="16" w:name="_Toc444088432"/>
      <w:bookmarkStart w:id="17" w:name="_Toc444271617"/>
      <w:bookmarkStart w:id="18" w:name="_Toc445222503"/>
      <w:r>
        <w:rPr>
          <w:rFonts w:ascii="宋体" w:hAnsi="宋体"/>
          <w:b/>
          <w:bCs/>
          <w:snapToGrid w:val="0"/>
          <w:color w:val="auto"/>
          <w:kern w:val="0"/>
          <w:sz w:val="24"/>
          <w:highlight w:val="none"/>
        </w:rPr>
        <w:t>评标办法（技术评分最低标价法）</w:t>
      </w:r>
      <w:bookmarkEnd w:id="4"/>
      <w:bookmarkEnd w:id="5"/>
      <w:bookmarkEnd w:id="6"/>
      <w:bookmarkEnd w:id="7"/>
      <w:bookmarkEnd w:id="8"/>
      <w:bookmarkEnd w:id="9"/>
      <w:bookmarkEnd w:id="10"/>
      <w:bookmarkEnd w:id="11"/>
      <w:bookmarkEnd w:id="12"/>
      <w:bookmarkEnd w:id="13"/>
      <w:bookmarkEnd w:id="14"/>
    </w:p>
    <w:bookmarkEnd w:id="15"/>
    <w:bookmarkEnd w:id="16"/>
    <w:bookmarkEnd w:id="17"/>
    <w:bookmarkEnd w:id="18"/>
    <w:p w14:paraId="01724EFF">
      <w:pPr>
        <w:adjustRightInd w:val="0"/>
        <w:snapToGrid w:val="0"/>
        <w:spacing w:line="360" w:lineRule="auto"/>
        <w:jc w:val="center"/>
        <w:textAlignment w:val="baseline"/>
        <w:rPr>
          <w:rFonts w:ascii="宋体" w:hAnsi="宋体"/>
          <w:b/>
          <w:bCs/>
          <w:snapToGrid w:val="0"/>
          <w:color w:val="auto"/>
          <w:kern w:val="0"/>
          <w:sz w:val="24"/>
          <w:highlight w:val="none"/>
        </w:rPr>
      </w:pPr>
      <w:r>
        <w:rPr>
          <w:rFonts w:hint="eastAsia" w:ascii="宋体" w:hAnsi="宋体"/>
          <w:b/>
          <w:bCs/>
          <w:snapToGrid w:val="0"/>
          <w:color w:val="auto"/>
          <w:kern w:val="0"/>
          <w:sz w:val="24"/>
          <w:highlight w:val="none"/>
        </w:rPr>
        <w:t>评标办法</w:t>
      </w:r>
      <w:r>
        <w:rPr>
          <w:rFonts w:ascii="宋体" w:hAnsi="宋体"/>
          <w:b/>
          <w:bCs/>
          <w:snapToGrid w:val="0"/>
          <w:color w:val="auto"/>
          <w:kern w:val="0"/>
          <w:sz w:val="24"/>
          <w:highlight w:val="none"/>
        </w:rPr>
        <w:t>前附表</w:t>
      </w:r>
    </w:p>
    <w:tbl>
      <w:tblPr>
        <w:tblStyle w:val="10"/>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0309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28BDB6B7">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7197" w:type="dxa"/>
            <w:noWrap w:val="0"/>
            <w:vAlign w:val="center"/>
          </w:tcPr>
          <w:p w14:paraId="3AE4FB2B">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评审因素与标准</w:t>
            </w:r>
          </w:p>
        </w:tc>
      </w:tr>
      <w:tr w14:paraId="3591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noWrap w:val="0"/>
            <w:vAlign w:val="center"/>
          </w:tcPr>
          <w:p w14:paraId="12CF092E">
            <w:pPr>
              <w:snapToGrid w:val="0"/>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w:t>
            </w:r>
          </w:p>
        </w:tc>
        <w:tc>
          <w:tcPr>
            <w:tcW w:w="1317" w:type="dxa"/>
            <w:noWrap w:val="0"/>
            <w:vAlign w:val="center"/>
          </w:tcPr>
          <w:p w14:paraId="39FE39C3">
            <w:pPr>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评标办法</w:t>
            </w:r>
          </w:p>
        </w:tc>
        <w:tc>
          <w:tcPr>
            <w:tcW w:w="7197" w:type="dxa"/>
            <w:noWrap w:val="0"/>
            <w:vAlign w:val="center"/>
          </w:tcPr>
          <w:p w14:paraId="0D30D0EA">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本次评标采用技术评分最低标价法，双信封形式。</w:t>
            </w:r>
          </w:p>
          <w:p w14:paraId="50CAE4D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评标委员会对满足招标文件实质性要求的投标文件第一个信封，按照本章第2.2款规定的评分标准进行打分，并按</w:t>
            </w:r>
            <w:r>
              <w:rPr>
                <w:rFonts w:hint="eastAsia" w:ascii="宋体" w:hAnsi="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得分由高到低顺序确定</w:t>
            </w:r>
            <w:r>
              <w:rPr>
                <w:rFonts w:hint="eastAsia" w:ascii="宋体" w:hAnsi="宋体" w:eastAsia="宋体" w:cs="宋体"/>
                <w:color w:val="auto"/>
                <w:sz w:val="24"/>
                <w:szCs w:val="24"/>
                <w:highlight w:val="none"/>
                <w:lang w:eastAsia="zh-CN"/>
              </w:rPr>
              <w:t>前</w:t>
            </w:r>
            <w:r>
              <w:rPr>
                <w:rFonts w:hint="eastAsia" w:ascii="宋体" w:hAnsi="宋体" w:eastAsia="宋体" w:cs="宋体"/>
                <w:color w:val="auto"/>
                <w:sz w:val="24"/>
                <w:szCs w:val="24"/>
                <w:highlight w:val="none"/>
              </w:rPr>
              <w:t>3名投标人进入第二个信封评审。</w:t>
            </w:r>
          </w:p>
          <w:p w14:paraId="40B69C16">
            <w:pPr>
              <w:snapToGrid w:val="0"/>
              <w:spacing w:line="240" w:lineRule="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若</w:t>
            </w:r>
            <w:r>
              <w:rPr>
                <w:rFonts w:hint="eastAsia" w:ascii="宋体" w:hAnsi="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得分相同，以技术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rPr>
              <w:t>得分高的投标人优先</w:t>
            </w:r>
            <w:r>
              <w:rPr>
                <w:rFonts w:hint="eastAsia" w:ascii="宋体" w:hAnsi="宋体" w:cs="宋体"/>
                <w:color w:val="auto"/>
                <w:sz w:val="24"/>
                <w:szCs w:val="24"/>
                <w:highlight w:val="none"/>
                <w:lang w:eastAsia="zh-CN"/>
              </w:rPr>
              <w:t>；</w:t>
            </w:r>
          </w:p>
          <w:p w14:paraId="69A9691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lang w:val="en-US" w:eastAsia="zh-CN"/>
              </w:rPr>
              <w:t>得分也相同的，以</w:t>
            </w: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部分（明标）</w:t>
            </w:r>
            <w:r>
              <w:rPr>
                <w:rFonts w:hint="eastAsia" w:ascii="宋体" w:hAnsi="宋体" w:eastAsia="宋体" w:cs="宋体"/>
                <w:color w:val="auto"/>
                <w:sz w:val="24"/>
                <w:szCs w:val="24"/>
                <w:highlight w:val="none"/>
              </w:rPr>
              <w:t>得分高的投标人优先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部分（明标）</w:t>
            </w:r>
            <w:r>
              <w:rPr>
                <w:rFonts w:hint="eastAsia" w:ascii="宋体" w:hAnsi="宋体" w:eastAsia="宋体" w:cs="宋体"/>
                <w:color w:val="auto"/>
                <w:sz w:val="24"/>
                <w:szCs w:val="24"/>
                <w:highlight w:val="none"/>
              </w:rPr>
              <w:t>得分</w:t>
            </w:r>
            <w:r>
              <w:rPr>
                <w:rFonts w:hint="eastAsia" w:ascii="宋体" w:hAnsi="宋体" w:eastAsia="宋体" w:cs="宋体"/>
                <w:color w:val="auto"/>
                <w:sz w:val="24"/>
                <w:szCs w:val="24"/>
                <w:highlight w:val="none"/>
                <w:lang w:eastAsia="zh-CN"/>
              </w:rPr>
              <w:t>也相同的，</w:t>
            </w:r>
            <w:r>
              <w:rPr>
                <w:rFonts w:hint="eastAsia" w:ascii="宋体" w:hAnsi="宋体" w:eastAsia="宋体" w:cs="宋体"/>
                <w:color w:val="auto"/>
                <w:sz w:val="24"/>
                <w:szCs w:val="24"/>
                <w:highlight w:val="none"/>
              </w:rPr>
              <w:t>满足资格审查</w:t>
            </w:r>
            <w:r>
              <w:rPr>
                <w:rFonts w:hint="eastAsia" w:ascii="宋体" w:hAnsi="宋体" w:eastAsia="宋体" w:cs="宋体"/>
                <w:color w:val="auto"/>
                <w:sz w:val="24"/>
                <w:szCs w:val="24"/>
                <w:highlight w:val="none"/>
                <w:lang w:eastAsia="zh-CN"/>
              </w:rPr>
              <w:t>条件（</w:t>
            </w:r>
            <w:r>
              <w:rPr>
                <w:rFonts w:hint="eastAsia" w:ascii="宋体" w:hAnsi="宋体" w:eastAsia="宋体" w:cs="宋体"/>
                <w:color w:val="auto"/>
                <w:sz w:val="24"/>
                <w:szCs w:val="24"/>
                <w:highlight w:val="none"/>
              </w:rPr>
              <w:t>业绩最低要求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累计</w:t>
            </w:r>
            <w:r>
              <w:rPr>
                <w:rFonts w:hint="eastAsia" w:ascii="宋体" w:hAnsi="宋体" w:eastAsia="宋体" w:cs="宋体"/>
                <w:color w:val="auto"/>
                <w:sz w:val="24"/>
                <w:szCs w:val="24"/>
                <w:highlight w:val="none"/>
                <w:lang w:val="en-US" w:eastAsia="zh-CN"/>
              </w:rPr>
              <w:t>合同金额高的</w:t>
            </w:r>
            <w:r>
              <w:rPr>
                <w:rFonts w:hint="eastAsia" w:ascii="宋体" w:hAnsi="宋体" w:eastAsia="宋体" w:cs="宋体"/>
                <w:color w:val="auto"/>
                <w:sz w:val="24"/>
                <w:szCs w:val="24"/>
                <w:highlight w:val="none"/>
              </w:rPr>
              <w:t>投标人优先。</w:t>
            </w:r>
          </w:p>
          <w:p w14:paraId="425A1E4F">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未通过第一信封评审</w:t>
            </w:r>
            <w:r>
              <w:rPr>
                <w:rFonts w:hint="eastAsia" w:ascii="宋体" w:hAnsi="宋体" w:eastAsia="宋体" w:cs="宋体"/>
                <w:color w:val="auto"/>
                <w:sz w:val="24"/>
                <w:szCs w:val="24"/>
                <w:highlight w:val="none"/>
                <w:lang w:val="en-US" w:eastAsia="zh-CN"/>
              </w:rPr>
              <w:t>或</w:t>
            </w:r>
            <w:r>
              <w:rPr>
                <w:rFonts w:hint="eastAsia" w:ascii="宋体" w:hAnsi="宋体" w:cs="宋体"/>
                <w:color w:val="auto"/>
                <w:sz w:val="24"/>
                <w:szCs w:val="24"/>
                <w:highlight w:val="none"/>
                <w:lang w:val="en-US" w:eastAsia="zh-CN"/>
              </w:rPr>
              <w:t>综合得分</w:t>
            </w:r>
            <w:r>
              <w:rPr>
                <w:rFonts w:hint="eastAsia" w:ascii="宋体" w:hAnsi="宋体" w:eastAsia="宋体" w:cs="宋体"/>
                <w:color w:val="auto"/>
                <w:sz w:val="24"/>
                <w:szCs w:val="24"/>
                <w:highlight w:val="none"/>
              </w:rPr>
              <w:t>未进入前3名的投标人，其第二信</w:t>
            </w:r>
            <w:r>
              <w:rPr>
                <w:rFonts w:hint="eastAsia" w:ascii="宋体" w:hAnsi="宋体" w:cs="宋体"/>
                <w:color w:val="auto"/>
                <w:sz w:val="24"/>
                <w:szCs w:val="24"/>
                <w:highlight w:val="none"/>
                <w:lang w:val="en-US" w:eastAsia="zh-CN"/>
              </w:rPr>
              <w:t>封在整个评标期间不再开封，不随任何因素发生变化</w:t>
            </w:r>
            <w:r>
              <w:rPr>
                <w:rFonts w:hint="eastAsia" w:ascii="宋体" w:hAnsi="宋体" w:eastAsia="宋体" w:cs="宋体"/>
                <w:color w:val="auto"/>
                <w:sz w:val="24"/>
                <w:szCs w:val="24"/>
                <w:highlight w:val="none"/>
              </w:rPr>
              <w:t>。</w:t>
            </w:r>
          </w:p>
          <w:p w14:paraId="5386EB0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r>
              <w:rPr>
                <w:rFonts w:hint="eastAsia" w:ascii="宋体" w:hAnsi="宋体" w:cs="宋体"/>
                <w:color w:val="auto"/>
                <w:sz w:val="24"/>
                <w:szCs w:val="24"/>
                <w:highlight w:val="none"/>
                <w:lang w:val="en-US" w:eastAsia="zh-CN"/>
              </w:rPr>
              <w:t>对投标文件第二个信封进行评审，并</w:t>
            </w:r>
            <w:r>
              <w:rPr>
                <w:rFonts w:hint="eastAsia" w:ascii="宋体" w:hAnsi="宋体" w:eastAsia="宋体" w:cs="宋体"/>
                <w:color w:val="auto"/>
                <w:sz w:val="24"/>
                <w:szCs w:val="24"/>
                <w:highlight w:val="none"/>
              </w:rPr>
              <w:t>按评标价由低到高的顺序，向招标人推荐1-3名中标候选人。</w:t>
            </w:r>
          </w:p>
          <w:p w14:paraId="1220860F">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评标价相等时，评标委员会依次按照以下优先顺序推荐中标候选人：</w:t>
            </w:r>
          </w:p>
          <w:p w14:paraId="7FBD12AB">
            <w:pPr>
              <w:numPr>
                <w:ilvl w:val="0"/>
                <w:numId w:val="2"/>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第一个信封技术</w:t>
            </w:r>
            <w:r>
              <w:rPr>
                <w:rFonts w:hint="eastAsia" w:ascii="宋体" w:hAnsi="宋体" w:cs="宋体"/>
                <w:color w:val="auto"/>
                <w:sz w:val="24"/>
                <w:szCs w:val="24"/>
                <w:highlight w:val="none"/>
                <w:lang w:eastAsia="zh-CN"/>
              </w:rPr>
              <w:t>部分</w:t>
            </w:r>
            <w:r>
              <w:rPr>
                <w:rFonts w:hint="eastAsia" w:ascii="宋体" w:hAnsi="宋体" w:eastAsia="宋体" w:cs="宋体"/>
                <w:color w:val="auto"/>
                <w:sz w:val="24"/>
                <w:szCs w:val="24"/>
                <w:highlight w:val="none"/>
              </w:rPr>
              <w:t>得分较高的</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优先；</w:t>
            </w:r>
          </w:p>
          <w:p w14:paraId="4387D78F">
            <w:pPr>
              <w:numPr>
                <w:ilvl w:val="0"/>
                <w:numId w:val="2"/>
              </w:numPr>
              <w:snapToGrid w:val="0"/>
              <w:spacing w:line="24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第一个信封技术部分（明标）得分较高的</w:t>
            </w:r>
            <w:r>
              <w:rPr>
                <w:rFonts w:hint="eastAsia" w:ascii="宋体" w:hAnsi="宋体" w:cs="宋体"/>
                <w:color w:val="auto"/>
                <w:sz w:val="24"/>
                <w:szCs w:val="24"/>
                <w:highlight w:val="none"/>
                <w:lang w:val="en-US" w:eastAsia="zh-CN"/>
              </w:rPr>
              <w:t>投标人</w:t>
            </w:r>
            <w:r>
              <w:rPr>
                <w:rFonts w:hint="eastAsia" w:ascii="宋体" w:hAnsi="宋体" w:cs="宋体"/>
                <w:color w:val="auto"/>
                <w:sz w:val="24"/>
                <w:szCs w:val="24"/>
                <w:highlight w:val="none"/>
                <w:lang w:eastAsia="zh-CN"/>
              </w:rPr>
              <w:t>优先；</w:t>
            </w:r>
          </w:p>
          <w:p w14:paraId="1669BAA5">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）满足资格审查</w:t>
            </w:r>
            <w:r>
              <w:rPr>
                <w:rFonts w:hint="eastAsia" w:ascii="宋体" w:hAnsi="宋体" w:eastAsia="宋体" w:cs="宋体"/>
                <w:color w:val="auto"/>
                <w:sz w:val="24"/>
                <w:szCs w:val="24"/>
                <w:highlight w:val="none"/>
                <w:lang w:eastAsia="zh-CN"/>
              </w:rPr>
              <w:t>条件（</w:t>
            </w:r>
            <w:r>
              <w:rPr>
                <w:rFonts w:hint="eastAsia" w:ascii="宋体" w:hAnsi="宋体" w:eastAsia="宋体" w:cs="宋体"/>
                <w:color w:val="auto"/>
                <w:sz w:val="24"/>
                <w:szCs w:val="24"/>
                <w:highlight w:val="none"/>
              </w:rPr>
              <w:t>业绩最低要求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累计</w:t>
            </w:r>
            <w:r>
              <w:rPr>
                <w:rFonts w:hint="eastAsia" w:ascii="宋体" w:hAnsi="宋体" w:eastAsia="宋体" w:cs="宋体"/>
                <w:color w:val="auto"/>
                <w:sz w:val="24"/>
                <w:szCs w:val="24"/>
                <w:highlight w:val="none"/>
                <w:lang w:val="en-US" w:eastAsia="zh-CN"/>
              </w:rPr>
              <w:t>合同金额高</w:t>
            </w:r>
            <w:r>
              <w:rPr>
                <w:rFonts w:hint="eastAsia" w:ascii="宋体" w:hAnsi="宋体" w:eastAsia="宋体" w:cs="宋体"/>
                <w:color w:val="auto"/>
                <w:sz w:val="24"/>
                <w:szCs w:val="24"/>
                <w:highlight w:val="none"/>
              </w:rPr>
              <w:t>的投标人优先</w:t>
            </w:r>
            <w:r>
              <w:rPr>
                <w:rFonts w:hint="eastAsia" w:ascii="宋体" w:hAnsi="宋体" w:cs="宋体"/>
                <w:color w:val="auto"/>
                <w:sz w:val="24"/>
                <w:szCs w:val="24"/>
                <w:highlight w:val="none"/>
                <w:lang w:eastAsia="zh-CN"/>
              </w:rPr>
              <w:t>。</w:t>
            </w:r>
          </w:p>
        </w:tc>
      </w:tr>
      <w:tr w14:paraId="70BF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0C4BBD58">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p w14:paraId="1A63210A">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1317" w:type="dxa"/>
            <w:noWrap w:val="0"/>
            <w:vAlign w:val="center"/>
          </w:tcPr>
          <w:p w14:paraId="4168853A">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形式评审与响应性评审标准</w:t>
            </w:r>
          </w:p>
        </w:tc>
        <w:tc>
          <w:tcPr>
            <w:tcW w:w="7197" w:type="dxa"/>
            <w:noWrap w:val="0"/>
            <w:vAlign w:val="center"/>
          </w:tcPr>
          <w:p w14:paraId="24CE9A6A">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第一个信封（商务文件）评审标准：</w:t>
            </w:r>
          </w:p>
          <w:p w14:paraId="42A2BE7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（1）投标文件按照招标文件规定的格式、内容填写，字迹清晰可辨：</w:t>
            </w:r>
          </w:p>
          <w:p w14:paraId="32160FEE">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a.投标函按照招标文件规定填报了项目名称</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标段号、</w:t>
            </w:r>
            <w:r>
              <w:rPr>
                <w:rFonts w:hint="eastAsia" w:ascii="宋体" w:hAnsi="宋体" w:eastAsia="宋体" w:cs="宋体"/>
                <w:color w:val="auto"/>
                <w:sz w:val="24"/>
                <w:szCs w:val="24"/>
                <w:highlight w:val="none"/>
              </w:rPr>
              <w:t>补遗书编号（如有）、交货地点、</w:t>
            </w:r>
            <w:r>
              <w:rPr>
                <w:rFonts w:hint="eastAsia" w:ascii="宋体" w:hAnsi="宋体" w:cs="宋体"/>
                <w:color w:val="auto"/>
                <w:sz w:val="24"/>
                <w:szCs w:val="24"/>
                <w:highlight w:val="none"/>
                <w:lang w:eastAsia="zh-CN"/>
              </w:rPr>
              <w:t>供货期</w:t>
            </w:r>
            <w:r>
              <w:rPr>
                <w:rFonts w:hint="eastAsia" w:ascii="宋体" w:hAnsi="宋体" w:cs="宋体"/>
                <w:color w:val="auto"/>
                <w:sz w:val="24"/>
                <w:szCs w:val="24"/>
                <w:highlight w:val="none"/>
                <w:lang w:val="en-US" w:eastAsia="zh-CN"/>
              </w:rPr>
              <w:t>和质量标准</w:t>
            </w:r>
            <w:r>
              <w:rPr>
                <w:rFonts w:hint="eastAsia" w:ascii="宋体" w:hAnsi="宋体" w:eastAsia="宋体" w:cs="宋体"/>
                <w:color w:val="auto"/>
                <w:sz w:val="24"/>
                <w:szCs w:val="24"/>
                <w:highlight w:val="none"/>
              </w:rPr>
              <w:t>；</w:t>
            </w:r>
          </w:p>
          <w:p w14:paraId="163860CD">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b.投标文件组成齐全完整，内容均按规定填写</w:t>
            </w:r>
            <w:r>
              <w:rPr>
                <w:rFonts w:hint="eastAsia" w:ascii="宋体" w:hAnsi="宋体" w:cs="宋体"/>
                <w:color w:val="auto"/>
                <w:sz w:val="24"/>
                <w:szCs w:val="24"/>
                <w:highlight w:val="none"/>
                <w:lang w:eastAsia="zh-CN"/>
              </w:rPr>
              <w:t>。</w:t>
            </w:r>
          </w:p>
          <w:p w14:paraId="5FC1CFFA">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（2）投标文件上法定代表人或其委托代理人的签字、投标人的单位章盖章齐全，符合招标文件规定</w:t>
            </w:r>
            <w:r>
              <w:rPr>
                <w:rFonts w:hint="eastAsia" w:ascii="宋体" w:hAnsi="宋体" w:cs="宋体"/>
                <w:color w:val="auto"/>
                <w:sz w:val="24"/>
                <w:szCs w:val="24"/>
                <w:highlight w:val="none"/>
                <w:lang w:eastAsia="zh-CN"/>
              </w:rPr>
              <w:t>。</w:t>
            </w:r>
          </w:p>
          <w:p w14:paraId="024D1A4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（3）投标人按照招标文件的规定提供了投标保证金，满足投标人须知3.4.1规定。</w:t>
            </w:r>
          </w:p>
          <w:p w14:paraId="50681DBC">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（4）投标人法定代表人授权委托代理人签署投标文件的，须提交授权委托书，授权委托书的签字盖章符合招标文件规定。</w:t>
            </w:r>
          </w:p>
          <w:p w14:paraId="069FC3A7">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（5）投标人法定代表人亲自签署投标文件的，提供了法定代表人身份证明,法定代表人身份证明的签字盖章符合招标文件规定。</w:t>
            </w:r>
          </w:p>
          <w:p w14:paraId="6BD8CA9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（6）投标人未以联合体形式投标。</w:t>
            </w:r>
          </w:p>
          <w:p w14:paraId="374A02E8">
            <w:pPr>
              <w:snapToGrid w:val="0"/>
              <w:spacing w:line="240" w:lineRule="auto"/>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（7）投标人未对本项目进行分包。</w:t>
            </w:r>
          </w:p>
          <w:p w14:paraId="0AA3F833">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（8）同一投标人未</w:t>
            </w:r>
            <w:r>
              <w:rPr>
                <w:rFonts w:hint="eastAsia" w:ascii="宋体" w:hAnsi="宋体" w:cs="宋体"/>
                <w:color w:val="auto"/>
                <w:sz w:val="24"/>
                <w:szCs w:val="24"/>
                <w:highlight w:val="none"/>
                <w:lang w:val="en-US" w:eastAsia="zh-CN"/>
              </w:rPr>
              <w:t>对同一标段</w:t>
            </w:r>
            <w:r>
              <w:rPr>
                <w:rFonts w:hint="eastAsia" w:ascii="宋体" w:hAnsi="宋体" w:eastAsia="宋体" w:cs="宋体"/>
                <w:color w:val="auto"/>
                <w:sz w:val="24"/>
                <w:szCs w:val="24"/>
                <w:highlight w:val="none"/>
              </w:rPr>
              <w:t>提交两个以上不同的投标文件。</w:t>
            </w:r>
          </w:p>
          <w:p w14:paraId="1564A31A">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（9）未出现有关投标报价的内容。</w:t>
            </w:r>
          </w:p>
          <w:p w14:paraId="21F3A44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（10）投标文件载明的招标项目完成期限未超过招标文件规定的时限。</w:t>
            </w:r>
          </w:p>
          <w:p w14:paraId="00FF1815">
            <w:pPr>
              <w:snapToGrid w:val="0"/>
              <w:spacing w:line="24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（11）投标人递交的投标文件与所投标段一致。</w:t>
            </w:r>
          </w:p>
          <w:p w14:paraId="7653F64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）投标文件对招标文件的实质性要求和条件作出响应。</w:t>
            </w:r>
          </w:p>
          <w:p w14:paraId="615C8814">
            <w:pPr>
              <w:snapToGrid w:val="0"/>
              <w:spacing w:line="240" w:lineRule="auto"/>
              <w:rPr>
                <w:rFonts w:hint="eastAsia" w:ascii="宋体" w:hAnsi="宋体" w:eastAsia="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（1</w:t>
            </w:r>
            <w:r>
              <w:rPr>
                <w:rFonts w:hint="eastAsia" w:ascii="宋体" w:hAnsi="宋体" w:cs="宋体"/>
                <w:strike w:val="0"/>
                <w:dstrike w:val="0"/>
                <w:color w:val="auto"/>
                <w:sz w:val="24"/>
                <w:szCs w:val="24"/>
                <w:highlight w:val="none"/>
                <w:lang w:val="en-US" w:eastAsia="zh-CN"/>
              </w:rPr>
              <w:t>3</w:t>
            </w:r>
            <w:r>
              <w:rPr>
                <w:rFonts w:hint="eastAsia" w:ascii="宋体" w:hAnsi="宋体" w:eastAsia="宋体" w:cs="宋体"/>
                <w:strike w:val="0"/>
                <w:dstrike w:val="0"/>
                <w:color w:val="auto"/>
                <w:sz w:val="24"/>
                <w:szCs w:val="24"/>
                <w:highlight w:val="none"/>
              </w:rPr>
              <w:t>）投标文件中投标设备的主要技术指标满足招标文件（</w:t>
            </w:r>
            <w:r>
              <w:rPr>
                <w:rFonts w:hint="eastAsia" w:ascii="宋体" w:hAnsi="宋体" w:cs="宋体"/>
                <w:strike w:val="0"/>
                <w:dstrike w:val="0"/>
                <w:color w:val="auto"/>
                <w:sz w:val="24"/>
                <w:szCs w:val="24"/>
                <w:highlight w:val="none"/>
                <w:lang w:val="en-US" w:eastAsia="zh-CN"/>
              </w:rPr>
              <w:t>供货要求中</w:t>
            </w:r>
            <w:r>
              <w:rPr>
                <w:rFonts w:hint="eastAsia" w:ascii="宋体" w:hAnsi="宋体" w:eastAsia="宋体" w:cs="宋体"/>
                <w:strike w:val="0"/>
                <w:dstrike w:val="0"/>
                <w:color w:val="auto"/>
                <w:sz w:val="24"/>
                <w:szCs w:val="24"/>
                <w:highlight w:val="none"/>
              </w:rPr>
              <w:t>带</w:t>
            </w:r>
            <w:r>
              <w:rPr>
                <w:rFonts w:hint="eastAsia" w:cs="宋体"/>
                <w:strike w:val="0"/>
                <w:dstrike w:val="0"/>
                <w:color w:val="auto"/>
                <w:sz w:val="24"/>
                <w:szCs w:val="24"/>
                <w:highlight w:val="none"/>
                <w:lang w:val="en-US" w:eastAsia="zh-CN"/>
              </w:rPr>
              <w:t>★</w:t>
            </w:r>
            <w:r>
              <w:rPr>
                <w:rFonts w:hint="eastAsia" w:ascii="宋体" w:hAnsi="宋体" w:eastAsia="宋体" w:cs="宋体"/>
                <w:strike w:val="0"/>
                <w:dstrike w:val="0"/>
                <w:color w:val="auto"/>
                <w:sz w:val="24"/>
                <w:szCs w:val="24"/>
                <w:highlight w:val="none"/>
              </w:rPr>
              <w:t>的条款）的要求</w:t>
            </w: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并按照招标文件1.11.3款规定提供相关材料</w:t>
            </w:r>
            <w:r>
              <w:rPr>
                <w:rFonts w:hint="eastAsia" w:ascii="宋体" w:hAnsi="宋体" w:eastAsia="宋体" w:cs="宋体"/>
                <w:strike w:val="0"/>
                <w:dstrike w:val="0"/>
                <w:color w:val="auto"/>
                <w:sz w:val="24"/>
                <w:szCs w:val="24"/>
                <w:highlight w:val="none"/>
              </w:rPr>
              <w:t>。</w:t>
            </w:r>
          </w:p>
          <w:p w14:paraId="021E5605">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（1</w:t>
            </w:r>
            <w:r>
              <w:rPr>
                <w:rFonts w:hint="eastAsia" w:ascii="宋体" w:hAnsi="宋体" w:cs="宋体"/>
                <w:strike w:val="0"/>
                <w:dstrike w:val="0"/>
                <w:color w:val="auto"/>
                <w:sz w:val="24"/>
                <w:szCs w:val="24"/>
                <w:highlight w:val="none"/>
                <w:lang w:val="en-US" w:eastAsia="zh-CN"/>
              </w:rPr>
              <w:t>4</w:t>
            </w:r>
            <w:r>
              <w:rPr>
                <w:rFonts w:hint="eastAsia" w:ascii="宋体" w:hAnsi="宋体" w:eastAsia="宋体" w:cs="宋体"/>
                <w:strike w:val="0"/>
                <w:dstrike w:val="0"/>
                <w:color w:val="auto"/>
                <w:sz w:val="24"/>
                <w:szCs w:val="24"/>
                <w:highlight w:val="none"/>
              </w:rPr>
              <w:t>）权利义务符合招标文件规定：</w:t>
            </w:r>
          </w:p>
          <w:p w14:paraId="62BD726F">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a．投标人应接受招标文件规定的风险划分原则，未提出新的风险划分办法；</w:t>
            </w:r>
          </w:p>
          <w:p w14:paraId="65778337">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b．投标人未增加发包人的责任范围，或减少投标人义务；</w:t>
            </w:r>
          </w:p>
          <w:p w14:paraId="2AB7E00F">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c．投标人未提出不同的验收、计量、支付办法；</w:t>
            </w:r>
          </w:p>
          <w:p w14:paraId="0DC3C68A">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d．投标人对合同纠纷、事故处理办法未提出异议；</w:t>
            </w:r>
          </w:p>
          <w:p w14:paraId="1E93308A">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e．投标人在投标活动中无欺诈行为；</w:t>
            </w:r>
          </w:p>
          <w:p w14:paraId="6E9CDB63">
            <w:pPr>
              <w:snapToGrid w:val="0"/>
              <w:spacing w:line="320" w:lineRule="exact"/>
              <w:jc w:val="left"/>
              <w:textAlignment w:val="baseline"/>
              <w:rPr>
                <w:rFonts w:hint="eastAsia" w:ascii="宋体" w:hAnsi="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f．投标人未对合同条款有重要保留</w:t>
            </w:r>
            <w:r>
              <w:rPr>
                <w:rFonts w:hint="eastAsia" w:ascii="宋体" w:hAnsi="宋体" w:cs="宋体"/>
                <w:strike w:val="0"/>
                <w:dstrike w:val="0"/>
                <w:color w:val="auto"/>
                <w:sz w:val="24"/>
                <w:szCs w:val="24"/>
                <w:highlight w:val="none"/>
                <w:lang w:eastAsia="zh-CN"/>
              </w:rPr>
              <w:t>。</w:t>
            </w:r>
          </w:p>
          <w:p w14:paraId="389BC005">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第一个信封（技术文件）评审标准： </w:t>
            </w:r>
          </w:p>
          <w:p w14:paraId="77998FE7">
            <w:pPr>
              <w:widowControl/>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lang w:val="en-US" w:eastAsia="zh-CN"/>
              </w:rPr>
              <w:t>（暗标）编制符合招标文件第二章“投标人须知”第 10.</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 款的规定。</w:t>
            </w:r>
          </w:p>
          <w:p w14:paraId="10BBBD06">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第二个信封（报价文件）评审标准：</w:t>
            </w:r>
          </w:p>
          <w:p w14:paraId="2C8541C3">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（1）投标文件按照招标文件规定的格式、内容填写，字迹清晰可辨：</w:t>
            </w:r>
          </w:p>
          <w:p w14:paraId="5A52F215">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a.投标函按照招标文件规定填报了招标人名称、项目名称</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标段号、</w:t>
            </w:r>
            <w:r>
              <w:rPr>
                <w:rFonts w:hint="eastAsia" w:ascii="宋体" w:hAnsi="宋体" w:eastAsia="宋体" w:cs="宋体"/>
                <w:color w:val="auto"/>
                <w:sz w:val="24"/>
                <w:szCs w:val="24"/>
                <w:highlight w:val="none"/>
              </w:rPr>
              <w:t>补遗书编号（如有）、投标</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（包括大写金额和小写金额）；</w:t>
            </w:r>
          </w:p>
          <w:p w14:paraId="24115E0B">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b.投标文件组成齐全完整，内容均按规定填写。</w:t>
            </w:r>
          </w:p>
          <w:p w14:paraId="66121CBD">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（2）投标文件上法定代表人或委托代理人的签字、投标人的单位章盖章齐全，符合招标文件规定</w:t>
            </w:r>
            <w:r>
              <w:rPr>
                <w:rFonts w:hint="eastAsia" w:ascii="宋体" w:hAnsi="宋体" w:cs="宋体"/>
                <w:color w:val="auto"/>
                <w:sz w:val="24"/>
                <w:szCs w:val="24"/>
                <w:highlight w:val="none"/>
                <w:lang w:eastAsia="zh-CN"/>
              </w:rPr>
              <w:t>；</w:t>
            </w:r>
          </w:p>
          <w:p w14:paraId="56C4745B">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（3）投标报价未超过招标文件设定</w:t>
            </w:r>
            <w:r>
              <w:rPr>
                <w:rFonts w:hint="eastAsia" w:ascii="宋体" w:hAnsi="宋体" w:cs="宋体"/>
                <w:color w:val="auto"/>
                <w:sz w:val="24"/>
                <w:szCs w:val="24"/>
                <w:highlight w:val="none"/>
                <w:lang w:val="en-US" w:eastAsia="zh-CN"/>
              </w:rPr>
              <w:t>的所投标段</w:t>
            </w:r>
            <w:r>
              <w:rPr>
                <w:rFonts w:hint="eastAsia" w:ascii="宋体" w:hAnsi="宋体" w:eastAsia="宋体" w:cs="宋体"/>
                <w:color w:val="auto"/>
                <w:sz w:val="24"/>
                <w:szCs w:val="24"/>
                <w:highlight w:val="none"/>
              </w:rPr>
              <w:t>的最高</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限价</w:t>
            </w:r>
            <w:r>
              <w:rPr>
                <w:rFonts w:hint="eastAsia" w:ascii="宋体" w:hAnsi="宋体" w:cs="宋体"/>
                <w:color w:val="auto"/>
                <w:sz w:val="24"/>
                <w:szCs w:val="24"/>
                <w:highlight w:val="none"/>
                <w:lang w:eastAsia="zh-CN"/>
              </w:rPr>
              <w:t>；</w:t>
            </w:r>
          </w:p>
          <w:p w14:paraId="7D2A9961">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（4）投标报价的大写金额能够确定具体数值</w:t>
            </w:r>
            <w:r>
              <w:rPr>
                <w:rFonts w:hint="eastAsia" w:ascii="宋体" w:hAnsi="宋体" w:cs="宋体"/>
                <w:color w:val="auto"/>
                <w:sz w:val="24"/>
                <w:szCs w:val="24"/>
                <w:highlight w:val="none"/>
                <w:lang w:eastAsia="zh-CN"/>
              </w:rPr>
              <w:t>；</w:t>
            </w:r>
          </w:p>
          <w:p w14:paraId="56C69224">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（5）同一投标人</w:t>
            </w:r>
            <w:r>
              <w:rPr>
                <w:rFonts w:hint="eastAsia" w:ascii="宋体" w:hAnsi="宋体" w:cs="宋体"/>
                <w:color w:val="auto"/>
                <w:sz w:val="24"/>
                <w:szCs w:val="24"/>
                <w:highlight w:val="none"/>
                <w:lang w:val="en-US" w:eastAsia="zh-CN"/>
              </w:rPr>
              <w:t>对同一标段</w:t>
            </w:r>
            <w:r>
              <w:rPr>
                <w:rFonts w:hint="eastAsia" w:ascii="宋体" w:hAnsi="宋体" w:eastAsia="宋体" w:cs="宋体"/>
                <w:color w:val="auto"/>
                <w:sz w:val="24"/>
                <w:szCs w:val="24"/>
                <w:highlight w:val="none"/>
              </w:rPr>
              <w:t>未提交两个</w:t>
            </w:r>
            <w:r>
              <w:rPr>
                <w:rFonts w:hint="eastAsia" w:ascii="宋体" w:hAnsi="宋体" w:cs="宋体"/>
                <w:color w:val="auto"/>
                <w:sz w:val="24"/>
                <w:szCs w:val="24"/>
                <w:highlight w:val="none"/>
                <w:lang w:val="en-US" w:eastAsia="zh-CN"/>
              </w:rPr>
              <w:t>及</w:t>
            </w:r>
            <w:r>
              <w:rPr>
                <w:rFonts w:hint="eastAsia" w:ascii="宋体" w:hAnsi="宋体" w:eastAsia="宋体" w:cs="宋体"/>
                <w:color w:val="auto"/>
                <w:sz w:val="24"/>
                <w:szCs w:val="24"/>
                <w:highlight w:val="none"/>
              </w:rPr>
              <w:t>以上不同的投标报价</w:t>
            </w:r>
            <w:r>
              <w:rPr>
                <w:rFonts w:hint="eastAsia" w:ascii="宋体" w:hAnsi="宋体" w:cs="宋体"/>
                <w:color w:val="auto"/>
                <w:sz w:val="24"/>
                <w:szCs w:val="24"/>
                <w:highlight w:val="none"/>
                <w:lang w:eastAsia="zh-CN"/>
              </w:rPr>
              <w:t>；</w:t>
            </w:r>
          </w:p>
          <w:p w14:paraId="7DA11ED5">
            <w:pPr>
              <w:snapToGrid w:val="0"/>
              <w:spacing w:line="320" w:lineRule="exact"/>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cs="宋体"/>
                <w:strike w:val="0"/>
                <w:dstrike w:val="0"/>
                <w:color w:val="auto"/>
                <w:sz w:val="24"/>
                <w:szCs w:val="24"/>
                <w:highlight w:val="none"/>
                <w:lang w:val="en-US" w:eastAsia="zh-CN"/>
              </w:rPr>
              <w:t>分项报价表</w:t>
            </w:r>
            <w:r>
              <w:rPr>
                <w:rFonts w:hint="eastAsia" w:ascii="宋体" w:hAnsi="宋体" w:eastAsia="宋体" w:cs="宋体"/>
                <w:color w:val="auto"/>
                <w:sz w:val="24"/>
                <w:szCs w:val="24"/>
                <w:highlight w:val="none"/>
              </w:rPr>
              <w:t>中</w:t>
            </w:r>
            <w:r>
              <w:rPr>
                <w:rFonts w:hint="eastAsia" w:ascii="宋体" w:hAnsi="宋体" w:cs="宋体"/>
                <w:color w:val="auto"/>
                <w:sz w:val="24"/>
                <w:szCs w:val="24"/>
                <w:highlight w:val="none"/>
                <w:lang w:val="en-US" w:eastAsia="zh-CN"/>
              </w:rPr>
              <w:t>合计</w:t>
            </w:r>
            <w:r>
              <w:rPr>
                <w:rFonts w:hint="eastAsia" w:ascii="宋体" w:hAnsi="宋体" w:eastAsia="宋体" w:cs="宋体"/>
                <w:color w:val="auto"/>
                <w:sz w:val="24"/>
                <w:szCs w:val="24"/>
                <w:highlight w:val="none"/>
              </w:rPr>
              <w:t>金额与投标函</w:t>
            </w:r>
            <w:r>
              <w:rPr>
                <w:rFonts w:hint="eastAsia" w:ascii="宋体" w:hAnsi="宋体" w:cs="宋体"/>
                <w:color w:val="auto"/>
                <w:sz w:val="24"/>
                <w:szCs w:val="24"/>
                <w:highlight w:val="none"/>
                <w:lang w:eastAsia="zh-CN"/>
              </w:rPr>
              <w:t>投标报价</w:t>
            </w:r>
            <w:r>
              <w:rPr>
                <w:rFonts w:hint="eastAsia" w:ascii="宋体" w:hAnsi="宋体" w:eastAsia="宋体" w:cs="宋体"/>
                <w:color w:val="auto"/>
                <w:sz w:val="24"/>
                <w:szCs w:val="24"/>
                <w:highlight w:val="none"/>
              </w:rPr>
              <w:t>大写金额一致</w:t>
            </w:r>
            <w:r>
              <w:rPr>
                <w:rFonts w:hint="eastAsia" w:ascii="宋体" w:hAnsi="宋体" w:cs="宋体"/>
                <w:color w:val="auto"/>
                <w:sz w:val="24"/>
                <w:szCs w:val="24"/>
                <w:highlight w:val="none"/>
                <w:lang w:eastAsia="zh-CN"/>
              </w:rPr>
              <w:t>；</w:t>
            </w:r>
          </w:p>
          <w:p w14:paraId="32F7D52D">
            <w:pPr>
              <w:snapToGrid w:val="0"/>
              <w:spacing w:line="240" w:lineRule="auto"/>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（7）投标人递交的投标文件与所投标段一致。</w:t>
            </w:r>
          </w:p>
        </w:tc>
      </w:tr>
      <w:tr w14:paraId="3935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noWrap w:val="0"/>
            <w:vAlign w:val="center"/>
          </w:tcPr>
          <w:p w14:paraId="4EAB9D35">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1317" w:type="dxa"/>
            <w:noWrap w:val="0"/>
            <w:vAlign w:val="center"/>
          </w:tcPr>
          <w:p w14:paraId="7990A294">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w:t>
            </w:r>
          </w:p>
        </w:tc>
        <w:tc>
          <w:tcPr>
            <w:tcW w:w="7197" w:type="dxa"/>
            <w:noWrap w:val="0"/>
            <w:vAlign w:val="center"/>
          </w:tcPr>
          <w:p w14:paraId="74DA81C7">
            <w:pPr>
              <w:numPr>
                <w:ilvl w:val="0"/>
                <w:numId w:val="3"/>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投标人具备有效的企业营业执照复印件或依照《中华人民共和国民法典》规定取得的登记或批准文件复印件和基本账户开户许可证（或基本存款账户信息）；</w:t>
            </w:r>
          </w:p>
          <w:p w14:paraId="0DA69D5B">
            <w:pPr>
              <w:numPr>
                <w:ilvl w:val="0"/>
                <w:numId w:val="0"/>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（2）投标人的资质符合招标文件规定；</w:t>
            </w:r>
          </w:p>
          <w:p w14:paraId="693D02F7">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（3）投标人的类似项目业绩符合招标文件规定；</w:t>
            </w:r>
          </w:p>
          <w:p w14:paraId="208D46E7">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（4）投标人的信誉符合招标文件规定；</w:t>
            </w:r>
          </w:p>
          <w:p w14:paraId="36EF7BFD">
            <w:pPr>
              <w:snapToGrid w:val="0"/>
              <w:spacing w:line="240" w:lineRule="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（5）投标人的信誉符合招标文件规定</w:t>
            </w:r>
            <w:r>
              <w:rPr>
                <w:rFonts w:hint="eastAsia" w:ascii="宋体" w:hAnsi="宋体" w:cs="宋体"/>
                <w:color w:val="auto"/>
                <w:sz w:val="24"/>
                <w:szCs w:val="24"/>
                <w:highlight w:val="none"/>
                <w:lang w:eastAsia="zh-CN"/>
              </w:rPr>
              <w:t>；</w:t>
            </w:r>
          </w:p>
          <w:p w14:paraId="5D3738A7">
            <w:pPr>
              <w:snapToGrid w:val="0"/>
              <w:spacing w:line="24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投标人不存在第二章“投标人须知”第1.4.3项规定的任何一种情形。</w:t>
            </w:r>
          </w:p>
        </w:tc>
      </w:tr>
      <w:tr w14:paraId="3B69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1EDAB04C">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317" w:type="dxa"/>
            <w:noWrap w:val="0"/>
            <w:vAlign w:val="center"/>
          </w:tcPr>
          <w:p w14:paraId="7C832C37">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条款内容</w:t>
            </w:r>
          </w:p>
        </w:tc>
        <w:tc>
          <w:tcPr>
            <w:tcW w:w="7197" w:type="dxa"/>
            <w:noWrap w:val="0"/>
            <w:vAlign w:val="center"/>
          </w:tcPr>
          <w:p w14:paraId="08B845BD">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w:t>
            </w:r>
          </w:p>
        </w:tc>
      </w:tr>
      <w:tr w14:paraId="161F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19F7E2B5">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1317" w:type="dxa"/>
            <w:noWrap w:val="0"/>
            <w:vAlign w:val="center"/>
          </w:tcPr>
          <w:p w14:paraId="7C726AF8">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第一个信封</w:t>
            </w:r>
            <w:r>
              <w:rPr>
                <w:rFonts w:hint="eastAsia" w:ascii="宋体" w:hAnsi="宋体" w:eastAsia="宋体" w:cs="宋体"/>
                <w:color w:val="auto"/>
                <w:sz w:val="24"/>
                <w:szCs w:val="24"/>
                <w:highlight w:val="none"/>
              </w:rPr>
              <w:t>分值构成</w:t>
            </w:r>
          </w:p>
          <w:p w14:paraId="3FC5D5E5">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7197" w:type="dxa"/>
            <w:noWrap w:val="0"/>
            <w:vAlign w:val="center"/>
          </w:tcPr>
          <w:p w14:paraId="0424B65A">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0681543A">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cs="宋体"/>
                <w:color w:val="auto"/>
                <w:sz w:val="24"/>
                <w:szCs w:val="24"/>
                <w:highlight w:val="none"/>
                <w:lang w:val="en-US" w:eastAsia="zh-CN"/>
              </w:rPr>
              <w:t>80</w:t>
            </w:r>
            <w:r>
              <w:rPr>
                <w:rFonts w:hint="eastAsia" w:ascii="宋体" w:hAnsi="宋体" w:eastAsia="宋体" w:cs="宋体"/>
                <w:color w:val="auto"/>
                <w:sz w:val="24"/>
                <w:szCs w:val="24"/>
                <w:highlight w:val="none"/>
              </w:rPr>
              <w:t>分</w:t>
            </w:r>
          </w:p>
          <w:p w14:paraId="19386224">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其他评分因素：0分</w:t>
            </w:r>
          </w:p>
        </w:tc>
      </w:tr>
      <w:tr w14:paraId="68BE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82E2AAE">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1317" w:type="dxa"/>
            <w:noWrap w:val="0"/>
            <w:vAlign w:val="center"/>
          </w:tcPr>
          <w:p w14:paraId="173C7E7B">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第二个信封详细评审标准</w:t>
            </w:r>
          </w:p>
        </w:tc>
        <w:tc>
          <w:tcPr>
            <w:tcW w:w="7197" w:type="dxa"/>
            <w:noWrap w:val="0"/>
            <w:vAlign w:val="center"/>
          </w:tcPr>
          <w:p w14:paraId="0851748D">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评标价计算公式：</w:t>
            </w:r>
          </w:p>
          <w:p w14:paraId="6625E31B">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评标价=投标函文字报价。</w:t>
            </w:r>
          </w:p>
        </w:tc>
      </w:tr>
      <w:tr w14:paraId="3EC8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71343057">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w:t>
            </w:r>
          </w:p>
        </w:tc>
        <w:tc>
          <w:tcPr>
            <w:tcW w:w="1317" w:type="dxa"/>
            <w:noWrap w:val="0"/>
            <w:vAlign w:val="center"/>
          </w:tcPr>
          <w:p w14:paraId="5BF2C1C8">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通过第一个信封详细评审的投标人数量</w:t>
            </w:r>
          </w:p>
        </w:tc>
        <w:tc>
          <w:tcPr>
            <w:tcW w:w="7197" w:type="dxa"/>
            <w:noWrap w:val="0"/>
            <w:vAlign w:val="center"/>
          </w:tcPr>
          <w:p w14:paraId="7B0A98D9">
            <w:pPr>
              <w:adjustRightInd w:val="0"/>
              <w:snapToGrid w:val="0"/>
              <w:spacing w:line="240" w:lineRule="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按照投标人的</w:t>
            </w:r>
            <w:r>
              <w:rPr>
                <w:rFonts w:hint="eastAsia" w:ascii="宋体" w:hAnsi="宋体" w:eastAsia="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得分由高到低排序，选择前3名</w:t>
            </w:r>
            <w:r>
              <w:rPr>
                <w:rFonts w:hint="eastAsia" w:ascii="宋体" w:hAnsi="宋体" w:cs="宋体"/>
                <w:color w:val="auto"/>
                <w:sz w:val="24"/>
                <w:szCs w:val="24"/>
                <w:highlight w:val="none"/>
                <w:lang w:val="en-US" w:eastAsia="zh-CN"/>
              </w:rPr>
              <w:t>进入第二信封</w:t>
            </w:r>
            <w:r>
              <w:rPr>
                <w:rFonts w:hint="eastAsia" w:ascii="宋体" w:hAnsi="宋体" w:eastAsia="宋体" w:cs="宋体"/>
                <w:color w:val="auto"/>
                <w:sz w:val="24"/>
                <w:szCs w:val="24"/>
                <w:highlight w:val="none"/>
              </w:rPr>
              <w:t>评审</w:t>
            </w:r>
            <w:r>
              <w:rPr>
                <w:rFonts w:hint="eastAsia" w:ascii="宋体" w:hAnsi="宋体" w:cs="宋体"/>
                <w:color w:val="auto"/>
                <w:sz w:val="24"/>
                <w:szCs w:val="24"/>
                <w:highlight w:val="none"/>
                <w:lang w:eastAsia="zh-CN"/>
              </w:rPr>
              <w:t>。</w:t>
            </w:r>
          </w:p>
        </w:tc>
      </w:tr>
      <w:tr w14:paraId="2C3D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2460" w:type="dxa"/>
            <w:gridSpan w:val="2"/>
            <w:noWrap w:val="0"/>
            <w:vAlign w:val="center"/>
          </w:tcPr>
          <w:p w14:paraId="2DB92748">
            <w:pPr>
              <w:snapToGrid w:val="0"/>
              <w:spacing w:line="240" w:lineRule="auto"/>
              <w:jc w:val="center"/>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lang w:val="en-US" w:eastAsia="zh-CN"/>
              </w:rPr>
              <w:t>3.5.3异常低价评审</w:t>
            </w:r>
          </w:p>
        </w:tc>
        <w:tc>
          <w:tcPr>
            <w:tcW w:w="7197" w:type="dxa"/>
            <w:noWrap w:val="0"/>
            <w:vAlign w:val="center"/>
          </w:tcPr>
          <w:p w14:paraId="1CF2E554">
            <w:pPr>
              <w:snapToGrid w:val="0"/>
              <w:spacing w:line="240" w:lineRule="auto"/>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lang w:val="en-US" w:eastAsia="zh-CN"/>
              </w:rPr>
              <w:t>本款修改为：</w:t>
            </w:r>
          </w:p>
          <w:p w14:paraId="6F16B65D">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u w:val="none"/>
                <w:lang w:val="en-US" w:eastAsia="zh-CN"/>
              </w:rPr>
              <w:t>评标委员会发现投标人的投标报价低于第二信封</w:t>
            </w:r>
            <w:r>
              <w:rPr>
                <w:rFonts w:hint="eastAsia" w:ascii="宋体" w:hAnsi="宋体" w:cs="宋体"/>
                <w:strike w:val="0"/>
                <w:dstrike w:val="0"/>
                <w:color w:val="auto"/>
                <w:sz w:val="24"/>
                <w:szCs w:val="24"/>
                <w:highlight w:val="none"/>
                <w:u w:val="none"/>
                <w:lang w:val="en-US" w:eastAsia="zh-CN"/>
              </w:rPr>
              <w:t>通过</w:t>
            </w:r>
            <w:r>
              <w:rPr>
                <w:rFonts w:hint="eastAsia" w:ascii="宋体" w:hAnsi="宋体" w:eastAsia="宋体" w:cs="宋体"/>
                <w:strike w:val="0"/>
                <w:dstrike w:val="0"/>
                <w:color w:val="auto"/>
                <w:sz w:val="24"/>
                <w:szCs w:val="24"/>
                <w:highlight w:val="none"/>
                <w:u w:val="none"/>
                <w:lang w:val="en-US" w:eastAsia="zh-CN"/>
              </w:rPr>
              <w:t>形式评审与响应性评审的投标人投标报价平均值的50%(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2C3D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89C9B36">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3.6.1</w:t>
            </w:r>
          </w:p>
        </w:tc>
        <w:tc>
          <w:tcPr>
            <w:tcW w:w="1317" w:type="dxa"/>
            <w:noWrap w:val="0"/>
            <w:vAlign w:val="center"/>
          </w:tcPr>
          <w:p w14:paraId="4F12177E">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信息查询</w:t>
            </w:r>
          </w:p>
        </w:tc>
        <w:tc>
          <w:tcPr>
            <w:tcW w:w="7197" w:type="dxa"/>
            <w:noWrap w:val="0"/>
            <w:vAlign w:val="center"/>
          </w:tcPr>
          <w:p w14:paraId="66CF137D">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本项修改为：</w:t>
            </w:r>
          </w:p>
          <w:p w14:paraId="53087C2A">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在评标过程中，评标委员会应对以下信息进行查询：</w:t>
            </w:r>
          </w:p>
          <w:p w14:paraId="7291EDB4">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1.评标委员会在评标过程中将对投标人的信誉情况进行查询。如投标人存在下列情形之一的，评标委员会应否决其投标。</w:t>
            </w:r>
          </w:p>
          <w:p w14:paraId="5FF1EB0A">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（1）在国家企业信用信息公示系统（https://www.gsxt.gov.cn/）中被列入严重违法失信名单（黑名单）（不含分公司，事业单位不适用）；</w:t>
            </w:r>
          </w:p>
          <w:p w14:paraId="5B4DD13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（2）在“信用中国”网站（http://www.creditchina.gov.cn/）中被列入经营（活动）异常名录、重大税收违法失信主体名单和政府采购严重违法失信行为记录名单（均不含分公司）；</w:t>
            </w:r>
          </w:p>
          <w:p w14:paraId="0938EC43">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（3）在中国执行信息公开网（zxgk.court.gov.cn）中被列入失信被执行人（不含分公司）。</w:t>
            </w:r>
          </w:p>
          <w:p w14:paraId="382D5363">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注:以上查询结果以开标当日查询结果为准。</w:t>
            </w:r>
          </w:p>
          <w:p w14:paraId="6E7CEBBB">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评标委员会在评标时按照投标人提供的验证方式对电子保函或电子保证保险进行验证。如投标人未提供电子保函或电子保证保险的验证方式，或根据提供的验证方式无法核实或经核实与投标文件所附资料不一致的，评标委员会应否决其投标</w:t>
            </w:r>
            <w:r>
              <w:rPr>
                <w:rFonts w:hint="eastAsia" w:ascii="宋体" w:hAnsi="宋体" w:cs="宋体"/>
                <w:color w:val="auto"/>
                <w:sz w:val="24"/>
                <w:szCs w:val="24"/>
                <w:highlight w:val="none"/>
                <w:lang w:eastAsia="zh-CN"/>
              </w:rPr>
              <w:t>。</w:t>
            </w:r>
          </w:p>
        </w:tc>
      </w:tr>
      <w:tr w14:paraId="29A6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504207B4">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3.6.3</w:t>
            </w:r>
          </w:p>
        </w:tc>
        <w:tc>
          <w:tcPr>
            <w:tcW w:w="1317" w:type="dxa"/>
            <w:noWrap w:val="0"/>
            <w:vAlign w:val="center"/>
          </w:tcPr>
          <w:p w14:paraId="4F8C4F1F">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投标人其他异常投标情形</w:t>
            </w:r>
          </w:p>
        </w:tc>
        <w:tc>
          <w:tcPr>
            <w:tcW w:w="7197" w:type="dxa"/>
            <w:noWrap w:val="0"/>
            <w:vAlign w:val="center"/>
          </w:tcPr>
          <w:p w14:paraId="2F1DE67C">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评标委员会在评标过程中发现存在投标文件异常一致或投标活动异常关联等异常投标情形的，</w:t>
            </w:r>
            <w:r>
              <w:rPr>
                <w:rFonts w:hint="eastAsia" w:ascii="宋体" w:hAnsi="宋体" w:eastAsia="宋体" w:cs="宋体"/>
                <w:strike w:val="0"/>
                <w:dstrike w:val="0"/>
                <w:color w:val="auto"/>
                <w:sz w:val="24"/>
                <w:szCs w:val="24"/>
                <w:highlight w:val="none"/>
                <w:u w:val="none"/>
              </w:rPr>
              <w:t>应当要求投标人在规定时间内作出书面说明并提供相应的证明材料。投标人不能合理说明或者不能提供相应证明材料的，评标委员会应当</w:t>
            </w:r>
            <w:r>
              <w:rPr>
                <w:rFonts w:hint="eastAsia" w:ascii="宋体" w:hAnsi="宋体" w:eastAsia="宋体" w:cs="宋体"/>
                <w:strike w:val="0"/>
                <w:dstrike w:val="0"/>
                <w:color w:val="auto"/>
                <w:sz w:val="24"/>
                <w:szCs w:val="24"/>
                <w:highlight w:val="none"/>
                <w:lang w:val="en-US" w:eastAsia="zh-CN"/>
              </w:rPr>
              <w:t>否决其投标。</w:t>
            </w:r>
          </w:p>
          <w:p w14:paraId="112E03DA">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有下列情形之一的，属于投标文件异常一致或投标活动异常关联等异常投标情形：</w:t>
            </w:r>
          </w:p>
          <w:p w14:paraId="448DC0BF">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（1）投标人投标文件制作机器码雷同；</w:t>
            </w:r>
          </w:p>
          <w:p w14:paraId="20BBB858">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（2）投标文件创建标识码雷同；</w:t>
            </w:r>
          </w:p>
          <w:p w14:paraId="28A09E48">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（3）投标文件制作计算机MAC地址雷同；</w:t>
            </w:r>
          </w:p>
          <w:p w14:paraId="32601F4F">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（4）投标文件制作计算机硬盘序列号雷同；</w:t>
            </w:r>
          </w:p>
          <w:p w14:paraId="64344123">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w:t>
            </w:r>
            <w:r>
              <w:rPr>
                <w:rFonts w:hint="eastAsia" w:ascii="宋体" w:hAnsi="宋体" w:cs="宋体"/>
                <w:strike w:val="0"/>
                <w:dstrike w:val="0"/>
                <w:color w:val="auto"/>
                <w:sz w:val="24"/>
                <w:szCs w:val="24"/>
                <w:highlight w:val="none"/>
                <w:lang w:val="en-US" w:eastAsia="zh-CN"/>
              </w:rPr>
              <w:t>5</w:t>
            </w:r>
            <w:r>
              <w:rPr>
                <w:rFonts w:hint="eastAsia" w:ascii="宋体" w:hAnsi="宋体" w:eastAsia="宋体" w:cs="宋体"/>
                <w:strike w:val="0"/>
                <w:dstrike w:val="0"/>
                <w:color w:val="auto"/>
                <w:sz w:val="24"/>
                <w:szCs w:val="24"/>
                <w:highlight w:val="none"/>
                <w:lang w:val="en-US" w:eastAsia="zh-CN"/>
              </w:rPr>
              <w:t>）投标文件上传IP地址雷同；</w:t>
            </w:r>
          </w:p>
          <w:p w14:paraId="1F8BA179">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w:t>
            </w:r>
            <w:r>
              <w:rPr>
                <w:rFonts w:hint="eastAsia" w:ascii="宋体" w:hAnsi="宋体" w:cs="宋体"/>
                <w:strike w:val="0"/>
                <w:dstrike w:val="0"/>
                <w:color w:val="auto"/>
                <w:sz w:val="24"/>
                <w:szCs w:val="24"/>
                <w:highlight w:val="none"/>
                <w:lang w:val="en-US" w:eastAsia="zh-CN"/>
              </w:rPr>
              <w:t>6</w:t>
            </w:r>
            <w:r>
              <w:rPr>
                <w:rFonts w:hint="eastAsia" w:ascii="宋体" w:hAnsi="宋体" w:eastAsia="宋体" w:cs="宋体"/>
                <w:strike w:val="0"/>
                <w:dstrike w:val="0"/>
                <w:color w:val="auto"/>
                <w:sz w:val="24"/>
                <w:szCs w:val="24"/>
                <w:highlight w:val="none"/>
                <w:lang w:val="en-US" w:eastAsia="zh-CN"/>
              </w:rPr>
              <w:t>）投标文件解密IP地址雷同。</w:t>
            </w:r>
          </w:p>
        </w:tc>
      </w:tr>
    </w:tbl>
    <w:p w14:paraId="53450703">
      <w:pPr>
        <w:adjustRightInd w:val="0"/>
        <w:snapToGrid w:val="0"/>
        <w:spacing w:line="360" w:lineRule="auto"/>
        <w:textAlignment w:val="baseline"/>
        <w:rPr>
          <w:rFonts w:ascii="宋体" w:hAnsi="宋体"/>
          <w:b/>
          <w:bCs/>
          <w:snapToGrid w:val="0"/>
          <w:color w:val="auto"/>
          <w:kern w:val="0"/>
          <w:sz w:val="28"/>
          <w:szCs w:val="24"/>
          <w:highlight w:val="none"/>
        </w:rPr>
      </w:pPr>
      <w:r>
        <w:rPr>
          <w:rFonts w:hint="eastAsia" w:ascii="宋体" w:hAnsi="宋体"/>
          <w:b/>
          <w:bCs/>
          <w:snapToGrid w:val="0"/>
          <w:color w:val="auto"/>
          <w:kern w:val="0"/>
          <w:sz w:val="28"/>
          <w:szCs w:val="24"/>
          <w:highlight w:val="none"/>
        </w:rPr>
        <w:br w:type="page"/>
      </w:r>
      <w:r>
        <w:rPr>
          <w:rFonts w:hint="eastAsia" w:ascii="宋体" w:hAnsi="宋体"/>
          <w:b/>
          <w:bCs/>
          <w:snapToGrid w:val="0"/>
          <w:color w:val="auto"/>
          <w:kern w:val="0"/>
          <w:sz w:val="28"/>
          <w:szCs w:val="24"/>
          <w:highlight w:val="none"/>
        </w:rPr>
        <w:t>评分标准</w:t>
      </w:r>
    </w:p>
    <w:tbl>
      <w:tblPr>
        <w:tblStyle w:val="10"/>
        <w:tblpPr w:leftFromText="180" w:rightFromText="180" w:vertAnchor="text" w:tblpXSpec="center" w:tblpY="1"/>
        <w:tblOverlap w:val="never"/>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86"/>
        <w:gridCol w:w="2216"/>
        <w:gridCol w:w="894"/>
        <w:gridCol w:w="4119"/>
      </w:tblGrid>
      <w:tr w14:paraId="5654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59" w:type="dxa"/>
            <w:noWrap w:val="0"/>
            <w:vAlign w:val="center"/>
          </w:tcPr>
          <w:p w14:paraId="16635C36">
            <w:pPr>
              <w:pStyle w:val="7"/>
              <w:jc w:val="center"/>
              <w:textAlignment w:val="baseline"/>
              <w:rPr>
                <w:rFonts w:hint="eastAsia" w:hAnsi="宋体" w:cs="宋体"/>
                <w:color w:val="auto"/>
                <w:kern w:val="0"/>
                <w:sz w:val="24"/>
                <w:szCs w:val="24"/>
                <w:highlight w:val="none"/>
              </w:rPr>
            </w:pPr>
            <w:r>
              <w:rPr>
                <w:rFonts w:hint="eastAsia" w:hAnsi="宋体" w:cs="宋体"/>
                <w:color w:val="auto"/>
                <w:sz w:val="24"/>
                <w:szCs w:val="24"/>
                <w:highlight w:val="none"/>
              </w:rPr>
              <w:t>条款号</w:t>
            </w:r>
          </w:p>
        </w:tc>
        <w:tc>
          <w:tcPr>
            <w:tcW w:w="1186" w:type="dxa"/>
            <w:noWrap w:val="0"/>
            <w:vAlign w:val="center"/>
          </w:tcPr>
          <w:p w14:paraId="470BBE6F">
            <w:pPr>
              <w:pStyle w:val="7"/>
              <w:jc w:val="center"/>
              <w:textAlignment w:val="baseline"/>
              <w:rPr>
                <w:rFonts w:hAnsi="宋体" w:cs="宋体"/>
                <w:color w:val="auto"/>
                <w:sz w:val="24"/>
                <w:szCs w:val="24"/>
                <w:highlight w:val="none"/>
              </w:rPr>
            </w:pPr>
            <w:r>
              <w:rPr>
                <w:rFonts w:hint="eastAsia" w:hAnsi="宋体" w:cs="宋体"/>
                <w:color w:val="auto"/>
                <w:sz w:val="24"/>
                <w:szCs w:val="24"/>
                <w:highlight w:val="none"/>
              </w:rPr>
              <w:t>评分</w:t>
            </w:r>
          </w:p>
          <w:p w14:paraId="7BC0C742">
            <w:pPr>
              <w:pStyle w:val="7"/>
              <w:jc w:val="center"/>
              <w:textAlignment w:val="baseline"/>
              <w:rPr>
                <w:rFonts w:hint="eastAsia" w:hAnsi="宋体" w:cs="宋体"/>
                <w:color w:val="auto"/>
                <w:sz w:val="24"/>
                <w:szCs w:val="24"/>
                <w:highlight w:val="none"/>
              </w:rPr>
            </w:pPr>
            <w:r>
              <w:rPr>
                <w:rFonts w:hint="eastAsia" w:hAnsi="宋体" w:cs="宋体"/>
                <w:color w:val="auto"/>
                <w:sz w:val="24"/>
                <w:szCs w:val="24"/>
                <w:highlight w:val="none"/>
              </w:rPr>
              <w:t>因素</w:t>
            </w:r>
          </w:p>
        </w:tc>
        <w:tc>
          <w:tcPr>
            <w:tcW w:w="2216" w:type="dxa"/>
            <w:noWrap w:val="0"/>
            <w:vAlign w:val="center"/>
          </w:tcPr>
          <w:p w14:paraId="4037A47A">
            <w:pPr>
              <w:adjustRightInd w:val="0"/>
              <w:snapToGrid w:val="0"/>
              <w:jc w:val="center"/>
              <w:rPr>
                <w:rFonts w:ascii="宋体" w:hAnsi="宋体" w:cs="宋体"/>
                <w:color w:val="auto"/>
                <w:sz w:val="24"/>
                <w:szCs w:val="24"/>
                <w:highlight w:val="none"/>
                <w:u w:val="single"/>
              </w:rPr>
            </w:pPr>
            <w:r>
              <w:rPr>
                <w:rFonts w:hint="eastAsia" w:ascii="宋体" w:hAnsi="宋体" w:cs="宋体"/>
                <w:color w:val="auto"/>
                <w:sz w:val="24"/>
                <w:szCs w:val="24"/>
                <w:highlight w:val="none"/>
              </w:rPr>
              <w:t>评分因素</w:t>
            </w:r>
          </w:p>
        </w:tc>
        <w:tc>
          <w:tcPr>
            <w:tcW w:w="894" w:type="dxa"/>
            <w:noWrap w:val="0"/>
            <w:vAlign w:val="center"/>
          </w:tcPr>
          <w:p w14:paraId="4C5C7B78">
            <w:pPr>
              <w:jc w:val="center"/>
              <w:rPr>
                <w:rFonts w:ascii="宋体" w:hAnsi="宋体" w:cs="宋体"/>
                <w:color w:val="auto"/>
                <w:sz w:val="24"/>
                <w:szCs w:val="24"/>
                <w:highlight w:val="none"/>
              </w:rPr>
            </w:pPr>
            <w:r>
              <w:rPr>
                <w:rFonts w:ascii="宋体" w:hAnsi="宋体" w:cs="宋体"/>
                <w:color w:val="auto"/>
                <w:spacing w:val="-3"/>
                <w:sz w:val="24"/>
                <w:szCs w:val="24"/>
                <w:highlight w:val="none"/>
              </w:rPr>
              <w:t>分</w:t>
            </w:r>
            <w:r>
              <w:rPr>
                <w:rFonts w:ascii="宋体" w:hAnsi="宋体" w:cs="宋体"/>
                <w:color w:val="auto"/>
                <w:spacing w:val="-2"/>
                <w:sz w:val="24"/>
                <w:szCs w:val="24"/>
                <w:highlight w:val="none"/>
              </w:rPr>
              <w:t>值</w:t>
            </w:r>
          </w:p>
        </w:tc>
        <w:tc>
          <w:tcPr>
            <w:tcW w:w="4119" w:type="dxa"/>
            <w:noWrap w:val="0"/>
            <w:vAlign w:val="center"/>
          </w:tcPr>
          <w:p w14:paraId="3B59C585">
            <w:pPr>
              <w:jc w:val="center"/>
              <w:rPr>
                <w:rFonts w:ascii="宋体" w:hAnsi="宋体" w:cs="宋体"/>
                <w:color w:val="auto"/>
                <w:spacing w:val="-3"/>
                <w:sz w:val="24"/>
                <w:szCs w:val="24"/>
                <w:highlight w:val="none"/>
              </w:rPr>
            </w:pPr>
            <w:r>
              <w:rPr>
                <w:rFonts w:ascii="宋体" w:hAnsi="宋体" w:cs="宋体"/>
                <w:color w:val="auto"/>
                <w:spacing w:val="-1"/>
                <w:sz w:val="24"/>
                <w:szCs w:val="24"/>
                <w:highlight w:val="none"/>
              </w:rPr>
              <w:t>评分</w:t>
            </w:r>
            <w:r>
              <w:rPr>
                <w:rFonts w:ascii="宋体" w:hAnsi="宋体" w:cs="宋体"/>
                <w:color w:val="auto"/>
                <w:sz w:val="24"/>
                <w:szCs w:val="24"/>
                <w:highlight w:val="none"/>
              </w:rPr>
              <w:t>标准</w:t>
            </w:r>
          </w:p>
        </w:tc>
      </w:tr>
      <w:tr w14:paraId="12CA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restart"/>
            <w:noWrap w:val="0"/>
            <w:vAlign w:val="center"/>
          </w:tcPr>
          <w:p w14:paraId="2E6AB45E">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74364ED9">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(1)</w:t>
            </w:r>
          </w:p>
        </w:tc>
        <w:tc>
          <w:tcPr>
            <w:tcW w:w="1186" w:type="dxa"/>
            <w:vMerge w:val="restart"/>
            <w:noWrap w:val="0"/>
            <w:vAlign w:val="center"/>
          </w:tcPr>
          <w:p w14:paraId="6442CCFF">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商务部分</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分）</w:t>
            </w:r>
          </w:p>
        </w:tc>
        <w:tc>
          <w:tcPr>
            <w:tcW w:w="2216" w:type="dxa"/>
            <w:vMerge w:val="restart"/>
            <w:noWrap w:val="0"/>
            <w:vAlign w:val="center"/>
          </w:tcPr>
          <w:p w14:paraId="1B482012">
            <w:pPr>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业绩</w:t>
            </w:r>
          </w:p>
        </w:tc>
        <w:tc>
          <w:tcPr>
            <w:tcW w:w="894" w:type="dxa"/>
            <w:vMerge w:val="restart"/>
            <w:noWrap w:val="0"/>
            <w:vAlign w:val="center"/>
          </w:tcPr>
          <w:p w14:paraId="5CED0482">
            <w:pPr>
              <w:jc w:val="center"/>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0分</w:t>
            </w:r>
          </w:p>
        </w:tc>
        <w:tc>
          <w:tcPr>
            <w:tcW w:w="4119" w:type="dxa"/>
            <w:noWrap w:val="0"/>
            <w:vAlign w:val="center"/>
          </w:tcPr>
          <w:p w14:paraId="2C32BB29">
            <w:pPr>
              <w:ind w:right="113"/>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满足资格审查条件(业绩最低要求)得</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分；</w:t>
            </w:r>
          </w:p>
        </w:tc>
      </w:tr>
      <w:tr w14:paraId="73A9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59" w:type="dxa"/>
            <w:vMerge w:val="continue"/>
            <w:noWrap w:val="0"/>
            <w:vAlign w:val="center"/>
          </w:tcPr>
          <w:p w14:paraId="3094A2F3">
            <w:pPr>
              <w:jc w:val="center"/>
              <w:rPr>
                <w:rFonts w:hint="eastAsia" w:ascii="宋体" w:hAnsi="宋体" w:cs="宋体"/>
                <w:color w:val="auto"/>
                <w:kern w:val="0"/>
                <w:sz w:val="24"/>
                <w:szCs w:val="24"/>
                <w:highlight w:val="none"/>
              </w:rPr>
            </w:pPr>
          </w:p>
        </w:tc>
        <w:tc>
          <w:tcPr>
            <w:tcW w:w="1186" w:type="dxa"/>
            <w:vMerge w:val="continue"/>
            <w:noWrap w:val="0"/>
            <w:vAlign w:val="center"/>
          </w:tcPr>
          <w:p w14:paraId="2C895936">
            <w:pPr>
              <w:jc w:val="center"/>
              <w:rPr>
                <w:rFonts w:hint="eastAsia" w:ascii="宋体" w:hAnsi="宋体" w:cs="宋体"/>
                <w:color w:val="auto"/>
                <w:kern w:val="0"/>
                <w:sz w:val="24"/>
                <w:szCs w:val="24"/>
                <w:highlight w:val="none"/>
              </w:rPr>
            </w:pPr>
          </w:p>
        </w:tc>
        <w:tc>
          <w:tcPr>
            <w:tcW w:w="2216" w:type="dxa"/>
            <w:vMerge w:val="continue"/>
            <w:noWrap w:val="0"/>
            <w:vAlign w:val="center"/>
          </w:tcPr>
          <w:p w14:paraId="5E8A777C">
            <w:pPr>
              <w:adjustRightInd w:val="0"/>
              <w:snapToGrid w:val="0"/>
              <w:jc w:val="center"/>
              <w:rPr>
                <w:rFonts w:hint="eastAsia" w:ascii="宋体" w:hAnsi="宋体" w:eastAsia="宋体" w:cs="宋体"/>
                <w:color w:val="auto"/>
                <w:sz w:val="24"/>
                <w:szCs w:val="24"/>
                <w:highlight w:val="none"/>
              </w:rPr>
            </w:pPr>
          </w:p>
        </w:tc>
        <w:tc>
          <w:tcPr>
            <w:tcW w:w="894" w:type="dxa"/>
            <w:vMerge w:val="continue"/>
            <w:noWrap w:val="0"/>
            <w:vAlign w:val="center"/>
          </w:tcPr>
          <w:p w14:paraId="314C7524">
            <w:pPr>
              <w:jc w:val="center"/>
              <w:rPr>
                <w:rFonts w:hint="eastAsia" w:ascii="宋体" w:hAnsi="宋体" w:cs="宋体"/>
                <w:color w:val="auto"/>
                <w:kern w:val="0"/>
                <w:sz w:val="24"/>
                <w:szCs w:val="24"/>
                <w:highlight w:val="none"/>
              </w:rPr>
            </w:pPr>
          </w:p>
        </w:tc>
        <w:tc>
          <w:tcPr>
            <w:tcW w:w="4119" w:type="dxa"/>
            <w:noWrap w:val="0"/>
            <w:vAlign w:val="center"/>
          </w:tcPr>
          <w:p w14:paraId="6FD25F8B">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一标段：每增加1项满足资格审查条件（业绩最低要求）的供货业绩加2分，最多加8分</w:t>
            </w:r>
            <w:r>
              <w:rPr>
                <w:rFonts w:hint="eastAsia" w:ascii="宋体" w:hAnsi="宋体" w:cs="宋体"/>
                <w:color w:val="auto"/>
                <w:sz w:val="24"/>
                <w:szCs w:val="24"/>
                <w:highlight w:val="none"/>
                <w:lang w:val="en-US" w:eastAsia="zh-CN"/>
              </w:rPr>
              <w:t>。</w:t>
            </w:r>
          </w:p>
        </w:tc>
      </w:tr>
      <w:tr w14:paraId="12B0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exact"/>
          <w:jc w:val="center"/>
        </w:trPr>
        <w:tc>
          <w:tcPr>
            <w:tcW w:w="959" w:type="dxa"/>
            <w:vMerge w:val="continue"/>
            <w:noWrap w:val="0"/>
            <w:vAlign w:val="center"/>
          </w:tcPr>
          <w:p w14:paraId="658A156F">
            <w:pPr>
              <w:snapToGrid w:val="0"/>
              <w:spacing w:line="320" w:lineRule="exact"/>
              <w:rPr>
                <w:color w:val="auto"/>
                <w:highlight w:val="none"/>
              </w:rPr>
            </w:pPr>
          </w:p>
        </w:tc>
        <w:tc>
          <w:tcPr>
            <w:tcW w:w="1186" w:type="dxa"/>
            <w:vMerge w:val="continue"/>
            <w:noWrap w:val="0"/>
            <w:vAlign w:val="center"/>
          </w:tcPr>
          <w:p w14:paraId="5029C997">
            <w:pPr>
              <w:snapToGrid w:val="0"/>
              <w:spacing w:line="320" w:lineRule="exact"/>
              <w:rPr>
                <w:color w:val="auto"/>
                <w:highlight w:val="none"/>
              </w:rPr>
            </w:pPr>
          </w:p>
        </w:tc>
        <w:tc>
          <w:tcPr>
            <w:tcW w:w="2216" w:type="dxa"/>
            <w:vMerge w:val="continue"/>
            <w:noWrap w:val="0"/>
            <w:vAlign w:val="center"/>
          </w:tcPr>
          <w:p w14:paraId="5D095B12">
            <w:pPr>
              <w:snapToGrid w:val="0"/>
              <w:spacing w:line="320" w:lineRule="exact"/>
              <w:rPr>
                <w:color w:val="auto"/>
                <w:highlight w:val="none"/>
              </w:rPr>
            </w:pPr>
          </w:p>
        </w:tc>
        <w:tc>
          <w:tcPr>
            <w:tcW w:w="894" w:type="dxa"/>
            <w:vMerge w:val="continue"/>
            <w:noWrap w:val="0"/>
            <w:vAlign w:val="center"/>
          </w:tcPr>
          <w:p w14:paraId="199E29FE">
            <w:pPr>
              <w:snapToGrid w:val="0"/>
              <w:spacing w:line="320" w:lineRule="exact"/>
              <w:rPr>
                <w:color w:val="auto"/>
                <w:highlight w:val="none"/>
              </w:rPr>
            </w:pPr>
          </w:p>
        </w:tc>
        <w:tc>
          <w:tcPr>
            <w:tcW w:w="4119" w:type="dxa"/>
            <w:noWrap w:val="0"/>
            <w:vAlign w:val="center"/>
          </w:tcPr>
          <w:p w14:paraId="559014A0">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二标段：每增加1项满足资格审查条件（业绩最低要求）的供货业绩加2分，最多加8分</w:t>
            </w:r>
            <w:r>
              <w:rPr>
                <w:rFonts w:hint="eastAsia" w:ascii="宋体" w:hAnsi="宋体" w:cs="宋体"/>
                <w:color w:val="auto"/>
                <w:sz w:val="24"/>
                <w:szCs w:val="24"/>
                <w:highlight w:val="none"/>
                <w:lang w:val="en-US" w:eastAsia="zh-CN"/>
              </w:rPr>
              <w:t>。</w:t>
            </w:r>
          </w:p>
        </w:tc>
      </w:tr>
      <w:tr w14:paraId="2694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59" w:type="dxa"/>
            <w:vMerge w:val="continue"/>
            <w:noWrap w:val="0"/>
            <w:vAlign w:val="center"/>
          </w:tcPr>
          <w:p w14:paraId="0773CF73">
            <w:pPr>
              <w:snapToGrid w:val="0"/>
              <w:spacing w:line="320" w:lineRule="exact"/>
              <w:rPr>
                <w:rFonts w:hint="eastAsia" w:ascii="宋体" w:hAnsi="宋体" w:cs="宋体"/>
                <w:color w:val="auto"/>
                <w:sz w:val="24"/>
                <w:szCs w:val="24"/>
                <w:highlight w:val="none"/>
              </w:rPr>
            </w:pPr>
          </w:p>
        </w:tc>
        <w:tc>
          <w:tcPr>
            <w:tcW w:w="1186" w:type="dxa"/>
            <w:vMerge w:val="continue"/>
            <w:noWrap w:val="0"/>
            <w:vAlign w:val="center"/>
          </w:tcPr>
          <w:p w14:paraId="0114631F">
            <w:pPr>
              <w:snapToGrid w:val="0"/>
              <w:spacing w:line="320" w:lineRule="exact"/>
              <w:rPr>
                <w:rFonts w:hint="eastAsia" w:ascii="宋体" w:hAnsi="宋体" w:cs="宋体"/>
                <w:color w:val="auto"/>
                <w:sz w:val="24"/>
                <w:szCs w:val="24"/>
                <w:highlight w:val="none"/>
              </w:rPr>
            </w:pPr>
          </w:p>
        </w:tc>
        <w:tc>
          <w:tcPr>
            <w:tcW w:w="2216" w:type="dxa"/>
            <w:vMerge w:val="continue"/>
            <w:noWrap w:val="0"/>
            <w:vAlign w:val="center"/>
          </w:tcPr>
          <w:p w14:paraId="7B0751B5">
            <w:pPr>
              <w:snapToGrid w:val="0"/>
              <w:spacing w:line="320" w:lineRule="exact"/>
              <w:rPr>
                <w:rFonts w:hint="eastAsia" w:ascii="宋体" w:hAnsi="宋体" w:cs="宋体"/>
                <w:color w:val="auto"/>
                <w:sz w:val="24"/>
                <w:szCs w:val="24"/>
                <w:highlight w:val="none"/>
              </w:rPr>
            </w:pPr>
          </w:p>
        </w:tc>
        <w:tc>
          <w:tcPr>
            <w:tcW w:w="894" w:type="dxa"/>
            <w:vMerge w:val="continue"/>
            <w:noWrap w:val="0"/>
            <w:vAlign w:val="center"/>
          </w:tcPr>
          <w:p w14:paraId="4CA87FA2">
            <w:pPr>
              <w:snapToGrid w:val="0"/>
              <w:spacing w:line="320" w:lineRule="exact"/>
              <w:rPr>
                <w:rFonts w:hint="eastAsia" w:ascii="宋体" w:hAnsi="宋体" w:cs="宋体"/>
                <w:color w:val="auto"/>
                <w:sz w:val="24"/>
                <w:szCs w:val="24"/>
                <w:highlight w:val="none"/>
              </w:rPr>
            </w:pPr>
          </w:p>
        </w:tc>
        <w:tc>
          <w:tcPr>
            <w:tcW w:w="4119" w:type="dxa"/>
            <w:noWrap w:val="0"/>
            <w:vAlign w:val="center"/>
          </w:tcPr>
          <w:p w14:paraId="7FC31A9D">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三标段：每增加1项满足资格审查条件（业绩最低要求）的供货业绩加2分，最多加8分</w:t>
            </w:r>
            <w:r>
              <w:rPr>
                <w:rFonts w:hint="eastAsia" w:ascii="宋体" w:hAnsi="宋体" w:cs="宋体"/>
                <w:color w:val="auto"/>
                <w:sz w:val="24"/>
                <w:szCs w:val="24"/>
                <w:highlight w:val="none"/>
                <w:lang w:val="en-US" w:eastAsia="zh-CN"/>
              </w:rPr>
              <w:t>。</w:t>
            </w:r>
          </w:p>
        </w:tc>
      </w:tr>
      <w:tr w14:paraId="1C2C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restart"/>
            <w:noWrap w:val="0"/>
            <w:vAlign w:val="center"/>
          </w:tcPr>
          <w:p w14:paraId="148DD12A">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70A05FA3">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1186" w:type="dxa"/>
            <w:vMerge w:val="restart"/>
            <w:noWrap w:val="0"/>
            <w:vAlign w:val="center"/>
          </w:tcPr>
          <w:p w14:paraId="308069D7">
            <w:pPr>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技术部分</w:t>
            </w:r>
          </w:p>
          <w:p w14:paraId="36E5D0CA">
            <w:pPr>
              <w:pStyle w:val="5"/>
              <w:jc w:val="both"/>
              <w:rPr>
                <w:rFonts w:hint="eastAsia"/>
                <w:color w:val="auto"/>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8</w:t>
            </w:r>
            <w:r>
              <w:rPr>
                <w:color w:val="auto"/>
                <w:sz w:val="24"/>
                <w:szCs w:val="24"/>
                <w:highlight w:val="none"/>
                <w:lang w:eastAsia="zh-CN"/>
              </w:rPr>
              <w:t>0</w:t>
            </w:r>
            <w:r>
              <w:rPr>
                <w:rFonts w:hint="eastAsia"/>
                <w:color w:val="auto"/>
                <w:sz w:val="24"/>
                <w:szCs w:val="24"/>
                <w:highlight w:val="none"/>
                <w:lang w:eastAsia="zh-CN"/>
              </w:rPr>
              <w:t>分）</w:t>
            </w:r>
          </w:p>
        </w:tc>
        <w:tc>
          <w:tcPr>
            <w:tcW w:w="2216" w:type="dxa"/>
            <w:noWrap w:val="0"/>
            <w:vAlign w:val="center"/>
          </w:tcPr>
          <w:p w14:paraId="21A67F92">
            <w:pPr>
              <w:adjustRightInd w:val="0"/>
              <w:snapToGrid w:val="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投标设备整体评价</w:t>
            </w:r>
          </w:p>
        </w:tc>
        <w:tc>
          <w:tcPr>
            <w:tcW w:w="894" w:type="dxa"/>
            <w:noWrap w:val="0"/>
            <w:vAlign w:val="center"/>
          </w:tcPr>
          <w:p w14:paraId="3EC9F376">
            <w:pPr>
              <w:jc w:val="center"/>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ascii="宋体" w:hAnsi="宋体" w:cs="宋体"/>
                <w:color w:val="auto"/>
                <w:kern w:val="0"/>
                <w:sz w:val="24"/>
                <w:szCs w:val="24"/>
                <w:highlight w:val="none"/>
              </w:rPr>
              <w:t>0</w:t>
            </w:r>
            <w:r>
              <w:rPr>
                <w:rFonts w:hint="eastAsia" w:ascii="宋体" w:hAnsi="宋体" w:cs="宋体"/>
                <w:color w:val="auto"/>
                <w:kern w:val="0"/>
                <w:sz w:val="24"/>
                <w:szCs w:val="24"/>
                <w:highlight w:val="none"/>
              </w:rPr>
              <w:t>分</w:t>
            </w:r>
          </w:p>
        </w:tc>
        <w:tc>
          <w:tcPr>
            <w:tcW w:w="4119" w:type="dxa"/>
            <w:noWrap w:val="0"/>
            <w:vAlign w:val="center"/>
          </w:tcPr>
          <w:p w14:paraId="627FD251">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1.设备整体性能优越、功能齐全、完善，自动化水平高，完全满足招标文件要求，得</w:t>
            </w:r>
            <w:r>
              <w:rPr>
                <w:rFonts w:hint="eastAsia" w:ascii="宋体" w:hAnsi="宋体" w:eastAsia="宋体" w:cs="宋体"/>
                <w:color w:val="auto"/>
                <w:sz w:val="24"/>
                <w:szCs w:val="24"/>
                <w:highlight w:val="none"/>
                <w:lang w:val="en-US" w:eastAsia="zh-CN"/>
              </w:rPr>
              <w:t>16-20</w:t>
            </w:r>
            <w:r>
              <w:rPr>
                <w:rFonts w:hint="eastAsia" w:ascii="宋体" w:hAnsi="宋体" w:eastAsia="宋体" w:cs="宋体"/>
                <w:color w:val="auto"/>
                <w:sz w:val="24"/>
                <w:szCs w:val="24"/>
                <w:highlight w:val="none"/>
              </w:rPr>
              <w:t>分；</w:t>
            </w:r>
          </w:p>
          <w:p w14:paraId="080B2078">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2.设备整体性能较高、功能较齐全、较完善，自动化水平较高，满足招标文件要求，得</w:t>
            </w:r>
            <w:r>
              <w:rPr>
                <w:rFonts w:hint="eastAsia" w:ascii="宋体" w:hAnsi="宋体" w:eastAsia="宋体" w:cs="宋体"/>
                <w:color w:val="auto"/>
                <w:sz w:val="24"/>
                <w:szCs w:val="24"/>
                <w:highlight w:val="none"/>
                <w:lang w:val="en-US" w:eastAsia="zh-CN"/>
              </w:rPr>
              <w:t>12-16</w:t>
            </w:r>
            <w:r>
              <w:rPr>
                <w:rFonts w:hint="eastAsia" w:ascii="宋体" w:hAnsi="宋体" w:eastAsia="宋体" w:cs="宋体"/>
                <w:color w:val="auto"/>
                <w:sz w:val="24"/>
                <w:szCs w:val="24"/>
                <w:highlight w:val="none"/>
              </w:rPr>
              <w:t>分；</w:t>
            </w:r>
          </w:p>
          <w:p w14:paraId="5928FCC7">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3.设备整体性能一般，功能一般，自动化水平一般，基本满足招标文件要求，得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74A4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59" w:type="dxa"/>
            <w:vMerge w:val="continue"/>
            <w:noWrap w:val="0"/>
            <w:vAlign w:val="center"/>
          </w:tcPr>
          <w:p w14:paraId="58F872C2">
            <w:pPr>
              <w:jc w:val="center"/>
              <w:rPr>
                <w:rFonts w:hint="eastAsia" w:ascii="宋体" w:hAnsi="宋体" w:cs="宋体"/>
                <w:color w:val="auto"/>
                <w:kern w:val="0"/>
                <w:sz w:val="24"/>
                <w:szCs w:val="24"/>
                <w:highlight w:val="none"/>
              </w:rPr>
            </w:pPr>
          </w:p>
        </w:tc>
        <w:tc>
          <w:tcPr>
            <w:tcW w:w="1186" w:type="dxa"/>
            <w:vMerge w:val="continue"/>
            <w:noWrap w:val="0"/>
            <w:vAlign w:val="center"/>
          </w:tcPr>
          <w:p w14:paraId="7AC0B528">
            <w:pPr>
              <w:jc w:val="center"/>
              <w:rPr>
                <w:rFonts w:hint="eastAsia" w:ascii="宋体" w:hAnsi="宋体" w:cs="宋体"/>
                <w:color w:val="auto"/>
                <w:kern w:val="0"/>
                <w:sz w:val="24"/>
                <w:szCs w:val="24"/>
                <w:highlight w:val="none"/>
              </w:rPr>
            </w:pPr>
          </w:p>
        </w:tc>
        <w:tc>
          <w:tcPr>
            <w:tcW w:w="2216" w:type="dxa"/>
            <w:vMerge w:val="restart"/>
            <w:noWrap w:val="0"/>
            <w:vAlign w:val="center"/>
          </w:tcPr>
          <w:p w14:paraId="31125BF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投标设备技术性能指标响应程度</w:t>
            </w:r>
          </w:p>
        </w:tc>
        <w:tc>
          <w:tcPr>
            <w:tcW w:w="894" w:type="dxa"/>
            <w:vMerge w:val="restart"/>
            <w:noWrap w:val="0"/>
            <w:vAlign w:val="center"/>
          </w:tcPr>
          <w:p w14:paraId="39D66A36">
            <w:pPr>
              <w:jc w:val="center"/>
              <w:rPr>
                <w:rFonts w:hint="eastAsia" w:ascii="宋体" w:hAnsi="宋体" w:cs="宋体"/>
                <w:color w:val="auto"/>
                <w:kern w:val="0"/>
                <w:sz w:val="24"/>
                <w:szCs w:val="24"/>
                <w:highlight w:val="none"/>
                <w:u w:val="single"/>
              </w:rPr>
            </w:pPr>
            <w:r>
              <w:rPr>
                <w:rFonts w:ascii="宋体" w:hAnsi="宋体" w:cs="宋体"/>
                <w:color w:val="auto"/>
                <w:kern w:val="0"/>
                <w:sz w:val="24"/>
                <w:szCs w:val="24"/>
                <w:highlight w:val="none"/>
              </w:rPr>
              <w:t>20</w:t>
            </w:r>
            <w:r>
              <w:rPr>
                <w:rFonts w:hint="eastAsia" w:ascii="宋体" w:hAnsi="宋体" w:cs="宋体"/>
                <w:color w:val="auto"/>
                <w:kern w:val="0"/>
                <w:sz w:val="24"/>
                <w:szCs w:val="24"/>
                <w:highlight w:val="none"/>
              </w:rPr>
              <w:t>分</w:t>
            </w:r>
          </w:p>
        </w:tc>
        <w:tc>
          <w:tcPr>
            <w:tcW w:w="4119" w:type="dxa"/>
            <w:noWrap w:val="0"/>
            <w:vAlign w:val="top"/>
          </w:tcPr>
          <w:p w14:paraId="4C06B038">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1.投标产品选型合理，主要组成部件的技术性能参数及功能参数指标高，实用性强、产品设计科学合理、质量可靠，得</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p w14:paraId="784462A2">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2.投标产品选型较合理，主要组成部件的技术性能参数及功能参数指标较高，实用性较强、产品设计较合理、质量较可靠，得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分；</w:t>
            </w:r>
          </w:p>
          <w:p w14:paraId="3D083A57">
            <w:pPr>
              <w:ind w:right="113"/>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3.投标产品选型一般，主要组成部件的技术性能参数及功能参数指标一般，实用性一般、产品设计一般、质量一般，得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33F9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jc w:val="center"/>
        </w:trPr>
        <w:tc>
          <w:tcPr>
            <w:tcW w:w="959" w:type="dxa"/>
            <w:vMerge w:val="continue"/>
            <w:noWrap w:val="0"/>
            <w:vAlign w:val="center"/>
          </w:tcPr>
          <w:p w14:paraId="130F5B82">
            <w:pPr>
              <w:jc w:val="center"/>
              <w:rPr>
                <w:rFonts w:hint="eastAsia" w:ascii="宋体" w:hAnsi="宋体" w:cs="宋体"/>
                <w:color w:val="auto"/>
                <w:kern w:val="0"/>
                <w:sz w:val="24"/>
                <w:szCs w:val="24"/>
                <w:highlight w:val="none"/>
              </w:rPr>
            </w:pPr>
          </w:p>
        </w:tc>
        <w:tc>
          <w:tcPr>
            <w:tcW w:w="1186" w:type="dxa"/>
            <w:vMerge w:val="continue"/>
            <w:noWrap w:val="0"/>
            <w:vAlign w:val="center"/>
          </w:tcPr>
          <w:p w14:paraId="5F126E1A">
            <w:pPr>
              <w:jc w:val="center"/>
              <w:rPr>
                <w:rFonts w:hint="eastAsia" w:ascii="宋体" w:hAnsi="宋体" w:cs="宋体"/>
                <w:color w:val="auto"/>
                <w:kern w:val="0"/>
                <w:sz w:val="24"/>
                <w:szCs w:val="24"/>
                <w:highlight w:val="none"/>
              </w:rPr>
            </w:pPr>
          </w:p>
        </w:tc>
        <w:tc>
          <w:tcPr>
            <w:tcW w:w="2216" w:type="dxa"/>
            <w:vMerge w:val="restart"/>
            <w:noWrap w:val="0"/>
            <w:vAlign w:val="center"/>
          </w:tcPr>
          <w:p w14:paraId="4698110F">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供货能力及进度保障（暗标）</w:t>
            </w:r>
          </w:p>
        </w:tc>
        <w:tc>
          <w:tcPr>
            <w:tcW w:w="894" w:type="dxa"/>
            <w:vMerge w:val="restart"/>
            <w:noWrap w:val="0"/>
            <w:vAlign w:val="center"/>
          </w:tcPr>
          <w:p w14:paraId="300FD98C">
            <w:pPr>
              <w:ind w:right="113"/>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4119" w:type="dxa"/>
            <w:noWrap w:val="0"/>
            <w:vAlign w:val="top"/>
          </w:tcPr>
          <w:p w14:paraId="77CBBCB4">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1.投标人提供的供货方案切实可行、供货能力强、交货进度有保障、能够保质保量的完成供货，针对供货过程中的特殊情况有预案，得16-20分；</w:t>
            </w:r>
          </w:p>
          <w:p w14:paraId="31ED4837">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2.投标人提供的供货方案可行、供货能力较强、交货进度满足招标文件要求，得12-16分；</w:t>
            </w:r>
          </w:p>
          <w:p w14:paraId="66199948">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3.投标人提供的供货方案一般、供货能力一般、交货进度基本满足招标文件要求，得12分。</w:t>
            </w:r>
          </w:p>
        </w:tc>
      </w:tr>
      <w:tr w14:paraId="08E6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959" w:type="dxa"/>
            <w:vMerge w:val="continue"/>
            <w:noWrap w:val="0"/>
            <w:vAlign w:val="center"/>
          </w:tcPr>
          <w:p w14:paraId="5715B823">
            <w:pPr>
              <w:jc w:val="center"/>
              <w:rPr>
                <w:rFonts w:hint="eastAsia" w:ascii="宋体" w:hAnsi="宋体" w:cs="宋体"/>
                <w:color w:val="auto"/>
                <w:kern w:val="0"/>
                <w:sz w:val="24"/>
                <w:szCs w:val="24"/>
                <w:highlight w:val="none"/>
              </w:rPr>
            </w:pPr>
          </w:p>
        </w:tc>
        <w:tc>
          <w:tcPr>
            <w:tcW w:w="1186" w:type="dxa"/>
            <w:vMerge w:val="continue"/>
            <w:noWrap w:val="0"/>
            <w:vAlign w:val="center"/>
          </w:tcPr>
          <w:p w14:paraId="138DE78C">
            <w:pPr>
              <w:jc w:val="center"/>
              <w:rPr>
                <w:rFonts w:hint="eastAsia" w:ascii="宋体" w:hAnsi="宋体" w:cs="宋体"/>
                <w:color w:val="auto"/>
                <w:kern w:val="0"/>
                <w:sz w:val="24"/>
                <w:szCs w:val="24"/>
                <w:highlight w:val="none"/>
              </w:rPr>
            </w:pPr>
          </w:p>
        </w:tc>
        <w:tc>
          <w:tcPr>
            <w:tcW w:w="2216" w:type="dxa"/>
            <w:noWrap w:val="0"/>
            <w:vAlign w:val="center"/>
          </w:tcPr>
          <w:p w14:paraId="4FDDBB81">
            <w:pPr>
              <w:pStyle w:val="17"/>
              <w:snapToGrid w:val="0"/>
              <w:spacing w:line="3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技术服务及质保期服务</w:t>
            </w:r>
          </w:p>
          <w:p w14:paraId="181A61D9">
            <w:pPr>
              <w:pStyle w:val="17"/>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（暗标）</w:t>
            </w:r>
          </w:p>
        </w:tc>
        <w:tc>
          <w:tcPr>
            <w:tcW w:w="894" w:type="dxa"/>
            <w:noWrap w:val="0"/>
            <w:vAlign w:val="center"/>
          </w:tcPr>
          <w:p w14:paraId="2F216F05">
            <w:pPr>
              <w:ind w:right="113"/>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4119" w:type="dxa"/>
            <w:noWrap w:val="0"/>
            <w:vAlign w:val="center"/>
          </w:tcPr>
          <w:p w14:paraId="58397D35">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服务方案切实可行，针对性强，</w:t>
            </w:r>
            <w:r>
              <w:rPr>
                <w:rFonts w:hint="eastAsia" w:ascii="宋体" w:hAnsi="宋体" w:eastAsia="宋体" w:cs="宋体"/>
                <w:color w:val="auto"/>
                <w:sz w:val="24"/>
                <w:szCs w:val="24"/>
                <w:highlight w:val="none"/>
              </w:rPr>
              <w:t>服务体系完善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zh-CN"/>
              </w:rPr>
              <w:t>分；</w:t>
            </w:r>
          </w:p>
          <w:p w14:paraId="4EA81678">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服务方案较切实可行，针对性较强，</w:t>
            </w:r>
            <w:r>
              <w:rPr>
                <w:rFonts w:hint="eastAsia" w:ascii="宋体" w:hAnsi="宋体" w:eastAsia="宋体" w:cs="宋体"/>
                <w:color w:val="auto"/>
                <w:sz w:val="24"/>
                <w:szCs w:val="24"/>
                <w:highlight w:val="none"/>
              </w:rPr>
              <w:t>服务体系较完善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zh-CN"/>
              </w:rPr>
              <w:t>分；</w:t>
            </w:r>
          </w:p>
          <w:p w14:paraId="31200677">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服务方案基本可行，</w:t>
            </w:r>
            <w:r>
              <w:rPr>
                <w:rFonts w:hint="eastAsia" w:ascii="宋体" w:hAnsi="宋体" w:eastAsia="宋体" w:cs="宋体"/>
                <w:color w:val="auto"/>
                <w:sz w:val="24"/>
                <w:szCs w:val="24"/>
                <w:highlight w:val="none"/>
              </w:rPr>
              <w:t>服务体系基本完善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分；</w:t>
            </w:r>
          </w:p>
        </w:tc>
      </w:tr>
      <w:tr w14:paraId="39DD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59" w:type="dxa"/>
            <w:tcBorders>
              <w:bottom w:val="single" w:color="auto" w:sz="4" w:space="0"/>
            </w:tcBorders>
            <w:noWrap w:val="0"/>
            <w:vAlign w:val="center"/>
          </w:tcPr>
          <w:p w14:paraId="016814F1">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7350C101">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(3)</w:t>
            </w:r>
          </w:p>
        </w:tc>
        <w:tc>
          <w:tcPr>
            <w:tcW w:w="1186" w:type="dxa"/>
            <w:tcBorders>
              <w:bottom w:val="single" w:color="auto" w:sz="4" w:space="0"/>
            </w:tcBorders>
            <w:noWrap w:val="0"/>
            <w:vAlign w:val="center"/>
          </w:tcPr>
          <w:p w14:paraId="212D4D35">
            <w:pPr>
              <w:ind w:left="144" w:hanging="144" w:hangingChars="60"/>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其他</w:t>
            </w:r>
            <w:r>
              <w:rPr>
                <w:rFonts w:hint="eastAsia" w:ascii="宋体" w:hAnsi="宋体" w:cs="宋体"/>
                <w:color w:val="auto"/>
                <w:kern w:val="0"/>
                <w:sz w:val="24"/>
                <w:szCs w:val="24"/>
                <w:highlight w:val="none"/>
                <w:lang w:val="en-US" w:eastAsia="zh-CN"/>
              </w:rPr>
              <w:t>评分</w:t>
            </w:r>
            <w:r>
              <w:rPr>
                <w:rFonts w:hint="eastAsia" w:ascii="宋体" w:hAnsi="宋体" w:cs="宋体"/>
                <w:color w:val="auto"/>
                <w:kern w:val="0"/>
                <w:sz w:val="24"/>
                <w:szCs w:val="24"/>
                <w:highlight w:val="none"/>
              </w:rPr>
              <w:t>因素</w:t>
            </w:r>
          </w:p>
        </w:tc>
        <w:tc>
          <w:tcPr>
            <w:tcW w:w="7229" w:type="dxa"/>
            <w:gridSpan w:val="3"/>
            <w:tcBorders>
              <w:bottom w:val="single" w:color="auto" w:sz="4" w:space="0"/>
            </w:tcBorders>
            <w:noWrap w:val="0"/>
            <w:vAlign w:val="center"/>
          </w:tcPr>
          <w:p w14:paraId="53D7B4EC">
            <w:pPr>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无</w:t>
            </w:r>
          </w:p>
        </w:tc>
      </w:tr>
    </w:tbl>
    <w:p w14:paraId="415C8CBD">
      <w:pPr>
        <w:pStyle w:val="7"/>
        <w:adjustRightInd w:val="0"/>
        <w:snapToGrid w:val="0"/>
        <w:spacing w:line="360" w:lineRule="auto"/>
        <w:jc w:val="left"/>
        <w:textAlignment w:val="baseline"/>
        <w:rPr>
          <w:rFonts w:hAnsi="宋体"/>
          <w:snapToGrid w:val="0"/>
          <w:color w:val="auto"/>
          <w:kern w:val="0"/>
          <w:sz w:val="24"/>
          <w:szCs w:val="24"/>
          <w:highlight w:val="none"/>
        </w:rPr>
      </w:pPr>
      <w:r>
        <w:rPr>
          <w:rFonts w:hAnsi="宋体"/>
          <w:snapToGrid w:val="0"/>
          <w:color w:val="auto"/>
          <w:kern w:val="0"/>
          <w:sz w:val="24"/>
          <w:szCs w:val="24"/>
          <w:highlight w:val="none"/>
        </w:rPr>
        <w:t>注：</w:t>
      </w:r>
    </w:p>
    <w:p w14:paraId="65D9F764">
      <w:pPr>
        <w:pStyle w:val="7"/>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baseline"/>
        <w:rPr>
          <w:rFonts w:hint="eastAsia" w:hAnsi="宋体" w:eastAsia="宋体"/>
          <w:snapToGrid w:val="0"/>
          <w:color w:val="auto"/>
          <w:kern w:val="0"/>
          <w:sz w:val="24"/>
          <w:szCs w:val="24"/>
          <w:highlight w:val="none"/>
          <w:lang w:eastAsia="zh-CN"/>
        </w:rPr>
      </w:pPr>
      <w:r>
        <w:rPr>
          <w:rFonts w:hAnsi="宋体"/>
          <w:snapToGrid w:val="0"/>
          <w:color w:val="auto"/>
          <w:kern w:val="0"/>
          <w:sz w:val="24"/>
          <w:szCs w:val="24"/>
          <w:highlight w:val="none"/>
        </w:rPr>
        <w:t>1、评委打分保留1位小数</w:t>
      </w:r>
      <w:r>
        <w:rPr>
          <w:rFonts w:hint="eastAsia" w:hAnsi="宋体"/>
          <w:snapToGrid w:val="0"/>
          <w:color w:val="auto"/>
          <w:kern w:val="0"/>
          <w:sz w:val="24"/>
          <w:szCs w:val="24"/>
          <w:highlight w:val="none"/>
        </w:rPr>
        <w:t>，各评分因素得分应以评标委员会各成员的打分平均值确定，保留两位小数，第三位四舍五入。</w:t>
      </w:r>
    </w:p>
    <w:p w14:paraId="79A7D04B">
      <w:pPr>
        <w:pStyle w:val="7"/>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baseline"/>
      </w:pPr>
      <w:r>
        <w:rPr>
          <w:rFonts w:hAnsi="宋体"/>
          <w:snapToGrid w:val="0"/>
          <w:color w:val="auto"/>
          <w:kern w:val="0"/>
          <w:sz w:val="24"/>
          <w:szCs w:val="24"/>
          <w:highlight w:val="none"/>
        </w:rPr>
        <w:t>2、</w:t>
      </w:r>
      <w:r>
        <w:rPr>
          <w:rFonts w:hint="eastAsia" w:hAnsi="宋体"/>
          <w:snapToGrid w:val="0"/>
          <w:color w:val="auto"/>
          <w:kern w:val="0"/>
          <w:sz w:val="24"/>
          <w:szCs w:val="24"/>
          <w:highlight w:val="none"/>
        </w:rPr>
        <w:t>第2.2.</w:t>
      </w:r>
      <w:r>
        <w:rPr>
          <w:rFonts w:hint="eastAsia" w:hAnsi="宋体"/>
          <w:snapToGrid w:val="0"/>
          <w:color w:val="auto"/>
          <w:kern w:val="0"/>
          <w:sz w:val="24"/>
          <w:szCs w:val="24"/>
          <w:highlight w:val="none"/>
          <w:lang w:val="en-US" w:eastAsia="zh-CN"/>
        </w:rPr>
        <w:t>1</w:t>
      </w:r>
      <w:r>
        <w:rPr>
          <w:rFonts w:hint="eastAsia" w:hAnsi="宋体"/>
          <w:snapToGrid w:val="0"/>
          <w:color w:val="auto"/>
          <w:kern w:val="0"/>
          <w:sz w:val="24"/>
          <w:szCs w:val="24"/>
          <w:highlight w:val="none"/>
        </w:rPr>
        <w:t>（</w:t>
      </w:r>
      <w:r>
        <w:rPr>
          <w:rFonts w:hint="eastAsia" w:hAnsi="宋体"/>
          <w:snapToGrid w:val="0"/>
          <w:color w:val="auto"/>
          <w:kern w:val="0"/>
          <w:sz w:val="24"/>
          <w:szCs w:val="24"/>
          <w:highlight w:val="none"/>
          <w:lang w:val="en-US" w:eastAsia="zh-CN"/>
        </w:rPr>
        <w:t>2</w:t>
      </w:r>
      <w:r>
        <w:rPr>
          <w:rFonts w:hint="eastAsia" w:hAnsi="宋体"/>
          <w:snapToGrid w:val="0"/>
          <w:color w:val="auto"/>
          <w:kern w:val="0"/>
          <w:sz w:val="24"/>
          <w:szCs w:val="24"/>
          <w:highlight w:val="none"/>
        </w:rPr>
        <w:t>）项评标委员会成员对某一项评分因素的评分低于权重分值 60%的，应在评标报告中作出说明。</w:t>
      </w:r>
      <w:r>
        <w:rPr>
          <w:rFonts w:hint="eastAsia" w:hAnsi="宋体"/>
          <w:snapToGrid w:val="0"/>
          <w:color w:val="auto"/>
          <w:kern w:val="0"/>
          <w:sz w:val="24"/>
          <w:szCs w:val="24"/>
          <w:highlight w:val="none"/>
          <w:lang w:eastAsia="zh-CN"/>
        </w:rPr>
        <w:t>技术部分</w:t>
      </w:r>
      <w:r>
        <w:rPr>
          <w:rFonts w:hint="eastAsia" w:hAnsi="宋体"/>
          <w:snapToGrid w:val="0"/>
          <w:color w:val="auto"/>
          <w:kern w:val="0"/>
          <w:sz w:val="24"/>
          <w:szCs w:val="24"/>
          <w:highlight w:val="none"/>
        </w:rPr>
        <w:t>评审</w:t>
      </w:r>
      <w:r>
        <w:rPr>
          <w:rFonts w:hint="eastAsia" w:hAnsi="宋体"/>
          <w:snapToGrid w:val="0"/>
          <w:color w:val="auto"/>
          <w:kern w:val="0"/>
          <w:sz w:val="24"/>
          <w:szCs w:val="24"/>
          <w:highlight w:val="none"/>
          <w:lang w:val="en-US" w:eastAsia="zh-CN"/>
        </w:rPr>
        <w:t>因素</w:t>
      </w:r>
      <w:r>
        <w:rPr>
          <w:rFonts w:hint="eastAsia" w:hAnsi="宋体"/>
          <w:snapToGrid w:val="0"/>
          <w:color w:val="auto"/>
          <w:kern w:val="0"/>
          <w:sz w:val="24"/>
          <w:szCs w:val="24"/>
          <w:highlight w:val="none"/>
        </w:rPr>
        <w:t>缺项则该项得0分。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4DFED"/>
    <w:multiLevelType w:val="singleLevel"/>
    <w:tmpl w:val="9354DFED"/>
    <w:lvl w:ilvl="0" w:tentative="0">
      <w:start w:val="1"/>
      <w:numFmt w:val="decimal"/>
      <w:pStyle w:val="8"/>
      <w:lvlText w:val="%1."/>
      <w:lvlJc w:val="left"/>
      <w:pPr>
        <w:tabs>
          <w:tab w:val="left" w:pos="2040"/>
        </w:tabs>
        <w:ind w:left="2040" w:hanging="360"/>
      </w:pPr>
    </w:lvl>
  </w:abstractNum>
  <w:abstractNum w:abstractNumId="1">
    <w:nsid w:val="B1575241"/>
    <w:multiLevelType w:val="singleLevel"/>
    <w:tmpl w:val="B1575241"/>
    <w:lvl w:ilvl="0" w:tentative="0">
      <w:start w:val="1"/>
      <w:numFmt w:val="decimal"/>
      <w:suff w:val="nothing"/>
      <w:lvlText w:val="（%1）"/>
      <w:lvlJc w:val="left"/>
    </w:lvl>
  </w:abstractNum>
  <w:abstractNum w:abstractNumId="2">
    <w:nsid w:val="0A974297"/>
    <w:multiLevelType w:val="singleLevel"/>
    <w:tmpl w:val="0A974297"/>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F15E11"/>
    <w:rsid w:val="538E5FF8"/>
    <w:rsid w:val="5CF15E11"/>
    <w:rsid w:val="72C77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next w:val="1"/>
    <w:qFormat/>
    <w:uiPriority w:val="9"/>
    <w:pPr>
      <w:keepNext/>
      <w:keepLines/>
      <w:widowControl w:val="0"/>
      <w:spacing w:before="50" w:beforeLines="50" w:line="415" w:lineRule="auto"/>
      <w:jc w:val="both"/>
      <w:outlineLvl w:val="2"/>
    </w:pPr>
    <w:rPr>
      <w:rFonts w:ascii="Times New Roman" w:hAnsi="Times New Roman" w:eastAsia="宋体" w:cs="Times New Roman"/>
      <w:b/>
      <w:bCs/>
      <w:kern w:val="2"/>
      <w:sz w:val="32"/>
      <w:szCs w:val="32"/>
      <w:lang w:val="en-US" w:eastAsia="zh-CN" w:bidi="ar-SA"/>
    </w:rPr>
  </w:style>
  <w:style w:type="paragraph" w:styleId="3">
    <w:name w:val="heading 6"/>
    <w:next w:val="1"/>
    <w:qFormat/>
    <w:uiPriority w:val="9"/>
    <w:pPr>
      <w:keepNext/>
      <w:keepLines/>
      <w:widowControl w:val="0"/>
      <w:spacing w:before="240" w:after="64" w:line="320" w:lineRule="auto"/>
      <w:jc w:val="both"/>
      <w:outlineLvl w:val="5"/>
    </w:pPr>
    <w:rPr>
      <w:rFonts w:ascii="等线 Light" w:hAnsi="等线 Light" w:eastAsia="等线 Light" w:cs="Times New Roman"/>
      <w:b/>
      <w:bCs/>
      <w:kern w:val="2"/>
      <w:sz w:val="24"/>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toa heading"/>
    <w:next w:val="1"/>
    <w:unhideWhenUsed/>
    <w:qFormat/>
    <w:uiPriority w:val="99"/>
    <w:pPr>
      <w:widowControl w:val="0"/>
      <w:spacing w:before="120"/>
      <w:ind w:firstLine="560" w:firstLineChars="200"/>
      <w:jc w:val="both"/>
    </w:pPr>
    <w:rPr>
      <w:rFonts w:ascii="Cambria" w:hAnsi="Cambria" w:eastAsia="宋体" w:cs="Times New Roman"/>
      <w:kern w:val="2"/>
      <w:sz w:val="21"/>
      <w:szCs w:val="24"/>
      <w:lang w:val="en-US" w:eastAsia="zh-CN" w:bidi="ar-SA"/>
    </w:rPr>
  </w:style>
  <w:style w:type="paragraph" w:styleId="5">
    <w:name w:val="Body Text"/>
    <w:qFormat/>
    <w:uiPriority w:val="1"/>
    <w:pPr>
      <w:widowControl w:val="0"/>
      <w:ind w:left="100"/>
      <w:jc w:val="left"/>
    </w:pPr>
    <w:rPr>
      <w:rFonts w:ascii="宋体" w:hAnsi="宋体" w:eastAsia="宋体" w:cs="Times New Roman"/>
      <w:kern w:val="0"/>
      <w:sz w:val="21"/>
      <w:szCs w:val="21"/>
      <w:lang w:val="en-US" w:eastAsia="en-US" w:bidi="ar-SA"/>
    </w:rPr>
  </w:style>
  <w:style w:type="paragraph" w:styleId="6">
    <w:name w:val="Body Text Indent"/>
    <w:unhideWhenUsed/>
    <w:qFormat/>
    <w:uiPriority w:val="99"/>
    <w:pPr>
      <w:widowControl w:val="0"/>
      <w:spacing w:after="120"/>
      <w:ind w:left="420" w:leftChars="200"/>
      <w:jc w:val="both"/>
    </w:pPr>
    <w:rPr>
      <w:rFonts w:ascii="Times New Roman" w:hAnsi="Times New Roman" w:eastAsia="宋体" w:cs="Times New Roman"/>
      <w:kern w:val="2"/>
      <w:sz w:val="21"/>
      <w:szCs w:val="22"/>
      <w:lang w:val="en-US" w:eastAsia="zh-CN" w:bidi="ar-SA"/>
    </w:rPr>
  </w:style>
  <w:style w:type="paragraph" w:styleId="7">
    <w:name w:val="Plain Text"/>
    <w:next w:val="8"/>
    <w:qFormat/>
    <w:uiPriority w:val="0"/>
    <w:pPr>
      <w:widowControl w:val="0"/>
      <w:jc w:val="both"/>
    </w:pPr>
    <w:rPr>
      <w:rFonts w:ascii="宋体" w:hAnsi="Courier New" w:eastAsia="宋体" w:cs="Times New Roman"/>
      <w:kern w:val="2"/>
      <w:sz w:val="21"/>
      <w:szCs w:val="20"/>
      <w:lang w:val="en-US" w:eastAsia="zh-CN" w:bidi="ar-SA"/>
    </w:rPr>
  </w:style>
  <w:style w:type="paragraph" w:styleId="8">
    <w:name w:val="List Number 5"/>
    <w:basedOn w:val="1"/>
    <w:uiPriority w:val="0"/>
    <w:pPr>
      <w:numPr>
        <w:ilvl w:val="0"/>
        <w:numId w:val="1"/>
      </w:numPr>
    </w:pPr>
  </w:style>
  <w:style w:type="paragraph" w:styleId="9">
    <w:name w:val="Body Text First Indent 2"/>
    <w:unhideWhenUsed/>
    <w:qFormat/>
    <w:uiPriority w:val="99"/>
    <w:pPr>
      <w:widowControl w:val="0"/>
      <w:tabs>
        <w:tab w:val="left" w:pos="5580"/>
      </w:tabs>
      <w:spacing w:after="120"/>
      <w:ind w:left="420" w:leftChars="200" w:firstLine="420"/>
      <w:jc w:val="both"/>
    </w:pPr>
    <w:rPr>
      <w:rFonts w:ascii="Times New Roman" w:hAnsi="Times New Roman" w:eastAsia="宋体" w:cs="Times New Roman"/>
      <w:kern w:val="2"/>
      <w:sz w:val="21"/>
      <w:szCs w:val="22"/>
      <w:lang w:val="en-US" w:eastAsia="zh-CN" w:bidi="ar-SA"/>
    </w:rPr>
  </w:style>
  <w:style w:type="paragraph" w:customStyle="1" w:styleId="12">
    <w:name w:val="1正文"/>
    <w:qFormat/>
    <w:uiPriority w:val="0"/>
    <w:pPr>
      <w:widowControl w:val="0"/>
      <w:ind w:firstLine="480"/>
      <w:jc w:val="both"/>
    </w:pPr>
    <w:rPr>
      <w:rFonts w:ascii="Times New Roman" w:hAnsi="Times New Roman" w:eastAsia="宋体" w:cs="宋体"/>
      <w:kern w:val="2"/>
      <w:sz w:val="21"/>
      <w:szCs w:val="24"/>
      <w:lang w:val="en-US" w:eastAsia="zh-CN" w:bidi="ar-SA"/>
    </w:rPr>
  </w:style>
  <w:style w:type="paragraph" w:customStyle="1" w:styleId="13">
    <w:name w:val="大标题"/>
    <w:next w:val="9"/>
    <w:qFormat/>
    <w:uiPriority w:val="0"/>
    <w:pPr>
      <w:widowControl w:val="0"/>
      <w:jc w:val="center"/>
    </w:pPr>
    <w:rPr>
      <w:rFonts w:ascii="Arial" w:hAnsi="Arial" w:eastAsia="宋体" w:cs="Times New Roman"/>
      <w:b/>
      <w:kern w:val="2"/>
      <w:sz w:val="28"/>
      <w:szCs w:val="22"/>
      <w:lang w:val="en-US" w:eastAsia="zh-CN" w:bidi="ar-SA"/>
    </w:rPr>
  </w:style>
  <w:style w:type="character" w:customStyle="1" w:styleId="14">
    <w:name w:val="NormalCharacter"/>
    <w:link w:val="15"/>
    <w:qFormat/>
    <w:uiPriority w:val="0"/>
    <w:rPr>
      <w:rFonts w:ascii="Times New Roman" w:hAnsi="Times New Roman" w:eastAsia="宋体" w:cs="Times New Roman"/>
      <w:kern w:val="0"/>
      <w:sz w:val="20"/>
      <w:szCs w:val="20"/>
      <w:lang w:val="en-US" w:eastAsia="zh-CN" w:bidi="ar-SA"/>
    </w:rPr>
  </w:style>
  <w:style w:type="paragraph" w:customStyle="1" w:styleId="15">
    <w:name w:val="UserStyle_24"/>
    <w:link w:val="14"/>
    <w:qFormat/>
    <w:uiPriority w:val="0"/>
    <w:pPr>
      <w:widowControl/>
      <w:spacing w:line="360" w:lineRule="auto"/>
      <w:ind w:firstLine="200" w:firstLineChars="200"/>
      <w:jc w:val="left"/>
    </w:pPr>
    <w:rPr>
      <w:rFonts w:ascii="Times New Roman" w:hAnsi="Times New Roman" w:eastAsia="宋体" w:cs="Times New Roman"/>
      <w:kern w:val="0"/>
      <w:sz w:val="20"/>
      <w:szCs w:val="20"/>
      <w:lang w:val="en-US" w:eastAsia="zh-CN" w:bidi="ar-SA"/>
    </w:rPr>
  </w:style>
  <w:style w:type="paragraph" w:customStyle="1" w:styleId="16">
    <w:name w:val="UserStyle_340"/>
    <w:qFormat/>
    <w:uiPriority w:val="0"/>
    <w:pPr>
      <w:widowControl/>
      <w:spacing w:line="340" w:lineRule="exact"/>
      <w:jc w:val="center"/>
    </w:pPr>
    <w:rPr>
      <w:rFonts w:ascii="宋体" w:hAnsi="Calibri" w:eastAsia="宋体" w:cs="Times New Roman"/>
      <w:bCs/>
      <w:color w:val="000000"/>
      <w:kern w:val="0"/>
      <w:sz w:val="21"/>
      <w:szCs w:val="21"/>
      <w:lang w:val="en-US" w:eastAsia="zh-CN" w:bidi="ar-SA"/>
    </w:rPr>
  </w:style>
  <w:style w:type="paragraph" w:customStyle="1" w:styleId="17">
    <w:name w:val="Table Paragraph"/>
    <w:qFormat/>
    <w:uiPriority w:val="1"/>
    <w:pPr>
      <w:widowControl w:val="0"/>
      <w:jc w:val="left"/>
    </w:pPr>
    <w:rPr>
      <w:rFonts w:ascii="Calibri" w:hAnsi="Calibri" w:eastAsia="宋体" w:cs="Times New Roman"/>
      <w:kern w:val="0"/>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2606</Words>
  <Characters>2936</Characters>
  <Lines>0</Lines>
  <Paragraphs>0</Paragraphs>
  <TotalTime>1</TotalTime>
  <ScaleCrop>false</ScaleCrop>
  <LinksUpToDate>false</LinksUpToDate>
  <CharactersWithSpaces>2995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2026-10-19T08:15:00Z</dcterms:created>
  <dc:creator>Administrator</dc:creator>
  <cp:lastModifiedBy>李娜</cp:lastModifiedBy>
  <dcterms:modified xsi:type="dcterms:W3CDTF">2026-10-19T09:16:50Z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5DA635F3B4E84021B5AB3BB9CCD6E36B_13</vt:lpwstr>
  </property>
  <property fmtid="{D5CDD505-2E9C-101B-9397-08002B2CF9AE}" pid="4" name="KSOTemplateDocerSaveRecord">
    <vt:lpwstr>eyJoZGlkIjoiOWYyZDYxNTJjZmI2NmVkYTMyOWVjMGFiZjEzZGM5NjgiLCJ1c2VySWQiOiIxNTI1NDExOTAzIn0=</vt:lpwstr>
  </property>
</Properties>
</file>