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F30289">
      <w:pPr>
        <w:rPr>
          <w:rFonts w:hint="eastAsia" w:ascii="宋体" w:hAnsi="宋体" w:cs="宋体"/>
          <w:snapToGrid w:val="0"/>
          <w:kern w:val="0"/>
          <w:sz w:val="21"/>
          <w:szCs w:val="21"/>
        </w:rPr>
      </w:pPr>
      <w:bookmarkStart w:id="0" w:name="_Toc134792338"/>
      <w:bookmarkStart w:id="1" w:name="_Toc2375"/>
      <w:bookmarkStart w:id="2" w:name="OLE_LINK1"/>
      <w:bookmarkStart w:id="3" w:name="OLE_LINK2"/>
      <w:bookmarkStart w:id="16" w:name="_GoBack"/>
      <w:bookmarkEnd w:id="16"/>
    </w:p>
    <w:p w14:paraId="11B53D08">
      <w:pPr>
        <w:pStyle w:val="6"/>
        <w:spacing w:before="0" w:after="0" w:line="360" w:lineRule="auto"/>
        <w:rPr>
          <w:rFonts w:hint="eastAsia" w:ascii="宋体" w:hAnsi="宋体" w:cs="宋体"/>
          <w:b/>
          <w:snapToGrid w:val="0"/>
          <w:kern w:val="0"/>
          <w:sz w:val="24"/>
          <w:szCs w:val="24"/>
        </w:rPr>
      </w:pPr>
      <w:bookmarkStart w:id="4" w:name="_Toc7964"/>
      <w:bookmarkStart w:id="5" w:name="_Toc241696091"/>
      <w:r>
        <w:rPr>
          <w:rFonts w:hint="eastAsia" w:ascii="宋体" w:hAnsi="宋体" w:cs="宋体"/>
          <w:snapToGrid w:val="0"/>
          <w:kern w:val="0"/>
          <w:sz w:val="24"/>
          <w:szCs w:val="24"/>
        </w:rPr>
        <w:t>附件1：资格审查条件</w:t>
      </w:r>
      <w:bookmarkEnd w:id="0"/>
      <w:bookmarkEnd w:id="1"/>
      <w:bookmarkEnd w:id="4"/>
      <w:bookmarkEnd w:id="5"/>
    </w:p>
    <w:p w14:paraId="70F307BD">
      <w:pPr>
        <w:adjustRightInd w:val="0"/>
        <w:snapToGrid w:val="0"/>
        <w:spacing w:line="360" w:lineRule="auto"/>
        <w:jc w:val="center"/>
        <w:rPr>
          <w:rFonts w:hint="eastAsia" w:ascii="宋体" w:hAnsi="宋体" w:cs="宋体"/>
          <w:b/>
          <w:bCs/>
          <w:snapToGrid w:val="0"/>
          <w:kern w:val="0"/>
          <w:sz w:val="21"/>
          <w:szCs w:val="21"/>
        </w:rPr>
      </w:pPr>
    </w:p>
    <w:p w14:paraId="367CC177">
      <w:pPr>
        <w:adjustRightInd w:val="0"/>
        <w:snapToGrid w:val="0"/>
        <w:spacing w:line="360" w:lineRule="auto"/>
        <w:jc w:val="center"/>
        <w:rPr>
          <w:rFonts w:hint="eastAsia" w:ascii="宋体" w:hAnsi="宋体" w:cs="宋体"/>
          <w:b/>
          <w:bCs/>
          <w:snapToGrid w:val="0"/>
          <w:kern w:val="0"/>
          <w:sz w:val="21"/>
          <w:szCs w:val="21"/>
        </w:rPr>
      </w:pPr>
      <w:r>
        <w:rPr>
          <w:rFonts w:hint="eastAsia" w:ascii="宋体" w:hAnsi="宋体" w:cs="宋体"/>
          <w:b/>
          <w:bCs/>
          <w:snapToGrid w:val="0"/>
          <w:kern w:val="0"/>
          <w:sz w:val="21"/>
          <w:szCs w:val="21"/>
        </w:rPr>
        <w:t>附录1 资格审查条件（资质最低要求）</w:t>
      </w:r>
    </w:p>
    <w:tbl>
      <w:tblPr>
        <w:tblStyle w:val="20"/>
        <w:tblW w:w="963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38"/>
      </w:tblGrid>
      <w:tr w14:paraId="644F2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9638" w:type="dxa"/>
            <w:tcBorders>
              <w:top w:val="single" w:color="000000" w:sz="2" w:space="0"/>
              <w:left w:val="single" w:color="000000" w:sz="2" w:space="0"/>
              <w:bottom w:val="single" w:color="000000" w:sz="2" w:space="0"/>
              <w:right w:val="single" w:color="000000" w:sz="2" w:space="0"/>
            </w:tcBorders>
            <w:vAlign w:val="center"/>
          </w:tcPr>
          <w:p w14:paraId="6B16C9F8">
            <w:pPr>
              <w:autoSpaceDE w:val="0"/>
              <w:autoSpaceDN w:val="0"/>
              <w:adjustRightInd w:val="0"/>
              <w:snapToGrid w:val="0"/>
              <w:spacing w:line="0" w:lineRule="atLeast"/>
              <w:jc w:val="center"/>
              <w:rPr>
                <w:rFonts w:hint="eastAsia" w:ascii="宋体" w:hAnsi="宋体" w:cs="宋体"/>
                <w:snapToGrid w:val="0"/>
                <w:kern w:val="0"/>
                <w:sz w:val="21"/>
                <w:szCs w:val="21"/>
              </w:rPr>
            </w:pPr>
            <w:r>
              <w:rPr>
                <w:rFonts w:hint="eastAsia" w:ascii="宋体" w:hAnsi="宋体" w:cs="宋体"/>
                <w:snapToGrid w:val="0"/>
                <w:kern w:val="0"/>
                <w:sz w:val="21"/>
                <w:szCs w:val="21"/>
              </w:rPr>
              <w:t>资质要求</w:t>
            </w:r>
          </w:p>
        </w:tc>
      </w:tr>
      <w:tr w14:paraId="20F968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9638" w:type="dxa"/>
            <w:tcBorders>
              <w:top w:val="single" w:color="000000" w:sz="2" w:space="0"/>
              <w:left w:val="single" w:color="000000" w:sz="2" w:space="0"/>
              <w:bottom w:val="single" w:color="000000" w:sz="2" w:space="0"/>
              <w:right w:val="single" w:color="000000" w:sz="2" w:space="0"/>
            </w:tcBorders>
            <w:vAlign w:val="center"/>
          </w:tcPr>
          <w:p w14:paraId="4B1E7C38">
            <w:pPr>
              <w:widowControl/>
              <w:autoSpaceDE w:val="0"/>
              <w:autoSpaceDN w:val="0"/>
              <w:adjustRightInd w:val="0"/>
              <w:snapToGrid w:val="0"/>
              <w:spacing w:line="0" w:lineRule="atLeast"/>
              <w:textAlignment w:val="baseline"/>
              <w:rPr>
                <w:rFonts w:hint="eastAsia" w:ascii="宋体" w:hAnsi="宋体" w:cs="宋体"/>
                <w:snapToGrid w:val="0"/>
                <w:kern w:val="0"/>
                <w:sz w:val="21"/>
                <w:szCs w:val="21"/>
              </w:rPr>
            </w:pPr>
            <w:r>
              <w:rPr>
                <w:rFonts w:hint="eastAsia" w:ascii="宋体" w:hAnsi="宋体" w:cs="宋体"/>
                <w:snapToGrid w:val="0"/>
                <w:kern w:val="0"/>
                <w:sz w:val="21"/>
                <w:szCs w:val="21"/>
              </w:rPr>
              <w:t>（1）投标人应是中华人民共和国境内的法人或其他组织，持有有效的营业执照；</w:t>
            </w:r>
          </w:p>
          <w:p w14:paraId="6B904203">
            <w:pPr>
              <w:widowControl/>
              <w:autoSpaceDE w:val="0"/>
              <w:autoSpaceDN w:val="0"/>
              <w:adjustRightInd w:val="0"/>
              <w:snapToGrid w:val="0"/>
              <w:spacing w:line="0" w:lineRule="atLeast"/>
              <w:textAlignment w:val="baseline"/>
              <w:rPr>
                <w:rFonts w:hint="eastAsia" w:ascii="宋体" w:hAnsi="宋体" w:cs="宋体"/>
                <w:snapToGrid w:val="0"/>
                <w:kern w:val="0"/>
                <w:sz w:val="21"/>
                <w:szCs w:val="21"/>
              </w:rPr>
            </w:pPr>
            <w:r>
              <w:rPr>
                <w:rFonts w:hint="eastAsia" w:ascii="宋体" w:hAnsi="宋体" w:cs="宋体"/>
                <w:snapToGrid w:val="0"/>
                <w:kern w:val="0"/>
                <w:sz w:val="21"/>
                <w:szCs w:val="21"/>
              </w:rPr>
              <w:t>（2）投标人应具有住房和城乡建设行政主管部门颁发的电力工程施工总承包三级及以上资质，同时具有承装（修、试）电力设施许可证（许可类别和等级：承装类、承修类和承试类均为三级及以上）；</w:t>
            </w:r>
          </w:p>
          <w:p w14:paraId="18416CD8">
            <w:pPr>
              <w:widowControl/>
              <w:autoSpaceDE w:val="0"/>
              <w:autoSpaceDN w:val="0"/>
              <w:adjustRightInd w:val="0"/>
              <w:snapToGrid w:val="0"/>
              <w:spacing w:line="0" w:lineRule="atLeast"/>
              <w:textAlignment w:val="baseline"/>
              <w:rPr>
                <w:rFonts w:hint="eastAsia" w:ascii="宋体" w:hAnsi="宋体" w:cs="宋体"/>
                <w:snapToGrid w:val="0"/>
                <w:kern w:val="0"/>
                <w:sz w:val="21"/>
                <w:szCs w:val="21"/>
              </w:rPr>
            </w:pPr>
            <w:r>
              <w:rPr>
                <w:rFonts w:hint="eastAsia" w:ascii="宋体" w:hAnsi="宋体" w:cs="宋体"/>
                <w:snapToGrid w:val="0"/>
                <w:kern w:val="0"/>
                <w:sz w:val="21"/>
                <w:szCs w:val="21"/>
              </w:rPr>
              <w:t>（3）投标人应具有住房和城乡建设行政主管部门颁发的有效的安全生产许可证。</w:t>
            </w:r>
          </w:p>
        </w:tc>
      </w:tr>
    </w:tbl>
    <w:p w14:paraId="1B35204A">
      <w:pPr>
        <w:adjustRightInd w:val="0"/>
        <w:snapToGrid w:val="0"/>
        <w:spacing w:line="360" w:lineRule="auto"/>
        <w:jc w:val="center"/>
        <w:rPr>
          <w:rFonts w:hint="eastAsia" w:ascii="宋体" w:hAnsi="宋体" w:cs="宋体"/>
          <w:b/>
          <w:bCs/>
          <w:snapToGrid w:val="0"/>
          <w:kern w:val="0"/>
          <w:sz w:val="21"/>
          <w:szCs w:val="21"/>
        </w:rPr>
      </w:pPr>
    </w:p>
    <w:p w14:paraId="60247EBD">
      <w:pPr>
        <w:adjustRightInd w:val="0"/>
        <w:snapToGrid w:val="0"/>
        <w:spacing w:line="360" w:lineRule="auto"/>
        <w:jc w:val="center"/>
        <w:rPr>
          <w:rFonts w:hint="eastAsia" w:ascii="宋体" w:hAnsi="宋体" w:cs="宋体"/>
          <w:b/>
          <w:bCs/>
          <w:snapToGrid w:val="0"/>
          <w:kern w:val="0"/>
          <w:sz w:val="21"/>
          <w:szCs w:val="21"/>
        </w:rPr>
      </w:pPr>
      <w:r>
        <w:rPr>
          <w:rFonts w:hint="eastAsia" w:ascii="宋体" w:hAnsi="宋体" w:cs="宋体"/>
          <w:b/>
          <w:bCs/>
          <w:snapToGrid w:val="0"/>
          <w:kern w:val="0"/>
          <w:sz w:val="21"/>
          <w:szCs w:val="21"/>
        </w:rPr>
        <w:t>附录2 资格审查条件（财务最低要求）</w:t>
      </w:r>
    </w:p>
    <w:tbl>
      <w:tblPr>
        <w:tblStyle w:val="20"/>
        <w:tblW w:w="96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638"/>
      </w:tblGrid>
      <w:tr w14:paraId="06667D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9638" w:type="dxa"/>
            <w:tcBorders>
              <w:top w:val="single" w:color="auto" w:sz="2" w:space="0"/>
              <w:left w:val="single" w:color="auto" w:sz="2" w:space="0"/>
              <w:bottom w:val="single" w:color="auto" w:sz="2" w:space="0"/>
              <w:right w:val="single" w:color="auto" w:sz="2" w:space="0"/>
            </w:tcBorders>
            <w:vAlign w:val="center"/>
          </w:tcPr>
          <w:p w14:paraId="731EF9EA">
            <w:pPr>
              <w:autoSpaceDE w:val="0"/>
              <w:autoSpaceDN w:val="0"/>
              <w:adjustRightInd w:val="0"/>
              <w:snapToGrid w:val="0"/>
              <w:spacing w:line="0" w:lineRule="atLeast"/>
              <w:jc w:val="center"/>
              <w:rPr>
                <w:rFonts w:hint="eastAsia" w:ascii="宋体" w:hAnsi="宋体" w:cs="宋体"/>
                <w:snapToGrid w:val="0"/>
                <w:kern w:val="0"/>
                <w:sz w:val="21"/>
                <w:szCs w:val="21"/>
              </w:rPr>
            </w:pPr>
            <w:r>
              <w:rPr>
                <w:rFonts w:hint="eastAsia" w:ascii="宋体" w:hAnsi="宋体" w:cs="宋体"/>
                <w:snapToGrid w:val="0"/>
                <w:kern w:val="0"/>
                <w:sz w:val="21"/>
                <w:szCs w:val="21"/>
              </w:rPr>
              <w:t>财务要求</w:t>
            </w:r>
          </w:p>
        </w:tc>
      </w:tr>
      <w:tr w14:paraId="6941DC0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9638" w:type="dxa"/>
            <w:tcBorders>
              <w:top w:val="single" w:color="auto" w:sz="2" w:space="0"/>
              <w:left w:val="single" w:color="auto" w:sz="2" w:space="0"/>
              <w:bottom w:val="single" w:color="auto" w:sz="2" w:space="0"/>
              <w:right w:val="single" w:color="auto" w:sz="2" w:space="0"/>
            </w:tcBorders>
            <w:vAlign w:val="center"/>
          </w:tcPr>
          <w:p w14:paraId="24E466A0">
            <w:pPr>
              <w:widowControl/>
              <w:autoSpaceDE w:val="0"/>
              <w:autoSpaceDN w:val="0"/>
              <w:adjustRightInd w:val="0"/>
              <w:snapToGrid w:val="0"/>
              <w:spacing w:line="0" w:lineRule="atLeast"/>
              <w:textAlignment w:val="baseline"/>
              <w:rPr>
                <w:rFonts w:hint="eastAsia" w:ascii="宋体" w:hAnsi="宋体" w:cs="宋体"/>
                <w:snapToGrid w:val="0"/>
                <w:kern w:val="0"/>
                <w:sz w:val="21"/>
                <w:szCs w:val="21"/>
              </w:rPr>
            </w:pPr>
            <w:r>
              <w:rPr>
                <w:rFonts w:hint="eastAsia" w:ascii="宋体" w:hAnsi="宋体" w:cs="宋体"/>
                <w:snapToGrid w:val="0"/>
                <w:kern w:val="0"/>
                <w:sz w:val="21"/>
                <w:szCs w:val="21"/>
              </w:rPr>
              <w:t>承诺为本合同所提供的营运资金（以经会计师事务所或审计机构审计的2025年度财务报表中：营运资金＝流动资产－流动负债，以年末数计算）以及为本项目而专门开具的银行信贷证明总和不得少于1000万元。</w:t>
            </w:r>
          </w:p>
        </w:tc>
      </w:tr>
    </w:tbl>
    <w:p w14:paraId="1EA37C9F">
      <w:pPr>
        <w:adjustRightInd w:val="0"/>
        <w:snapToGrid w:val="0"/>
        <w:spacing w:line="360" w:lineRule="auto"/>
        <w:jc w:val="center"/>
        <w:rPr>
          <w:rFonts w:hint="eastAsia" w:ascii="宋体" w:hAnsi="宋体" w:cs="宋体"/>
          <w:b/>
          <w:bCs/>
          <w:snapToGrid w:val="0"/>
          <w:kern w:val="0"/>
          <w:sz w:val="21"/>
          <w:szCs w:val="21"/>
        </w:rPr>
      </w:pPr>
    </w:p>
    <w:p w14:paraId="00F0A573">
      <w:pPr>
        <w:adjustRightInd w:val="0"/>
        <w:snapToGrid w:val="0"/>
        <w:spacing w:line="360" w:lineRule="auto"/>
        <w:jc w:val="center"/>
        <w:rPr>
          <w:rFonts w:hint="eastAsia" w:ascii="宋体" w:hAnsi="宋体" w:cs="宋体"/>
          <w:b/>
          <w:bCs/>
          <w:snapToGrid w:val="0"/>
          <w:kern w:val="0"/>
          <w:sz w:val="21"/>
          <w:szCs w:val="21"/>
        </w:rPr>
      </w:pPr>
      <w:r>
        <w:rPr>
          <w:rFonts w:hint="eastAsia" w:ascii="宋体" w:hAnsi="宋体" w:cs="宋体"/>
          <w:b/>
          <w:bCs/>
          <w:snapToGrid w:val="0"/>
          <w:kern w:val="0"/>
          <w:sz w:val="21"/>
          <w:szCs w:val="21"/>
        </w:rPr>
        <w:t>附录3 资格审查条件（业绩最低要求）</w:t>
      </w:r>
    </w:p>
    <w:tbl>
      <w:tblPr>
        <w:tblStyle w:val="20"/>
        <w:tblW w:w="963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38"/>
      </w:tblGrid>
      <w:tr w14:paraId="67C5B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9638" w:type="dxa"/>
            <w:tcBorders>
              <w:top w:val="single" w:color="000000" w:sz="2" w:space="0"/>
              <w:left w:val="single" w:color="000000" w:sz="2" w:space="0"/>
              <w:bottom w:val="single" w:color="000000" w:sz="2" w:space="0"/>
              <w:right w:val="single" w:color="000000" w:sz="2" w:space="0"/>
            </w:tcBorders>
            <w:vAlign w:val="center"/>
          </w:tcPr>
          <w:p w14:paraId="2B07DD68">
            <w:pPr>
              <w:autoSpaceDE w:val="0"/>
              <w:autoSpaceDN w:val="0"/>
              <w:adjustRightInd w:val="0"/>
              <w:snapToGrid w:val="0"/>
              <w:spacing w:line="0" w:lineRule="atLeast"/>
              <w:jc w:val="center"/>
              <w:rPr>
                <w:rFonts w:hint="eastAsia" w:ascii="宋体" w:hAnsi="宋体" w:cs="宋体"/>
                <w:snapToGrid w:val="0"/>
                <w:kern w:val="0"/>
                <w:sz w:val="21"/>
                <w:szCs w:val="21"/>
              </w:rPr>
            </w:pPr>
            <w:r>
              <w:rPr>
                <w:rFonts w:hint="eastAsia" w:ascii="宋体" w:hAnsi="宋体" w:cs="宋体"/>
                <w:snapToGrid w:val="0"/>
                <w:kern w:val="0"/>
                <w:sz w:val="21"/>
                <w:szCs w:val="21"/>
              </w:rPr>
              <w:t>业绩要求</w:t>
            </w:r>
          </w:p>
        </w:tc>
      </w:tr>
      <w:tr w14:paraId="50F680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9638" w:type="dxa"/>
            <w:tcBorders>
              <w:top w:val="single" w:color="000000" w:sz="2" w:space="0"/>
              <w:left w:val="single" w:color="000000" w:sz="2" w:space="0"/>
              <w:bottom w:val="single" w:color="000000" w:sz="2" w:space="0"/>
              <w:right w:val="single" w:color="000000" w:sz="2" w:space="0"/>
            </w:tcBorders>
            <w:vAlign w:val="center"/>
          </w:tcPr>
          <w:p w14:paraId="269EF091">
            <w:pPr>
              <w:widowControl/>
              <w:autoSpaceDE w:val="0"/>
              <w:autoSpaceDN w:val="0"/>
              <w:adjustRightInd w:val="0"/>
              <w:snapToGrid w:val="0"/>
              <w:spacing w:line="0" w:lineRule="atLeast"/>
              <w:textAlignment w:val="baseline"/>
              <w:rPr>
                <w:rFonts w:hint="eastAsia" w:ascii="宋体" w:hAnsi="宋体" w:cs="宋体"/>
                <w:snapToGrid w:val="0"/>
                <w:kern w:val="0"/>
                <w:sz w:val="21"/>
                <w:szCs w:val="21"/>
              </w:rPr>
            </w:pPr>
            <w:r>
              <w:rPr>
                <w:rFonts w:hint="eastAsia" w:ascii="宋体" w:hAnsi="宋体" w:cs="宋体"/>
                <w:snapToGrid w:val="0"/>
                <w:kern w:val="0"/>
                <w:sz w:val="21"/>
                <w:szCs w:val="21"/>
              </w:rPr>
              <w:t>近5年（2021年10月1日至投标截止时间，以竣（交）工时间为准）至少完成过1项合同金额不低于2000万元（含）的电力工程施工业绩。</w:t>
            </w:r>
          </w:p>
          <w:p w14:paraId="3A7FB95A">
            <w:pPr>
              <w:widowControl/>
              <w:autoSpaceDE w:val="0"/>
              <w:autoSpaceDN w:val="0"/>
              <w:adjustRightInd w:val="0"/>
              <w:snapToGrid w:val="0"/>
              <w:spacing w:line="0" w:lineRule="atLeast"/>
              <w:textAlignment w:val="baseline"/>
              <w:rPr>
                <w:rFonts w:hint="eastAsia" w:ascii="宋体" w:hAnsi="宋体" w:cs="宋体"/>
                <w:snapToGrid w:val="0"/>
                <w:kern w:val="0"/>
                <w:sz w:val="21"/>
                <w:szCs w:val="21"/>
              </w:rPr>
            </w:pPr>
            <w:r>
              <w:rPr>
                <w:rFonts w:hint="eastAsia" w:ascii="宋体" w:hAnsi="宋体" w:cs="宋体"/>
                <w:snapToGrid w:val="0"/>
                <w:kern w:val="0"/>
                <w:sz w:val="21"/>
                <w:szCs w:val="21"/>
              </w:rPr>
              <w:t>注：施工业绩包括单独施工业绩或设计施工总承包中的施工业绩。</w:t>
            </w:r>
          </w:p>
        </w:tc>
      </w:tr>
    </w:tbl>
    <w:p w14:paraId="1BBBAACF">
      <w:pPr>
        <w:adjustRightInd w:val="0"/>
        <w:snapToGrid w:val="0"/>
        <w:spacing w:line="360" w:lineRule="auto"/>
        <w:jc w:val="center"/>
        <w:rPr>
          <w:rFonts w:hint="eastAsia" w:ascii="宋体" w:hAnsi="宋体" w:cs="宋体"/>
          <w:b/>
          <w:bCs/>
          <w:snapToGrid w:val="0"/>
          <w:kern w:val="0"/>
          <w:sz w:val="21"/>
          <w:szCs w:val="21"/>
        </w:rPr>
      </w:pPr>
    </w:p>
    <w:p w14:paraId="099483F8">
      <w:pPr>
        <w:adjustRightInd w:val="0"/>
        <w:snapToGrid w:val="0"/>
        <w:spacing w:line="360" w:lineRule="auto"/>
        <w:jc w:val="center"/>
        <w:rPr>
          <w:rFonts w:hint="eastAsia" w:ascii="宋体" w:hAnsi="宋体" w:cs="宋体"/>
          <w:b/>
          <w:bCs/>
          <w:snapToGrid w:val="0"/>
          <w:kern w:val="0"/>
          <w:sz w:val="21"/>
          <w:szCs w:val="21"/>
        </w:rPr>
      </w:pPr>
      <w:r>
        <w:rPr>
          <w:rFonts w:hint="eastAsia" w:ascii="宋体" w:hAnsi="宋体" w:cs="宋体"/>
          <w:b/>
          <w:bCs/>
          <w:snapToGrid w:val="0"/>
          <w:kern w:val="0"/>
          <w:sz w:val="21"/>
          <w:szCs w:val="21"/>
        </w:rPr>
        <w:t>附录4 资格审查条件（信誉最低要求）</w:t>
      </w:r>
    </w:p>
    <w:tbl>
      <w:tblPr>
        <w:tblStyle w:val="20"/>
        <w:tblW w:w="963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38"/>
      </w:tblGrid>
      <w:tr w14:paraId="4C28E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9638" w:type="dxa"/>
            <w:tcBorders>
              <w:top w:val="single" w:color="000000" w:sz="2" w:space="0"/>
              <w:left w:val="single" w:color="000000" w:sz="2" w:space="0"/>
              <w:bottom w:val="single" w:color="000000" w:sz="2" w:space="0"/>
              <w:right w:val="single" w:color="000000" w:sz="2" w:space="0"/>
            </w:tcBorders>
            <w:vAlign w:val="center"/>
          </w:tcPr>
          <w:p w14:paraId="2197807C">
            <w:pPr>
              <w:autoSpaceDE w:val="0"/>
              <w:autoSpaceDN w:val="0"/>
              <w:adjustRightInd w:val="0"/>
              <w:snapToGrid w:val="0"/>
              <w:spacing w:line="0" w:lineRule="atLeast"/>
              <w:jc w:val="center"/>
              <w:rPr>
                <w:rFonts w:hint="eastAsia" w:ascii="宋体" w:hAnsi="宋体" w:cs="宋体"/>
                <w:snapToGrid w:val="0"/>
                <w:kern w:val="0"/>
                <w:sz w:val="21"/>
                <w:szCs w:val="21"/>
              </w:rPr>
            </w:pPr>
            <w:r>
              <w:rPr>
                <w:rFonts w:hint="eastAsia" w:ascii="宋体" w:hAnsi="宋体" w:cs="宋体"/>
                <w:snapToGrid w:val="0"/>
                <w:kern w:val="0"/>
                <w:sz w:val="21"/>
                <w:szCs w:val="21"/>
              </w:rPr>
              <w:t>信誉要求</w:t>
            </w:r>
          </w:p>
        </w:tc>
      </w:tr>
      <w:tr w14:paraId="49F06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9638" w:type="dxa"/>
            <w:tcBorders>
              <w:top w:val="single" w:color="000000" w:sz="2" w:space="0"/>
              <w:left w:val="single" w:color="000000" w:sz="2" w:space="0"/>
              <w:bottom w:val="single" w:color="000000" w:sz="2" w:space="0"/>
              <w:right w:val="single" w:color="000000" w:sz="2" w:space="0"/>
            </w:tcBorders>
            <w:vAlign w:val="center"/>
          </w:tcPr>
          <w:p w14:paraId="5778A21F">
            <w:pPr>
              <w:widowControl/>
              <w:autoSpaceDE w:val="0"/>
              <w:autoSpaceDN w:val="0"/>
              <w:adjustRightInd w:val="0"/>
              <w:snapToGrid w:val="0"/>
              <w:spacing w:line="0" w:lineRule="atLeast"/>
              <w:textAlignment w:val="baseline"/>
              <w:rPr>
                <w:rFonts w:hint="eastAsia" w:ascii="宋体" w:hAnsi="宋体" w:cs="宋体"/>
                <w:snapToGrid w:val="0"/>
                <w:kern w:val="0"/>
                <w:sz w:val="21"/>
                <w:szCs w:val="21"/>
              </w:rPr>
            </w:pPr>
            <w:r>
              <w:rPr>
                <w:rFonts w:hint="eastAsia" w:ascii="宋体" w:hAnsi="宋体" w:cs="宋体"/>
                <w:snapToGrid w:val="0"/>
                <w:kern w:val="0"/>
                <w:sz w:val="21"/>
                <w:szCs w:val="21"/>
              </w:rPr>
              <w:t>投标人在近1年内（2025年10月1日至投标截止时间）不曾在电力工程施工合同中违约而被驱逐或因投标人自身的原因而使电力工程施工合同被解除。</w:t>
            </w:r>
          </w:p>
        </w:tc>
      </w:tr>
    </w:tbl>
    <w:p w14:paraId="2606FB91">
      <w:pPr>
        <w:adjustRightInd w:val="0"/>
        <w:snapToGrid w:val="0"/>
        <w:spacing w:line="360" w:lineRule="auto"/>
        <w:jc w:val="center"/>
        <w:rPr>
          <w:rFonts w:hint="eastAsia" w:ascii="宋体" w:hAnsi="宋体" w:cs="宋体"/>
          <w:b/>
          <w:bCs/>
          <w:snapToGrid w:val="0"/>
          <w:kern w:val="0"/>
          <w:sz w:val="21"/>
          <w:szCs w:val="21"/>
        </w:rPr>
      </w:pPr>
    </w:p>
    <w:p w14:paraId="74EDA64A">
      <w:pPr>
        <w:adjustRightInd w:val="0"/>
        <w:snapToGrid w:val="0"/>
        <w:spacing w:line="360" w:lineRule="auto"/>
        <w:jc w:val="center"/>
        <w:rPr>
          <w:rFonts w:hint="eastAsia" w:ascii="宋体" w:hAnsi="宋体" w:cs="宋体"/>
          <w:b/>
          <w:bCs/>
          <w:snapToGrid w:val="0"/>
          <w:kern w:val="0"/>
          <w:sz w:val="21"/>
          <w:szCs w:val="21"/>
        </w:rPr>
      </w:pPr>
      <w:r>
        <w:rPr>
          <w:rFonts w:hint="eastAsia" w:ascii="宋体" w:hAnsi="宋体" w:cs="宋体"/>
          <w:b/>
          <w:bCs/>
          <w:snapToGrid w:val="0"/>
          <w:kern w:val="0"/>
          <w:sz w:val="21"/>
          <w:szCs w:val="21"/>
        </w:rPr>
        <w:t>附录5 资格审查条件（项目经理和项目总工最低要求）</w:t>
      </w:r>
    </w:p>
    <w:tbl>
      <w:tblPr>
        <w:tblStyle w:val="20"/>
        <w:tblW w:w="935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57" w:type="dxa"/>
        </w:tblCellMar>
      </w:tblPr>
      <w:tblGrid>
        <w:gridCol w:w="1134"/>
        <w:gridCol w:w="567"/>
        <w:gridCol w:w="6236"/>
        <w:gridCol w:w="1417"/>
      </w:tblGrid>
      <w:tr w14:paraId="54FCF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283" w:hRule="atLeast"/>
          <w:jc w:val="center"/>
        </w:trPr>
        <w:tc>
          <w:tcPr>
            <w:tcW w:w="1134" w:type="dxa"/>
            <w:tcBorders>
              <w:top w:val="single" w:color="000000" w:sz="2" w:space="0"/>
              <w:left w:val="single" w:color="000000" w:sz="2" w:space="0"/>
              <w:bottom w:val="single" w:color="000000" w:sz="2" w:space="0"/>
              <w:right w:val="single" w:color="000000" w:sz="4" w:space="0"/>
            </w:tcBorders>
            <w:vAlign w:val="center"/>
          </w:tcPr>
          <w:p w14:paraId="5C116310">
            <w:pPr>
              <w:autoSpaceDE w:val="0"/>
              <w:autoSpaceDN w:val="0"/>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岗位</w:t>
            </w:r>
          </w:p>
        </w:tc>
        <w:tc>
          <w:tcPr>
            <w:tcW w:w="567" w:type="dxa"/>
            <w:tcBorders>
              <w:top w:val="single" w:color="000000" w:sz="2" w:space="0"/>
              <w:left w:val="single" w:color="000000" w:sz="4" w:space="0"/>
              <w:bottom w:val="single" w:color="000000" w:sz="2" w:space="0"/>
              <w:right w:val="single" w:color="000000" w:sz="4" w:space="0"/>
            </w:tcBorders>
            <w:vAlign w:val="center"/>
          </w:tcPr>
          <w:p w14:paraId="22123228">
            <w:pPr>
              <w:autoSpaceDE w:val="0"/>
              <w:autoSpaceDN w:val="0"/>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数量</w:t>
            </w:r>
          </w:p>
        </w:tc>
        <w:tc>
          <w:tcPr>
            <w:tcW w:w="6236" w:type="dxa"/>
            <w:tcBorders>
              <w:top w:val="single" w:color="000000" w:sz="2" w:space="0"/>
              <w:left w:val="single" w:color="000000" w:sz="4" w:space="0"/>
              <w:bottom w:val="single" w:color="000000" w:sz="2" w:space="0"/>
              <w:right w:val="single" w:color="000000" w:sz="4" w:space="0"/>
            </w:tcBorders>
            <w:vAlign w:val="center"/>
          </w:tcPr>
          <w:p w14:paraId="2F1AFE1A">
            <w:pPr>
              <w:autoSpaceDE w:val="0"/>
              <w:autoSpaceDN w:val="0"/>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资格标准</w:t>
            </w:r>
          </w:p>
        </w:tc>
        <w:tc>
          <w:tcPr>
            <w:tcW w:w="1417" w:type="dxa"/>
            <w:tcBorders>
              <w:top w:val="single" w:color="000000" w:sz="2" w:space="0"/>
              <w:left w:val="single" w:color="000000" w:sz="4" w:space="0"/>
              <w:bottom w:val="single" w:color="000000" w:sz="2" w:space="0"/>
              <w:right w:val="single" w:color="000000" w:sz="2" w:space="0"/>
            </w:tcBorders>
            <w:vAlign w:val="center"/>
          </w:tcPr>
          <w:p w14:paraId="3992EF8E">
            <w:pPr>
              <w:autoSpaceDE w:val="0"/>
              <w:autoSpaceDN w:val="0"/>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在岗要求</w:t>
            </w:r>
          </w:p>
        </w:tc>
      </w:tr>
      <w:tr w14:paraId="441B5D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283" w:hRule="atLeast"/>
          <w:jc w:val="center"/>
        </w:trPr>
        <w:tc>
          <w:tcPr>
            <w:tcW w:w="1134" w:type="dxa"/>
            <w:tcBorders>
              <w:top w:val="single" w:color="000000" w:sz="2" w:space="0"/>
              <w:left w:val="single" w:color="000000" w:sz="2" w:space="0"/>
              <w:bottom w:val="single" w:color="000000" w:sz="2" w:space="0"/>
              <w:right w:val="single" w:color="000000" w:sz="4" w:space="0"/>
            </w:tcBorders>
            <w:vAlign w:val="center"/>
          </w:tcPr>
          <w:p w14:paraId="07DDA3E7">
            <w:pPr>
              <w:autoSpaceDE w:val="0"/>
              <w:autoSpaceDN w:val="0"/>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项目经理</w:t>
            </w:r>
          </w:p>
        </w:tc>
        <w:tc>
          <w:tcPr>
            <w:tcW w:w="567" w:type="dxa"/>
            <w:tcBorders>
              <w:top w:val="single" w:color="000000" w:sz="2" w:space="0"/>
              <w:left w:val="single" w:color="000000" w:sz="4" w:space="0"/>
              <w:bottom w:val="single" w:color="000000" w:sz="2" w:space="0"/>
              <w:right w:val="single" w:color="000000" w:sz="4" w:space="0"/>
            </w:tcBorders>
            <w:vAlign w:val="center"/>
          </w:tcPr>
          <w:p w14:paraId="5CE58339">
            <w:pPr>
              <w:autoSpaceDE w:val="0"/>
              <w:autoSpaceDN w:val="0"/>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1</w:t>
            </w:r>
          </w:p>
        </w:tc>
        <w:tc>
          <w:tcPr>
            <w:tcW w:w="6236" w:type="dxa"/>
            <w:tcBorders>
              <w:top w:val="single" w:color="000000" w:sz="2" w:space="0"/>
              <w:left w:val="single" w:color="000000" w:sz="4" w:space="0"/>
              <w:bottom w:val="single" w:color="000000" w:sz="2" w:space="0"/>
              <w:right w:val="single" w:color="000000" w:sz="4" w:space="0"/>
            </w:tcBorders>
            <w:vAlign w:val="center"/>
          </w:tcPr>
          <w:p w14:paraId="6BE80549">
            <w:pPr>
              <w:autoSpaceDE w:val="0"/>
              <w:autoSpaceDN w:val="0"/>
              <w:adjustRightInd w:val="0"/>
              <w:snapToGrid w:val="0"/>
              <w:jc w:val="left"/>
              <w:rPr>
                <w:rFonts w:hint="eastAsia" w:ascii="宋体" w:hAnsi="宋体" w:cs="宋体"/>
                <w:snapToGrid w:val="0"/>
                <w:kern w:val="0"/>
                <w:sz w:val="21"/>
                <w:szCs w:val="21"/>
              </w:rPr>
            </w:pPr>
            <w:r>
              <w:rPr>
                <w:rFonts w:hint="eastAsia" w:ascii="宋体" w:hAnsi="宋体" w:cs="宋体"/>
                <w:snapToGrid w:val="0"/>
                <w:kern w:val="0"/>
                <w:sz w:val="21"/>
                <w:szCs w:val="21"/>
              </w:rPr>
              <w:t>（1）具有机电工程专业二级及以上注册建造师证书，注册建造师证书的注册单位须与投标人单位名称一致；</w:t>
            </w:r>
          </w:p>
          <w:p w14:paraId="3F1FAAB8">
            <w:pPr>
              <w:autoSpaceDE w:val="0"/>
              <w:autoSpaceDN w:val="0"/>
              <w:adjustRightInd w:val="0"/>
              <w:snapToGrid w:val="0"/>
              <w:jc w:val="left"/>
              <w:rPr>
                <w:rFonts w:hint="eastAsia" w:ascii="宋体" w:hAnsi="宋体" w:cs="宋体"/>
                <w:snapToGrid w:val="0"/>
                <w:kern w:val="0"/>
                <w:sz w:val="21"/>
                <w:szCs w:val="21"/>
              </w:rPr>
            </w:pPr>
            <w:r>
              <w:rPr>
                <w:rFonts w:hint="eastAsia" w:ascii="宋体" w:hAnsi="宋体" w:cs="宋体"/>
                <w:snapToGrid w:val="0"/>
                <w:kern w:val="0"/>
                <w:sz w:val="21"/>
                <w:szCs w:val="21"/>
              </w:rPr>
              <w:t>（2）具有住房和城乡建设行政主管部门颁发的有效的《安全生产考核合格证书》（B类），安全生产考核合格证书的登记单位须与投标人单位名称一致。</w:t>
            </w:r>
          </w:p>
          <w:p w14:paraId="3CE52F95">
            <w:pPr>
              <w:autoSpaceDE w:val="0"/>
              <w:autoSpaceDN w:val="0"/>
              <w:adjustRightInd w:val="0"/>
              <w:snapToGrid w:val="0"/>
              <w:jc w:val="left"/>
              <w:rPr>
                <w:rFonts w:hint="eastAsia" w:ascii="宋体" w:hAnsi="宋体" w:cs="宋体"/>
                <w:snapToGrid w:val="0"/>
                <w:kern w:val="0"/>
                <w:sz w:val="21"/>
                <w:szCs w:val="21"/>
              </w:rPr>
            </w:pPr>
            <w:r>
              <w:rPr>
                <w:rFonts w:hint="eastAsia" w:ascii="宋体" w:hAnsi="宋体" w:cs="宋体"/>
                <w:snapToGrid w:val="0"/>
                <w:kern w:val="0"/>
                <w:sz w:val="21"/>
                <w:szCs w:val="21"/>
              </w:rPr>
              <w:t>（3）近5年（2021年10月1日至投标截止时间，以竣（交）工时间为准）至少担任过1项合同金额不低于2000万元（含）的电力工程施工项目的项目经理（项目负责人）或项目总工（技术负责人）。</w:t>
            </w:r>
          </w:p>
        </w:tc>
        <w:tc>
          <w:tcPr>
            <w:tcW w:w="1417" w:type="dxa"/>
            <w:vMerge w:val="restart"/>
            <w:tcBorders>
              <w:top w:val="single" w:color="000000" w:sz="2" w:space="0"/>
              <w:left w:val="single" w:color="000000" w:sz="4" w:space="0"/>
              <w:right w:val="single" w:color="000000" w:sz="2" w:space="0"/>
            </w:tcBorders>
            <w:vAlign w:val="center"/>
          </w:tcPr>
          <w:p w14:paraId="3F5F3FB2">
            <w:pPr>
              <w:autoSpaceDE w:val="0"/>
              <w:autoSpaceDN w:val="0"/>
              <w:adjustRightInd w:val="0"/>
              <w:snapToGrid w:val="0"/>
              <w:rPr>
                <w:snapToGrid w:val="0"/>
                <w:kern w:val="0"/>
              </w:rPr>
            </w:pPr>
            <w:r>
              <w:rPr>
                <w:rFonts w:hint="eastAsia" w:ascii="宋体" w:hAnsi="宋体" w:cs="宋体"/>
                <w:snapToGrid w:val="0"/>
                <w:kern w:val="0"/>
                <w:sz w:val="21"/>
                <w:szCs w:val="21"/>
              </w:rPr>
              <w:t>目前未在其他项目上任职，或虽在其他项目上任职但能够从其他项目撤离并能在本项目履约。</w:t>
            </w:r>
          </w:p>
        </w:tc>
      </w:tr>
      <w:tr w14:paraId="064F6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283" w:hRule="atLeast"/>
          <w:jc w:val="center"/>
        </w:trPr>
        <w:tc>
          <w:tcPr>
            <w:tcW w:w="1134" w:type="dxa"/>
            <w:tcBorders>
              <w:top w:val="single" w:color="000000" w:sz="2" w:space="0"/>
              <w:left w:val="single" w:color="000000" w:sz="2" w:space="0"/>
              <w:bottom w:val="single" w:color="000000" w:sz="2" w:space="0"/>
              <w:right w:val="single" w:color="000000" w:sz="4" w:space="0"/>
            </w:tcBorders>
            <w:vAlign w:val="center"/>
          </w:tcPr>
          <w:p w14:paraId="68F09F73">
            <w:pPr>
              <w:autoSpaceDE w:val="0"/>
              <w:autoSpaceDN w:val="0"/>
              <w:adjustRightInd w:val="0"/>
              <w:snapToGrid w:val="0"/>
              <w:jc w:val="center"/>
              <w:rPr>
                <w:rFonts w:hint="eastAsia" w:ascii="宋体" w:hAnsi="宋体" w:cs="宋体"/>
                <w:snapToGrid w:val="0"/>
                <w:kern w:val="0"/>
                <w:sz w:val="21"/>
                <w:szCs w:val="21"/>
              </w:rPr>
            </w:pPr>
            <w:bookmarkStart w:id="6" w:name="_Toc134792340"/>
            <w:r>
              <w:rPr>
                <w:rFonts w:hint="eastAsia" w:ascii="宋体" w:hAnsi="宋体" w:cs="宋体"/>
                <w:snapToGrid w:val="0"/>
                <w:kern w:val="0"/>
                <w:sz w:val="21"/>
                <w:szCs w:val="21"/>
              </w:rPr>
              <w:t>项目总工</w:t>
            </w:r>
          </w:p>
        </w:tc>
        <w:tc>
          <w:tcPr>
            <w:tcW w:w="567" w:type="dxa"/>
            <w:tcBorders>
              <w:top w:val="single" w:color="000000" w:sz="2" w:space="0"/>
              <w:left w:val="single" w:color="000000" w:sz="4" w:space="0"/>
              <w:bottom w:val="single" w:color="000000" w:sz="2" w:space="0"/>
              <w:right w:val="single" w:color="000000" w:sz="4" w:space="0"/>
            </w:tcBorders>
            <w:vAlign w:val="center"/>
          </w:tcPr>
          <w:p w14:paraId="7221ECFE">
            <w:pPr>
              <w:autoSpaceDE w:val="0"/>
              <w:autoSpaceDN w:val="0"/>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1</w:t>
            </w:r>
          </w:p>
        </w:tc>
        <w:tc>
          <w:tcPr>
            <w:tcW w:w="6236" w:type="dxa"/>
            <w:tcBorders>
              <w:top w:val="single" w:color="000000" w:sz="2" w:space="0"/>
              <w:left w:val="single" w:color="000000" w:sz="4" w:space="0"/>
              <w:bottom w:val="single" w:color="000000" w:sz="2" w:space="0"/>
              <w:right w:val="single" w:color="000000" w:sz="4" w:space="0"/>
            </w:tcBorders>
            <w:vAlign w:val="center"/>
          </w:tcPr>
          <w:p w14:paraId="1A8DD3E5">
            <w:pPr>
              <w:autoSpaceDE w:val="0"/>
              <w:autoSpaceDN w:val="0"/>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（1）具有高级或以上职称；</w:t>
            </w:r>
          </w:p>
          <w:p w14:paraId="4E06C957">
            <w:pPr>
              <w:autoSpaceDE w:val="0"/>
              <w:autoSpaceDN w:val="0"/>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（2）近5年内（2021年10月1日至投标截止时间，</w:t>
            </w:r>
            <w:r>
              <w:rPr>
                <w:rFonts w:ascii="宋体" w:hAnsi="宋体" w:cs="宋体"/>
                <w:snapToGrid w:val="0"/>
                <w:kern w:val="0"/>
                <w:sz w:val="21"/>
                <w:szCs w:val="21"/>
              </w:rPr>
              <w:t>以竣（交）工时间为准</w:t>
            </w:r>
            <w:r>
              <w:rPr>
                <w:rFonts w:hint="eastAsia" w:ascii="宋体" w:hAnsi="宋体" w:cs="宋体"/>
                <w:snapToGrid w:val="0"/>
                <w:kern w:val="0"/>
                <w:sz w:val="21"/>
                <w:szCs w:val="21"/>
              </w:rPr>
              <w:t>），至少担任过1项合同额不少于2000万元（含）的电力工程施工项目的项目总工（技术负责人）。</w:t>
            </w:r>
          </w:p>
        </w:tc>
        <w:tc>
          <w:tcPr>
            <w:tcW w:w="1417" w:type="dxa"/>
            <w:vMerge w:val="continue"/>
            <w:tcBorders>
              <w:left w:val="single" w:color="000000" w:sz="4" w:space="0"/>
              <w:right w:val="single" w:color="000000" w:sz="2" w:space="0"/>
            </w:tcBorders>
            <w:vAlign w:val="center"/>
          </w:tcPr>
          <w:p w14:paraId="7566DD94">
            <w:pPr>
              <w:pStyle w:val="2"/>
              <w:adjustRightInd w:val="0"/>
              <w:snapToGrid w:val="0"/>
              <w:rPr>
                <w:snapToGrid w:val="0"/>
                <w:kern w:val="0"/>
              </w:rPr>
            </w:pPr>
          </w:p>
        </w:tc>
      </w:tr>
    </w:tbl>
    <w:p w14:paraId="2E693E50">
      <w:pPr>
        <w:rPr>
          <w:snapToGrid w:val="0"/>
          <w:kern w:val="0"/>
        </w:rPr>
      </w:pPr>
      <w:r>
        <w:rPr>
          <w:rFonts w:hint="eastAsia" w:ascii="宋体" w:hAnsi="宋体" w:cs="宋体"/>
          <w:snapToGrid w:val="0"/>
          <w:kern w:val="0"/>
          <w:sz w:val="21"/>
          <w:szCs w:val="21"/>
        </w:rPr>
        <w:t>注：项目经理业绩包括单独施工业绩或设计施工总承包中的施工业绩。</w:t>
      </w:r>
      <w:r>
        <w:rPr>
          <w:rFonts w:hint="eastAsia" w:ascii="宋体" w:hAnsi="宋体" w:cs="宋体"/>
          <w:snapToGrid w:val="0"/>
          <w:kern w:val="0"/>
          <w:sz w:val="21"/>
          <w:szCs w:val="21"/>
        </w:rPr>
        <w:br w:type="page"/>
      </w:r>
    </w:p>
    <w:bookmarkEnd w:id="2"/>
    <w:bookmarkEnd w:id="6"/>
    <w:p w14:paraId="1688484D">
      <w:pPr>
        <w:adjustRightInd w:val="0"/>
        <w:spacing w:line="360" w:lineRule="auto"/>
        <w:rPr>
          <w:rFonts w:hint="eastAsia" w:ascii="宋体" w:hAnsi="宋体" w:cs="宋体"/>
          <w:b/>
          <w:snapToGrid w:val="0"/>
          <w:kern w:val="0"/>
          <w:sz w:val="24"/>
          <w:szCs w:val="24"/>
        </w:rPr>
      </w:pPr>
      <w:r>
        <w:rPr>
          <w:rFonts w:hint="eastAsia" w:ascii="宋体" w:hAnsi="宋体" w:cs="宋体"/>
          <w:b/>
          <w:snapToGrid w:val="0"/>
          <w:kern w:val="0"/>
          <w:sz w:val="24"/>
          <w:szCs w:val="24"/>
        </w:rPr>
        <w:t>附件2：随机确定评标基准价计算方法的规则与程序</w:t>
      </w:r>
    </w:p>
    <w:p w14:paraId="054A5F29">
      <w:pPr>
        <w:adjustRightInd w:val="0"/>
        <w:spacing w:line="360" w:lineRule="auto"/>
        <w:outlineLvl w:val="2"/>
        <w:rPr>
          <w:rFonts w:hint="eastAsia" w:ascii="宋体" w:hAnsi="宋体" w:cs="宋体"/>
          <w:bCs/>
          <w:snapToGrid w:val="0"/>
          <w:kern w:val="0"/>
          <w:sz w:val="21"/>
          <w:szCs w:val="21"/>
        </w:rPr>
      </w:pPr>
      <w:bookmarkStart w:id="7" w:name="_Toc11058"/>
      <w:bookmarkStart w:id="8" w:name="_Toc241696092"/>
      <w:r>
        <w:rPr>
          <w:rFonts w:hint="eastAsia" w:ascii="宋体" w:hAnsi="宋体" w:cs="宋体"/>
          <w:bCs/>
          <w:snapToGrid w:val="0"/>
          <w:kern w:val="0"/>
          <w:sz w:val="21"/>
          <w:szCs w:val="21"/>
        </w:rPr>
        <w:t>一、随机抽取规则</w:t>
      </w:r>
      <w:bookmarkEnd w:id="7"/>
      <w:bookmarkEnd w:id="8"/>
    </w:p>
    <w:p w14:paraId="11314951">
      <w:pPr>
        <w:adjustRightInd w:val="0"/>
        <w:spacing w:line="360" w:lineRule="auto"/>
        <w:rPr>
          <w:rFonts w:hint="eastAsia" w:ascii="宋体" w:hAnsi="宋体" w:cs="宋体"/>
          <w:bCs/>
          <w:snapToGrid w:val="0"/>
          <w:kern w:val="0"/>
          <w:sz w:val="21"/>
          <w:szCs w:val="21"/>
        </w:rPr>
      </w:pPr>
      <w:r>
        <w:rPr>
          <w:rFonts w:hint="eastAsia" w:ascii="宋体" w:hAnsi="宋体" w:cs="宋体"/>
          <w:bCs/>
          <w:snapToGrid w:val="0"/>
          <w:kern w:val="0"/>
          <w:sz w:val="21"/>
          <w:szCs w:val="21"/>
        </w:rPr>
        <w:t>参与随机确定评标基准价计算方法的各方当事人（以下简称“各方”）应当严格遵守以下规则：</w:t>
      </w:r>
    </w:p>
    <w:p w14:paraId="2AD65C5A">
      <w:pPr>
        <w:adjustRightInd w:val="0"/>
        <w:spacing w:line="360" w:lineRule="auto"/>
        <w:rPr>
          <w:rFonts w:hint="eastAsia" w:ascii="宋体" w:hAnsi="宋体" w:cs="宋体"/>
          <w:bCs/>
          <w:snapToGrid w:val="0"/>
          <w:kern w:val="0"/>
          <w:sz w:val="21"/>
          <w:szCs w:val="21"/>
        </w:rPr>
      </w:pPr>
      <w:r>
        <w:rPr>
          <w:rFonts w:hint="eastAsia" w:ascii="宋体" w:hAnsi="宋体" w:cs="宋体"/>
          <w:bCs/>
          <w:snapToGrid w:val="0"/>
          <w:kern w:val="0"/>
          <w:sz w:val="21"/>
          <w:szCs w:val="21"/>
        </w:rPr>
        <w:t>（一）各方必须严格遵守公开、公平、公正和诚实信用原则；</w:t>
      </w:r>
    </w:p>
    <w:p w14:paraId="7CA1BDCF">
      <w:pPr>
        <w:adjustRightInd w:val="0"/>
        <w:spacing w:line="360" w:lineRule="auto"/>
        <w:rPr>
          <w:rFonts w:hint="eastAsia" w:ascii="宋体" w:hAnsi="宋体" w:cs="宋体"/>
          <w:bCs/>
          <w:snapToGrid w:val="0"/>
          <w:kern w:val="0"/>
          <w:sz w:val="21"/>
          <w:szCs w:val="21"/>
        </w:rPr>
      </w:pPr>
      <w:r>
        <w:rPr>
          <w:rFonts w:hint="eastAsia" w:ascii="宋体" w:hAnsi="宋体" w:cs="宋体"/>
          <w:bCs/>
          <w:snapToGrid w:val="0"/>
          <w:kern w:val="0"/>
          <w:sz w:val="21"/>
          <w:szCs w:val="21"/>
        </w:rPr>
        <w:t>（二）随机抽取活动在招标人的主持下进行，由监督人员对全过程进行监督，招标人做好影像记录，并存档备查；</w:t>
      </w:r>
    </w:p>
    <w:p w14:paraId="63FBBB96">
      <w:pPr>
        <w:adjustRightInd w:val="0"/>
        <w:spacing w:line="360" w:lineRule="auto"/>
        <w:rPr>
          <w:rFonts w:hint="eastAsia" w:ascii="宋体" w:hAnsi="宋体" w:cs="宋体"/>
          <w:bCs/>
          <w:snapToGrid w:val="0"/>
          <w:kern w:val="0"/>
          <w:sz w:val="21"/>
          <w:szCs w:val="21"/>
        </w:rPr>
      </w:pPr>
      <w:r>
        <w:rPr>
          <w:rFonts w:hint="eastAsia" w:ascii="宋体" w:hAnsi="宋体" w:cs="宋体"/>
          <w:bCs/>
          <w:snapToGrid w:val="0"/>
          <w:kern w:val="0"/>
          <w:sz w:val="21"/>
          <w:szCs w:val="21"/>
        </w:rPr>
        <w:t>（三）用于随机抽取的器具由招标人提供；</w:t>
      </w:r>
    </w:p>
    <w:p w14:paraId="4B586067">
      <w:pPr>
        <w:adjustRightInd w:val="0"/>
        <w:spacing w:line="360" w:lineRule="auto"/>
        <w:rPr>
          <w:rFonts w:hint="eastAsia" w:ascii="宋体" w:hAnsi="宋体" w:cs="宋体"/>
          <w:bCs/>
          <w:snapToGrid w:val="0"/>
          <w:kern w:val="0"/>
          <w:sz w:val="21"/>
          <w:szCs w:val="21"/>
        </w:rPr>
      </w:pPr>
      <w:r>
        <w:rPr>
          <w:rFonts w:hint="eastAsia" w:ascii="宋体" w:hAnsi="宋体" w:cs="宋体"/>
          <w:bCs/>
          <w:snapToGrid w:val="0"/>
          <w:kern w:val="0"/>
          <w:sz w:val="21"/>
          <w:szCs w:val="21"/>
        </w:rPr>
        <w:t>（四）各方必须严格遵守现场纪律，确保随机抽取活动有序进行；</w:t>
      </w:r>
    </w:p>
    <w:p w14:paraId="18773360">
      <w:pPr>
        <w:adjustRightInd w:val="0"/>
        <w:spacing w:line="360" w:lineRule="auto"/>
        <w:rPr>
          <w:rFonts w:hint="eastAsia" w:ascii="宋体" w:hAnsi="宋体" w:cs="宋体"/>
          <w:bCs/>
          <w:snapToGrid w:val="0"/>
          <w:kern w:val="0"/>
          <w:sz w:val="21"/>
          <w:szCs w:val="21"/>
        </w:rPr>
      </w:pPr>
      <w:r>
        <w:rPr>
          <w:rFonts w:hint="eastAsia" w:ascii="宋体" w:hAnsi="宋体" w:cs="宋体"/>
          <w:bCs/>
          <w:snapToGrid w:val="0"/>
          <w:kern w:val="0"/>
          <w:sz w:val="21"/>
          <w:szCs w:val="21"/>
        </w:rPr>
        <w:t>（五）投标人对随机抽取结果有异议的，应当于产生随机抽取结果后的10分钟内在线提出异议，在规定时间之内未提出异议的，视为默认随机抽取结果。对于投标人提出的异议，招标人当场作出答复，并作好记录。</w:t>
      </w:r>
    </w:p>
    <w:p w14:paraId="2FFAA931">
      <w:pPr>
        <w:adjustRightInd w:val="0"/>
        <w:spacing w:line="360" w:lineRule="auto"/>
        <w:outlineLvl w:val="2"/>
        <w:rPr>
          <w:rFonts w:hint="eastAsia" w:ascii="宋体" w:hAnsi="宋体" w:cs="宋体"/>
          <w:bCs/>
          <w:snapToGrid w:val="0"/>
          <w:kern w:val="0"/>
          <w:sz w:val="21"/>
          <w:szCs w:val="21"/>
        </w:rPr>
      </w:pPr>
      <w:bookmarkStart w:id="9" w:name="_Toc8381"/>
      <w:bookmarkStart w:id="10" w:name="_Toc241696093"/>
      <w:r>
        <w:rPr>
          <w:rFonts w:hint="eastAsia" w:ascii="宋体" w:hAnsi="宋体" w:cs="宋体"/>
          <w:bCs/>
          <w:snapToGrid w:val="0"/>
          <w:kern w:val="0"/>
          <w:sz w:val="21"/>
          <w:szCs w:val="21"/>
        </w:rPr>
        <w:t>二、随机抽取确定评标基准价计算方法的程序</w:t>
      </w:r>
      <w:bookmarkEnd w:id="9"/>
      <w:bookmarkEnd w:id="10"/>
    </w:p>
    <w:p w14:paraId="3E3982EF">
      <w:pPr>
        <w:adjustRightInd w:val="0"/>
        <w:spacing w:line="360" w:lineRule="auto"/>
        <w:rPr>
          <w:rFonts w:hint="eastAsia" w:ascii="宋体" w:hAnsi="宋体" w:cs="宋体"/>
          <w:bCs/>
          <w:snapToGrid w:val="0"/>
          <w:kern w:val="0"/>
          <w:sz w:val="21"/>
          <w:szCs w:val="21"/>
        </w:rPr>
      </w:pPr>
      <w:r>
        <w:rPr>
          <w:rFonts w:hint="eastAsia" w:ascii="宋体" w:hAnsi="宋体" w:cs="宋体"/>
          <w:bCs/>
          <w:snapToGrid w:val="0"/>
          <w:kern w:val="0"/>
          <w:sz w:val="21"/>
          <w:szCs w:val="21"/>
        </w:rPr>
        <w:t>（一）确定随机抽取代码球</w:t>
      </w:r>
    </w:p>
    <w:p w14:paraId="3F60E543">
      <w:pPr>
        <w:adjustRightInd w:val="0"/>
        <w:spacing w:line="360" w:lineRule="auto"/>
        <w:rPr>
          <w:rFonts w:hint="eastAsia" w:ascii="宋体" w:hAnsi="宋体" w:cs="宋体"/>
          <w:bCs/>
          <w:snapToGrid w:val="0"/>
          <w:kern w:val="0"/>
          <w:sz w:val="21"/>
          <w:szCs w:val="21"/>
        </w:rPr>
      </w:pPr>
      <w:r>
        <w:rPr>
          <w:rFonts w:hint="eastAsia" w:ascii="宋体" w:hAnsi="宋体" w:cs="宋体"/>
          <w:bCs/>
          <w:snapToGrid w:val="0"/>
          <w:kern w:val="0"/>
          <w:sz w:val="21"/>
          <w:szCs w:val="21"/>
        </w:rPr>
        <w:t>用抽取器具随机确定抽取代码球一套，作为本次随机抽取确定评标基准价计算方法的代码球。</w:t>
      </w:r>
    </w:p>
    <w:p w14:paraId="03481E66">
      <w:pPr>
        <w:adjustRightInd w:val="0"/>
        <w:spacing w:line="360" w:lineRule="auto"/>
        <w:rPr>
          <w:rFonts w:hint="eastAsia" w:ascii="宋体" w:hAnsi="宋体" w:cs="宋体"/>
          <w:bCs/>
          <w:snapToGrid w:val="0"/>
          <w:kern w:val="0"/>
          <w:sz w:val="21"/>
          <w:szCs w:val="21"/>
        </w:rPr>
      </w:pPr>
      <w:r>
        <w:rPr>
          <w:rFonts w:hint="eastAsia" w:ascii="宋体" w:hAnsi="宋体" w:cs="宋体"/>
          <w:bCs/>
          <w:snapToGrid w:val="0"/>
          <w:kern w:val="0"/>
          <w:sz w:val="21"/>
          <w:szCs w:val="21"/>
        </w:rPr>
        <w:t>（二）本次招标共设置三种评标基准价计算方法（详见评标办法）。</w:t>
      </w:r>
    </w:p>
    <w:p w14:paraId="00C2E77B">
      <w:pPr>
        <w:adjustRightInd w:val="0"/>
        <w:spacing w:line="360" w:lineRule="auto"/>
        <w:rPr>
          <w:rFonts w:hint="eastAsia" w:ascii="宋体" w:hAnsi="宋体" w:cs="宋体"/>
          <w:bCs/>
          <w:snapToGrid w:val="0"/>
          <w:kern w:val="0"/>
          <w:sz w:val="21"/>
          <w:szCs w:val="21"/>
        </w:rPr>
      </w:pPr>
      <w:r>
        <w:rPr>
          <w:rFonts w:hint="eastAsia" w:ascii="宋体" w:hAnsi="宋体" w:cs="宋体"/>
          <w:bCs/>
          <w:snapToGrid w:val="0"/>
          <w:kern w:val="0"/>
          <w:sz w:val="21"/>
          <w:szCs w:val="21"/>
        </w:rPr>
        <w:t>确定评标基准价计算方法的编号及代码球，1号球代表评标基准价计算方法1；2号球代表评标基准价计算方法2；3号球代表评标基准价计算方法3。</w:t>
      </w:r>
    </w:p>
    <w:p w14:paraId="5037048B">
      <w:pPr>
        <w:adjustRightInd w:val="0"/>
        <w:spacing w:line="360" w:lineRule="auto"/>
        <w:rPr>
          <w:rFonts w:hint="eastAsia" w:ascii="宋体" w:hAnsi="宋体" w:cs="宋体"/>
          <w:bCs/>
          <w:snapToGrid w:val="0"/>
          <w:kern w:val="0"/>
          <w:sz w:val="21"/>
          <w:szCs w:val="21"/>
        </w:rPr>
      </w:pPr>
      <w:r>
        <w:rPr>
          <w:rFonts w:hint="eastAsia" w:ascii="宋体" w:hAnsi="宋体" w:cs="宋体"/>
          <w:bCs/>
          <w:snapToGrid w:val="0"/>
          <w:kern w:val="0"/>
          <w:sz w:val="21"/>
          <w:szCs w:val="21"/>
        </w:rPr>
        <w:t>（三）在投标文件第一信封（商务及技术文件）开标现场，将编号1、2、3代码球全部放入随机抽取器具中，由抽取器具随机抽取产生本次招标评标基准价计算方法。</w:t>
      </w:r>
    </w:p>
    <w:p w14:paraId="69B6356F">
      <w:pPr>
        <w:adjustRightInd w:val="0"/>
        <w:spacing w:line="360" w:lineRule="auto"/>
        <w:rPr>
          <w:rFonts w:hint="eastAsia" w:ascii="宋体" w:hAnsi="宋体" w:cs="宋体"/>
          <w:bCs/>
          <w:snapToGrid w:val="0"/>
          <w:kern w:val="0"/>
          <w:sz w:val="21"/>
          <w:szCs w:val="21"/>
        </w:rPr>
      </w:pPr>
      <w:r>
        <w:rPr>
          <w:rFonts w:hint="eastAsia" w:ascii="宋体" w:hAnsi="宋体" w:cs="宋体"/>
          <w:bCs/>
          <w:snapToGrid w:val="0"/>
          <w:kern w:val="0"/>
          <w:sz w:val="21"/>
          <w:szCs w:val="21"/>
        </w:rPr>
        <w:t>（四）确定评标基准价计算方法需要的系数（如有）。</w:t>
      </w:r>
    </w:p>
    <w:p w14:paraId="0E2CD478">
      <w:pPr>
        <w:adjustRightInd w:val="0"/>
        <w:spacing w:line="360" w:lineRule="auto"/>
        <w:outlineLvl w:val="1"/>
        <w:rPr>
          <w:rFonts w:hint="eastAsia" w:ascii="宋体" w:hAnsi="宋体" w:cs="宋体"/>
          <w:bCs/>
          <w:snapToGrid w:val="0"/>
          <w:kern w:val="0"/>
          <w:sz w:val="21"/>
          <w:szCs w:val="21"/>
        </w:rPr>
      </w:pPr>
      <w:bookmarkStart w:id="11" w:name="_Toc241696094"/>
      <w:bookmarkStart w:id="12" w:name="_Toc26979"/>
      <w:r>
        <w:rPr>
          <w:rFonts w:hint="eastAsia" w:ascii="宋体" w:hAnsi="宋体" w:cs="宋体"/>
          <w:bCs/>
          <w:snapToGrid w:val="0"/>
          <w:kern w:val="0"/>
          <w:sz w:val="21"/>
          <w:szCs w:val="21"/>
        </w:rPr>
        <w:t>1、如果抽取的评标基准价计算方法为方法1，则不需要抽取系数。</w:t>
      </w:r>
      <w:bookmarkEnd w:id="11"/>
      <w:bookmarkEnd w:id="12"/>
    </w:p>
    <w:p w14:paraId="68DFBDB5">
      <w:pPr>
        <w:adjustRightInd w:val="0"/>
        <w:spacing w:line="360" w:lineRule="auto"/>
        <w:rPr>
          <w:rFonts w:hint="eastAsia" w:ascii="宋体" w:hAnsi="宋体" w:cs="宋体"/>
          <w:bCs/>
          <w:snapToGrid w:val="0"/>
          <w:kern w:val="0"/>
          <w:sz w:val="21"/>
          <w:szCs w:val="21"/>
        </w:rPr>
      </w:pPr>
      <w:r>
        <w:rPr>
          <w:rFonts w:hint="eastAsia" w:ascii="宋体" w:hAnsi="宋体" w:cs="宋体"/>
          <w:bCs/>
          <w:snapToGrid w:val="0"/>
          <w:kern w:val="0"/>
          <w:sz w:val="21"/>
          <w:szCs w:val="21"/>
        </w:rPr>
        <w:t>2、如果抽取的评标基准价计算方法为方法2，则需要抽取评标基准价系数K1。</w:t>
      </w:r>
    </w:p>
    <w:p w14:paraId="6A7DB8D8">
      <w:pPr>
        <w:adjustRightInd w:val="0"/>
        <w:spacing w:line="360" w:lineRule="auto"/>
        <w:rPr>
          <w:rFonts w:hint="eastAsia" w:ascii="宋体" w:hAnsi="宋体" w:cs="宋体"/>
          <w:bCs/>
          <w:snapToGrid w:val="0"/>
          <w:kern w:val="0"/>
          <w:sz w:val="21"/>
          <w:szCs w:val="21"/>
        </w:rPr>
      </w:pPr>
      <w:r>
        <w:rPr>
          <w:rFonts w:hint="eastAsia" w:ascii="宋体" w:hAnsi="宋体" w:cs="宋体"/>
          <w:bCs/>
          <w:snapToGrid w:val="0"/>
          <w:kern w:val="0"/>
          <w:sz w:val="21"/>
          <w:szCs w:val="21"/>
        </w:rPr>
        <w:t>K1取值范围为0.975、0.980、0.985、0.990、0.995。将编号为1～5的代码球放入抽取器具，由抽取器具随机抽取1个代码球，1号球代表K1值为0.975；2号球代表K1值为0.980；3号球代表K1值为0.985；4号球代表K1值为0.990；5号球代表K1值为0.995。</w:t>
      </w:r>
    </w:p>
    <w:p w14:paraId="74292C7A">
      <w:pPr>
        <w:adjustRightInd w:val="0"/>
        <w:spacing w:line="360" w:lineRule="auto"/>
        <w:rPr>
          <w:rFonts w:hint="eastAsia" w:ascii="宋体" w:hAnsi="宋体" w:cs="宋体"/>
          <w:bCs/>
          <w:snapToGrid w:val="0"/>
          <w:kern w:val="0"/>
          <w:sz w:val="21"/>
          <w:szCs w:val="21"/>
        </w:rPr>
      </w:pPr>
      <w:r>
        <w:rPr>
          <w:rFonts w:hint="eastAsia" w:ascii="宋体" w:hAnsi="宋体" w:cs="宋体"/>
          <w:bCs/>
          <w:snapToGrid w:val="0"/>
          <w:kern w:val="0"/>
          <w:sz w:val="21"/>
          <w:szCs w:val="21"/>
        </w:rPr>
        <w:t>3、如果抽取的评标基准价计算方法为方法3，则需要抽取评标基准价系数K2。</w:t>
      </w:r>
    </w:p>
    <w:p w14:paraId="6A9C47BE">
      <w:pPr>
        <w:adjustRightInd w:val="0"/>
        <w:spacing w:line="360" w:lineRule="auto"/>
        <w:rPr>
          <w:rFonts w:hint="eastAsia" w:ascii="宋体" w:hAnsi="宋体" w:cs="宋体"/>
          <w:bCs/>
          <w:snapToGrid w:val="0"/>
          <w:kern w:val="0"/>
          <w:sz w:val="21"/>
          <w:szCs w:val="21"/>
        </w:rPr>
      </w:pPr>
      <w:r>
        <w:rPr>
          <w:rFonts w:hint="eastAsia" w:ascii="宋体" w:hAnsi="宋体" w:cs="宋体"/>
          <w:bCs/>
          <w:snapToGrid w:val="0"/>
          <w:kern w:val="0"/>
          <w:sz w:val="21"/>
          <w:szCs w:val="21"/>
        </w:rPr>
        <w:t>K2取值范围为0.10、0.15、0.20、0.25、0.30。将编号为1～5的代码球放入抽取器具，由抽取器具随机抽取1个代码球，1号球代表K2值为0.10；2号球代表K2值为0.15；3号球代表K2值为0.20；4号球代表K2值为0.25；5号球代表K2值为0.30。</w:t>
      </w:r>
    </w:p>
    <w:p w14:paraId="087934F2">
      <w:pPr>
        <w:numPr>
          <w:ilvl w:val="0"/>
          <w:numId w:val="1"/>
        </w:numPr>
        <w:adjustRightInd w:val="0"/>
        <w:spacing w:line="360" w:lineRule="auto"/>
        <w:rPr>
          <w:rFonts w:hint="eastAsia" w:ascii="宋体" w:hAnsi="宋体" w:cs="宋体"/>
          <w:bCs/>
          <w:snapToGrid w:val="0"/>
          <w:kern w:val="0"/>
          <w:sz w:val="21"/>
          <w:szCs w:val="21"/>
        </w:rPr>
      </w:pPr>
      <w:r>
        <w:rPr>
          <w:rFonts w:hint="eastAsia" w:ascii="宋体" w:hAnsi="宋体" w:cs="宋体"/>
          <w:bCs/>
          <w:snapToGrid w:val="0"/>
          <w:kern w:val="0"/>
          <w:sz w:val="21"/>
          <w:szCs w:val="21"/>
        </w:rPr>
        <w:t>如果遇到抽取器具发生故障，导致随机确定评标基准价计算方法过程中断时，招标人应及时宣布发生故障之前的随机确定评标基准价计算方法结果有效。宣布前任何人不得随意处理抽取器具，并请招标人、监督人员对故障发生情况进行书面确认。故障排除或更换抽取器具后，招标人应宣布继续后续的抽取程序。</w:t>
      </w:r>
      <w:r>
        <w:rPr>
          <w:rFonts w:hint="eastAsia" w:ascii="宋体" w:hAnsi="宋体" w:cs="宋体"/>
          <w:bCs/>
          <w:snapToGrid w:val="0"/>
          <w:kern w:val="0"/>
          <w:sz w:val="21"/>
          <w:szCs w:val="21"/>
        </w:rPr>
        <w:br w:type="page"/>
      </w:r>
    </w:p>
    <w:p w14:paraId="2CF0D120">
      <w:pPr>
        <w:pStyle w:val="6"/>
        <w:spacing w:before="0" w:after="0" w:line="360" w:lineRule="auto"/>
        <w:rPr>
          <w:rFonts w:hint="eastAsia" w:ascii="宋体" w:hAnsi="宋体" w:cs="宋体"/>
          <w:snapToGrid w:val="0"/>
          <w:kern w:val="0"/>
          <w:sz w:val="24"/>
          <w:szCs w:val="24"/>
        </w:rPr>
      </w:pPr>
      <w:bookmarkStart w:id="13" w:name="_Toc28405"/>
      <w:bookmarkStart w:id="14" w:name="_Toc241696095"/>
      <w:bookmarkStart w:id="15" w:name="_Toc28559"/>
      <w:r>
        <w:rPr>
          <w:rFonts w:hint="eastAsia" w:ascii="宋体" w:hAnsi="宋体" w:cs="宋体"/>
          <w:snapToGrid w:val="0"/>
          <w:kern w:val="0"/>
          <w:sz w:val="24"/>
          <w:szCs w:val="24"/>
        </w:rPr>
        <w:t>附件3：评标办法</w:t>
      </w:r>
      <w:bookmarkEnd w:id="13"/>
      <w:bookmarkEnd w:id="14"/>
      <w:bookmarkEnd w:id="15"/>
    </w:p>
    <w:bookmarkEnd w:id="3"/>
    <w:p w14:paraId="2D938EB8">
      <w:pPr>
        <w:tabs>
          <w:tab w:val="left" w:pos="0"/>
        </w:tabs>
        <w:spacing w:line="360" w:lineRule="auto"/>
        <w:jc w:val="center"/>
        <w:rPr>
          <w:rFonts w:hint="eastAsia" w:ascii="宋体" w:hAnsi="宋体" w:cs="宋体"/>
          <w:b/>
          <w:bCs/>
          <w:snapToGrid w:val="0"/>
          <w:kern w:val="0"/>
          <w:sz w:val="21"/>
          <w:szCs w:val="21"/>
        </w:rPr>
      </w:pPr>
      <w:r>
        <w:rPr>
          <w:rFonts w:hint="eastAsia" w:ascii="宋体" w:hAnsi="宋体" w:cs="宋体"/>
          <w:b/>
          <w:bCs/>
          <w:snapToGrid w:val="0"/>
          <w:kern w:val="0"/>
          <w:sz w:val="21"/>
          <w:szCs w:val="21"/>
        </w:rPr>
        <w:t>评标办法前附表</w:t>
      </w:r>
    </w:p>
    <w:tbl>
      <w:tblPr>
        <w:tblStyle w:val="20"/>
        <w:tblW w:w="10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5"/>
        <w:gridCol w:w="1684"/>
        <w:gridCol w:w="6986"/>
      </w:tblGrid>
      <w:tr w14:paraId="2BA96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7" w:type="pct"/>
            <w:gridSpan w:val="2"/>
            <w:vAlign w:val="center"/>
          </w:tcPr>
          <w:p w14:paraId="10D6F75F">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条款号</w:t>
            </w:r>
          </w:p>
        </w:tc>
        <w:tc>
          <w:tcPr>
            <w:tcW w:w="3423" w:type="pct"/>
            <w:vAlign w:val="center"/>
          </w:tcPr>
          <w:p w14:paraId="21DCB8C7">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评审因素与评审标准</w:t>
            </w:r>
          </w:p>
        </w:tc>
      </w:tr>
      <w:tr w14:paraId="5F35A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Align w:val="center"/>
          </w:tcPr>
          <w:p w14:paraId="1CB2B267">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1</w:t>
            </w:r>
          </w:p>
        </w:tc>
        <w:tc>
          <w:tcPr>
            <w:tcW w:w="825" w:type="pct"/>
            <w:vAlign w:val="center"/>
          </w:tcPr>
          <w:p w14:paraId="0E72DFDB">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评标方法</w:t>
            </w:r>
          </w:p>
        </w:tc>
        <w:tc>
          <w:tcPr>
            <w:tcW w:w="3423" w:type="pct"/>
            <w:vAlign w:val="center"/>
          </w:tcPr>
          <w:p w14:paraId="68027E24">
            <w:pPr>
              <w:adjustRightInd w:val="0"/>
              <w:snapToGrid w:val="0"/>
              <w:jc w:val="left"/>
              <w:rPr>
                <w:rFonts w:hint="eastAsia" w:ascii="宋体" w:hAnsi="宋体" w:cs="宋体"/>
                <w:snapToGrid w:val="0"/>
                <w:kern w:val="0"/>
                <w:sz w:val="21"/>
                <w:szCs w:val="21"/>
              </w:rPr>
            </w:pPr>
            <w:r>
              <w:rPr>
                <w:rFonts w:hint="eastAsia" w:ascii="宋体" w:hAnsi="宋体" w:cs="宋体"/>
                <w:snapToGrid w:val="0"/>
                <w:kern w:val="0"/>
                <w:sz w:val="21"/>
                <w:szCs w:val="21"/>
              </w:rPr>
              <w:t>本次评标采用技术评分合理低价法，双信封形式。</w:t>
            </w:r>
          </w:p>
          <w:p w14:paraId="42AE2403">
            <w:pPr>
              <w:adjustRightInd w:val="0"/>
              <w:snapToGrid w:val="0"/>
              <w:jc w:val="left"/>
              <w:rPr>
                <w:rFonts w:hint="eastAsia" w:ascii="宋体" w:hAnsi="宋体" w:cs="宋体"/>
                <w:snapToGrid w:val="0"/>
                <w:kern w:val="0"/>
                <w:sz w:val="21"/>
                <w:szCs w:val="21"/>
              </w:rPr>
            </w:pPr>
            <w:r>
              <w:rPr>
                <w:rFonts w:ascii="宋体" w:hAnsi="宋体" w:cs="宋体"/>
                <w:snapToGrid w:val="0"/>
                <w:kern w:val="0"/>
                <w:sz w:val="21"/>
                <w:szCs w:val="21"/>
              </w:rPr>
              <w:t>评标委员</w:t>
            </w:r>
            <w:r>
              <w:rPr>
                <w:rFonts w:hint="eastAsia" w:ascii="宋体" w:hAnsi="宋体" w:cs="宋体"/>
                <w:snapToGrid w:val="0"/>
                <w:kern w:val="0"/>
                <w:sz w:val="21"/>
                <w:szCs w:val="21"/>
              </w:rPr>
              <w:t>会</w:t>
            </w:r>
            <w:r>
              <w:rPr>
                <w:rFonts w:ascii="宋体" w:hAnsi="宋体" w:cs="宋体"/>
                <w:snapToGrid w:val="0"/>
                <w:kern w:val="0"/>
                <w:sz w:val="21"/>
                <w:szCs w:val="21"/>
              </w:rPr>
              <w:t>对满足招标文件实质性要求的投标文件的施工组织设计、主要人员、企业业绩</w:t>
            </w:r>
            <w:r>
              <w:rPr>
                <w:rFonts w:hint="eastAsia" w:ascii="宋体" w:hAnsi="宋体" w:cs="宋体"/>
                <w:snapToGrid w:val="0"/>
                <w:kern w:val="0"/>
                <w:sz w:val="21"/>
                <w:szCs w:val="21"/>
              </w:rPr>
              <w:t>（即第一信封）等因素</w:t>
            </w:r>
            <w:r>
              <w:rPr>
                <w:rFonts w:ascii="宋体" w:hAnsi="宋体" w:cs="宋体"/>
                <w:snapToGrid w:val="0"/>
                <w:kern w:val="0"/>
                <w:sz w:val="21"/>
                <w:szCs w:val="21"/>
              </w:rPr>
              <w:t>进行评分，按照</w:t>
            </w:r>
            <w:r>
              <w:rPr>
                <w:rFonts w:hint="eastAsia" w:ascii="宋体" w:hAnsi="宋体" w:cs="宋体"/>
                <w:snapToGrid w:val="0"/>
                <w:kern w:val="0"/>
                <w:sz w:val="21"/>
                <w:szCs w:val="21"/>
              </w:rPr>
              <w:t>综合</w:t>
            </w:r>
            <w:r>
              <w:rPr>
                <w:rFonts w:ascii="宋体" w:hAnsi="宋体" w:cs="宋体"/>
                <w:snapToGrid w:val="0"/>
                <w:kern w:val="0"/>
                <w:sz w:val="21"/>
                <w:szCs w:val="21"/>
              </w:rPr>
              <w:t>得分由高到低排序，</w:t>
            </w:r>
            <w:r>
              <w:rPr>
                <w:rFonts w:hint="eastAsia" w:ascii="宋体" w:hAnsi="宋体" w:cs="宋体"/>
                <w:snapToGrid w:val="0"/>
                <w:kern w:val="0"/>
                <w:sz w:val="21"/>
                <w:szCs w:val="21"/>
              </w:rPr>
              <w:t>确定前5家</w:t>
            </w:r>
            <w:r>
              <w:rPr>
                <w:rFonts w:ascii="宋体" w:hAnsi="宋体" w:cs="宋体"/>
                <w:snapToGrid w:val="0"/>
                <w:kern w:val="0"/>
                <w:sz w:val="21"/>
                <w:szCs w:val="21"/>
              </w:rPr>
              <w:t>的投标人</w:t>
            </w:r>
            <w:r>
              <w:rPr>
                <w:rFonts w:hint="eastAsia" w:ascii="宋体" w:hAnsi="宋体" w:cs="宋体"/>
                <w:snapToGrid w:val="0"/>
                <w:kern w:val="0"/>
                <w:sz w:val="21"/>
                <w:szCs w:val="21"/>
              </w:rPr>
              <w:t>进入</w:t>
            </w:r>
            <w:r>
              <w:rPr>
                <w:rFonts w:ascii="宋体" w:hAnsi="宋体" w:cs="宋体"/>
                <w:snapToGrid w:val="0"/>
                <w:kern w:val="0"/>
                <w:sz w:val="21"/>
                <w:szCs w:val="21"/>
              </w:rPr>
              <w:t>报价文件</w:t>
            </w:r>
            <w:r>
              <w:rPr>
                <w:rFonts w:hint="eastAsia" w:ascii="宋体" w:hAnsi="宋体" w:cs="宋体"/>
                <w:snapToGrid w:val="0"/>
                <w:kern w:val="0"/>
                <w:sz w:val="21"/>
                <w:szCs w:val="21"/>
              </w:rPr>
              <w:t>（即第二信封）</w:t>
            </w:r>
            <w:r>
              <w:rPr>
                <w:rFonts w:ascii="宋体" w:hAnsi="宋体" w:cs="宋体"/>
                <w:snapToGrid w:val="0"/>
                <w:kern w:val="0"/>
                <w:sz w:val="21"/>
                <w:szCs w:val="21"/>
              </w:rPr>
              <w:t>评审</w:t>
            </w:r>
            <w:r>
              <w:rPr>
                <w:rFonts w:hint="eastAsia" w:ascii="宋体" w:hAnsi="宋体" w:cs="宋体"/>
                <w:snapToGrid w:val="0"/>
                <w:kern w:val="0"/>
                <w:sz w:val="21"/>
                <w:szCs w:val="21"/>
              </w:rPr>
              <w:t>。</w:t>
            </w:r>
          </w:p>
          <w:p w14:paraId="2DA86760">
            <w:pPr>
              <w:adjustRightInd w:val="0"/>
              <w:snapToGrid w:val="0"/>
              <w:jc w:val="left"/>
              <w:rPr>
                <w:rFonts w:hint="eastAsia" w:ascii="宋体" w:hAnsi="宋体" w:cs="宋体"/>
                <w:snapToGrid w:val="0"/>
                <w:kern w:val="0"/>
                <w:sz w:val="21"/>
                <w:szCs w:val="21"/>
              </w:rPr>
            </w:pPr>
            <w:r>
              <w:rPr>
                <w:rFonts w:ascii="宋体" w:hAnsi="宋体" w:cs="宋体"/>
                <w:snapToGrid w:val="0"/>
                <w:kern w:val="0"/>
                <w:sz w:val="21"/>
                <w:szCs w:val="21"/>
              </w:rPr>
              <w:t>第一信封</w:t>
            </w:r>
            <w:r>
              <w:rPr>
                <w:rFonts w:hint="eastAsia" w:ascii="宋体" w:hAnsi="宋体" w:cs="宋体"/>
                <w:snapToGrid w:val="0"/>
                <w:kern w:val="0"/>
                <w:sz w:val="21"/>
                <w:szCs w:val="21"/>
              </w:rPr>
              <w:t>综合</w:t>
            </w:r>
            <w:r>
              <w:rPr>
                <w:rFonts w:ascii="宋体" w:hAnsi="宋体" w:cs="宋体"/>
                <w:snapToGrid w:val="0"/>
                <w:kern w:val="0"/>
                <w:sz w:val="21"/>
                <w:szCs w:val="21"/>
              </w:rPr>
              <w:t>得分相等时，</w:t>
            </w:r>
            <w:r>
              <w:rPr>
                <w:rFonts w:hint="eastAsia" w:ascii="宋体" w:hAnsi="宋体" w:cs="宋体"/>
                <w:snapToGrid w:val="0"/>
                <w:kern w:val="0"/>
                <w:sz w:val="21"/>
                <w:szCs w:val="21"/>
              </w:rPr>
              <w:t>以施工组织设计得分高的优先；施工组织设计得分也相等的，以</w:t>
            </w:r>
            <w:r>
              <w:rPr>
                <w:rFonts w:ascii="宋体" w:hAnsi="宋体" w:cs="宋体"/>
                <w:snapToGrid w:val="0"/>
                <w:kern w:val="0"/>
                <w:sz w:val="21"/>
                <w:szCs w:val="21"/>
              </w:rPr>
              <w:t>满足资格审查条件（业绩最低要求）的业绩</w:t>
            </w:r>
            <w:r>
              <w:rPr>
                <w:rFonts w:hint="eastAsia" w:ascii="宋体" w:hAnsi="宋体" w:cs="宋体"/>
                <w:snapToGrid w:val="0"/>
                <w:kern w:val="0"/>
                <w:sz w:val="21"/>
                <w:szCs w:val="21"/>
              </w:rPr>
              <w:t>单项合同额最高</w:t>
            </w:r>
            <w:r>
              <w:rPr>
                <w:rFonts w:ascii="宋体" w:hAnsi="宋体" w:cs="宋体"/>
                <w:snapToGrid w:val="0"/>
                <w:kern w:val="0"/>
                <w:sz w:val="21"/>
                <w:szCs w:val="21"/>
              </w:rPr>
              <w:t>的优先，</w:t>
            </w:r>
            <w:r>
              <w:rPr>
                <w:rFonts w:hint="eastAsia" w:ascii="宋体" w:hAnsi="宋体" w:cs="宋体"/>
                <w:snapToGrid w:val="0"/>
                <w:kern w:val="0"/>
                <w:sz w:val="21"/>
                <w:szCs w:val="21"/>
              </w:rPr>
              <w:t>单项合同额</w:t>
            </w:r>
            <w:r>
              <w:rPr>
                <w:rFonts w:ascii="宋体" w:hAnsi="宋体" w:cs="宋体"/>
                <w:snapToGrid w:val="0"/>
                <w:kern w:val="0"/>
                <w:sz w:val="21"/>
                <w:szCs w:val="21"/>
              </w:rPr>
              <w:t>也相等时，以累计合同金额</w:t>
            </w:r>
            <w:r>
              <w:rPr>
                <w:rFonts w:hint="eastAsia" w:ascii="宋体" w:hAnsi="宋体" w:cs="宋体"/>
                <w:snapToGrid w:val="0"/>
                <w:kern w:val="0"/>
                <w:sz w:val="21"/>
                <w:szCs w:val="21"/>
              </w:rPr>
              <w:t>高</w:t>
            </w:r>
            <w:r>
              <w:rPr>
                <w:rFonts w:ascii="宋体" w:hAnsi="宋体" w:cs="宋体"/>
                <w:snapToGrid w:val="0"/>
                <w:kern w:val="0"/>
                <w:sz w:val="21"/>
                <w:szCs w:val="21"/>
              </w:rPr>
              <w:t>的优先</w:t>
            </w:r>
            <w:r>
              <w:rPr>
                <w:rFonts w:hint="eastAsia" w:ascii="宋体" w:hAnsi="宋体" w:cs="宋体"/>
                <w:snapToGrid w:val="0"/>
                <w:kern w:val="0"/>
                <w:sz w:val="21"/>
                <w:szCs w:val="21"/>
              </w:rPr>
              <w:t>。</w:t>
            </w:r>
          </w:p>
          <w:p w14:paraId="30929103">
            <w:pPr>
              <w:adjustRightInd w:val="0"/>
              <w:snapToGrid w:val="0"/>
              <w:jc w:val="left"/>
              <w:rPr>
                <w:rFonts w:hint="eastAsia" w:ascii="宋体" w:hAnsi="宋体" w:cs="宋体"/>
                <w:snapToGrid w:val="0"/>
                <w:kern w:val="0"/>
                <w:sz w:val="21"/>
                <w:szCs w:val="21"/>
              </w:rPr>
            </w:pPr>
            <w:r>
              <w:rPr>
                <w:rFonts w:hint="eastAsia" w:ascii="宋体" w:hAnsi="宋体" w:cs="宋体"/>
                <w:snapToGrid w:val="0"/>
                <w:kern w:val="0"/>
                <w:sz w:val="21"/>
                <w:szCs w:val="21"/>
              </w:rPr>
              <w:t>未通过第一信封评审或第一信封综合得分未进入前5家的投标人，其第二信封在整个评标期间不再开封，不随任何因素发生变化。</w:t>
            </w:r>
          </w:p>
          <w:p w14:paraId="01D1F058">
            <w:pPr>
              <w:adjustRightInd w:val="0"/>
              <w:snapToGrid w:val="0"/>
              <w:jc w:val="left"/>
              <w:rPr>
                <w:rFonts w:hint="eastAsia" w:ascii="宋体" w:hAnsi="宋体" w:cs="宋体"/>
                <w:snapToGrid w:val="0"/>
                <w:kern w:val="0"/>
                <w:sz w:val="21"/>
                <w:szCs w:val="21"/>
              </w:rPr>
            </w:pPr>
            <w:r>
              <w:rPr>
                <w:rFonts w:hint="eastAsia" w:ascii="宋体" w:hAnsi="宋体" w:cs="宋体"/>
                <w:snapToGrid w:val="0"/>
                <w:kern w:val="0"/>
                <w:sz w:val="21"/>
                <w:szCs w:val="21"/>
              </w:rPr>
              <w:t>若通过第一信封初步评审的投标人≤5家时，则第一信封不再进行打分，通过第一信封的所有投标人直接进入报价文件（即第二信封）评审</w:t>
            </w:r>
            <w:r>
              <w:rPr>
                <w:rFonts w:ascii="宋体" w:hAnsi="宋体" w:cs="宋体"/>
                <w:snapToGrid w:val="0"/>
                <w:kern w:val="0"/>
                <w:sz w:val="21"/>
                <w:szCs w:val="21"/>
              </w:rPr>
              <w:t>。</w:t>
            </w:r>
          </w:p>
          <w:p w14:paraId="6DFE01AF">
            <w:pPr>
              <w:adjustRightInd w:val="0"/>
              <w:snapToGrid w:val="0"/>
              <w:jc w:val="left"/>
              <w:rPr>
                <w:rFonts w:hint="eastAsia" w:ascii="宋体" w:hAnsi="宋体" w:cs="宋体"/>
                <w:snapToGrid w:val="0"/>
                <w:kern w:val="0"/>
                <w:sz w:val="21"/>
                <w:szCs w:val="21"/>
              </w:rPr>
            </w:pPr>
            <w:r>
              <w:rPr>
                <w:rFonts w:hint="eastAsia" w:ascii="宋体" w:hAnsi="宋体" w:cs="宋体"/>
                <w:snapToGrid w:val="0"/>
                <w:kern w:val="0"/>
                <w:sz w:val="21"/>
                <w:szCs w:val="21"/>
              </w:rPr>
              <w:t>评标委员会对通过第二信封初步评审的投标人，按其评标价得分由高到低的顺序，向招标人推荐1-3家中标候选</w:t>
            </w:r>
            <w:r>
              <w:rPr>
                <w:rFonts w:hint="eastAsia"/>
                <w:snapToGrid w:val="0"/>
                <w:kern w:val="0"/>
                <w:sz w:val="21"/>
                <w:szCs w:val="24"/>
              </w:rPr>
              <w:t>人。</w:t>
            </w:r>
            <w:r>
              <w:rPr>
                <w:rFonts w:ascii="宋体" w:hAnsi="宋体" w:cs="宋体"/>
                <w:snapToGrid w:val="0"/>
                <w:kern w:val="0"/>
                <w:sz w:val="21"/>
                <w:szCs w:val="21"/>
              </w:rPr>
              <w:t>评标价</w:t>
            </w:r>
            <w:r>
              <w:rPr>
                <w:rFonts w:hint="eastAsia" w:ascii="宋体" w:hAnsi="宋体" w:cs="宋体"/>
                <w:snapToGrid w:val="0"/>
                <w:kern w:val="0"/>
                <w:sz w:val="21"/>
                <w:szCs w:val="21"/>
              </w:rPr>
              <w:t>得分</w:t>
            </w:r>
            <w:r>
              <w:rPr>
                <w:rFonts w:ascii="宋体" w:hAnsi="宋体" w:cs="宋体"/>
                <w:snapToGrid w:val="0"/>
                <w:kern w:val="0"/>
                <w:sz w:val="21"/>
                <w:szCs w:val="21"/>
              </w:rPr>
              <w:t>相等时，评标委员会按照以下优先顺序推荐中标候选人：</w:t>
            </w:r>
          </w:p>
          <w:p w14:paraId="44938CBD">
            <w:pPr>
              <w:adjustRightInd w:val="0"/>
              <w:snapToGrid w:val="0"/>
              <w:jc w:val="left"/>
              <w:rPr>
                <w:rFonts w:hint="eastAsia" w:ascii="宋体" w:hAnsi="宋体" w:cs="宋体"/>
                <w:snapToGrid w:val="0"/>
                <w:kern w:val="0"/>
                <w:sz w:val="21"/>
                <w:szCs w:val="21"/>
              </w:rPr>
            </w:pPr>
            <w:r>
              <w:rPr>
                <w:rFonts w:ascii="宋体" w:hAnsi="宋体" w:cs="宋体"/>
                <w:snapToGrid w:val="0"/>
                <w:kern w:val="0"/>
                <w:sz w:val="21"/>
                <w:szCs w:val="21"/>
              </w:rPr>
              <w:t>（1）</w:t>
            </w:r>
            <w:r>
              <w:rPr>
                <w:rFonts w:hint="eastAsia" w:ascii="宋体" w:hAnsi="宋体" w:cs="宋体"/>
                <w:snapToGrid w:val="0"/>
                <w:kern w:val="0"/>
                <w:sz w:val="21"/>
                <w:szCs w:val="21"/>
              </w:rPr>
              <w:t>评标价</w:t>
            </w:r>
            <w:r>
              <w:rPr>
                <w:rFonts w:ascii="宋体" w:hAnsi="宋体" w:cs="宋体"/>
                <w:snapToGrid w:val="0"/>
                <w:kern w:val="0"/>
                <w:sz w:val="21"/>
                <w:szCs w:val="21"/>
              </w:rPr>
              <w:t>低的优先；</w:t>
            </w:r>
          </w:p>
          <w:p w14:paraId="6B8B0A4C">
            <w:pPr>
              <w:adjustRightInd w:val="0"/>
              <w:snapToGrid w:val="0"/>
              <w:jc w:val="left"/>
              <w:rPr>
                <w:rFonts w:hint="eastAsia" w:ascii="宋体" w:hAnsi="宋体" w:cs="宋体"/>
                <w:snapToGrid w:val="0"/>
                <w:kern w:val="0"/>
                <w:sz w:val="21"/>
                <w:szCs w:val="21"/>
              </w:rPr>
            </w:pPr>
            <w:r>
              <w:rPr>
                <w:rFonts w:ascii="宋体" w:hAnsi="宋体" w:cs="宋体"/>
                <w:snapToGrid w:val="0"/>
                <w:kern w:val="0"/>
                <w:sz w:val="21"/>
                <w:szCs w:val="21"/>
              </w:rPr>
              <w:t>（2）第一信封</w:t>
            </w:r>
            <w:r>
              <w:rPr>
                <w:rFonts w:hint="eastAsia" w:ascii="宋体" w:hAnsi="宋体" w:cs="宋体"/>
                <w:snapToGrid w:val="0"/>
                <w:kern w:val="0"/>
                <w:sz w:val="21"/>
                <w:szCs w:val="21"/>
              </w:rPr>
              <w:t>综合</w:t>
            </w:r>
            <w:r>
              <w:rPr>
                <w:rFonts w:ascii="宋体" w:hAnsi="宋体" w:cs="宋体"/>
                <w:snapToGrid w:val="0"/>
                <w:kern w:val="0"/>
                <w:sz w:val="21"/>
                <w:szCs w:val="21"/>
              </w:rPr>
              <w:t>得分高的投标人优先</w:t>
            </w:r>
            <w:r>
              <w:rPr>
                <w:rFonts w:hint="eastAsia" w:ascii="宋体" w:hAnsi="宋体" w:cs="宋体"/>
                <w:snapToGrid w:val="0"/>
                <w:kern w:val="0"/>
                <w:sz w:val="21"/>
                <w:szCs w:val="21"/>
              </w:rPr>
              <w:t>；</w:t>
            </w:r>
          </w:p>
          <w:p w14:paraId="5016E511">
            <w:pPr>
              <w:adjustRightInd w:val="0"/>
              <w:snapToGrid w:val="0"/>
              <w:jc w:val="left"/>
              <w:rPr>
                <w:rFonts w:hint="eastAsia" w:ascii="宋体" w:hAnsi="宋体" w:cs="宋体"/>
                <w:snapToGrid w:val="0"/>
                <w:kern w:val="0"/>
                <w:sz w:val="21"/>
                <w:szCs w:val="21"/>
              </w:rPr>
            </w:pPr>
            <w:r>
              <w:rPr>
                <w:rFonts w:hint="eastAsia" w:ascii="宋体" w:hAnsi="宋体" w:cs="宋体"/>
                <w:snapToGrid w:val="0"/>
                <w:kern w:val="0"/>
                <w:sz w:val="21"/>
                <w:szCs w:val="21"/>
              </w:rPr>
              <w:t>（3）以</w:t>
            </w:r>
            <w:r>
              <w:rPr>
                <w:rFonts w:ascii="宋体" w:hAnsi="宋体" w:cs="宋体"/>
                <w:snapToGrid w:val="0"/>
                <w:kern w:val="0"/>
                <w:sz w:val="21"/>
                <w:szCs w:val="21"/>
              </w:rPr>
              <w:t>满足资格审查条件（业绩最低要求）的业绩</w:t>
            </w:r>
            <w:r>
              <w:rPr>
                <w:rFonts w:hint="eastAsia" w:ascii="宋体" w:hAnsi="宋体" w:cs="宋体"/>
                <w:snapToGrid w:val="0"/>
                <w:kern w:val="0"/>
                <w:sz w:val="21"/>
                <w:szCs w:val="21"/>
              </w:rPr>
              <w:t>单项合同额最高</w:t>
            </w:r>
            <w:r>
              <w:rPr>
                <w:rFonts w:ascii="宋体" w:hAnsi="宋体" w:cs="宋体"/>
                <w:snapToGrid w:val="0"/>
                <w:kern w:val="0"/>
                <w:sz w:val="21"/>
                <w:szCs w:val="21"/>
              </w:rPr>
              <w:t>的优先，</w:t>
            </w:r>
            <w:r>
              <w:rPr>
                <w:rFonts w:hint="eastAsia" w:ascii="宋体" w:hAnsi="宋体" w:cs="宋体"/>
                <w:snapToGrid w:val="0"/>
                <w:kern w:val="0"/>
                <w:sz w:val="21"/>
                <w:szCs w:val="21"/>
              </w:rPr>
              <w:t>单项合同额</w:t>
            </w:r>
            <w:r>
              <w:rPr>
                <w:rFonts w:ascii="宋体" w:hAnsi="宋体" w:cs="宋体"/>
                <w:snapToGrid w:val="0"/>
                <w:kern w:val="0"/>
                <w:sz w:val="21"/>
                <w:szCs w:val="21"/>
              </w:rPr>
              <w:t>也相等时，以累计合同金额</w:t>
            </w:r>
            <w:r>
              <w:rPr>
                <w:rFonts w:hint="eastAsia" w:ascii="宋体" w:hAnsi="宋体" w:cs="宋体"/>
                <w:snapToGrid w:val="0"/>
                <w:kern w:val="0"/>
                <w:sz w:val="21"/>
                <w:szCs w:val="21"/>
              </w:rPr>
              <w:t>高</w:t>
            </w:r>
            <w:r>
              <w:rPr>
                <w:rFonts w:ascii="宋体" w:hAnsi="宋体" w:cs="宋体"/>
                <w:snapToGrid w:val="0"/>
                <w:kern w:val="0"/>
                <w:sz w:val="21"/>
                <w:szCs w:val="21"/>
              </w:rPr>
              <w:t>的优先</w:t>
            </w:r>
            <w:r>
              <w:rPr>
                <w:rFonts w:hint="eastAsia" w:ascii="宋体" w:hAnsi="宋体" w:cs="宋体"/>
                <w:snapToGrid w:val="0"/>
                <w:kern w:val="0"/>
                <w:sz w:val="21"/>
                <w:szCs w:val="21"/>
              </w:rPr>
              <w:t>。</w:t>
            </w:r>
          </w:p>
          <w:p w14:paraId="195EA6E7">
            <w:pPr>
              <w:adjustRightInd w:val="0"/>
              <w:snapToGrid w:val="0"/>
              <w:jc w:val="left"/>
              <w:rPr>
                <w:rFonts w:hint="eastAsia" w:ascii="宋体" w:hAnsi="宋体" w:cs="宋体"/>
                <w:snapToGrid w:val="0"/>
                <w:kern w:val="0"/>
                <w:sz w:val="21"/>
                <w:szCs w:val="21"/>
              </w:rPr>
            </w:pPr>
            <w:r>
              <w:rPr>
                <w:rFonts w:ascii="宋体" w:hAnsi="宋体" w:cs="宋体"/>
                <w:snapToGrid w:val="0"/>
                <w:kern w:val="0"/>
                <w:sz w:val="21"/>
                <w:szCs w:val="21"/>
              </w:rPr>
              <w:t>通过第二信封评审的投标人少于3个的，评标委员会可以否决全部投标；未否决全部投标的，评标委员会应当在评标报告中阐明理由并推荐中标候选人。</w:t>
            </w:r>
          </w:p>
        </w:tc>
      </w:tr>
      <w:tr w14:paraId="29752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Align w:val="center"/>
          </w:tcPr>
          <w:p w14:paraId="28E2C3D6">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2.1.1</w:t>
            </w:r>
          </w:p>
          <w:p w14:paraId="1E7FB9AB">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2.1.3</w:t>
            </w:r>
          </w:p>
        </w:tc>
        <w:tc>
          <w:tcPr>
            <w:tcW w:w="825" w:type="pct"/>
            <w:vAlign w:val="center"/>
          </w:tcPr>
          <w:p w14:paraId="25028F31">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形式评审与响应性评审标准</w:t>
            </w:r>
          </w:p>
        </w:tc>
        <w:tc>
          <w:tcPr>
            <w:tcW w:w="3423" w:type="pct"/>
          </w:tcPr>
          <w:p w14:paraId="6E3C1BDF">
            <w:pPr>
              <w:tabs>
                <w:tab w:val="left" w:pos="3060"/>
              </w:tabs>
              <w:adjustRightInd w:val="0"/>
              <w:snapToGrid w:val="0"/>
              <w:jc w:val="left"/>
              <w:rPr>
                <w:rFonts w:hint="eastAsia" w:ascii="宋体" w:hAnsi="宋体" w:cs="宋体"/>
                <w:b/>
                <w:bCs/>
                <w:snapToGrid w:val="0"/>
                <w:kern w:val="0"/>
                <w:sz w:val="21"/>
                <w:szCs w:val="21"/>
              </w:rPr>
            </w:pPr>
            <w:r>
              <w:rPr>
                <w:rFonts w:hint="eastAsia" w:ascii="宋体" w:hAnsi="宋体" w:cs="宋体"/>
                <w:b/>
                <w:bCs/>
                <w:snapToGrid w:val="0"/>
                <w:kern w:val="0"/>
                <w:sz w:val="21"/>
                <w:szCs w:val="21"/>
              </w:rPr>
              <w:t>第一个信封（商务文件）评审标准（明标部分）：</w:t>
            </w:r>
          </w:p>
          <w:p w14:paraId="13062862">
            <w:pPr>
              <w:tabs>
                <w:tab w:val="left" w:pos="3060"/>
              </w:tabs>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（1）投标文件按照招标文件规定的格式、内容填写，字迹清晰可辨：</w:t>
            </w:r>
          </w:p>
          <w:p w14:paraId="6E480081">
            <w:pPr>
              <w:tabs>
                <w:tab w:val="left" w:pos="3060"/>
              </w:tabs>
              <w:adjustRightInd w:val="0"/>
              <w:snapToGrid w:val="0"/>
              <w:rPr>
                <w:rFonts w:hint="eastAsia" w:ascii="宋体" w:hAnsi="宋体" w:cs="宋体"/>
                <w:snapToGrid w:val="0"/>
                <w:kern w:val="0"/>
                <w:szCs w:val="21"/>
              </w:rPr>
            </w:pPr>
            <w:r>
              <w:rPr>
                <w:rFonts w:hint="eastAsia" w:ascii="宋体" w:hAnsi="宋体" w:cs="宋体"/>
                <w:snapToGrid w:val="0"/>
                <w:kern w:val="0"/>
                <w:sz w:val="21"/>
                <w:szCs w:val="21"/>
              </w:rPr>
              <w:t>a.投标函按招标文件规定填报了招标人名称、项目名称、补遗书编号（如有）、计划工期、质量标准、项目经理和项目总工等内容，</w:t>
            </w:r>
            <w:r>
              <w:rPr>
                <w:snapToGrid w:val="0"/>
                <w:kern w:val="0"/>
                <w:sz w:val="21"/>
                <w:szCs w:val="21"/>
              </w:rPr>
              <w:t>未对投标函中填写的</w:t>
            </w:r>
            <w:r>
              <w:rPr>
                <w:rFonts w:hint="eastAsia" w:ascii="宋体" w:hAnsi="宋体" w:cs="宋体"/>
                <w:snapToGrid w:val="0"/>
                <w:kern w:val="0"/>
                <w:sz w:val="21"/>
                <w:szCs w:val="21"/>
              </w:rPr>
              <w:t>安全目标</w:t>
            </w:r>
            <w:r>
              <w:rPr>
                <w:snapToGrid w:val="0"/>
                <w:kern w:val="0"/>
                <w:sz w:val="21"/>
                <w:szCs w:val="21"/>
              </w:rPr>
              <w:t>进行修改</w:t>
            </w:r>
            <w:r>
              <w:rPr>
                <w:rFonts w:hint="eastAsia" w:ascii="宋体" w:hAnsi="宋体" w:cs="宋体"/>
                <w:snapToGrid w:val="0"/>
                <w:kern w:val="0"/>
                <w:szCs w:val="21"/>
              </w:rPr>
              <w:t>；</w:t>
            </w:r>
          </w:p>
          <w:p w14:paraId="5B484AF3">
            <w:pPr>
              <w:tabs>
                <w:tab w:val="left" w:pos="3060"/>
              </w:tabs>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b.投标函附录的所有数据均符合招标文件规定。</w:t>
            </w:r>
          </w:p>
          <w:p w14:paraId="7F70304E">
            <w:pPr>
              <w:tabs>
                <w:tab w:val="left" w:pos="3060"/>
              </w:tabs>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c.投标文件组成齐全完整，内容均按规定填写。</w:t>
            </w:r>
          </w:p>
          <w:p w14:paraId="0DFA0CFC">
            <w:pPr>
              <w:tabs>
                <w:tab w:val="left" w:pos="3060"/>
              </w:tabs>
              <w:adjustRightInd w:val="0"/>
              <w:snapToGrid w:val="0"/>
              <w:rPr>
                <w:rFonts w:hint="eastAsia" w:ascii="宋体" w:hAnsi="宋体" w:cs="宋体"/>
                <w:bCs/>
                <w:snapToGrid w:val="0"/>
                <w:kern w:val="0"/>
                <w:sz w:val="21"/>
                <w:szCs w:val="21"/>
              </w:rPr>
            </w:pPr>
            <w:r>
              <w:rPr>
                <w:rFonts w:hint="eastAsia" w:ascii="宋体" w:hAnsi="宋体" w:cs="宋体"/>
                <w:bCs/>
                <w:snapToGrid w:val="0"/>
                <w:kern w:val="0"/>
                <w:sz w:val="21"/>
                <w:szCs w:val="21"/>
              </w:rPr>
              <w:t>（2）投标文件上法定代表人或其授权代理人的签字、投标人的单位章盖章齐全，符合招标文件规定。</w:t>
            </w:r>
          </w:p>
          <w:p w14:paraId="4CD0E1B5">
            <w:pPr>
              <w:tabs>
                <w:tab w:val="left" w:pos="3060"/>
              </w:tabs>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（3）投标人按照招标文件的规定提供了投标保证金，满足招标文件投标人须知前附表第3.4.1项要求。</w:t>
            </w:r>
          </w:p>
          <w:p w14:paraId="046FC582">
            <w:pPr>
              <w:tabs>
                <w:tab w:val="left" w:pos="3060"/>
              </w:tabs>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（4）投标人法定代表人授权委托代理人签署投标文件的，</w:t>
            </w:r>
            <w:r>
              <w:rPr>
                <w:rFonts w:ascii="宋体" w:hAnsi="宋体" w:cs="宋体"/>
                <w:snapToGrid w:val="0"/>
                <w:kern w:val="0"/>
                <w:sz w:val="21"/>
                <w:szCs w:val="21"/>
              </w:rPr>
              <w:t>提供了授权委托书，</w:t>
            </w:r>
            <w:r>
              <w:rPr>
                <w:rFonts w:hint="eastAsia" w:ascii="宋体" w:hAnsi="宋体" w:cs="宋体"/>
                <w:snapToGrid w:val="0"/>
                <w:kern w:val="0"/>
                <w:sz w:val="21"/>
                <w:szCs w:val="21"/>
              </w:rPr>
              <w:t>授权委托书符合招标文件规定。</w:t>
            </w:r>
          </w:p>
          <w:p w14:paraId="4EF8BD27">
            <w:pPr>
              <w:tabs>
                <w:tab w:val="left" w:pos="3060"/>
              </w:tabs>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（5）投标人法定代表人亲自签署投标文件的，提供了法定代表人身份证明，法定代表人身份证明符合招标文件规定。</w:t>
            </w:r>
          </w:p>
          <w:p w14:paraId="377D7276">
            <w:pPr>
              <w:tabs>
                <w:tab w:val="left" w:pos="3060"/>
              </w:tabs>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（6）投标人未以联合体形式投标。</w:t>
            </w:r>
          </w:p>
          <w:p w14:paraId="629CE4EB">
            <w:pPr>
              <w:tabs>
                <w:tab w:val="left" w:pos="3060"/>
              </w:tabs>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（7）投标人未提出分包计划</w:t>
            </w:r>
            <w:r>
              <w:rPr>
                <w:rFonts w:ascii="宋体" w:hAnsi="宋体" w:cs="宋体"/>
                <w:snapToGrid w:val="0"/>
                <w:kern w:val="0"/>
                <w:sz w:val="21"/>
                <w:szCs w:val="21"/>
              </w:rPr>
              <w:t>。</w:t>
            </w:r>
          </w:p>
          <w:p w14:paraId="3806F339">
            <w:pPr>
              <w:tabs>
                <w:tab w:val="left" w:pos="3060"/>
              </w:tabs>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（8）同一投标人未提交两个以上不同的投标文件。</w:t>
            </w:r>
          </w:p>
          <w:p w14:paraId="7DADA21A">
            <w:pPr>
              <w:tabs>
                <w:tab w:val="left" w:pos="3060"/>
              </w:tabs>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（9）投标文件中未出现有关投标报价的内容。</w:t>
            </w:r>
          </w:p>
          <w:p w14:paraId="0930BBD4">
            <w:pPr>
              <w:tabs>
                <w:tab w:val="left" w:pos="3060"/>
              </w:tabs>
              <w:adjustRightInd w:val="0"/>
              <w:snapToGrid w:val="0"/>
              <w:rPr>
                <w:rFonts w:hint="eastAsia" w:ascii="宋体" w:hAnsi="宋体" w:cs="宋体"/>
                <w:bCs/>
                <w:snapToGrid w:val="0"/>
                <w:kern w:val="0"/>
                <w:sz w:val="21"/>
                <w:szCs w:val="21"/>
              </w:rPr>
            </w:pPr>
            <w:r>
              <w:rPr>
                <w:rFonts w:hint="eastAsia" w:ascii="宋体" w:hAnsi="宋体" w:cs="宋体"/>
                <w:snapToGrid w:val="0"/>
                <w:kern w:val="0"/>
                <w:sz w:val="21"/>
                <w:szCs w:val="21"/>
              </w:rPr>
              <w:t>（10）投标文件载明的招标项</w:t>
            </w:r>
            <w:r>
              <w:rPr>
                <w:rFonts w:hint="eastAsia" w:ascii="宋体" w:hAnsi="宋体" w:cs="宋体"/>
                <w:bCs/>
                <w:snapToGrid w:val="0"/>
                <w:kern w:val="0"/>
                <w:sz w:val="21"/>
                <w:szCs w:val="21"/>
              </w:rPr>
              <w:t>目完成期限未超过招标文件规定的时限。</w:t>
            </w:r>
          </w:p>
          <w:p w14:paraId="2DA27B93">
            <w:pPr>
              <w:tabs>
                <w:tab w:val="left" w:pos="3060"/>
              </w:tabs>
              <w:adjustRightInd w:val="0"/>
              <w:snapToGrid w:val="0"/>
              <w:rPr>
                <w:rFonts w:hint="eastAsia" w:ascii="宋体" w:hAnsi="宋体" w:cs="宋体"/>
                <w:bCs/>
                <w:snapToGrid w:val="0"/>
                <w:kern w:val="0"/>
                <w:sz w:val="21"/>
                <w:szCs w:val="21"/>
              </w:rPr>
            </w:pPr>
            <w:r>
              <w:rPr>
                <w:rFonts w:hint="eastAsia" w:ascii="宋体" w:hAnsi="宋体" w:cs="宋体"/>
                <w:bCs/>
                <w:snapToGrid w:val="0"/>
                <w:kern w:val="0"/>
                <w:sz w:val="21"/>
                <w:szCs w:val="21"/>
              </w:rPr>
              <w:t>（11）投标文件对招标文件的实质性要求和条件作出响应。</w:t>
            </w:r>
          </w:p>
          <w:p w14:paraId="4D6B7BC9">
            <w:pPr>
              <w:tabs>
                <w:tab w:val="left" w:pos="3060"/>
              </w:tabs>
              <w:adjustRightInd w:val="0"/>
              <w:snapToGrid w:val="0"/>
              <w:rPr>
                <w:rFonts w:hint="eastAsia" w:ascii="宋体" w:hAnsi="宋体" w:cs="宋体"/>
                <w:bCs/>
                <w:snapToGrid w:val="0"/>
                <w:kern w:val="0"/>
                <w:sz w:val="21"/>
                <w:szCs w:val="21"/>
              </w:rPr>
            </w:pPr>
            <w:r>
              <w:rPr>
                <w:rFonts w:hint="eastAsia" w:ascii="宋体" w:hAnsi="宋体" w:cs="宋体"/>
                <w:bCs/>
                <w:snapToGrid w:val="0"/>
                <w:kern w:val="0"/>
                <w:sz w:val="21"/>
                <w:szCs w:val="21"/>
              </w:rPr>
              <w:t>（12）权利义务符合招标文件规定：</w:t>
            </w:r>
          </w:p>
          <w:p w14:paraId="2F78AF81">
            <w:pPr>
              <w:tabs>
                <w:tab w:val="left" w:pos="3060"/>
              </w:tabs>
              <w:adjustRightInd w:val="0"/>
              <w:snapToGrid w:val="0"/>
              <w:rPr>
                <w:rFonts w:hint="eastAsia" w:ascii="宋体" w:hAnsi="宋体" w:cs="宋体"/>
                <w:bCs/>
                <w:snapToGrid w:val="0"/>
                <w:kern w:val="0"/>
                <w:sz w:val="21"/>
                <w:szCs w:val="21"/>
              </w:rPr>
            </w:pPr>
            <w:r>
              <w:rPr>
                <w:rFonts w:hint="eastAsia" w:ascii="宋体" w:hAnsi="宋体" w:cs="宋体"/>
                <w:bCs/>
                <w:snapToGrid w:val="0"/>
                <w:kern w:val="0"/>
                <w:sz w:val="21"/>
                <w:szCs w:val="21"/>
              </w:rPr>
              <w:t>a.投标人应接受招标文件规定的风险划分原则，未提出新的风险划分办法；</w:t>
            </w:r>
          </w:p>
          <w:p w14:paraId="43F1A767">
            <w:pPr>
              <w:tabs>
                <w:tab w:val="left" w:pos="3060"/>
              </w:tabs>
              <w:adjustRightInd w:val="0"/>
              <w:snapToGrid w:val="0"/>
              <w:rPr>
                <w:rFonts w:hint="eastAsia" w:ascii="宋体" w:hAnsi="宋体" w:cs="宋体"/>
                <w:bCs/>
                <w:snapToGrid w:val="0"/>
                <w:kern w:val="0"/>
                <w:sz w:val="21"/>
                <w:szCs w:val="21"/>
              </w:rPr>
            </w:pPr>
            <w:r>
              <w:rPr>
                <w:rFonts w:hint="eastAsia" w:ascii="宋体" w:hAnsi="宋体" w:cs="宋体"/>
                <w:bCs/>
                <w:snapToGrid w:val="0"/>
                <w:kern w:val="0"/>
                <w:sz w:val="21"/>
                <w:szCs w:val="21"/>
              </w:rPr>
              <w:t>b.投标人未增加发包人的责任范围，或减少投标人义务；</w:t>
            </w:r>
          </w:p>
          <w:p w14:paraId="28AFF575">
            <w:pPr>
              <w:tabs>
                <w:tab w:val="left" w:pos="3060"/>
              </w:tabs>
              <w:adjustRightInd w:val="0"/>
              <w:snapToGrid w:val="0"/>
              <w:rPr>
                <w:rFonts w:hint="eastAsia" w:ascii="宋体" w:hAnsi="宋体" w:cs="宋体"/>
                <w:bCs/>
                <w:snapToGrid w:val="0"/>
                <w:kern w:val="0"/>
                <w:sz w:val="21"/>
                <w:szCs w:val="21"/>
              </w:rPr>
            </w:pPr>
            <w:r>
              <w:rPr>
                <w:rFonts w:hint="eastAsia" w:ascii="宋体" w:hAnsi="宋体" w:cs="宋体"/>
                <w:bCs/>
                <w:snapToGrid w:val="0"/>
                <w:kern w:val="0"/>
                <w:sz w:val="21"/>
                <w:szCs w:val="21"/>
              </w:rPr>
              <w:t>c.投标人未提出不同的工程验收、计量、支付办法；</w:t>
            </w:r>
          </w:p>
          <w:p w14:paraId="01685795">
            <w:pPr>
              <w:tabs>
                <w:tab w:val="left" w:pos="3060"/>
              </w:tabs>
              <w:adjustRightInd w:val="0"/>
              <w:snapToGrid w:val="0"/>
              <w:rPr>
                <w:rFonts w:hint="eastAsia" w:ascii="宋体" w:hAnsi="宋体" w:cs="宋体"/>
                <w:bCs/>
                <w:snapToGrid w:val="0"/>
                <w:kern w:val="0"/>
                <w:sz w:val="21"/>
                <w:szCs w:val="21"/>
              </w:rPr>
            </w:pPr>
            <w:r>
              <w:rPr>
                <w:rFonts w:hint="eastAsia" w:ascii="宋体" w:hAnsi="宋体" w:cs="宋体"/>
                <w:bCs/>
                <w:snapToGrid w:val="0"/>
                <w:kern w:val="0"/>
                <w:sz w:val="21"/>
                <w:szCs w:val="21"/>
              </w:rPr>
              <w:t>d.投标人对合同纠纷、事故处理办法未提出异议；</w:t>
            </w:r>
          </w:p>
          <w:p w14:paraId="1AF4ACF3">
            <w:pPr>
              <w:tabs>
                <w:tab w:val="left" w:pos="3060"/>
              </w:tabs>
              <w:adjustRightInd w:val="0"/>
              <w:snapToGrid w:val="0"/>
              <w:rPr>
                <w:rFonts w:hint="eastAsia" w:ascii="宋体" w:hAnsi="宋体" w:cs="宋体"/>
                <w:bCs/>
                <w:snapToGrid w:val="0"/>
                <w:kern w:val="0"/>
                <w:sz w:val="21"/>
                <w:szCs w:val="21"/>
              </w:rPr>
            </w:pPr>
            <w:r>
              <w:rPr>
                <w:rFonts w:hint="eastAsia" w:ascii="宋体" w:hAnsi="宋体" w:cs="宋体"/>
                <w:bCs/>
                <w:snapToGrid w:val="0"/>
                <w:kern w:val="0"/>
                <w:sz w:val="21"/>
                <w:szCs w:val="21"/>
              </w:rPr>
              <w:t>e.投标人在投标活动中无欺诈行为；</w:t>
            </w:r>
          </w:p>
          <w:p w14:paraId="379B9423">
            <w:pPr>
              <w:tabs>
                <w:tab w:val="left" w:pos="3060"/>
              </w:tabs>
              <w:adjustRightInd w:val="0"/>
              <w:snapToGrid w:val="0"/>
              <w:rPr>
                <w:rFonts w:hint="eastAsia" w:ascii="宋体" w:hAnsi="宋体" w:cs="宋体"/>
                <w:bCs/>
                <w:snapToGrid w:val="0"/>
                <w:kern w:val="0"/>
                <w:sz w:val="21"/>
                <w:szCs w:val="21"/>
              </w:rPr>
            </w:pPr>
            <w:r>
              <w:rPr>
                <w:rFonts w:hint="eastAsia" w:ascii="宋体" w:hAnsi="宋体" w:cs="宋体"/>
                <w:bCs/>
                <w:snapToGrid w:val="0"/>
                <w:kern w:val="0"/>
                <w:sz w:val="21"/>
                <w:szCs w:val="21"/>
              </w:rPr>
              <w:t>f.投标人未对合同条款有重要保留；</w:t>
            </w:r>
          </w:p>
          <w:p w14:paraId="668EC7FC">
            <w:pPr>
              <w:tabs>
                <w:tab w:val="left" w:pos="3060"/>
              </w:tabs>
              <w:adjustRightInd w:val="0"/>
              <w:snapToGrid w:val="0"/>
              <w:jc w:val="left"/>
              <w:rPr>
                <w:rFonts w:hint="eastAsia" w:ascii="宋体" w:hAnsi="宋体" w:cs="宋体"/>
                <w:snapToGrid w:val="0"/>
                <w:kern w:val="0"/>
                <w:sz w:val="21"/>
                <w:szCs w:val="21"/>
              </w:rPr>
            </w:pPr>
            <w:r>
              <w:rPr>
                <w:rFonts w:hint="eastAsia" w:ascii="宋体" w:hAnsi="宋体" w:cs="宋体"/>
                <w:b/>
                <w:bCs/>
                <w:snapToGrid w:val="0"/>
                <w:kern w:val="0"/>
                <w:sz w:val="21"/>
                <w:szCs w:val="21"/>
              </w:rPr>
              <w:t>第一个信封（技术文件）评审标准（暗标部分）：</w:t>
            </w:r>
          </w:p>
          <w:p w14:paraId="0E9AF8CC">
            <w:pPr>
              <w:tabs>
                <w:tab w:val="left" w:pos="3060"/>
              </w:tabs>
              <w:adjustRightInd w:val="0"/>
              <w:snapToGrid w:val="0"/>
              <w:jc w:val="left"/>
              <w:rPr>
                <w:rFonts w:hint="eastAsia" w:ascii="宋体" w:hAnsi="宋体" w:cs="宋体"/>
                <w:snapToGrid w:val="0"/>
                <w:kern w:val="0"/>
                <w:sz w:val="21"/>
                <w:szCs w:val="21"/>
              </w:rPr>
            </w:pPr>
            <w:r>
              <w:rPr>
                <w:rFonts w:hint="eastAsia" w:ascii="宋体" w:hAnsi="宋体" w:cs="宋体"/>
                <w:snapToGrid w:val="0"/>
                <w:kern w:val="0"/>
                <w:sz w:val="21"/>
                <w:szCs w:val="21"/>
              </w:rPr>
              <w:t>（1）施工组织设计（暗标）编制符合招标文件第二章“投标人须知”第10.2款的规定。</w:t>
            </w:r>
          </w:p>
          <w:p w14:paraId="6A477350">
            <w:pPr>
              <w:tabs>
                <w:tab w:val="left" w:pos="3060"/>
              </w:tabs>
              <w:adjustRightInd w:val="0"/>
              <w:snapToGrid w:val="0"/>
              <w:rPr>
                <w:rFonts w:hint="eastAsia" w:ascii="宋体" w:hAnsi="宋体" w:cs="宋体"/>
                <w:b/>
                <w:snapToGrid w:val="0"/>
                <w:kern w:val="0"/>
                <w:sz w:val="21"/>
                <w:szCs w:val="21"/>
              </w:rPr>
            </w:pPr>
            <w:r>
              <w:rPr>
                <w:rFonts w:hint="eastAsia" w:ascii="宋体" w:hAnsi="宋体" w:cs="宋体"/>
                <w:b/>
                <w:snapToGrid w:val="0"/>
                <w:kern w:val="0"/>
                <w:sz w:val="21"/>
                <w:szCs w:val="21"/>
              </w:rPr>
              <w:t>第二个信封（报价文件）评审标准：</w:t>
            </w:r>
          </w:p>
          <w:p w14:paraId="521FAFA9">
            <w:pPr>
              <w:tabs>
                <w:tab w:val="left" w:pos="3060"/>
              </w:tabs>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（1）投标文件按照招标文件规定的格式、内容填写，字迹清晰可辨：</w:t>
            </w:r>
          </w:p>
          <w:p w14:paraId="24A2B9F1">
            <w:pPr>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a.投标函按招标文件规定填报了招标人名称、项目名称、补遗书编号（如有）、投标报价（包括大写金额和小写金额）；</w:t>
            </w:r>
          </w:p>
          <w:p w14:paraId="11C41A56">
            <w:pPr>
              <w:tabs>
                <w:tab w:val="left" w:pos="3060"/>
              </w:tabs>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b.已标价工程量固化清单文字说明与招标文件规定一致，未进行实质性修改和删减；</w:t>
            </w:r>
          </w:p>
          <w:p w14:paraId="2B33092B">
            <w:pPr>
              <w:tabs>
                <w:tab w:val="left" w:pos="3060"/>
              </w:tabs>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c.投标文件组成齐全完整，内容均按规定填写。</w:t>
            </w:r>
          </w:p>
          <w:p w14:paraId="5FF38BBD">
            <w:pPr>
              <w:tabs>
                <w:tab w:val="left" w:pos="3060"/>
              </w:tabs>
              <w:adjustRightInd w:val="0"/>
              <w:snapToGrid w:val="0"/>
              <w:rPr>
                <w:rFonts w:hint="eastAsia" w:ascii="宋体" w:hAnsi="宋体" w:cs="宋体"/>
                <w:bCs/>
                <w:snapToGrid w:val="0"/>
                <w:kern w:val="0"/>
                <w:sz w:val="21"/>
                <w:szCs w:val="21"/>
              </w:rPr>
            </w:pPr>
            <w:r>
              <w:rPr>
                <w:rFonts w:hint="eastAsia" w:ascii="宋体" w:hAnsi="宋体" w:cs="宋体"/>
                <w:bCs/>
                <w:snapToGrid w:val="0"/>
                <w:kern w:val="0"/>
                <w:sz w:val="21"/>
                <w:szCs w:val="21"/>
              </w:rPr>
              <w:t>（2）投标文件上法定代表人或其授权代理人的签字、投标人的单位章盖章齐全，符合招标文件规定；</w:t>
            </w:r>
          </w:p>
          <w:p w14:paraId="1D44B8B0">
            <w:pPr>
              <w:tabs>
                <w:tab w:val="left" w:pos="3060"/>
              </w:tabs>
              <w:adjustRightInd w:val="0"/>
              <w:snapToGrid w:val="0"/>
              <w:rPr>
                <w:rFonts w:hint="eastAsia" w:ascii="宋体" w:hAnsi="宋体" w:cs="宋体"/>
                <w:bCs/>
                <w:snapToGrid w:val="0"/>
                <w:kern w:val="0"/>
                <w:sz w:val="21"/>
                <w:szCs w:val="21"/>
              </w:rPr>
            </w:pPr>
            <w:r>
              <w:rPr>
                <w:rFonts w:hint="eastAsia" w:ascii="宋体" w:hAnsi="宋体" w:cs="宋体"/>
                <w:bCs/>
                <w:snapToGrid w:val="0"/>
                <w:kern w:val="0"/>
                <w:sz w:val="21"/>
                <w:szCs w:val="21"/>
              </w:rPr>
              <w:t>（3）投标报价未超过招标文件设定的最高投标限价；</w:t>
            </w:r>
          </w:p>
          <w:p w14:paraId="706E0868">
            <w:pPr>
              <w:tabs>
                <w:tab w:val="left" w:pos="3060"/>
              </w:tabs>
              <w:adjustRightInd w:val="0"/>
              <w:snapToGrid w:val="0"/>
              <w:rPr>
                <w:rFonts w:hint="eastAsia" w:ascii="宋体" w:hAnsi="宋体" w:cs="宋体"/>
                <w:bCs/>
                <w:snapToGrid w:val="0"/>
                <w:kern w:val="0"/>
                <w:sz w:val="21"/>
                <w:szCs w:val="21"/>
              </w:rPr>
            </w:pPr>
            <w:r>
              <w:rPr>
                <w:rFonts w:hint="eastAsia" w:ascii="宋体" w:hAnsi="宋体" w:cs="宋体"/>
                <w:bCs/>
                <w:snapToGrid w:val="0"/>
                <w:kern w:val="0"/>
                <w:sz w:val="21"/>
                <w:szCs w:val="21"/>
              </w:rPr>
              <w:t>（4）投标报价大写金额能够确定具体数值；</w:t>
            </w:r>
          </w:p>
          <w:p w14:paraId="48458121">
            <w:pPr>
              <w:tabs>
                <w:tab w:val="left" w:pos="3060"/>
              </w:tabs>
              <w:adjustRightInd w:val="0"/>
              <w:snapToGrid w:val="0"/>
              <w:rPr>
                <w:rFonts w:hint="eastAsia" w:ascii="宋体" w:hAnsi="宋体" w:cs="宋体"/>
                <w:bCs/>
                <w:snapToGrid w:val="0"/>
                <w:kern w:val="0"/>
                <w:sz w:val="21"/>
                <w:szCs w:val="21"/>
              </w:rPr>
            </w:pPr>
            <w:r>
              <w:rPr>
                <w:rFonts w:hint="eastAsia" w:ascii="宋体" w:hAnsi="宋体" w:cs="宋体"/>
                <w:bCs/>
                <w:snapToGrid w:val="0"/>
                <w:kern w:val="0"/>
                <w:sz w:val="21"/>
                <w:szCs w:val="21"/>
              </w:rPr>
              <w:t>（5）投标人未提交两个以上不同的投标报价；</w:t>
            </w:r>
          </w:p>
          <w:p w14:paraId="2D77B8DD">
            <w:pPr>
              <w:tabs>
                <w:tab w:val="left" w:pos="3060"/>
              </w:tabs>
              <w:adjustRightInd w:val="0"/>
              <w:snapToGrid w:val="0"/>
              <w:rPr>
                <w:rFonts w:hint="eastAsia" w:ascii="宋体" w:hAnsi="宋体" w:cs="宋体"/>
                <w:bCs/>
                <w:snapToGrid w:val="0"/>
                <w:kern w:val="0"/>
                <w:sz w:val="21"/>
                <w:szCs w:val="21"/>
              </w:rPr>
            </w:pPr>
            <w:r>
              <w:rPr>
                <w:rFonts w:hint="eastAsia" w:ascii="宋体" w:hAnsi="宋体" w:cs="宋体"/>
                <w:bCs/>
                <w:snapToGrid w:val="0"/>
                <w:kern w:val="0"/>
                <w:sz w:val="21"/>
                <w:szCs w:val="21"/>
              </w:rPr>
              <w:t>（6）投标人未提交调价函。</w:t>
            </w:r>
          </w:p>
          <w:p w14:paraId="64FBC303">
            <w:pPr>
              <w:tabs>
                <w:tab w:val="left" w:pos="3060"/>
              </w:tabs>
              <w:adjustRightInd w:val="0"/>
              <w:snapToGrid w:val="0"/>
              <w:rPr>
                <w:rFonts w:hint="eastAsia" w:ascii="宋体" w:hAnsi="宋体" w:cs="宋体"/>
                <w:snapToGrid w:val="0"/>
                <w:kern w:val="0"/>
                <w:sz w:val="21"/>
                <w:szCs w:val="21"/>
              </w:rPr>
            </w:pPr>
            <w:r>
              <w:rPr>
                <w:rFonts w:hint="eastAsia" w:ascii="宋体" w:hAnsi="宋体" w:cs="宋体"/>
                <w:bCs/>
                <w:snapToGrid w:val="0"/>
                <w:kern w:val="0"/>
                <w:sz w:val="21"/>
                <w:szCs w:val="21"/>
              </w:rPr>
              <w:t>（7）</w:t>
            </w:r>
            <w:r>
              <w:rPr>
                <w:rFonts w:hint="eastAsia" w:ascii="宋体" w:hAnsi="宋体" w:cs="宋体"/>
                <w:snapToGrid w:val="0"/>
                <w:kern w:val="0"/>
                <w:sz w:val="21"/>
                <w:szCs w:val="21"/>
              </w:rPr>
              <w:t>已标价的工程量清单未对招标人提供的工程量固化清单电子文件中的数据、格式和运算定义进行修改；已标价的工程量清单中的投标报价和投标函大写金额报价一致。</w:t>
            </w:r>
          </w:p>
        </w:tc>
      </w:tr>
      <w:tr w14:paraId="4E80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Align w:val="center"/>
          </w:tcPr>
          <w:p w14:paraId="0DF03323">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2.1.2</w:t>
            </w:r>
          </w:p>
        </w:tc>
        <w:tc>
          <w:tcPr>
            <w:tcW w:w="825" w:type="pct"/>
            <w:vAlign w:val="center"/>
          </w:tcPr>
          <w:p w14:paraId="52E678BD">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资格评审标准</w:t>
            </w:r>
          </w:p>
        </w:tc>
        <w:tc>
          <w:tcPr>
            <w:tcW w:w="3423" w:type="pct"/>
          </w:tcPr>
          <w:p w14:paraId="6EB2DF3F">
            <w:pPr>
              <w:tabs>
                <w:tab w:val="left" w:pos="3060"/>
              </w:tabs>
              <w:adjustRightInd w:val="0"/>
              <w:snapToGrid w:val="0"/>
              <w:jc w:val="left"/>
              <w:rPr>
                <w:rFonts w:hint="eastAsia" w:ascii="宋体" w:hAnsi="宋体" w:cs="宋体"/>
                <w:bCs/>
                <w:snapToGrid w:val="0"/>
                <w:kern w:val="0"/>
                <w:sz w:val="21"/>
                <w:szCs w:val="21"/>
              </w:rPr>
            </w:pPr>
            <w:r>
              <w:rPr>
                <w:rFonts w:hint="eastAsia" w:ascii="宋体" w:hAnsi="宋体" w:cs="宋体"/>
                <w:bCs/>
                <w:snapToGrid w:val="0"/>
                <w:kern w:val="0"/>
                <w:sz w:val="21"/>
                <w:szCs w:val="21"/>
              </w:rPr>
              <w:t>（1）投标人具备有效的营业执照、资质证书、安全生产许可证和基本账户开户许可证（或基本存款账户信息）。</w:t>
            </w:r>
          </w:p>
          <w:p w14:paraId="5F2B6600">
            <w:pPr>
              <w:tabs>
                <w:tab w:val="left" w:pos="3060"/>
              </w:tabs>
              <w:adjustRightInd w:val="0"/>
              <w:snapToGrid w:val="0"/>
              <w:jc w:val="left"/>
              <w:rPr>
                <w:rFonts w:hint="eastAsia" w:ascii="宋体" w:hAnsi="宋体" w:cs="宋体"/>
                <w:bCs/>
                <w:snapToGrid w:val="0"/>
                <w:kern w:val="0"/>
                <w:sz w:val="21"/>
                <w:szCs w:val="21"/>
              </w:rPr>
            </w:pPr>
            <w:r>
              <w:rPr>
                <w:rFonts w:hint="eastAsia" w:ascii="宋体" w:hAnsi="宋体" w:cs="宋体"/>
                <w:bCs/>
                <w:snapToGrid w:val="0"/>
                <w:kern w:val="0"/>
                <w:sz w:val="21"/>
                <w:szCs w:val="21"/>
              </w:rPr>
              <w:t>（2）投标人的资质等级符合招标文件规定。</w:t>
            </w:r>
          </w:p>
          <w:p w14:paraId="1EF5006B">
            <w:pPr>
              <w:tabs>
                <w:tab w:val="left" w:pos="3060"/>
              </w:tabs>
              <w:adjustRightInd w:val="0"/>
              <w:snapToGrid w:val="0"/>
              <w:jc w:val="left"/>
              <w:rPr>
                <w:rFonts w:hint="eastAsia" w:ascii="宋体" w:hAnsi="宋体" w:cs="宋体"/>
                <w:bCs/>
                <w:snapToGrid w:val="0"/>
                <w:kern w:val="0"/>
                <w:sz w:val="21"/>
                <w:szCs w:val="21"/>
              </w:rPr>
            </w:pPr>
            <w:r>
              <w:rPr>
                <w:rFonts w:hint="eastAsia" w:ascii="宋体" w:hAnsi="宋体" w:cs="宋体"/>
                <w:bCs/>
                <w:snapToGrid w:val="0"/>
                <w:kern w:val="0"/>
                <w:sz w:val="21"/>
                <w:szCs w:val="21"/>
              </w:rPr>
              <w:t>（3）投标人的财务状况符合招标文件规定。</w:t>
            </w:r>
          </w:p>
          <w:p w14:paraId="381DCA5C">
            <w:pPr>
              <w:tabs>
                <w:tab w:val="left" w:pos="3060"/>
              </w:tabs>
              <w:adjustRightInd w:val="0"/>
              <w:snapToGrid w:val="0"/>
              <w:jc w:val="left"/>
              <w:rPr>
                <w:rFonts w:hint="eastAsia" w:ascii="宋体" w:hAnsi="宋体" w:cs="宋体"/>
                <w:bCs/>
                <w:snapToGrid w:val="0"/>
                <w:kern w:val="0"/>
                <w:sz w:val="21"/>
                <w:szCs w:val="21"/>
              </w:rPr>
            </w:pPr>
            <w:r>
              <w:rPr>
                <w:rFonts w:hint="eastAsia" w:ascii="宋体" w:hAnsi="宋体" w:cs="宋体"/>
                <w:bCs/>
                <w:snapToGrid w:val="0"/>
                <w:kern w:val="0"/>
                <w:sz w:val="21"/>
                <w:szCs w:val="21"/>
              </w:rPr>
              <w:t>（4）投标人的业绩符合招标文件规定。</w:t>
            </w:r>
          </w:p>
          <w:p w14:paraId="69E8FBD1">
            <w:pPr>
              <w:tabs>
                <w:tab w:val="left" w:pos="3060"/>
              </w:tabs>
              <w:adjustRightInd w:val="0"/>
              <w:snapToGrid w:val="0"/>
              <w:jc w:val="left"/>
              <w:rPr>
                <w:rFonts w:hint="eastAsia" w:ascii="宋体" w:hAnsi="宋体" w:cs="宋体"/>
                <w:bCs/>
                <w:snapToGrid w:val="0"/>
                <w:kern w:val="0"/>
                <w:sz w:val="21"/>
                <w:szCs w:val="21"/>
              </w:rPr>
            </w:pPr>
            <w:r>
              <w:rPr>
                <w:rFonts w:hint="eastAsia" w:ascii="宋体" w:hAnsi="宋体" w:cs="宋体"/>
                <w:bCs/>
                <w:snapToGrid w:val="0"/>
                <w:kern w:val="0"/>
                <w:sz w:val="21"/>
                <w:szCs w:val="21"/>
              </w:rPr>
              <w:t>（5）投标人的信誉符合招标文件规定。</w:t>
            </w:r>
          </w:p>
          <w:p w14:paraId="2A117D4F">
            <w:pPr>
              <w:tabs>
                <w:tab w:val="left" w:pos="3060"/>
              </w:tabs>
              <w:adjustRightInd w:val="0"/>
              <w:snapToGrid w:val="0"/>
              <w:jc w:val="left"/>
              <w:rPr>
                <w:rFonts w:hint="eastAsia" w:ascii="宋体" w:hAnsi="宋体" w:cs="宋体"/>
                <w:bCs/>
                <w:snapToGrid w:val="0"/>
                <w:kern w:val="0"/>
                <w:sz w:val="21"/>
                <w:szCs w:val="21"/>
              </w:rPr>
            </w:pPr>
            <w:r>
              <w:rPr>
                <w:rFonts w:hint="eastAsia" w:ascii="宋体" w:hAnsi="宋体" w:cs="宋体"/>
                <w:bCs/>
                <w:snapToGrid w:val="0"/>
                <w:kern w:val="0"/>
                <w:sz w:val="21"/>
                <w:szCs w:val="21"/>
              </w:rPr>
              <w:t>（6）投标人的项目经理和项目总工资格符合招标文件规定。</w:t>
            </w:r>
          </w:p>
          <w:p w14:paraId="7C010741">
            <w:pPr>
              <w:tabs>
                <w:tab w:val="left" w:pos="3060"/>
              </w:tabs>
              <w:adjustRightInd w:val="0"/>
              <w:snapToGrid w:val="0"/>
              <w:jc w:val="left"/>
              <w:rPr>
                <w:snapToGrid w:val="0"/>
                <w:kern w:val="0"/>
              </w:rPr>
            </w:pPr>
            <w:r>
              <w:rPr>
                <w:rFonts w:hint="eastAsia" w:ascii="宋体" w:hAnsi="宋体" w:cs="宋体"/>
                <w:bCs/>
                <w:snapToGrid w:val="0"/>
                <w:kern w:val="0"/>
                <w:sz w:val="21"/>
                <w:szCs w:val="21"/>
              </w:rPr>
              <w:t>（7）投标人不存在第二章“投标人须知”第1.4.3项或第1.4.4项规定的任何一种情形。</w:t>
            </w:r>
          </w:p>
        </w:tc>
      </w:tr>
      <w:tr w14:paraId="3073F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Align w:val="center"/>
          </w:tcPr>
          <w:p w14:paraId="27658F0E">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2.2.1</w:t>
            </w:r>
          </w:p>
        </w:tc>
        <w:tc>
          <w:tcPr>
            <w:tcW w:w="825" w:type="pct"/>
            <w:vAlign w:val="center"/>
          </w:tcPr>
          <w:p w14:paraId="7E2DD98F">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分值构成</w:t>
            </w:r>
          </w:p>
        </w:tc>
        <w:tc>
          <w:tcPr>
            <w:tcW w:w="3423" w:type="pct"/>
            <w:vAlign w:val="center"/>
          </w:tcPr>
          <w:p w14:paraId="40003C1C">
            <w:pPr>
              <w:adjustRightInd w:val="0"/>
              <w:snapToGrid w:val="0"/>
              <w:rPr>
                <w:b/>
                <w:bCs/>
                <w:snapToGrid w:val="0"/>
                <w:kern w:val="0"/>
                <w:sz w:val="21"/>
                <w:szCs w:val="21"/>
              </w:rPr>
            </w:pPr>
            <w:r>
              <w:rPr>
                <w:rFonts w:hint="eastAsia"/>
                <w:b/>
                <w:bCs/>
                <w:snapToGrid w:val="0"/>
                <w:kern w:val="0"/>
                <w:sz w:val="21"/>
                <w:szCs w:val="21"/>
              </w:rPr>
              <w:t>第一个信封分值构成：</w:t>
            </w:r>
          </w:p>
          <w:p w14:paraId="640ECD12">
            <w:pPr>
              <w:adjustRightInd w:val="0"/>
              <w:snapToGrid w:val="0"/>
              <w:rPr>
                <w:snapToGrid w:val="0"/>
                <w:kern w:val="0"/>
                <w:sz w:val="21"/>
                <w:szCs w:val="21"/>
              </w:rPr>
            </w:pPr>
            <w:r>
              <w:rPr>
                <w:rFonts w:hint="eastAsia"/>
                <w:snapToGrid w:val="0"/>
                <w:kern w:val="0"/>
                <w:sz w:val="21"/>
                <w:szCs w:val="21"/>
              </w:rPr>
              <w:t>施工组织设计：40分；</w:t>
            </w:r>
          </w:p>
          <w:p w14:paraId="26DE0FA5">
            <w:pPr>
              <w:adjustRightInd w:val="0"/>
              <w:snapToGrid w:val="0"/>
              <w:rPr>
                <w:snapToGrid w:val="0"/>
                <w:kern w:val="0"/>
                <w:sz w:val="21"/>
                <w:szCs w:val="21"/>
              </w:rPr>
            </w:pPr>
            <w:r>
              <w:rPr>
                <w:rFonts w:hint="eastAsia"/>
                <w:snapToGrid w:val="0"/>
                <w:kern w:val="0"/>
                <w:sz w:val="21"/>
                <w:szCs w:val="21"/>
              </w:rPr>
              <w:t>主要人员：30分；</w:t>
            </w:r>
          </w:p>
          <w:p w14:paraId="300AFA32">
            <w:pPr>
              <w:adjustRightInd w:val="0"/>
              <w:snapToGrid w:val="0"/>
              <w:rPr>
                <w:snapToGrid w:val="0"/>
                <w:kern w:val="0"/>
                <w:sz w:val="21"/>
                <w:szCs w:val="21"/>
              </w:rPr>
            </w:pPr>
            <w:r>
              <w:rPr>
                <w:rFonts w:hint="eastAsia"/>
                <w:snapToGrid w:val="0"/>
                <w:kern w:val="0"/>
                <w:sz w:val="21"/>
                <w:szCs w:val="21"/>
              </w:rPr>
              <w:t>其他评分因素：30分；</w:t>
            </w:r>
          </w:p>
          <w:p w14:paraId="302D0E0E">
            <w:pPr>
              <w:adjustRightInd w:val="0"/>
              <w:snapToGrid w:val="0"/>
              <w:jc w:val="left"/>
              <w:rPr>
                <w:b/>
                <w:bCs/>
                <w:snapToGrid w:val="0"/>
                <w:kern w:val="0"/>
                <w:sz w:val="21"/>
                <w:szCs w:val="21"/>
              </w:rPr>
            </w:pPr>
            <w:r>
              <w:rPr>
                <w:rFonts w:hint="eastAsia"/>
                <w:b/>
                <w:bCs/>
                <w:snapToGrid w:val="0"/>
                <w:kern w:val="0"/>
                <w:sz w:val="21"/>
                <w:szCs w:val="21"/>
              </w:rPr>
              <w:t>第二个信封分值构成：</w:t>
            </w:r>
          </w:p>
          <w:p w14:paraId="4B810A46">
            <w:pPr>
              <w:adjustRightInd w:val="0"/>
              <w:snapToGrid w:val="0"/>
              <w:jc w:val="left"/>
              <w:rPr>
                <w:rFonts w:hint="eastAsia" w:ascii="宋体" w:hAnsi="宋体" w:cs="宋体"/>
                <w:b/>
                <w:snapToGrid w:val="0"/>
                <w:kern w:val="0"/>
                <w:sz w:val="21"/>
                <w:szCs w:val="21"/>
              </w:rPr>
            </w:pPr>
            <w:r>
              <w:rPr>
                <w:rFonts w:hint="eastAsia"/>
                <w:snapToGrid w:val="0"/>
                <w:kern w:val="0"/>
                <w:sz w:val="21"/>
                <w:szCs w:val="21"/>
              </w:rPr>
              <w:t>报价：100分。</w:t>
            </w:r>
          </w:p>
        </w:tc>
      </w:tr>
      <w:tr w14:paraId="5BABB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Align w:val="center"/>
          </w:tcPr>
          <w:p w14:paraId="6C81F9FC">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2.2.2</w:t>
            </w:r>
          </w:p>
        </w:tc>
        <w:tc>
          <w:tcPr>
            <w:tcW w:w="825" w:type="pct"/>
            <w:vAlign w:val="center"/>
          </w:tcPr>
          <w:p w14:paraId="516033E1">
            <w:pPr>
              <w:adjustRightInd w:val="0"/>
              <w:snapToGrid w:val="0"/>
              <w:jc w:val="center"/>
              <w:rPr>
                <w:rFonts w:hint="eastAsia" w:ascii="宋体" w:hAnsi="宋体" w:cs="宋体"/>
                <w:snapToGrid w:val="0"/>
                <w:kern w:val="0"/>
                <w:sz w:val="21"/>
                <w:szCs w:val="21"/>
              </w:rPr>
            </w:pPr>
            <w:r>
              <w:rPr>
                <w:rStyle w:val="50"/>
                <w:rFonts w:hint="eastAsia" w:ascii="宋体" w:hAnsi="宋体" w:eastAsia="宋体"/>
                <w:snapToGrid w:val="0"/>
                <w:color w:val="auto"/>
                <w:kern w:val="0"/>
                <w:sz w:val="21"/>
                <w:szCs w:val="21"/>
              </w:rPr>
              <w:t>第一个信封评分评分标准</w:t>
            </w:r>
          </w:p>
        </w:tc>
        <w:tc>
          <w:tcPr>
            <w:tcW w:w="3423" w:type="pct"/>
            <w:vAlign w:val="center"/>
          </w:tcPr>
          <w:p w14:paraId="72B317FA">
            <w:pPr>
              <w:pStyle w:val="51"/>
              <w:adjustRightInd w:val="0"/>
              <w:snapToGrid w:val="0"/>
              <w:jc w:val="both"/>
              <w:rPr>
                <w:rFonts w:hint="eastAsia"/>
                <w:snapToGrid w:val="0"/>
                <w:sz w:val="21"/>
                <w:szCs w:val="21"/>
                <w:lang w:val="en-US"/>
              </w:rPr>
            </w:pPr>
            <w:r>
              <w:rPr>
                <w:rFonts w:hint="eastAsia"/>
                <w:snapToGrid w:val="0"/>
                <w:sz w:val="21"/>
                <w:szCs w:val="21"/>
                <w:lang w:val="en-US"/>
              </w:rPr>
              <w:t>详见附表</w:t>
            </w:r>
          </w:p>
        </w:tc>
      </w:tr>
      <w:tr w14:paraId="4CC85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Merge w:val="restart"/>
            <w:vAlign w:val="center"/>
          </w:tcPr>
          <w:p w14:paraId="65D0CE19">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2.2.3</w:t>
            </w:r>
          </w:p>
        </w:tc>
        <w:tc>
          <w:tcPr>
            <w:tcW w:w="825" w:type="pct"/>
            <w:vMerge w:val="restart"/>
            <w:vAlign w:val="center"/>
          </w:tcPr>
          <w:p w14:paraId="167F949D">
            <w:pPr>
              <w:adjustRightInd w:val="0"/>
              <w:snapToGrid w:val="0"/>
              <w:jc w:val="center"/>
              <w:rPr>
                <w:rStyle w:val="50"/>
                <w:rFonts w:hint="eastAsia" w:ascii="宋体" w:hAnsi="宋体" w:eastAsia="宋体"/>
                <w:snapToGrid w:val="0"/>
                <w:color w:val="auto"/>
                <w:kern w:val="0"/>
                <w:sz w:val="21"/>
                <w:szCs w:val="21"/>
              </w:rPr>
            </w:pPr>
            <w:r>
              <w:rPr>
                <w:rFonts w:hint="eastAsia"/>
                <w:snapToGrid w:val="0"/>
                <w:kern w:val="0"/>
                <w:sz w:val="21"/>
                <w:szCs w:val="21"/>
              </w:rPr>
              <w:t>第二个信封详细评审标准</w:t>
            </w:r>
          </w:p>
        </w:tc>
        <w:tc>
          <w:tcPr>
            <w:tcW w:w="3423" w:type="pct"/>
            <w:vAlign w:val="center"/>
          </w:tcPr>
          <w:p w14:paraId="3775045B">
            <w:pPr>
              <w:adjustRightInd w:val="0"/>
              <w:snapToGrid w:val="0"/>
              <w:jc w:val="left"/>
              <w:rPr>
                <w:rFonts w:hint="eastAsia" w:ascii="宋体" w:hAnsi="宋体" w:cs="宋体"/>
                <w:b/>
                <w:bCs/>
                <w:snapToGrid w:val="0"/>
                <w:kern w:val="0"/>
                <w:sz w:val="21"/>
                <w:szCs w:val="21"/>
              </w:rPr>
            </w:pPr>
            <w:r>
              <w:rPr>
                <w:rFonts w:hint="eastAsia" w:ascii="宋体" w:hAnsi="宋体" w:cs="宋体"/>
                <w:b/>
                <w:bCs/>
                <w:snapToGrid w:val="0"/>
                <w:kern w:val="0"/>
                <w:sz w:val="21"/>
                <w:szCs w:val="21"/>
              </w:rPr>
              <w:t>评标价偏差率的计算公式：</w:t>
            </w:r>
          </w:p>
          <w:p w14:paraId="1F34EF2D">
            <w:pPr>
              <w:adjustRightInd w:val="0"/>
              <w:snapToGrid w:val="0"/>
              <w:jc w:val="left"/>
              <w:rPr>
                <w:rFonts w:cs="宋体"/>
                <w:snapToGrid w:val="0"/>
                <w:kern w:val="0"/>
                <w:sz w:val="21"/>
                <w:szCs w:val="21"/>
              </w:rPr>
            </w:pPr>
            <w:r>
              <w:rPr>
                <w:rFonts w:hint="eastAsia" w:ascii="宋体" w:hAnsi="宋体" w:cs="宋体"/>
                <w:snapToGrid w:val="0"/>
                <w:kern w:val="0"/>
                <w:sz w:val="21"/>
                <w:szCs w:val="21"/>
              </w:rPr>
              <w:t>偏差率=100%×（投标人评标价-评标基准价）/评标基准价</w:t>
            </w:r>
          </w:p>
        </w:tc>
      </w:tr>
      <w:tr w14:paraId="5D984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Merge w:val="continue"/>
            <w:vAlign w:val="center"/>
          </w:tcPr>
          <w:p w14:paraId="3D85FBFA">
            <w:pPr>
              <w:adjustRightInd w:val="0"/>
              <w:snapToGrid w:val="0"/>
              <w:jc w:val="center"/>
              <w:rPr>
                <w:rFonts w:hint="eastAsia" w:ascii="宋体" w:hAnsi="宋体" w:cs="宋体"/>
                <w:snapToGrid w:val="0"/>
                <w:kern w:val="0"/>
                <w:sz w:val="21"/>
                <w:szCs w:val="21"/>
              </w:rPr>
            </w:pPr>
          </w:p>
        </w:tc>
        <w:tc>
          <w:tcPr>
            <w:tcW w:w="825" w:type="pct"/>
            <w:vMerge w:val="continue"/>
            <w:vAlign w:val="center"/>
          </w:tcPr>
          <w:p w14:paraId="58206B6D">
            <w:pPr>
              <w:adjustRightInd w:val="0"/>
              <w:snapToGrid w:val="0"/>
              <w:jc w:val="center"/>
              <w:rPr>
                <w:rStyle w:val="50"/>
                <w:rFonts w:hint="eastAsia" w:ascii="宋体" w:hAnsi="宋体" w:eastAsia="宋体"/>
                <w:snapToGrid w:val="0"/>
                <w:color w:val="auto"/>
                <w:kern w:val="0"/>
                <w:sz w:val="21"/>
                <w:szCs w:val="21"/>
              </w:rPr>
            </w:pPr>
          </w:p>
        </w:tc>
        <w:tc>
          <w:tcPr>
            <w:tcW w:w="3423" w:type="pct"/>
            <w:vAlign w:val="center"/>
          </w:tcPr>
          <w:p w14:paraId="6EC62AFB">
            <w:pPr>
              <w:adjustRightInd w:val="0"/>
              <w:snapToGrid w:val="0"/>
              <w:jc w:val="left"/>
              <w:rPr>
                <w:rFonts w:hint="eastAsia" w:ascii="宋体" w:hAnsi="宋体" w:cs="宋体"/>
                <w:b/>
                <w:bCs/>
                <w:snapToGrid w:val="0"/>
                <w:kern w:val="0"/>
                <w:sz w:val="21"/>
                <w:szCs w:val="21"/>
              </w:rPr>
            </w:pPr>
            <w:r>
              <w:rPr>
                <w:rFonts w:hint="eastAsia" w:ascii="宋体" w:hAnsi="宋体" w:cs="宋体"/>
                <w:b/>
                <w:bCs/>
                <w:snapToGrid w:val="0"/>
                <w:kern w:val="0"/>
                <w:sz w:val="21"/>
                <w:szCs w:val="21"/>
              </w:rPr>
              <w:t>评标价的评分标准（100分）：</w:t>
            </w:r>
          </w:p>
          <w:p w14:paraId="436BDF16">
            <w:pPr>
              <w:pStyle w:val="14"/>
              <w:adjustRightInd w:val="0"/>
              <w:snapToGrid w:val="0"/>
              <w:jc w:val="left"/>
              <w:rPr>
                <w:rFonts w:hint="eastAsia" w:hAnsi="宋体" w:cs="宋体"/>
                <w:snapToGrid w:val="0"/>
                <w:kern w:val="0"/>
                <w:szCs w:val="21"/>
              </w:rPr>
            </w:pPr>
            <w:r>
              <w:rPr>
                <w:rFonts w:hint="eastAsia" w:hAnsi="宋体" w:cs="宋体"/>
                <w:snapToGrid w:val="0"/>
                <w:kern w:val="0"/>
                <w:szCs w:val="21"/>
              </w:rPr>
              <w:t>评标价得分计算公式：</w:t>
            </w:r>
          </w:p>
          <w:p w14:paraId="1C5A2B3B">
            <w:pPr>
              <w:adjustRightInd w:val="0"/>
              <w:snapToGrid w:val="0"/>
              <w:jc w:val="left"/>
              <w:rPr>
                <w:rFonts w:hint="eastAsia" w:ascii="宋体" w:hAnsi="宋体" w:cs="宋体"/>
                <w:bCs/>
                <w:snapToGrid w:val="0"/>
                <w:kern w:val="0"/>
                <w:sz w:val="21"/>
                <w:szCs w:val="21"/>
              </w:rPr>
            </w:pPr>
            <w:r>
              <w:rPr>
                <w:rFonts w:hint="eastAsia" w:ascii="宋体" w:hAnsi="宋体" w:cs="宋体"/>
                <w:bCs/>
                <w:snapToGrid w:val="0"/>
                <w:kern w:val="0"/>
                <w:sz w:val="21"/>
                <w:szCs w:val="21"/>
              </w:rPr>
              <w:t>a.如果投标人的评标价＞评标基准价，则评标价得分=100-偏差率×100×E1；</w:t>
            </w:r>
          </w:p>
          <w:p w14:paraId="4A3940E9">
            <w:pPr>
              <w:adjustRightInd w:val="0"/>
              <w:snapToGrid w:val="0"/>
              <w:jc w:val="left"/>
              <w:rPr>
                <w:rFonts w:hint="eastAsia" w:ascii="宋体" w:hAnsi="宋体" w:cs="宋体"/>
                <w:bCs/>
                <w:snapToGrid w:val="0"/>
                <w:kern w:val="0"/>
                <w:sz w:val="21"/>
                <w:szCs w:val="21"/>
              </w:rPr>
            </w:pPr>
            <w:r>
              <w:rPr>
                <w:rFonts w:hint="eastAsia" w:ascii="宋体" w:hAnsi="宋体" w:cs="宋体"/>
                <w:bCs/>
                <w:snapToGrid w:val="0"/>
                <w:kern w:val="0"/>
                <w:sz w:val="21"/>
                <w:szCs w:val="21"/>
              </w:rPr>
              <w:t>b.如果投标人的评标价≤评标基准价，则评标价得分=100+偏差率×100×E2；</w:t>
            </w:r>
          </w:p>
          <w:p w14:paraId="117C199E">
            <w:pPr>
              <w:pStyle w:val="14"/>
              <w:adjustRightInd w:val="0"/>
              <w:snapToGrid w:val="0"/>
              <w:jc w:val="left"/>
              <w:rPr>
                <w:rFonts w:hint="eastAsia" w:hAnsi="宋体" w:cs="宋体"/>
                <w:snapToGrid w:val="0"/>
                <w:kern w:val="0"/>
                <w:szCs w:val="21"/>
              </w:rPr>
            </w:pPr>
            <w:r>
              <w:rPr>
                <w:rFonts w:hint="eastAsia" w:hAnsi="宋体" w:cs="宋体"/>
                <w:bCs/>
                <w:snapToGrid w:val="0"/>
                <w:kern w:val="0"/>
                <w:szCs w:val="21"/>
              </w:rPr>
              <w:t>其中，E1是评标价每高于评标基准价一个百分点的扣分值，E1=2；E2是评标价每低于评标基准价一个百分点的扣分值，E2=1。</w:t>
            </w:r>
          </w:p>
          <w:p w14:paraId="60EF763F">
            <w:pPr>
              <w:pStyle w:val="19"/>
              <w:adjustRightInd w:val="0"/>
              <w:snapToGrid w:val="0"/>
              <w:spacing w:after="0"/>
              <w:ind w:left="0" w:leftChars="0" w:firstLine="0" w:firstLineChars="0"/>
              <w:rPr>
                <w:rFonts w:hint="eastAsia" w:cs="宋体"/>
                <w:snapToGrid w:val="0"/>
                <w:kern w:val="0"/>
                <w:szCs w:val="21"/>
              </w:rPr>
            </w:pPr>
            <w:r>
              <w:rPr>
                <w:rFonts w:hint="eastAsia" w:cs="宋体"/>
                <w:snapToGrid w:val="0"/>
                <w:kern w:val="0"/>
                <w:szCs w:val="21"/>
              </w:rPr>
              <w:t>注：评标价得分最低为0分；评标价得分保留小数点后两位，小数点后第三位四舍五入。</w:t>
            </w:r>
          </w:p>
        </w:tc>
      </w:tr>
      <w:tr w14:paraId="56E33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Align w:val="center"/>
          </w:tcPr>
          <w:p w14:paraId="355E8B34">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2.2.4</w:t>
            </w:r>
          </w:p>
        </w:tc>
        <w:tc>
          <w:tcPr>
            <w:tcW w:w="825" w:type="pct"/>
            <w:vAlign w:val="center"/>
          </w:tcPr>
          <w:p w14:paraId="070F19FE">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评标基准价计算方法</w:t>
            </w:r>
          </w:p>
        </w:tc>
        <w:tc>
          <w:tcPr>
            <w:tcW w:w="3423" w:type="pct"/>
            <w:vAlign w:val="center"/>
          </w:tcPr>
          <w:p w14:paraId="6964DF6A">
            <w:pPr>
              <w:adjustRightInd w:val="0"/>
              <w:snapToGrid w:val="0"/>
              <w:rPr>
                <w:rFonts w:hint="eastAsia" w:ascii="宋体" w:hAnsi="宋体"/>
                <w:snapToGrid w:val="0"/>
                <w:kern w:val="0"/>
                <w:sz w:val="21"/>
                <w:szCs w:val="21"/>
              </w:rPr>
            </w:pPr>
            <w:r>
              <w:rPr>
                <w:rFonts w:hint="eastAsia" w:ascii="宋体" w:hAnsi="宋体"/>
                <w:snapToGrid w:val="0"/>
                <w:kern w:val="0"/>
                <w:sz w:val="21"/>
                <w:szCs w:val="21"/>
              </w:rPr>
              <w:t>1、第二个信封（报价文件）评分分值构成：评标价：100分。</w:t>
            </w:r>
          </w:p>
          <w:p w14:paraId="5DDBE3E9">
            <w:pPr>
              <w:adjustRightInd w:val="0"/>
              <w:snapToGrid w:val="0"/>
              <w:rPr>
                <w:rFonts w:hint="eastAsia" w:ascii="宋体" w:hAnsi="宋体"/>
                <w:snapToGrid w:val="0"/>
                <w:kern w:val="0"/>
                <w:sz w:val="21"/>
                <w:szCs w:val="21"/>
              </w:rPr>
            </w:pPr>
            <w:r>
              <w:rPr>
                <w:rFonts w:hint="eastAsia" w:ascii="宋体" w:hAnsi="宋体"/>
                <w:snapToGrid w:val="0"/>
                <w:kern w:val="0"/>
                <w:sz w:val="21"/>
                <w:szCs w:val="21"/>
              </w:rPr>
              <w:t>2、评标基准价的计算：</w:t>
            </w:r>
          </w:p>
          <w:p w14:paraId="57C34BE4">
            <w:pPr>
              <w:adjustRightInd w:val="0"/>
              <w:snapToGrid w:val="0"/>
              <w:rPr>
                <w:rFonts w:hint="eastAsia" w:ascii="宋体" w:hAnsi="宋体"/>
                <w:snapToGrid w:val="0"/>
                <w:kern w:val="0"/>
                <w:sz w:val="21"/>
                <w:szCs w:val="21"/>
              </w:rPr>
            </w:pPr>
            <w:r>
              <w:rPr>
                <w:rFonts w:hint="eastAsia" w:ascii="宋体" w:hAnsi="宋体"/>
                <w:snapToGrid w:val="0"/>
                <w:kern w:val="0"/>
                <w:sz w:val="21"/>
                <w:szCs w:val="21"/>
              </w:rPr>
              <w:t>在第二个信封开标现场，招标人将按照第一信封开标现场抽取的评标基准价的计算方法当场计算并宣布评标基准价。</w:t>
            </w:r>
          </w:p>
          <w:p w14:paraId="7A435965">
            <w:pPr>
              <w:adjustRightInd w:val="0"/>
              <w:snapToGrid w:val="0"/>
              <w:rPr>
                <w:rFonts w:hint="eastAsia" w:ascii="宋体" w:hAnsi="宋体"/>
                <w:snapToGrid w:val="0"/>
                <w:kern w:val="0"/>
                <w:sz w:val="21"/>
                <w:szCs w:val="21"/>
              </w:rPr>
            </w:pPr>
            <w:r>
              <w:rPr>
                <w:rFonts w:hint="eastAsia" w:ascii="宋体" w:hAnsi="宋体"/>
                <w:snapToGrid w:val="0"/>
                <w:kern w:val="0"/>
                <w:sz w:val="21"/>
                <w:szCs w:val="21"/>
              </w:rPr>
              <w:t>（1）评标价的确定：评标价=投标函文字报价</w:t>
            </w:r>
          </w:p>
          <w:p w14:paraId="04C9634B">
            <w:pPr>
              <w:adjustRightInd w:val="0"/>
              <w:snapToGrid w:val="0"/>
              <w:rPr>
                <w:rFonts w:hint="eastAsia" w:ascii="宋体" w:hAnsi="宋体"/>
                <w:snapToGrid w:val="0"/>
                <w:kern w:val="0"/>
                <w:sz w:val="21"/>
                <w:szCs w:val="21"/>
              </w:rPr>
            </w:pPr>
            <w:r>
              <w:rPr>
                <w:rFonts w:hint="eastAsia" w:ascii="宋体" w:hAnsi="宋体"/>
                <w:snapToGrid w:val="0"/>
                <w:kern w:val="0"/>
                <w:sz w:val="21"/>
                <w:szCs w:val="21"/>
              </w:rPr>
              <w:t>（2）评标价平均值的计算：</w:t>
            </w:r>
          </w:p>
          <w:p w14:paraId="3CF2E16E">
            <w:pPr>
              <w:adjustRightInd w:val="0"/>
              <w:snapToGrid w:val="0"/>
              <w:rPr>
                <w:rFonts w:hint="eastAsia" w:ascii="宋体" w:hAnsi="宋体"/>
                <w:snapToGrid w:val="0"/>
                <w:kern w:val="0"/>
                <w:sz w:val="21"/>
                <w:szCs w:val="21"/>
              </w:rPr>
            </w:pPr>
            <w:r>
              <w:rPr>
                <w:rFonts w:hint="eastAsia" w:ascii="宋体" w:hAnsi="宋体"/>
                <w:snapToGrid w:val="0"/>
                <w:kern w:val="0"/>
                <w:sz w:val="21"/>
                <w:szCs w:val="21"/>
              </w:rPr>
              <w:t>除按第二章“投标人须知”第5.2.2项规定开标现场被宣布为不进入评标基准价计算的投标报价之外，所有投标人的评标价的算术平均值即为评标价平均值（评标价平均值保留小数点后两位，小数点后第三位四舍五入）。</w:t>
            </w:r>
          </w:p>
          <w:p w14:paraId="4CBF00BE">
            <w:pPr>
              <w:pStyle w:val="51"/>
              <w:adjustRightInd w:val="0"/>
              <w:snapToGrid w:val="0"/>
              <w:jc w:val="both"/>
              <w:rPr>
                <w:rFonts w:hint="eastAsia"/>
                <w:snapToGrid w:val="0"/>
                <w:sz w:val="21"/>
                <w:szCs w:val="21"/>
              </w:rPr>
            </w:pPr>
            <w:r>
              <w:rPr>
                <w:rFonts w:hint="eastAsia"/>
                <w:snapToGrid w:val="0"/>
                <w:sz w:val="21"/>
                <w:szCs w:val="21"/>
              </w:rPr>
              <w:t>（3）评标基准价的计算：</w:t>
            </w:r>
          </w:p>
          <w:p w14:paraId="568C5350">
            <w:pPr>
              <w:pStyle w:val="51"/>
              <w:adjustRightInd w:val="0"/>
              <w:snapToGrid w:val="0"/>
              <w:jc w:val="both"/>
              <w:rPr>
                <w:rFonts w:hint="eastAsia"/>
                <w:snapToGrid w:val="0"/>
                <w:sz w:val="21"/>
                <w:szCs w:val="21"/>
              </w:rPr>
            </w:pPr>
            <w:r>
              <w:rPr>
                <w:rFonts w:hint="eastAsia"/>
                <w:snapToGrid w:val="0"/>
                <w:sz w:val="21"/>
                <w:szCs w:val="21"/>
              </w:rPr>
              <w:t>本次招标共设置以下三种评标基准价计算方法，在第一信封（商务及技术文件）开标现场随机确定一种评标基准价计算方法，作为本次评标的评标基准价计算方法。</w:t>
            </w:r>
          </w:p>
          <w:p w14:paraId="6064F92E">
            <w:pPr>
              <w:pStyle w:val="51"/>
              <w:adjustRightInd w:val="0"/>
              <w:snapToGrid w:val="0"/>
              <w:jc w:val="both"/>
              <w:rPr>
                <w:rFonts w:hint="eastAsia"/>
                <w:snapToGrid w:val="0"/>
                <w:sz w:val="21"/>
                <w:szCs w:val="21"/>
              </w:rPr>
            </w:pPr>
            <w:r>
              <w:rPr>
                <w:rFonts w:hint="eastAsia"/>
                <w:snapToGrid w:val="0"/>
                <w:sz w:val="21"/>
                <w:szCs w:val="21"/>
              </w:rPr>
              <w:t>①方法1：评标价平均值直接作为评标基准价。</w:t>
            </w:r>
          </w:p>
          <w:p w14:paraId="1CB840BD">
            <w:pPr>
              <w:pStyle w:val="51"/>
              <w:adjustRightInd w:val="0"/>
              <w:snapToGrid w:val="0"/>
              <w:jc w:val="both"/>
              <w:rPr>
                <w:rFonts w:hint="eastAsia"/>
                <w:snapToGrid w:val="0"/>
                <w:sz w:val="21"/>
                <w:szCs w:val="21"/>
              </w:rPr>
            </w:pPr>
            <w:r>
              <w:rPr>
                <w:rFonts w:hint="eastAsia"/>
                <w:snapToGrid w:val="0"/>
                <w:sz w:val="21"/>
                <w:szCs w:val="21"/>
              </w:rPr>
              <w:t>②方法2：评标基准价P=评标价平均值×评标基准价系数K1。</w:t>
            </w:r>
          </w:p>
          <w:p w14:paraId="63986322">
            <w:pPr>
              <w:pStyle w:val="51"/>
              <w:adjustRightInd w:val="0"/>
              <w:snapToGrid w:val="0"/>
              <w:jc w:val="both"/>
              <w:rPr>
                <w:rFonts w:hint="eastAsia"/>
                <w:snapToGrid w:val="0"/>
                <w:sz w:val="21"/>
                <w:szCs w:val="21"/>
              </w:rPr>
            </w:pPr>
            <w:r>
              <w:rPr>
                <w:rFonts w:hint="eastAsia"/>
                <w:snapToGrid w:val="0"/>
                <w:sz w:val="21"/>
                <w:szCs w:val="21"/>
              </w:rPr>
              <w:t>K1为开标现场随机确定的评标基准价系数，取值范围为0.975、0.980、0.985、0.990、0.995。</w:t>
            </w:r>
          </w:p>
          <w:p w14:paraId="681FEC56">
            <w:pPr>
              <w:pStyle w:val="51"/>
              <w:adjustRightInd w:val="0"/>
              <w:snapToGrid w:val="0"/>
              <w:jc w:val="both"/>
              <w:rPr>
                <w:rFonts w:hint="eastAsia"/>
                <w:snapToGrid w:val="0"/>
                <w:sz w:val="21"/>
                <w:szCs w:val="21"/>
              </w:rPr>
            </w:pPr>
            <w:r>
              <w:rPr>
                <w:rFonts w:hint="eastAsia"/>
                <w:snapToGrid w:val="0"/>
                <w:sz w:val="21"/>
                <w:szCs w:val="21"/>
              </w:rPr>
              <w:t>③方法3：评标基准价P=最高投标限价×K2+评标价平均值×（1-K2）。</w:t>
            </w:r>
          </w:p>
          <w:p w14:paraId="2BBA890B">
            <w:pPr>
              <w:pStyle w:val="51"/>
              <w:adjustRightInd w:val="0"/>
              <w:snapToGrid w:val="0"/>
              <w:jc w:val="both"/>
              <w:rPr>
                <w:rFonts w:hint="eastAsia"/>
                <w:snapToGrid w:val="0"/>
                <w:sz w:val="21"/>
                <w:szCs w:val="21"/>
              </w:rPr>
            </w:pPr>
            <w:r>
              <w:rPr>
                <w:rFonts w:hint="eastAsia"/>
                <w:snapToGrid w:val="0"/>
                <w:sz w:val="21"/>
                <w:szCs w:val="21"/>
              </w:rPr>
              <w:t>K2为开标现场随机确定的最高投标限价所占比例系数，取值范围为0.10、0.15、0.20、0.25、0.30。</w:t>
            </w:r>
          </w:p>
          <w:p w14:paraId="2E2830C1">
            <w:pPr>
              <w:pStyle w:val="51"/>
              <w:adjustRightInd w:val="0"/>
              <w:snapToGrid w:val="0"/>
              <w:jc w:val="both"/>
              <w:rPr>
                <w:rFonts w:hint="eastAsia"/>
                <w:snapToGrid w:val="0"/>
                <w:sz w:val="21"/>
                <w:szCs w:val="21"/>
              </w:rPr>
            </w:pPr>
            <w:r>
              <w:rPr>
                <w:rFonts w:hint="eastAsia"/>
                <w:snapToGrid w:val="0"/>
                <w:sz w:val="21"/>
                <w:szCs w:val="21"/>
              </w:rPr>
              <w:t>在评标过程中，评标委员会应对招标人计算的评标基准价进行复核，存在计算错误的应予以修正并在评标报告中作出说明。除此之外，评标基准价在整个评标期间保持不变，不随任何因素发生变化。</w:t>
            </w:r>
          </w:p>
        </w:tc>
      </w:tr>
      <w:tr w14:paraId="7F96C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Align w:val="center"/>
          </w:tcPr>
          <w:p w14:paraId="6637BC33">
            <w:pPr>
              <w:adjustRightInd w:val="0"/>
              <w:snapToGrid w:val="0"/>
              <w:jc w:val="center"/>
              <w:rPr>
                <w:rFonts w:hint="eastAsia" w:ascii="宋体" w:hAnsi="宋体" w:cs="宋体"/>
                <w:snapToGrid w:val="0"/>
                <w:kern w:val="0"/>
                <w:sz w:val="21"/>
                <w:szCs w:val="21"/>
              </w:rPr>
            </w:pPr>
            <w:r>
              <w:rPr>
                <w:rFonts w:hint="eastAsia"/>
                <w:snapToGrid w:val="0"/>
                <w:kern w:val="0"/>
                <w:sz w:val="21"/>
                <w:szCs w:val="21"/>
              </w:rPr>
              <w:t>3.2.4</w:t>
            </w:r>
          </w:p>
        </w:tc>
        <w:tc>
          <w:tcPr>
            <w:tcW w:w="825" w:type="pct"/>
            <w:vAlign w:val="center"/>
          </w:tcPr>
          <w:p w14:paraId="033BCD71">
            <w:pPr>
              <w:adjustRightInd w:val="0"/>
              <w:snapToGrid w:val="0"/>
              <w:jc w:val="center"/>
              <w:rPr>
                <w:rFonts w:hint="eastAsia" w:ascii="宋体" w:hAnsi="宋体" w:cs="宋体"/>
                <w:snapToGrid w:val="0"/>
                <w:kern w:val="0"/>
                <w:sz w:val="21"/>
                <w:szCs w:val="21"/>
              </w:rPr>
            </w:pPr>
            <w:r>
              <w:rPr>
                <w:rFonts w:hint="eastAsia"/>
                <w:snapToGrid w:val="0"/>
                <w:kern w:val="0"/>
                <w:sz w:val="21"/>
                <w:szCs w:val="21"/>
              </w:rPr>
              <w:t>通过第一个信封详细评审的投标人数量</w:t>
            </w:r>
          </w:p>
        </w:tc>
        <w:tc>
          <w:tcPr>
            <w:tcW w:w="3423" w:type="pct"/>
            <w:vAlign w:val="center"/>
          </w:tcPr>
          <w:p w14:paraId="28452485">
            <w:pPr>
              <w:adjustRightInd w:val="0"/>
              <w:snapToGrid w:val="0"/>
              <w:rPr>
                <w:rFonts w:hint="eastAsia" w:ascii="宋体" w:hAnsi="宋体" w:cs="宋体"/>
                <w:snapToGrid w:val="0"/>
                <w:kern w:val="0"/>
                <w:sz w:val="21"/>
                <w:szCs w:val="21"/>
              </w:rPr>
            </w:pPr>
            <w:r>
              <w:rPr>
                <w:rFonts w:hint="eastAsia"/>
                <w:snapToGrid w:val="0"/>
                <w:kern w:val="0"/>
                <w:sz w:val="21"/>
                <w:szCs w:val="21"/>
              </w:rPr>
              <w:t>按照投标人的第一信封综合得分由高到低排序，选择前</w:t>
            </w:r>
            <w:r>
              <w:rPr>
                <w:rFonts w:hint="eastAsia"/>
                <w:snapToGrid w:val="0"/>
                <w:kern w:val="0"/>
                <w:sz w:val="21"/>
                <w:szCs w:val="21"/>
                <w:u w:val="single"/>
              </w:rPr>
              <w:t>5</w:t>
            </w:r>
            <w:r>
              <w:rPr>
                <w:rFonts w:hint="eastAsia"/>
                <w:snapToGrid w:val="0"/>
                <w:kern w:val="0"/>
                <w:sz w:val="21"/>
                <w:szCs w:val="21"/>
              </w:rPr>
              <w:t>家进入</w:t>
            </w:r>
            <w:r>
              <w:rPr>
                <w:rFonts w:hint="eastAsia" w:ascii="宋体" w:hAnsi="宋体" w:cs="宋体"/>
                <w:snapToGrid w:val="0"/>
                <w:kern w:val="0"/>
                <w:sz w:val="21"/>
                <w:szCs w:val="21"/>
              </w:rPr>
              <w:t>第二信封</w:t>
            </w:r>
            <w:r>
              <w:rPr>
                <w:rFonts w:hint="eastAsia"/>
                <w:snapToGrid w:val="0"/>
                <w:kern w:val="0"/>
                <w:sz w:val="21"/>
                <w:szCs w:val="21"/>
              </w:rPr>
              <w:t>评审。</w:t>
            </w:r>
            <w:r>
              <w:rPr>
                <w:rFonts w:ascii="宋体" w:hAnsi="宋体" w:cs="宋体"/>
                <w:snapToGrid w:val="0"/>
                <w:kern w:val="0"/>
                <w:sz w:val="21"/>
                <w:szCs w:val="21"/>
              </w:rPr>
              <w:t>第一信封</w:t>
            </w:r>
            <w:r>
              <w:rPr>
                <w:rFonts w:hint="eastAsia"/>
                <w:snapToGrid w:val="0"/>
                <w:kern w:val="0"/>
                <w:sz w:val="21"/>
                <w:szCs w:val="21"/>
              </w:rPr>
              <w:t>综合</w:t>
            </w:r>
            <w:r>
              <w:rPr>
                <w:rFonts w:ascii="宋体" w:hAnsi="宋体" w:cs="宋体"/>
                <w:snapToGrid w:val="0"/>
                <w:kern w:val="0"/>
                <w:sz w:val="21"/>
                <w:szCs w:val="21"/>
              </w:rPr>
              <w:t>得分相等时，</w:t>
            </w:r>
            <w:r>
              <w:rPr>
                <w:rFonts w:hint="eastAsia" w:ascii="宋体" w:hAnsi="宋体" w:cs="宋体"/>
                <w:snapToGrid w:val="0"/>
                <w:kern w:val="0"/>
                <w:sz w:val="21"/>
                <w:szCs w:val="21"/>
              </w:rPr>
              <w:t>以施工组织设计得分高的优先；施工组织设计得分也相等的，以</w:t>
            </w:r>
            <w:r>
              <w:rPr>
                <w:rFonts w:ascii="宋体" w:hAnsi="宋体" w:cs="宋体"/>
                <w:snapToGrid w:val="0"/>
                <w:kern w:val="0"/>
                <w:sz w:val="21"/>
                <w:szCs w:val="21"/>
              </w:rPr>
              <w:t>满足资格审查条件（业绩最低要求）的业绩</w:t>
            </w:r>
            <w:r>
              <w:rPr>
                <w:rFonts w:hint="eastAsia" w:ascii="宋体" w:hAnsi="宋体" w:cs="宋体"/>
                <w:snapToGrid w:val="0"/>
                <w:kern w:val="0"/>
                <w:sz w:val="21"/>
                <w:szCs w:val="21"/>
              </w:rPr>
              <w:t>单项合同额最高</w:t>
            </w:r>
            <w:r>
              <w:rPr>
                <w:rFonts w:ascii="宋体" w:hAnsi="宋体" w:cs="宋体"/>
                <w:snapToGrid w:val="0"/>
                <w:kern w:val="0"/>
                <w:sz w:val="21"/>
                <w:szCs w:val="21"/>
              </w:rPr>
              <w:t>的优先，</w:t>
            </w:r>
            <w:r>
              <w:rPr>
                <w:rFonts w:hint="eastAsia" w:ascii="宋体" w:hAnsi="宋体" w:cs="宋体"/>
                <w:snapToGrid w:val="0"/>
                <w:kern w:val="0"/>
                <w:sz w:val="21"/>
                <w:szCs w:val="21"/>
              </w:rPr>
              <w:t>单项合同额</w:t>
            </w:r>
            <w:r>
              <w:rPr>
                <w:rFonts w:ascii="宋体" w:hAnsi="宋体" w:cs="宋体"/>
                <w:snapToGrid w:val="0"/>
                <w:kern w:val="0"/>
                <w:sz w:val="21"/>
                <w:szCs w:val="21"/>
              </w:rPr>
              <w:t>也相等时，以累计合同金额</w:t>
            </w:r>
            <w:r>
              <w:rPr>
                <w:rFonts w:hint="eastAsia" w:ascii="宋体" w:hAnsi="宋体" w:cs="宋体"/>
                <w:snapToGrid w:val="0"/>
                <w:kern w:val="0"/>
                <w:sz w:val="21"/>
                <w:szCs w:val="21"/>
              </w:rPr>
              <w:t>高</w:t>
            </w:r>
            <w:r>
              <w:rPr>
                <w:rFonts w:ascii="宋体" w:hAnsi="宋体" w:cs="宋体"/>
                <w:snapToGrid w:val="0"/>
                <w:kern w:val="0"/>
                <w:sz w:val="21"/>
                <w:szCs w:val="21"/>
              </w:rPr>
              <w:t>的优先</w:t>
            </w:r>
            <w:r>
              <w:rPr>
                <w:rFonts w:hint="eastAsia" w:ascii="宋体" w:hAnsi="宋体" w:cs="宋体"/>
                <w:snapToGrid w:val="0"/>
                <w:kern w:val="0"/>
                <w:sz w:val="21"/>
                <w:szCs w:val="21"/>
              </w:rPr>
              <w:t>。</w:t>
            </w:r>
          </w:p>
        </w:tc>
      </w:tr>
      <w:tr w14:paraId="46C3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Align w:val="center"/>
          </w:tcPr>
          <w:p w14:paraId="57248EC0">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3.5.3</w:t>
            </w:r>
          </w:p>
        </w:tc>
        <w:tc>
          <w:tcPr>
            <w:tcW w:w="4248" w:type="pct"/>
            <w:gridSpan w:val="2"/>
            <w:vAlign w:val="center"/>
          </w:tcPr>
          <w:p w14:paraId="30854DDE">
            <w:pPr>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本项修改为：</w:t>
            </w:r>
          </w:p>
          <w:p w14:paraId="050909A1">
            <w:pPr>
              <w:autoSpaceDE w:val="0"/>
              <w:autoSpaceDN w:val="0"/>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评标委员会发现投标人的投标报价低于最高投标限价的65%（含），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16F7D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Align w:val="center"/>
          </w:tcPr>
          <w:p w14:paraId="46AFC13F">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3.6.1</w:t>
            </w:r>
          </w:p>
        </w:tc>
        <w:tc>
          <w:tcPr>
            <w:tcW w:w="825" w:type="pct"/>
            <w:vAlign w:val="center"/>
          </w:tcPr>
          <w:p w14:paraId="5F956387">
            <w:pPr>
              <w:adjustRightInd w:val="0"/>
              <w:snapToGrid w:val="0"/>
              <w:jc w:val="center"/>
              <w:rPr>
                <w:rFonts w:hint="eastAsia" w:ascii="宋体" w:hAnsi="宋体" w:cs="宋体"/>
                <w:snapToGrid w:val="0"/>
                <w:kern w:val="0"/>
                <w:sz w:val="21"/>
                <w:szCs w:val="21"/>
              </w:rPr>
            </w:pPr>
            <w:r>
              <w:rPr>
                <w:rFonts w:hint="eastAsia" w:ascii="宋体" w:hAnsi="宋体" w:cs="宋体"/>
                <w:b/>
                <w:snapToGrid w:val="0"/>
                <w:kern w:val="0"/>
                <w:sz w:val="21"/>
                <w:szCs w:val="21"/>
              </w:rPr>
              <w:t>投标文件相关信息的核查</w:t>
            </w:r>
          </w:p>
        </w:tc>
        <w:tc>
          <w:tcPr>
            <w:tcW w:w="3423" w:type="pct"/>
            <w:vAlign w:val="center"/>
          </w:tcPr>
          <w:p w14:paraId="0118237D">
            <w:pPr>
              <w:pStyle w:val="2"/>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本项修改为：</w:t>
            </w:r>
          </w:p>
          <w:p w14:paraId="1616260A">
            <w:pPr>
              <w:pStyle w:val="2"/>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评标委员会在评标过程中将对投标人的信誉情况进行查询。如投标人存在下列情形之一的，评标委员会应否决其投标。</w:t>
            </w:r>
          </w:p>
          <w:p w14:paraId="6ABE06E0">
            <w:pPr>
              <w:pStyle w:val="2"/>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1）在国家企业信用信息公示系统（https://www.gsxt.gov.cn/）中被列入严重违法失信名单（黑名单）（不含分公司）；</w:t>
            </w:r>
          </w:p>
          <w:p w14:paraId="171AC264">
            <w:pPr>
              <w:pStyle w:val="2"/>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2）在“信用中国”网站（http://www.creditchina.gov.cn/）中被列入经营活动异常名录、重大税收违法失信主体、政府采购严重违法失信行为记录名单和安全生产严重失信主体名单（均不含分公司）；</w:t>
            </w:r>
          </w:p>
          <w:p w14:paraId="78A02D9F">
            <w:pPr>
              <w:pStyle w:val="2"/>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3）在中国执行信息公开网（</w:t>
            </w:r>
            <w:r>
              <w:rPr>
                <w:rFonts w:ascii="宋体" w:hAnsi="宋体" w:cs="宋体"/>
                <w:snapToGrid w:val="0"/>
                <w:kern w:val="0"/>
                <w:sz w:val="21"/>
                <w:szCs w:val="21"/>
              </w:rPr>
              <w:t>https://zxgk.court.gov.cn/</w:t>
            </w:r>
            <w:r>
              <w:rPr>
                <w:rFonts w:hint="eastAsia" w:ascii="宋体" w:hAnsi="宋体" w:cs="宋体"/>
                <w:snapToGrid w:val="0"/>
                <w:kern w:val="0"/>
                <w:sz w:val="21"/>
                <w:szCs w:val="21"/>
              </w:rPr>
              <w:t>）中被列入失信被执行人（不含分公司）。</w:t>
            </w:r>
          </w:p>
          <w:p w14:paraId="34032EEA">
            <w:pPr>
              <w:pStyle w:val="2"/>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注：以上查询结果以评标当日查询结果为准。</w:t>
            </w:r>
          </w:p>
          <w:p w14:paraId="792B8E1D">
            <w:pPr>
              <w:pStyle w:val="2"/>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投标人应当及时核查并更新政府网站公开的相关信息，并承担由于信息填报不完整或者不准确等原因导致投标可能被否决的后果。相关信息由投标人填报的，其真实性由投标人负责，经查证与事实不符的，视为投标过程中的弄虚作假行为，按相关规定处理。</w:t>
            </w:r>
          </w:p>
        </w:tc>
      </w:tr>
      <w:tr w14:paraId="10084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Align w:val="center"/>
          </w:tcPr>
          <w:p w14:paraId="3CF9A396">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3.6.3</w:t>
            </w:r>
          </w:p>
        </w:tc>
        <w:tc>
          <w:tcPr>
            <w:tcW w:w="825" w:type="pct"/>
            <w:vAlign w:val="center"/>
          </w:tcPr>
          <w:p w14:paraId="50059525">
            <w:pPr>
              <w:adjustRightInd w:val="0"/>
              <w:snapToGrid w:val="0"/>
              <w:jc w:val="center"/>
              <w:rPr>
                <w:rFonts w:hint="eastAsia" w:ascii="宋体" w:hAnsi="宋体" w:cs="宋体"/>
                <w:b/>
                <w:snapToGrid w:val="0"/>
                <w:kern w:val="0"/>
                <w:sz w:val="21"/>
                <w:szCs w:val="21"/>
              </w:rPr>
            </w:pPr>
            <w:r>
              <w:rPr>
                <w:rFonts w:hint="eastAsia" w:ascii="宋体" w:hAnsi="宋体" w:cs="宋体"/>
                <w:snapToGrid w:val="0"/>
                <w:kern w:val="0"/>
                <w:sz w:val="21"/>
                <w:szCs w:val="21"/>
              </w:rPr>
              <w:t>投标人异常投标情形的核查</w:t>
            </w:r>
          </w:p>
        </w:tc>
        <w:tc>
          <w:tcPr>
            <w:tcW w:w="3423" w:type="pct"/>
            <w:vAlign w:val="center"/>
          </w:tcPr>
          <w:p w14:paraId="01379C9D">
            <w:pPr>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补充本项：</w:t>
            </w:r>
          </w:p>
          <w:p w14:paraId="4D7FE34A">
            <w:pPr>
              <w:autoSpaceDE w:val="0"/>
              <w:autoSpaceDN w:val="0"/>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评标委员会在评标过程中发现存在投标文件异常一致或投标活动异常关联等异常投标情形的，应当要求该投标人在规定时间内作出书面说明并提供相应的证明材料。投标人不能合理说明或者不能提供相应证明材料的，评标委员会应当认定该投标人存在串通投标情形，并否决其投标。</w:t>
            </w:r>
          </w:p>
          <w:p w14:paraId="3E3F66D3">
            <w:pPr>
              <w:autoSpaceDE w:val="0"/>
              <w:autoSpaceDN w:val="0"/>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有下列情形之一的，属于投标文件异常一致或投标活动异常关联等异常投标情形：</w:t>
            </w:r>
          </w:p>
          <w:p w14:paraId="215882E6">
            <w:pPr>
              <w:autoSpaceDE w:val="0"/>
              <w:autoSpaceDN w:val="0"/>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（1）投标人投标文件制作机器码雷同；</w:t>
            </w:r>
          </w:p>
          <w:p w14:paraId="5BA267A7">
            <w:pPr>
              <w:autoSpaceDE w:val="0"/>
              <w:autoSpaceDN w:val="0"/>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（2）投标文件创建标识码雷同；</w:t>
            </w:r>
          </w:p>
          <w:p w14:paraId="006F510E">
            <w:pPr>
              <w:autoSpaceDE w:val="0"/>
              <w:autoSpaceDN w:val="0"/>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（3）投标文件制作计算机MAC地址雷同；</w:t>
            </w:r>
          </w:p>
          <w:p w14:paraId="49854254">
            <w:pPr>
              <w:autoSpaceDE w:val="0"/>
              <w:autoSpaceDN w:val="0"/>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（4）投标文件制作计算机硬盘序列号雷同；</w:t>
            </w:r>
          </w:p>
          <w:p w14:paraId="184E6BDB">
            <w:pPr>
              <w:autoSpaceDE w:val="0"/>
              <w:autoSpaceDN w:val="0"/>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（5）投标文件上传IP地址雷同；</w:t>
            </w:r>
          </w:p>
          <w:p w14:paraId="138C7F9C">
            <w:pPr>
              <w:autoSpaceDE w:val="0"/>
              <w:autoSpaceDN w:val="0"/>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（6）投标文件解密IP地址雷同。</w:t>
            </w:r>
          </w:p>
        </w:tc>
      </w:tr>
      <w:tr w14:paraId="38516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pct"/>
            <w:vAlign w:val="center"/>
          </w:tcPr>
          <w:p w14:paraId="29D8F4B5">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3.9.1</w:t>
            </w:r>
          </w:p>
        </w:tc>
        <w:tc>
          <w:tcPr>
            <w:tcW w:w="825" w:type="pct"/>
            <w:vAlign w:val="center"/>
          </w:tcPr>
          <w:p w14:paraId="03308266">
            <w:pPr>
              <w:adjustRightInd w:val="0"/>
              <w:snapToGrid w:val="0"/>
              <w:jc w:val="center"/>
              <w:rPr>
                <w:rFonts w:hint="eastAsia" w:ascii="宋体" w:hAnsi="宋体" w:cs="宋体"/>
                <w:snapToGrid w:val="0"/>
                <w:kern w:val="0"/>
                <w:sz w:val="21"/>
                <w:szCs w:val="21"/>
              </w:rPr>
            </w:pPr>
            <w:r>
              <w:rPr>
                <w:rFonts w:hint="eastAsia" w:ascii="宋体" w:hAnsi="宋体" w:cs="宋体"/>
                <w:snapToGrid w:val="0"/>
                <w:kern w:val="0"/>
                <w:sz w:val="21"/>
                <w:szCs w:val="21"/>
              </w:rPr>
              <w:t>评标</w:t>
            </w:r>
          </w:p>
          <w:p w14:paraId="770730D5">
            <w:pPr>
              <w:adjustRightInd w:val="0"/>
              <w:snapToGrid w:val="0"/>
              <w:jc w:val="center"/>
              <w:rPr>
                <w:rFonts w:hint="eastAsia" w:ascii="宋体" w:hAnsi="宋体" w:cs="宋体"/>
                <w:b/>
                <w:snapToGrid w:val="0"/>
                <w:kern w:val="0"/>
                <w:sz w:val="21"/>
                <w:szCs w:val="21"/>
              </w:rPr>
            </w:pPr>
            <w:r>
              <w:rPr>
                <w:rFonts w:hint="eastAsia" w:ascii="宋体" w:hAnsi="宋体" w:cs="宋体"/>
                <w:snapToGrid w:val="0"/>
                <w:kern w:val="0"/>
                <w:sz w:val="21"/>
                <w:szCs w:val="21"/>
              </w:rPr>
              <w:t>结果</w:t>
            </w:r>
          </w:p>
        </w:tc>
        <w:tc>
          <w:tcPr>
            <w:tcW w:w="3423" w:type="pct"/>
            <w:vAlign w:val="center"/>
          </w:tcPr>
          <w:p w14:paraId="69E95AE8">
            <w:pPr>
              <w:adjustRightInd w:val="0"/>
              <w:snapToGrid w:val="0"/>
              <w:rPr>
                <w:rFonts w:hint="eastAsia" w:ascii="宋体" w:hAnsi="宋体" w:cs="宋体"/>
                <w:snapToGrid w:val="0"/>
                <w:kern w:val="0"/>
                <w:sz w:val="21"/>
                <w:szCs w:val="21"/>
              </w:rPr>
            </w:pPr>
            <w:r>
              <w:rPr>
                <w:rFonts w:hint="eastAsia" w:ascii="宋体" w:hAnsi="宋体" w:cs="宋体"/>
                <w:snapToGrid w:val="0"/>
                <w:kern w:val="0"/>
                <w:sz w:val="21"/>
                <w:szCs w:val="21"/>
              </w:rPr>
              <w:t>评标委员会按照评标办法前附表“1.评标办法”的规定推荐中标候选人。</w:t>
            </w:r>
          </w:p>
        </w:tc>
      </w:tr>
      <w:tr w14:paraId="3E200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3"/>
            <w:vAlign w:val="center"/>
          </w:tcPr>
          <w:p w14:paraId="26D11504">
            <w:pPr>
              <w:adjustRightInd w:val="0"/>
              <w:snapToGrid w:val="0"/>
              <w:rPr>
                <w:rFonts w:hint="eastAsia" w:ascii="宋体" w:hAnsi="宋体" w:cs="宋体"/>
                <w:bCs/>
                <w:snapToGrid w:val="0"/>
                <w:kern w:val="0"/>
                <w:sz w:val="21"/>
                <w:szCs w:val="21"/>
              </w:rPr>
            </w:pPr>
            <w:r>
              <w:rPr>
                <w:rFonts w:hint="eastAsia" w:ascii="宋体" w:hAnsi="宋体" w:cs="宋体"/>
                <w:snapToGrid w:val="0"/>
                <w:kern w:val="0"/>
                <w:sz w:val="21"/>
                <w:szCs w:val="21"/>
              </w:rPr>
              <w:t>需补充的其他内容：无</w:t>
            </w:r>
          </w:p>
        </w:tc>
      </w:tr>
    </w:tbl>
    <w:p w14:paraId="6CF9F279">
      <w:pPr>
        <w:rPr>
          <w:rFonts w:cs="宋体"/>
          <w:b/>
          <w:bCs/>
          <w:snapToGrid w:val="0"/>
          <w:kern w:val="0"/>
        </w:rPr>
      </w:pPr>
      <w:r>
        <w:rPr>
          <w:rFonts w:hint="eastAsia" w:cs="宋体"/>
          <w:b/>
          <w:bCs/>
          <w:snapToGrid w:val="0"/>
          <w:kern w:val="0"/>
        </w:rPr>
        <w:br w:type="page"/>
      </w:r>
    </w:p>
    <w:p w14:paraId="4BD7ED70">
      <w:pPr>
        <w:pStyle w:val="19"/>
        <w:ind w:left="0" w:leftChars="0" w:firstLine="0" w:firstLineChars="0"/>
        <w:jc w:val="left"/>
        <w:rPr>
          <w:rFonts w:hint="eastAsia" w:cs="宋体"/>
          <w:snapToGrid w:val="0"/>
          <w:kern w:val="0"/>
          <w:sz w:val="24"/>
        </w:rPr>
      </w:pPr>
      <w:r>
        <w:rPr>
          <w:rFonts w:hint="eastAsia" w:cs="宋体"/>
          <w:b/>
          <w:bCs/>
          <w:snapToGrid w:val="0"/>
          <w:kern w:val="0"/>
          <w:sz w:val="24"/>
        </w:rPr>
        <w:t>附表</w:t>
      </w:r>
    </w:p>
    <w:tbl>
      <w:tblPr>
        <w:tblStyle w:val="20"/>
        <w:tblW w:w="10205" w:type="dxa"/>
        <w:jc w:val="center"/>
        <w:tblLayout w:type="fixed"/>
        <w:tblCellMar>
          <w:top w:w="0" w:type="dxa"/>
          <w:left w:w="108" w:type="dxa"/>
          <w:bottom w:w="0" w:type="dxa"/>
          <w:right w:w="108" w:type="dxa"/>
        </w:tblCellMar>
      </w:tblPr>
      <w:tblGrid>
        <w:gridCol w:w="846"/>
        <w:gridCol w:w="1762"/>
        <w:gridCol w:w="1469"/>
        <w:gridCol w:w="1174"/>
        <w:gridCol w:w="3699"/>
        <w:gridCol w:w="1255"/>
      </w:tblGrid>
      <w:tr w14:paraId="27E3A174">
        <w:tblPrEx>
          <w:tblCellMar>
            <w:top w:w="0" w:type="dxa"/>
            <w:left w:w="108" w:type="dxa"/>
            <w:bottom w:w="0" w:type="dxa"/>
            <w:right w:w="108" w:type="dxa"/>
          </w:tblCellMar>
        </w:tblPrEx>
        <w:trPr>
          <w:trHeight w:val="283" w:hRule="atLeast"/>
          <w:jc w:val="center"/>
        </w:trPr>
        <w:tc>
          <w:tcPr>
            <w:tcW w:w="846" w:type="dxa"/>
            <w:tcBorders>
              <w:top w:val="single" w:color="auto" w:sz="8" w:space="0"/>
              <w:left w:val="single" w:color="auto" w:sz="8" w:space="0"/>
              <w:bottom w:val="single" w:color="000000" w:sz="2" w:space="0"/>
              <w:right w:val="single" w:color="auto" w:sz="4" w:space="0"/>
            </w:tcBorders>
            <w:vAlign w:val="center"/>
          </w:tcPr>
          <w:p w14:paraId="35BCC7AA">
            <w:pPr>
              <w:jc w:val="center"/>
              <w:rPr>
                <w:b/>
                <w:bCs/>
                <w:snapToGrid w:val="0"/>
                <w:kern w:val="0"/>
                <w:sz w:val="21"/>
                <w:szCs w:val="21"/>
              </w:rPr>
            </w:pPr>
            <w:r>
              <w:rPr>
                <w:rFonts w:hint="eastAsia"/>
                <w:b/>
                <w:bCs/>
                <w:snapToGrid w:val="0"/>
                <w:kern w:val="0"/>
                <w:sz w:val="21"/>
                <w:szCs w:val="21"/>
              </w:rPr>
              <w:t>条款号</w:t>
            </w:r>
          </w:p>
        </w:tc>
        <w:tc>
          <w:tcPr>
            <w:tcW w:w="1762" w:type="dxa"/>
            <w:tcBorders>
              <w:top w:val="single" w:color="auto" w:sz="8" w:space="0"/>
              <w:left w:val="single" w:color="auto" w:sz="4" w:space="0"/>
              <w:bottom w:val="single" w:color="000000" w:sz="2" w:space="0"/>
              <w:right w:val="single" w:color="auto" w:sz="4" w:space="0"/>
            </w:tcBorders>
            <w:vAlign w:val="center"/>
          </w:tcPr>
          <w:p w14:paraId="2644A6C4">
            <w:pPr>
              <w:jc w:val="center"/>
              <w:rPr>
                <w:b/>
                <w:bCs/>
                <w:snapToGrid w:val="0"/>
                <w:kern w:val="0"/>
                <w:sz w:val="21"/>
                <w:szCs w:val="21"/>
              </w:rPr>
            </w:pPr>
            <w:r>
              <w:rPr>
                <w:rFonts w:hint="eastAsia"/>
                <w:b/>
                <w:bCs/>
                <w:snapToGrid w:val="0"/>
                <w:kern w:val="0"/>
                <w:sz w:val="21"/>
                <w:szCs w:val="21"/>
              </w:rPr>
              <w:t>评分因素及其权重分值</w:t>
            </w:r>
          </w:p>
        </w:tc>
        <w:tc>
          <w:tcPr>
            <w:tcW w:w="1469" w:type="dxa"/>
            <w:tcBorders>
              <w:top w:val="single" w:color="auto" w:sz="8" w:space="0"/>
              <w:left w:val="single" w:color="auto" w:sz="4" w:space="0"/>
              <w:bottom w:val="single" w:color="auto" w:sz="4" w:space="0"/>
              <w:right w:val="single" w:color="auto" w:sz="4" w:space="0"/>
            </w:tcBorders>
            <w:vAlign w:val="center"/>
          </w:tcPr>
          <w:p w14:paraId="32BE7729">
            <w:pPr>
              <w:jc w:val="center"/>
              <w:rPr>
                <w:b/>
                <w:bCs/>
                <w:snapToGrid w:val="0"/>
                <w:kern w:val="0"/>
                <w:sz w:val="21"/>
                <w:szCs w:val="21"/>
              </w:rPr>
            </w:pPr>
            <w:r>
              <w:rPr>
                <w:rFonts w:hint="eastAsia"/>
                <w:b/>
                <w:bCs/>
                <w:snapToGrid w:val="0"/>
                <w:kern w:val="0"/>
                <w:sz w:val="21"/>
                <w:szCs w:val="21"/>
              </w:rPr>
              <w:t>各评分因素细分项</w:t>
            </w:r>
          </w:p>
        </w:tc>
        <w:tc>
          <w:tcPr>
            <w:tcW w:w="1174" w:type="dxa"/>
            <w:tcBorders>
              <w:top w:val="single" w:color="auto" w:sz="8" w:space="0"/>
              <w:left w:val="single" w:color="auto" w:sz="4" w:space="0"/>
              <w:bottom w:val="single" w:color="auto" w:sz="4" w:space="0"/>
              <w:right w:val="single" w:color="auto" w:sz="4" w:space="0"/>
            </w:tcBorders>
            <w:vAlign w:val="center"/>
          </w:tcPr>
          <w:p w14:paraId="4FEE1E16">
            <w:pPr>
              <w:jc w:val="center"/>
              <w:rPr>
                <w:snapToGrid w:val="0"/>
                <w:kern w:val="0"/>
              </w:rPr>
            </w:pPr>
            <w:r>
              <w:rPr>
                <w:rFonts w:hint="eastAsia"/>
                <w:b/>
                <w:bCs/>
                <w:snapToGrid w:val="0"/>
                <w:kern w:val="0"/>
                <w:sz w:val="21"/>
                <w:szCs w:val="21"/>
              </w:rPr>
              <w:t>评分因素权重分值</w:t>
            </w:r>
          </w:p>
        </w:tc>
        <w:tc>
          <w:tcPr>
            <w:tcW w:w="3699" w:type="dxa"/>
            <w:tcBorders>
              <w:top w:val="single" w:color="auto" w:sz="8" w:space="0"/>
              <w:left w:val="single" w:color="auto" w:sz="4" w:space="0"/>
              <w:bottom w:val="single" w:color="auto" w:sz="4" w:space="0"/>
              <w:right w:val="single" w:color="auto" w:sz="4" w:space="0"/>
            </w:tcBorders>
            <w:vAlign w:val="center"/>
          </w:tcPr>
          <w:p w14:paraId="7D0502B0">
            <w:pPr>
              <w:jc w:val="center"/>
              <w:rPr>
                <w:b/>
                <w:bCs/>
                <w:snapToGrid w:val="0"/>
                <w:kern w:val="0"/>
                <w:sz w:val="21"/>
                <w:szCs w:val="21"/>
              </w:rPr>
            </w:pPr>
            <w:r>
              <w:rPr>
                <w:rFonts w:hint="eastAsia"/>
                <w:b/>
                <w:bCs/>
                <w:snapToGrid w:val="0"/>
                <w:kern w:val="0"/>
                <w:sz w:val="21"/>
                <w:szCs w:val="21"/>
              </w:rPr>
              <w:t>评分标准</w:t>
            </w:r>
          </w:p>
        </w:tc>
        <w:tc>
          <w:tcPr>
            <w:tcW w:w="1255" w:type="dxa"/>
            <w:tcBorders>
              <w:top w:val="single" w:color="auto" w:sz="8" w:space="0"/>
              <w:left w:val="single" w:color="auto" w:sz="4" w:space="0"/>
              <w:bottom w:val="single" w:color="auto" w:sz="4" w:space="0"/>
              <w:right w:val="single" w:color="auto" w:sz="8" w:space="0"/>
            </w:tcBorders>
            <w:vAlign w:val="center"/>
          </w:tcPr>
          <w:p w14:paraId="44450BD4">
            <w:pPr>
              <w:jc w:val="center"/>
              <w:rPr>
                <w:b/>
                <w:bCs/>
                <w:snapToGrid w:val="0"/>
                <w:kern w:val="0"/>
                <w:sz w:val="21"/>
                <w:szCs w:val="21"/>
              </w:rPr>
            </w:pPr>
            <w:r>
              <w:rPr>
                <w:rFonts w:hint="eastAsia"/>
                <w:b/>
                <w:bCs/>
                <w:snapToGrid w:val="0"/>
                <w:kern w:val="0"/>
                <w:sz w:val="21"/>
                <w:szCs w:val="21"/>
              </w:rPr>
              <w:t>分值</w:t>
            </w:r>
          </w:p>
        </w:tc>
      </w:tr>
      <w:tr w14:paraId="5F098BB8">
        <w:tblPrEx>
          <w:tblCellMar>
            <w:top w:w="0" w:type="dxa"/>
            <w:left w:w="108" w:type="dxa"/>
            <w:bottom w:w="0" w:type="dxa"/>
            <w:right w:w="108" w:type="dxa"/>
          </w:tblCellMar>
        </w:tblPrEx>
        <w:trPr>
          <w:trHeight w:val="283" w:hRule="atLeast"/>
          <w:jc w:val="center"/>
        </w:trPr>
        <w:tc>
          <w:tcPr>
            <w:tcW w:w="846" w:type="dxa"/>
            <w:vMerge w:val="restart"/>
            <w:tcBorders>
              <w:top w:val="single" w:color="000000" w:sz="2" w:space="0"/>
              <w:left w:val="single" w:color="000000" w:sz="2" w:space="0"/>
              <w:bottom w:val="single" w:color="000000" w:sz="2" w:space="0"/>
              <w:right w:val="single" w:color="000000" w:sz="2" w:space="0"/>
            </w:tcBorders>
            <w:vAlign w:val="center"/>
          </w:tcPr>
          <w:p w14:paraId="62B5A605">
            <w:pPr>
              <w:jc w:val="center"/>
              <w:rPr>
                <w:snapToGrid w:val="0"/>
                <w:kern w:val="0"/>
                <w:sz w:val="21"/>
                <w:szCs w:val="21"/>
              </w:rPr>
            </w:pPr>
            <w:r>
              <w:rPr>
                <w:rFonts w:hint="eastAsia"/>
                <w:snapToGrid w:val="0"/>
                <w:kern w:val="0"/>
                <w:sz w:val="21"/>
                <w:szCs w:val="21"/>
              </w:rPr>
              <w:t>2.2.2（1）</w:t>
            </w:r>
          </w:p>
        </w:tc>
        <w:tc>
          <w:tcPr>
            <w:tcW w:w="1762" w:type="dxa"/>
            <w:vMerge w:val="restart"/>
            <w:tcBorders>
              <w:top w:val="single" w:color="000000" w:sz="2" w:space="0"/>
              <w:left w:val="single" w:color="000000" w:sz="2" w:space="0"/>
              <w:bottom w:val="single" w:color="000000" w:sz="2" w:space="0"/>
              <w:right w:val="single" w:color="000000" w:sz="2" w:space="0"/>
            </w:tcBorders>
            <w:vAlign w:val="center"/>
          </w:tcPr>
          <w:p w14:paraId="6DAF0793">
            <w:pPr>
              <w:jc w:val="center"/>
              <w:rPr>
                <w:snapToGrid w:val="0"/>
                <w:kern w:val="0"/>
                <w:sz w:val="21"/>
                <w:szCs w:val="21"/>
              </w:rPr>
            </w:pPr>
            <w:r>
              <w:rPr>
                <w:snapToGrid w:val="0"/>
                <w:kern w:val="0"/>
                <w:sz w:val="21"/>
                <w:szCs w:val="21"/>
              </w:rPr>
              <w:t>施工组织设计</w:t>
            </w:r>
            <w:r>
              <w:rPr>
                <w:rFonts w:hint="eastAsia"/>
                <w:snapToGrid w:val="0"/>
                <w:kern w:val="0"/>
                <w:sz w:val="21"/>
                <w:szCs w:val="21"/>
              </w:rPr>
              <w:t>（暗标）（40分）</w:t>
            </w:r>
          </w:p>
        </w:tc>
        <w:tc>
          <w:tcPr>
            <w:tcW w:w="1469" w:type="dxa"/>
            <w:vMerge w:val="restart"/>
            <w:tcBorders>
              <w:top w:val="single" w:color="auto" w:sz="4" w:space="0"/>
              <w:left w:val="single" w:color="000000" w:sz="2" w:space="0"/>
              <w:right w:val="single" w:color="auto" w:sz="4" w:space="0"/>
            </w:tcBorders>
            <w:vAlign w:val="center"/>
          </w:tcPr>
          <w:p w14:paraId="6EC2729C">
            <w:pPr>
              <w:jc w:val="center"/>
              <w:rPr>
                <w:snapToGrid w:val="0"/>
                <w:kern w:val="0"/>
                <w:sz w:val="21"/>
                <w:szCs w:val="21"/>
              </w:rPr>
            </w:pPr>
            <w:r>
              <w:rPr>
                <w:rFonts w:hint="eastAsia"/>
                <w:snapToGrid w:val="0"/>
                <w:kern w:val="0"/>
                <w:sz w:val="21"/>
                <w:szCs w:val="21"/>
              </w:rPr>
              <w:t>总体施工组织布置及规划</w:t>
            </w:r>
          </w:p>
        </w:tc>
        <w:tc>
          <w:tcPr>
            <w:tcW w:w="1174" w:type="dxa"/>
            <w:vMerge w:val="restart"/>
            <w:tcBorders>
              <w:top w:val="single" w:color="auto" w:sz="4" w:space="0"/>
              <w:left w:val="single" w:color="auto" w:sz="4" w:space="0"/>
              <w:right w:val="single" w:color="auto" w:sz="4" w:space="0"/>
            </w:tcBorders>
            <w:vAlign w:val="center"/>
          </w:tcPr>
          <w:p w14:paraId="34B3AD34">
            <w:pPr>
              <w:jc w:val="center"/>
              <w:rPr>
                <w:snapToGrid w:val="0"/>
                <w:kern w:val="0"/>
                <w:sz w:val="21"/>
                <w:szCs w:val="21"/>
              </w:rPr>
            </w:pPr>
            <w:r>
              <w:rPr>
                <w:rFonts w:hint="eastAsia"/>
                <w:snapToGrid w:val="0"/>
                <w:kern w:val="0"/>
                <w:sz w:val="21"/>
                <w:szCs w:val="21"/>
              </w:rPr>
              <w:t>5分</w:t>
            </w:r>
          </w:p>
        </w:tc>
        <w:tc>
          <w:tcPr>
            <w:tcW w:w="3699" w:type="dxa"/>
            <w:tcBorders>
              <w:top w:val="single" w:color="auto" w:sz="4" w:space="0"/>
              <w:left w:val="single" w:color="auto" w:sz="4" w:space="0"/>
              <w:bottom w:val="single" w:color="auto" w:sz="4" w:space="0"/>
              <w:right w:val="single" w:color="auto" w:sz="4" w:space="0"/>
            </w:tcBorders>
            <w:vAlign w:val="center"/>
          </w:tcPr>
          <w:p w14:paraId="6C087855">
            <w:pPr>
              <w:rPr>
                <w:snapToGrid w:val="0"/>
                <w:kern w:val="0"/>
                <w:sz w:val="21"/>
                <w:szCs w:val="21"/>
              </w:rPr>
            </w:pPr>
            <w:r>
              <w:rPr>
                <w:snapToGrid w:val="0"/>
                <w:kern w:val="0"/>
                <w:sz w:val="21"/>
                <w:szCs w:val="21"/>
              </w:rPr>
              <w:t xml:space="preserve">内容完整，编制水平高  </w:t>
            </w:r>
          </w:p>
        </w:tc>
        <w:tc>
          <w:tcPr>
            <w:tcW w:w="1255" w:type="dxa"/>
            <w:tcBorders>
              <w:top w:val="single" w:color="auto" w:sz="8" w:space="0"/>
              <w:left w:val="single" w:color="auto" w:sz="4" w:space="0"/>
              <w:bottom w:val="single" w:color="auto" w:sz="4" w:space="0"/>
              <w:right w:val="single" w:color="auto" w:sz="8" w:space="0"/>
            </w:tcBorders>
            <w:vAlign w:val="center"/>
          </w:tcPr>
          <w:p w14:paraId="1BFD49EB">
            <w:pPr>
              <w:jc w:val="center"/>
              <w:rPr>
                <w:snapToGrid w:val="0"/>
                <w:kern w:val="0"/>
                <w:sz w:val="21"/>
                <w:szCs w:val="21"/>
              </w:rPr>
            </w:pPr>
            <w:r>
              <w:rPr>
                <w:rFonts w:hint="eastAsia"/>
                <w:snapToGrid w:val="0"/>
                <w:kern w:val="0"/>
                <w:sz w:val="21"/>
                <w:szCs w:val="21"/>
              </w:rPr>
              <w:t>4.0-5.0</w:t>
            </w:r>
          </w:p>
        </w:tc>
      </w:tr>
      <w:tr w14:paraId="4F81989A">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0C41F966">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5A097294">
            <w:pPr>
              <w:jc w:val="center"/>
              <w:rPr>
                <w:snapToGrid w:val="0"/>
                <w:kern w:val="0"/>
                <w:sz w:val="21"/>
                <w:szCs w:val="21"/>
              </w:rPr>
            </w:pPr>
          </w:p>
        </w:tc>
        <w:tc>
          <w:tcPr>
            <w:tcW w:w="1469" w:type="dxa"/>
            <w:vMerge w:val="continue"/>
            <w:tcBorders>
              <w:left w:val="single" w:color="000000" w:sz="2" w:space="0"/>
              <w:right w:val="single" w:color="auto" w:sz="4" w:space="0"/>
            </w:tcBorders>
            <w:vAlign w:val="center"/>
          </w:tcPr>
          <w:p w14:paraId="377D7E45">
            <w:pPr>
              <w:jc w:val="center"/>
              <w:rPr>
                <w:snapToGrid w:val="0"/>
                <w:kern w:val="0"/>
                <w:sz w:val="21"/>
                <w:szCs w:val="21"/>
              </w:rPr>
            </w:pPr>
          </w:p>
        </w:tc>
        <w:tc>
          <w:tcPr>
            <w:tcW w:w="1174" w:type="dxa"/>
            <w:vMerge w:val="continue"/>
            <w:tcBorders>
              <w:left w:val="single" w:color="auto" w:sz="4" w:space="0"/>
              <w:right w:val="single" w:color="auto" w:sz="4" w:space="0"/>
            </w:tcBorders>
            <w:vAlign w:val="center"/>
          </w:tcPr>
          <w:p w14:paraId="6461E31F">
            <w:pPr>
              <w:rPr>
                <w:snapToGrid w:val="0"/>
                <w:kern w:val="0"/>
                <w:sz w:val="21"/>
                <w:szCs w:val="21"/>
              </w:rPr>
            </w:pPr>
          </w:p>
        </w:tc>
        <w:tc>
          <w:tcPr>
            <w:tcW w:w="3699" w:type="dxa"/>
            <w:tcBorders>
              <w:top w:val="single" w:color="auto" w:sz="4" w:space="0"/>
              <w:left w:val="single" w:color="auto" w:sz="4" w:space="0"/>
              <w:bottom w:val="single" w:color="auto" w:sz="4" w:space="0"/>
              <w:right w:val="single" w:color="auto" w:sz="4" w:space="0"/>
            </w:tcBorders>
            <w:vAlign w:val="center"/>
          </w:tcPr>
          <w:p w14:paraId="1A531619">
            <w:pPr>
              <w:rPr>
                <w:snapToGrid w:val="0"/>
                <w:kern w:val="0"/>
                <w:sz w:val="21"/>
                <w:szCs w:val="21"/>
              </w:rPr>
            </w:pPr>
            <w:r>
              <w:rPr>
                <w:snapToGrid w:val="0"/>
                <w:kern w:val="0"/>
                <w:sz w:val="21"/>
                <w:szCs w:val="21"/>
              </w:rPr>
              <w:t>内容较完整，编制水平较高</w:t>
            </w:r>
          </w:p>
        </w:tc>
        <w:tc>
          <w:tcPr>
            <w:tcW w:w="1255" w:type="dxa"/>
            <w:tcBorders>
              <w:top w:val="single" w:color="auto" w:sz="4" w:space="0"/>
              <w:left w:val="single" w:color="auto" w:sz="4" w:space="0"/>
              <w:bottom w:val="single" w:color="auto" w:sz="4" w:space="0"/>
              <w:right w:val="single" w:color="auto" w:sz="8" w:space="0"/>
            </w:tcBorders>
            <w:vAlign w:val="center"/>
          </w:tcPr>
          <w:p w14:paraId="00837DE6">
            <w:pPr>
              <w:jc w:val="center"/>
              <w:rPr>
                <w:snapToGrid w:val="0"/>
                <w:kern w:val="0"/>
                <w:sz w:val="21"/>
                <w:szCs w:val="21"/>
              </w:rPr>
            </w:pPr>
            <w:r>
              <w:rPr>
                <w:rFonts w:hint="eastAsia"/>
                <w:snapToGrid w:val="0"/>
                <w:kern w:val="0"/>
                <w:sz w:val="21"/>
                <w:szCs w:val="21"/>
              </w:rPr>
              <w:t>3.0-4.0</w:t>
            </w:r>
          </w:p>
        </w:tc>
      </w:tr>
      <w:tr w14:paraId="5019FB22">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39C820B1">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4D9AF5F3">
            <w:pPr>
              <w:jc w:val="center"/>
              <w:rPr>
                <w:snapToGrid w:val="0"/>
                <w:kern w:val="0"/>
                <w:sz w:val="21"/>
                <w:szCs w:val="21"/>
              </w:rPr>
            </w:pPr>
          </w:p>
        </w:tc>
        <w:tc>
          <w:tcPr>
            <w:tcW w:w="1469" w:type="dxa"/>
            <w:vMerge w:val="continue"/>
            <w:tcBorders>
              <w:left w:val="single" w:color="000000" w:sz="2" w:space="0"/>
              <w:right w:val="single" w:color="auto" w:sz="4" w:space="0"/>
            </w:tcBorders>
            <w:vAlign w:val="center"/>
          </w:tcPr>
          <w:p w14:paraId="4CDA4856">
            <w:pPr>
              <w:jc w:val="center"/>
              <w:rPr>
                <w:snapToGrid w:val="0"/>
                <w:kern w:val="0"/>
                <w:sz w:val="21"/>
                <w:szCs w:val="21"/>
              </w:rPr>
            </w:pPr>
          </w:p>
        </w:tc>
        <w:tc>
          <w:tcPr>
            <w:tcW w:w="1174" w:type="dxa"/>
            <w:vMerge w:val="continue"/>
            <w:tcBorders>
              <w:left w:val="single" w:color="auto" w:sz="4" w:space="0"/>
              <w:right w:val="single" w:color="auto" w:sz="4" w:space="0"/>
            </w:tcBorders>
            <w:vAlign w:val="center"/>
          </w:tcPr>
          <w:p w14:paraId="6D15FC02">
            <w:pPr>
              <w:rPr>
                <w:snapToGrid w:val="0"/>
                <w:kern w:val="0"/>
                <w:sz w:val="21"/>
                <w:szCs w:val="21"/>
              </w:rPr>
            </w:pPr>
          </w:p>
        </w:tc>
        <w:tc>
          <w:tcPr>
            <w:tcW w:w="3699" w:type="dxa"/>
            <w:tcBorders>
              <w:top w:val="single" w:color="auto" w:sz="4" w:space="0"/>
              <w:left w:val="single" w:color="auto" w:sz="4" w:space="0"/>
              <w:bottom w:val="single" w:color="auto" w:sz="4" w:space="0"/>
              <w:right w:val="single" w:color="auto" w:sz="4" w:space="0"/>
            </w:tcBorders>
            <w:vAlign w:val="center"/>
          </w:tcPr>
          <w:p w14:paraId="7F71C0B9">
            <w:pPr>
              <w:rPr>
                <w:snapToGrid w:val="0"/>
                <w:kern w:val="0"/>
                <w:sz w:val="21"/>
                <w:szCs w:val="21"/>
              </w:rPr>
            </w:pPr>
            <w:r>
              <w:rPr>
                <w:snapToGrid w:val="0"/>
                <w:kern w:val="0"/>
                <w:sz w:val="21"/>
                <w:szCs w:val="21"/>
              </w:rPr>
              <w:t>内容基本完整，编制水平一般</w:t>
            </w:r>
          </w:p>
        </w:tc>
        <w:tc>
          <w:tcPr>
            <w:tcW w:w="1255" w:type="dxa"/>
            <w:tcBorders>
              <w:top w:val="single" w:color="auto" w:sz="4" w:space="0"/>
              <w:left w:val="single" w:color="auto" w:sz="4" w:space="0"/>
              <w:bottom w:val="single" w:color="auto" w:sz="4" w:space="0"/>
              <w:right w:val="single" w:color="auto" w:sz="8" w:space="0"/>
            </w:tcBorders>
            <w:vAlign w:val="center"/>
          </w:tcPr>
          <w:p w14:paraId="49FB7DE8">
            <w:pPr>
              <w:jc w:val="center"/>
              <w:rPr>
                <w:snapToGrid w:val="0"/>
                <w:kern w:val="0"/>
                <w:sz w:val="21"/>
                <w:szCs w:val="21"/>
              </w:rPr>
            </w:pPr>
            <w:r>
              <w:rPr>
                <w:rFonts w:hint="eastAsia"/>
                <w:snapToGrid w:val="0"/>
                <w:kern w:val="0"/>
                <w:sz w:val="21"/>
                <w:szCs w:val="21"/>
              </w:rPr>
              <w:t>3.0</w:t>
            </w:r>
          </w:p>
        </w:tc>
      </w:tr>
      <w:tr w14:paraId="7F3FAA24">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0FC416A1">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70A4D8B4">
            <w:pPr>
              <w:jc w:val="center"/>
              <w:rPr>
                <w:snapToGrid w:val="0"/>
                <w:kern w:val="0"/>
                <w:sz w:val="21"/>
                <w:szCs w:val="21"/>
              </w:rPr>
            </w:pPr>
          </w:p>
        </w:tc>
        <w:tc>
          <w:tcPr>
            <w:tcW w:w="1469" w:type="dxa"/>
            <w:vMerge w:val="restart"/>
            <w:tcBorders>
              <w:top w:val="single" w:color="auto" w:sz="4" w:space="0"/>
              <w:left w:val="single" w:color="000000" w:sz="2" w:space="0"/>
              <w:right w:val="single" w:color="auto" w:sz="4" w:space="0"/>
            </w:tcBorders>
            <w:vAlign w:val="center"/>
          </w:tcPr>
          <w:p w14:paraId="7F1A76C2">
            <w:pPr>
              <w:jc w:val="center"/>
              <w:rPr>
                <w:snapToGrid w:val="0"/>
                <w:kern w:val="0"/>
                <w:sz w:val="21"/>
                <w:szCs w:val="21"/>
              </w:rPr>
            </w:pPr>
            <w:r>
              <w:rPr>
                <w:snapToGrid w:val="0"/>
                <w:kern w:val="0"/>
                <w:sz w:val="21"/>
                <w:szCs w:val="21"/>
              </w:rPr>
              <w:t>施工方案</w:t>
            </w:r>
            <w:r>
              <w:rPr>
                <w:rFonts w:hint="eastAsia"/>
                <w:snapToGrid w:val="0"/>
                <w:kern w:val="0"/>
                <w:sz w:val="21"/>
                <w:szCs w:val="21"/>
              </w:rPr>
              <w:t>、方法</w:t>
            </w:r>
            <w:r>
              <w:rPr>
                <w:snapToGrid w:val="0"/>
                <w:kern w:val="0"/>
                <w:sz w:val="21"/>
                <w:szCs w:val="21"/>
              </w:rPr>
              <w:t>与技术措施</w:t>
            </w:r>
          </w:p>
        </w:tc>
        <w:tc>
          <w:tcPr>
            <w:tcW w:w="1174" w:type="dxa"/>
            <w:vMerge w:val="restart"/>
            <w:tcBorders>
              <w:top w:val="single" w:color="auto" w:sz="4" w:space="0"/>
              <w:left w:val="single" w:color="auto" w:sz="4" w:space="0"/>
              <w:right w:val="single" w:color="auto" w:sz="4" w:space="0"/>
            </w:tcBorders>
            <w:vAlign w:val="center"/>
          </w:tcPr>
          <w:p w14:paraId="354AFCF8">
            <w:pPr>
              <w:jc w:val="center"/>
              <w:rPr>
                <w:snapToGrid w:val="0"/>
                <w:kern w:val="0"/>
                <w:sz w:val="21"/>
                <w:szCs w:val="21"/>
              </w:rPr>
            </w:pPr>
            <w:r>
              <w:rPr>
                <w:rFonts w:hint="eastAsia"/>
                <w:snapToGrid w:val="0"/>
                <w:kern w:val="0"/>
                <w:sz w:val="21"/>
                <w:szCs w:val="21"/>
              </w:rPr>
              <w:t>8分</w:t>
            </w:r>
          </w:p>
        </w:tc>
        <w:tc>
          <w:tcPr>
            <w:tcW w:w="3699" w:type="dxa"/>
            <w:tcBorders>
              <w:top w:val="single" w:color="auto" w:sz="4" w:space="0"/>
              <w:left w:val="single" w:color="auto" w:sz="4" w:space="0"/>
              <w:bottom w:val="single" w:color="auto" w:sz="4" w:space="0"/>
              <w:right w:val="single" w:color="auto" w:sz="4" w:space="0"/>
            </w:tcBorders>
            <w:vAlign w:val="center"/>
          </w:tcPr>
          <w:p w14:paraId="18D77FC0">
            <w:pPr>
              <w:rPr>
                <w:snapToGrid w:val="0"/>
                <w:kern w:val="0"/>
                <w:sz w:val="21"/>
                <w:szCs w:val="21"/>
              </w:rPr>
            </w:pPr>
            <w:r>
              <w:rPr>
                <w:snapToGrid w:val="0"/>
                <w:kern w:val="0"/>
                <w:sz w:val="21"/>
                <w:szCs w:val="21"/>
              </w:rPr>
              <w:t>科学合理</w:t>
            </w:r>
            <w:r>
              <w:rPr>
                <w:rFonts w:hint="eastAsia"/>
                <w:snapToGrid w:val="0"/>
                <w:kern w:val="0"/>
                <w:sz w:val="21"/>
                <w:szCs w:val="21"/>
              </w:rPr>
              <w:t>，适用性及合理性高</w:t>
            </w:r>
          </w:p>
        </w:tc>
        <w:tc>
          <w:tcPr>
            <w:tcW w:w="1255" w:type="dxa"/>
            <w:tcBorders>
              <w:top w:val="single" w:color="auto" w:sz="4" w:space="0"/>
              <w:left w:val="single" w:color="auto" w:sz="4" w:space="0"/>
              <w:bottom w:val="single" w:color="auto" w:sz="4" w:space="0"/>
              <w:right w:val="single" w:color="auto" w:sz="8" w:space="0"/>
            </w:tcBorders>
            <w:vAlign w:val="center"/>
          </w:tcPr>
          <w:p w14:paraId="1E4CB16F">
            <w:pPr>
              <w:jc w:val="center"/>
              <w:rPr>
                <w:snapToGrid w:val="0"/>
                <w:kern w:val="0"/>
                <w:sz w:val="21"/>
                <w:szCs w:val="21"/>
              </w:rPr>
            </w:pPr>
            <w:r>
              <w:rPr>
                <w:rFonts w:hint="eastAsia"/>
                <w:snapToGrid w:val="0"/>
                <w:kern w:val="0"/>
                <w:sz w:val="21"/>
                <w:szCs w:val="21"/>
              </w:rPr>
              <w:t>6.4-8.0</w:t>
            </w:r>
          </w:p>
        </w:tc>
      </w:tr>
      <w:tr w14:paraId="64E5FDAF">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486F1778">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68E4421D">
            <w:pPr>
              <w:jc w:val="center"/>
              <w:rPr>
                <w:snapToGrid w:val="0"/>
                <w:kern w:val="0"/>
                <w:sz w:val="21"/>
                <w:szCs w:val="21"/>
              </w:rPr>
            </w:pPr>
          </w:p>
        </w:tc>
        <w:tc>
          <w:tcPr>
            <w:tcW w:w="1469" w:type="dxa"/>
            <w:vMerge w:val="continue"/>
            <w:tcBorders>
              <w:left w:val="single" w:color="000000" w:sz="2" w:space="0"/>
              <w:right w:val="single" w:color="auto" w:sz="4" w:space="0"/>
            </w:tcBorders>
            <w:vAlign w:val="center"/>
          </w:tcPr>
          <w:p w14:paraId="17C9457A">
            <w:pPr>
              <w:jc w:val="center"/>
              <w:rPr>
                <w:snapToGrid w:val="0"/>
                <w:kern w:val="0"/>
                <w:sz w:val="21"/>
                <w:szCs w:val="21"/>
              </w:rPr>
            </w:pPr>
          </w:p>
        </w:tc>
        <w:tc>
          <w:tcPr>
            <w:tcW w:w="1174" w:type="dxa"/>
            <w:vMerge w:val="continue"/>
            <w:tcBorders>
              <w:left w:val="single" w:color="auto" w:sz="4" w:space="0"/>
              <w:right w:val="single" w:color="auto" w:sz="4" w:space="0"/>
            </w:tcBorders>
            <w:vAlign w:val="center"/>
          </w:tcPr>
          <w:p w14:paraId="1F7B253A">
            <w:pPr>
              <w:rPr>
                <w:snapToGrid w:val="0"/>
                <w:kern w:val="0"/>
                <w:sz w:val="21"/>
                <w:szCs w:val="21"/>
              </w:rPr>
            </w:pPr>
          </w:p>
        </w:tc>
        <w:tc>
          <w:tcPr>
            <w:tcW w:w="3699" w:type="dxa"/>
            <w:tcBorders>
              <w:top w:val="single" w:color="auto" w:sz="4" w:space="0"/>
              <w:left w:val="single" w:color="auto" w:sz="4" w:space="0"/>
              <w:bottom w:val="single" w:color="auto" w:sz="4" w:space="0"/>
              <w:right w:val="single" w:color="auto" w:sz="4" w:space="0"/>
            </w:tcBorders>
            <w:vAlign w:val="center"/>
          </w:tcPr>
          <w:p w14:paraId="524FD59F">
            <w:pPr>
              <w:rPr>
                <w:snapToGrid w:val="0"/>
                <w:kern w:val="0"/>
                <w:sz w:val="21"/>
                <w:szCs w:val="21"/>
              </w:rPr>
            </w:pPr>
            <w:r>
              <w:rPr>
                <w:snapToGrid w:val="0"/>
                <w:kern w:val="0"/>
                <w:sz w:val="21"/>
                <w:szCs w:val="21"/>
              </w:rPr>
              <w:t>较合理</w:t>
            </w:r>
            <w:r>
              <w:rPr>
                <w:rFonts w:hint="eastAsia"/>
                <w:snapToGrid w:val="0"/>
                <w:kern w:val="0"/>
                <w:sz w:val="21"/>
                <w:szCs w:val="21"/>
              </w:rPr>
              <w:t>，适用性及合理性较高</w:t>
            </w:r>
          </w:p>
        </w:tc>
        <w:tc>
          <w:tcPr>
            <w:tcW w:w="1255" w:type="dxa"/>
            <w:tcBorders>
              <w:top w:val="single" w:color="auto" w:sz="4" w:space="0"/>
              <w:left w:val="single" w:color="auto" w:sz="4" w:space="0"/>
              <w:bottom w:val="single" w:color="auto" w:sz="4" w:space="0"/>
              <w:right w:val="single" w:color="auto" w:sz="8" w:space="0"/>
            </w:tcBorders>
            <w:vAlign w:val="center"/>
          </w:tcPr>
          <w:p w14:paraId="5BC30D67">
            <w:pPr>
              <w:jc w:val="center"/>
              <w:rPr>
                <w:snapToGrid w:val="0"/>
                <w:kern w:val="0"/>
                <w:sz w:val="21"/>
                <w:szCs w:val="21"/>
              </w:rPr>
            </w:pPr>
            <w:r>
              <w:rPr>
                <w:rFonts w:hint="eastAsia"/>
                <w:snapToGrid w:val="0"/>
                <w:kern w:val="0"/>
                <w:sz w:val="21"/>
                <w:szCs w:val="21"/>
              </w:rPr>
              <w:t>4.8-6.4</w:t>
            </w:r>
          </w:p>
        </w:tc>
      </w:tr>
      <w:tr w14:paraId="6BC48682">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66421789">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108DD15E">
            <w:pPr>
              <w:jc w:val="center"/>
              <w:rPr>
                <w:snapToGrid w:val="0"/>
                <w:kern w:val="0"/>
                <w:sz w:val="21"/>
                <w:szCs w:val="21"/>
              </w:rPr>
            </w:pPr>
          </w:p>
        </w:tc>
        <w:tc>
          <w:tcPr>
            <w:tcW w:w="1469" w:type="dxa"/>
            <w:vMerge w:val="continue"/>
            <w:tcBorders>
              <w:left w:val="single" w:color="000000" w:sz="2" w:space="0"/>
              <w:bottom w:val="single" w:color="auto" w:sz="4" w:space="0"/>
              <w:right w:val="single" w:color="auto" w:sz="4" w:space="0"/>
            </w:tcBorders>
            <w:vAlign w:val="center"/>
          </w:tcPr>
          <w:p w14:paraId="2BA5BA86">
            <w:pPr>
              <w:jc w:val="center"/>
              <w:rPr>
                <w:snapToGrid w:val="0"/>
                <w:kern w:val="0"/>
                <w:sz w:val="21"/>
                <w:szCs w:val="21"/>
              </w:rPr>
            </w:pPr>
          </w:p>
        </w:tc>
        <w:tc>
          <w:tcPr>
            <w:tcW w:w="1174" w:type="dxa"/>
            <w:vMerge w:val="continue"/>
            <w:tcBorders>
              <w:left w:val="single" w:color="auto" w:sz="4" w:space="0"/>
              <w:bottom w:val="single" w:color="auto" w:sz="4" w:space="0"/>
              <w:right w:val="single" w:color="auto" w:sz="4" w:space="0"/>
            </w:tcBorders>
            <w:vAlign w:val="center"/>
          </w:tcPr>
          <w:p w14:paraId="0FF16313">
            <w:pPr>
              <w:rPr>
                <w:snapToGrid w:val="0"/>
                <w:kern w:val="0"/>
                <w:sz w:val="21"/>
                <w:szCs w:val="21"/>
              </w:rPr>
            </w:pPr>
          </w:p>
        </w:tc>
        <w:tc>
          <w:tcPr>
            <w:tcW w:w="3699" w:type="dxa"/>
            <w:tcBorders>
              <w:top w:val="single" w:color="auto" w:sz="4" w:space="0"/>
              <w:left w:val="single" w:color="auto" w:sz="4" w:space="0"/>
              <w:bottom w:val="single" w:color="auto" w:sz="4" w:space="0"/>
              <w:right w:val="single" w:color="auto" w:sz="4" w:space="0"/>
            </w:tcBorders>
            <w:vAlign w:val="center"/>
          </w:tcPr>
          <w:p w14:paraId="3A7292D0">
            <w:pPr>
              <w:rPr>
                <w:snapToGrid w:val="0"/>
                <w:kern w:val="0"/>
                <w:sz w:val="21"/>
                <w:szCs w:val="21"/>
              </w:rPr>
            </w:pPr>
            <w:r>
              <w:rPr>
                <w:snapToGrid w:val="0"/>
                <w:kern w:val="0"/>
                <w:sz w:val="21"/>
                <w:szCs w:val="21"/>
              </w:rPr>
              <w:t>一般</w:t>
            </w:r>
          </w:p>
        </w:tc>
        <w:tc>
          <w:tcPr>
            <w:tcW w:w="1255" w:type="dxa"/>
            <w:tcBorders>
              <w:top w:val="single" w:color="auto" w:sz="4" w:space="0"/>
              <w:left w:val="single" w:color="auto" w:sz="4" w:space="0"/>
              <w:bottom w:val="single" w:color="auto" w:sz="4" w:space="0"/>
              <w:right w:val="single" w:color="auto" w:sz="8" w:space="0"/>
            </w:tcBorders>
            <w:vAlign w:val="center"/>
          </w:tcPr>
          <w:p w14:paraId="58771745">
            <w:pPr>
              <w:jc w:val="center"/>
              <w:rPr>
                <w:snapToGrid w:val="0"/>
                <w:kern w:val="0"/>
                <w:sz w:val="21"/>
                <w:szCs w:val="21"/>
              </w:rPr>
            </w:pPr>
            <w:r>
              <w:rPr>
                <w:rFonts w:hint="eastAsia"/>
                <w:snapToGrid w:val="0"/>
                <w:kern w:val="0"/>
                <w:sz w:val="21"/>
                <w:szCs w:val="21"/>
              </w:rPr>
              <w:t>4.8</w:t>
            </w:r>
          </w:p>
        </w:tc>
      </w:tr>
      <w:tr w14:paraId="728D4A5B">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6D691E43">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74BAE60D">
            <w:pPr>
              <w:jc w:val="center"/>
              <w:rPr>
                <w:snapToGrid w:val="0"/>
                <w:kern w:val="0"/>
                <w:sz w:val="21"/>
                <w:szCs w:val="21"/>
              </w:rPr>
            </w:pPr>
          </w:p>
        </w:tc>
        <w:tc>
          <w:tcPr>
            <w:tcW w:w="1469" w:type="dxa"/>
            <w:vMerge w:val="restart"/>
            <w:tcBorders>
              <w:left w:val="single" w:color="000000" w:sz="2" w:space="0"/>
              <w:right w:val="single" w:color="auto" w:sz="4" w:space="0"/>
            </w:tcBorders>
            <w:vAlign w:val="center"/>
          </w:tcPr>
          <w:p w14:paraId="41186859">
            <w:pPr>
              <w:jc w:val="center"/>
              <w:rPr>
                <w:snapToGrid w:val="0"/>
                <w:kern w:val="0"/>
                <w:sz w:val="21"/>
                <w:szCs w:val="21"/>
              </w:rPr>
            </w:pPr>
            <w:r>
              <w:rPr>
                <w:rFonts w:hint="eastAsia"/>
                <w:snapToGrid w:val="0"/>
                <w:kern w:val="0"/>
                <w:sz w:val="21"/>
                <w:szCs w:val="21"/>
              </w:rPr>
              <w:t>工期的保证体系及保证措施</w:t>
            </w:r>
          </w:p>
        </w:tc>
        <w:tc>
          <w:tcPr>
            <w:tcW w:w="1174" w:type="dxa"/>
            <w:vMerge w:val="restart"/>
            <w:tcBorders>
              <w:left w:val="single" w:color="auto" w:sz="4" w:space="0"/>
              <w:right w:val="single" w:color="auto" w:sz="4" w:space="0"/>
            </w:tcBorders>
            <w:vAlign w:val="center"/>
          </w:tcPr>
          <w:p w14:paraId="60680043">
            <w:pPr>
              <w:jc w:val="center"/>
              <w:rPr>
                <w:snapToGrid w:val="0"/>
                <w:kern w:val="0"/>
                <w:sz w:val="21"/>
                <w:szCs w:val="21"/>
              </w:rPr>
            </w:pPr>
            <w:r>
              <w:rPr>
                <w:rFonts w:hint="eastAsia"/>
                <w:snapToGrid w:val="0"/>
                <w:kern w:val="0"/>
                <w:sz w:val="21"/>
                <w:szCs w:val="21"/>
              </w:rPr>
              <w:t>5分</w:t>
            </w:r>
          </w:p>
        </w:tc>
        <w:tc>
          <w:tcPr>
            <w:tcW w:w="3699" w:type="dxa"/>
            <w:tcBorders>
              <w:top w:val="single" w:color="auto" w:sz="4" w:space="0"/>
              <w:left w:val="single" w:color="auto" w:sz="4" w:space="0"/>
              <w:bottom w:val="single" w:color="auto" w:sz="4" w:space="0"/>
              <w:right w:val="single" w:color="auto" w:sz="4" w:space="0"/>
            </w:tcBorders>
            <w:vAlign w:val="center"/>
          </w:tcPr>
          <w:p w14:paraId="10DEF3B1">
            <w:pPr>
              <w:rPr>
                <w:snapToGrid w:val="0"/>
                <w:kern w:val="0"/>
                <w:sz w:val="21"/>
                <w:szCs w:val="21"/>
              </w:rPr>
            </w:pPr>
            <w:r>
              <w:rPr>
                <w:snapToGrid w:val="0"/>
                <w:kern w:val="0"/>
                <w:sz w:val="21"/>
                <w:szCs w:val="21"/>
              </w:rPr>
              <w:t>科学合理</w:t>
            </w:r>
            <w:r>
              <w:rPr>
                <w:rFonts w:hint="eastAsia"/>
                <w:snapToGrid w:val="0"/>
                <w:kern w:val="0"/>
                <w:sz w:val="21"/>
                <w:szCs w:val="21"/>
              </w:rPr>
              <w:t>，适用性及合理性高</w:t>
            </w:r>
          </w:p>
        </w:tc>
        <w:tc>
          <w:tcPr>
            <w:tcW w:w="1255" w:type="dxa"/>
            <w:tcBorders>
              <w:top w:val="single" w:color="auto" w:sz="4" w:space="0"/>
              <w:left w:val="single" w:color="auto" w:sz="4" w:space="0"/>
              <w:bottom w:val="single" w:color="auto" w:sz="4" w:space="0"/>
              <w:right w:val="single" w:color="auto" w:sz="8" w:space="0"/>
            </w:tcBorders>
            <w:vAlign w:val="center"/>
          </w:tcPr>
          <w:p w14:paraId="54378F9D">
            <w:pPr>
              <w:jc w:val="center"/>
              <w:rPr>
                <w:snapToGrid w:val="0"/>
                <w:kern w:val="0"/>
                <w:sz w:val="21"/>
                <w:szCs w:val="21"/>
              </w:rPr>
            </w:pPr>
            <w:r>
              <w:rPr>
                <w:rFonts w:hint="eastAsia"/>
                <w:snapToGrid w:val="0"/>
                <w:kern w:val="0"/>
                <w:sz w:val="21"/>
                <w:szCs w:val="21"/>
              </w:rPr>
              <w:t>4.0-5.0</w:t>
            </w:r>
          </w:p>
        </w:tc>
      </w:tr>
      <w:tr w14:paraId="26501259">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316A7A79">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5CE93FB5">
            <w:pPr>
              <w:jc w:val="center"/>
              <w:rPr>
                <w:snapToGrid w:val="0"/>
                <w:kern w:val="0"/>
                <w:sz w:val="21"/>
                <w:szCs w:val="21"/>
              </w:rPr>
            </w:pPr>
          </w:p>
        </w:tc>
        <w:tc>
          <w:tcPr>
            <w:tcW w:w="1469" w:type="dxa"/>
            <w:vMerge w:val="continue"/>
            <w:tcBorders>
              <w:left w:val="single" w:color="000000" w:sz="2" w:space="0"/>
              <w:right w:val="single" w:color="auto" w:sz="4" w:space="0"/>
            </w:tcBorders>
            <w:vAlign w:val="center"/>
          </w:tcPr>
          <w:p w14:paraId="7B3DF517">
            <w:pPr>
              <w:jc w:val="center"/>
              <w:rPr>
                <w:snapToGrid w:val="0"/>
                <w:kern w:val="0"/>
                <w:sz w:val="21"/>
                <w:szCs w:val="21"/>
              </w:rPr>
            </w:pPr>
          </w:p>
        </w:tc>
        <w:tc>
          <w:tcPr>
            <w:tcW w:w="1174" w:type="dxa"/>
            <w:vMerge w:val="continue"/>
            <w:tcBorders>
              <w:left w:val="single" w:color="auto" w:sz="4" w:space="0"/>
              <w:right w:val="single" w:color="auto" w:sz="4" w:space="0"/>
            </w:tcBorders>
            <w:vAlign w:val="center"/>
          </w:tcPr>
          <w:p w14:paraId="12F07A9B">
            <w:pPr>
              <w:rPr>
                <w:snapToGrid w:val="0"/>
                <w:kern w:val="0"/>
                <w:sz w:val="21"/>
                <w:szCs w:val="21"/>
              </w:rPr>
            </w:pPr>
          </w:p>
        </w:tc>
        <w:tc>
          <w:tcPr>
            <w:tcW w:w="3699" w:type="dxa"/>
            <w:tcBorders>
              <w:top w:val="single" w:color="auto" w:sz="4" w:space="0"/>
              <w:left w:val="single" w:color="auto" w:sz="4" w:space="0"/>
              <w:bottom w:val="single" w:color="auto" w:sz="4" w:space="0"/>
              <w:right w:val="single" w:color="auto" w:sz="4" w:space="0"/>
            </w:tcBorders>
            <w:vAlign w:val="center"/>
          </w:tcPr>
          <w:p w14:paraId="2E9C3A8A">
            <w:pPr>
              <w:rPr>
                <w:snapToGrid w:val="0"/>
                <w:kern w:val="0"/>
                <w:sz w:val="21"/>
                <w:szCs w:val="21"/>
              </w:rPr>
            </w:pPr>
            <w:r>
              <w:rPr>
                <w:snapToGrid w:val="0"/>
                <w:kern w:val="0"/>
                <w:sz w:val="21"/>
                <w:szCs w:val="21"/>
              </w:rPr>
              <w:t>较合理</w:t>
            </w:r>
            <w:r>
              <w:rPr>
                <w:rFonts w:hint="eastAsia"/>
                <w:snapToGrid w:val="0"/>
                <w:kern w:val="0"/>
                <w:sz w:val="21"/>
                <w:szCs w:val="21"/>
              </w:rPr>
              <w:t>，适用性及合理性较高</w:t>
            </w:r>
          </w:p>
        </w:tc>
        <w:tc>
          <w:tcPr>
            <w:tcW w:w="1255" w:type="dxa"/>
            <w:tcBorders>
              <w:top w:val="single" w:color="auto" w:sz="4" w:space="0"/>
              <w:left w:val="single" w:color="auto" w:sz="4" w:space="0"/>
              <w:bottom w:val="single" w:color="auto" w:sz="4" w:space="0"/>
              <w:right w:val="single" w:color="auto" w:sz="8" w:space="0"/>
            </w:tcBorders>
            <w:vAlign w:val="center"/>
          </w:tcPr>
          <w:p w14:paraId="3A7E9CBF">
            <w:pPr>
              <w:jc w:val="center"/>
              <w:rPr>
                <w:snapToGrid w:val="0"/>
                <w:kern w:val="0"/>
                <w:sz w:val="21"/>
                <w:szCs w:val="21"/>
              </w:rPr>
            </w:pPr>
            <w:r>
              <w:rPr>
                <w:rFonts w:hint="eastAsia"/>
                <w:snapToGrid w:val="0"/>
                <w:kern w:val="0"/>
                <w:sz w:val="21"/>
                <w:szCs w:val="21"/>
              </w:rPr>
              <w:t>3.0-4.0</w:t>
            </w:r>
          </w:p>
        </w:tc>
      </w:tr>
      <w:tr w14:paraId="3D91E89E">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68DC9455">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71335CF7">
            <w:pPr>
              <w:jc w:val="center"/>
              <w:rPr>
                <w:snapToGrid w:val="0"/>
                <w:kern w:val="0"/>
                <w:sz w:val="21"/>
                <w:szCs w:val="21"/>
              </w:rPr>
            </w:pPr>
          </w:p>
        </w:tc>
        <w:tc>
          <w:tcPr>
            <w:tcW w:w="1469" w:type="dxa"/>
            <w:vMerge w:val="continue"/>
            <w:tcBorders>
              <w:left w:val="single" w:color="000000" w:sz="2" w:space="0"/>
              <w:bottom w:val="single" w:color="auto" w:sz="4" w:space="0"/>
              <w:right w:val="single" w:color="auto" w:sz="4" w:space="0"/>
            </w:tcBorders>
            <w:vAlign w:val="center"/>
          </w:tcPr>
          <w:p w14:paraId="5A8252A2">
            <w:pPr>
              <w:jc w:val="center"/>
              <w:rPr>
                <w:snapToGrid w:val="0"/>
                <w:kern w:val="0"/>
                <w:sz w:val="21"/>
                <w:szCs w:val="21"/>
              </w:rPr>
            </w:pPr>
          </w:p>
        </w:tc>
        <w:tc>
          <w:tcPr>
            <w:tcW w:w="1174" w:type="dxa"/>
            <w:vMerge w:val="continue"/>
            <w:tcBorders>
              <w:left w:val="single" w:color="auto" w:sz="4" w:space="0"/>
              <w:bottom w:val="single" w:color="auto" w:sz="4" w:space="0"/>
              <w:right w:val="single" w:color="auto" w:sz="4" w:space="0"/>
            </w:tcBorders>
            <w:vAlign w:val="center"/>
          </w:tcPr>
          <w:p w14:paraId="54A90810">
            <w:pPr>
              <w:rPr>
                <w:snapToGrid w:val="0"/>
                <w:kern w:val="0"/>
                <w:sz w:val="21"/>
                <w:szCs w:val="21"/>
              </w:rPr>
            </w:pPr>
          </w:p>
        </w:tc>
        <w:tc>
          <w:tcPr>
            <w:tcW w:w="3699" w:type="dxa"/>
            <w:tcBorders>
              <w:top w:val="single" w:color="auto" w:sz="4" w:space="0"/>
              <w:left w:val="single" w:color="auto" w:sz="4" w:space="0"/>
              <w:bottom w:val="single" w:color="auto" w:sz="4" w:space="0"/>
              <w:right w:val="single" w:color="auto" w:sz="4" w:space="0"/>
            </w:tcBorders>
            <w:vAlign w:val="center"/>
          </w:tcPr>
          <w:p w14:paraId="73A72746">
            <w:pPr>
              <w:rPr>
                <w:snapToGrid w:val="0"/>
                <w:kern w:val="0"/>
                <w:sz w:val="21"/>
                <w:szCs w:val="21"/>
              </w:rPr>
            </w:pPr>
            <w:r>
              <w:rPr>
                <w:snapToGrid w:val="0"/>
                <w:kern w:val="0"/>
                <w:sz w:val="21"/>
                <w:szCs w:val="21"/>
              </w:rPr>
              <w:t>一般</w:t>
            </w:r>
          </w:p>
        </w:tc>
        <w:tc>
          <w:tcPr>
            <w:tcW w:w="1255" w:type="dxa"/>
            <w:tcBorders>
              <w:top w:val="single" w:color="auto" w:sz="4" w:space="0"/>
              <w:left w:val="single" w:color="auto" w:sz="4" w:space="0"/>
              <w:bottom w:val="single" w:color="auto" w:sz="4" w:space="0"/>
              <w:right w:val="single" w:color="auto" w:sz="8" w:space="0"/>
            </w:tcBorders>
            <w:vAlign w:val="center"/>
          </w:tcPr>
          <w:p w14:paraId="6E9AA3FC">
            <w:pPr>
              <w:jc w:val="center"/>
              <w:rPr>
                <w:snapToGrid w:val="0"/>
                <w:kern w:val="0"/>
                <w:sz w:val="21"/>
                <w:szCs w:val="21"/>
              </w:rPr>
            </w:pPr>
            <w:r>
              <w:rPr>
                <w:rFonts w:hint="eastAsia"/>
                <w:snapToGrid w:val="0"/>
                <w:kern w:val="0"/>
                <w:sz w:val="21"/>
                <w:szCs w:val="21"/>
              </w:rPr>
              <w:t>3.0</w:t>
            </w:r>
          </w:p>
        </w:tc>
      </w:tr>
      <w:tr w14:paraId="198E47EC">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2195C8CC">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0A44F3F5">
            <w:pPr>
              <w:jc w:val="center"/>
              <w:rPr>
                <w:snapToGrid w:val="0"/>
                <w:kern w:val="0"/>
                <w:sz w:val="21"/>
                <w:szCs w:val="21"/>
              </w:rPr>
            </w:pPr>
          </w:p>
        </w:tc>
        <w:tc>
          <w:tcPr>
            <w:tcW w:w="1469" w:type="dxa"/>
            <w:vMerge w:val="restart"/>
            <w:tcBorders>
              <w:top w:val="single" w:color="auto" w:sz="4" w:space="0"/>
              <w:left w:val="single" w:color="000000" w:sz="2" w:space="0"/>
              <w:right w:val="single" w:color="auto" w:sz="4" w:space="0"/>
            </w:tcBorders>
            <w:vAlign w:val="center"/>
          </w:tcPr>
          <w:p w14:paraId="124FBA2D">
            <w:pPr>
              <w:jc w:val="center"/>
              <w:rPr>
                <w:snapToGrid w:val="0"/>
                <w:kern w:val="0"/>
                <w:sz w:val="21"/>
                <w:szCs w:val="21"/>
              </w:rPr>
            </w:pPr>
            <w:r>
              <w:rPr>
                <w:rFonts w:hint="eastAsia"/>
                <w:snapToGrid w:val="0"/>
                <w:kern w:val="0"/>
                <w:sz w:val="21"/>
                <w:szCs w:val="21"/>
                <w:lang w:bidi="en-US"/>
              </w:rPr>
              <w:t>质量管理体系及保证措施</w:t>
            </w:r>
          </w:p>
        </w:tc>
        <w:tc>
          <w:tcPr>
            <w:tcW w:w="1174" w:type="dxa"/>
            <w:vMerge w:val="restart"/>
            <w:tcBorders>
              <w:top w:val="single" w:color="auto" w:sz="4" w:space="0"/>
              <w:left w:val="single" w:color="auto" w:sz="4" w:space="0"/>
              <w:right w:val="single" w:color="auto" w:sz="4" w:space="0"/>
            </w:tcBorders>
            <w:vAlign w:val="center"/>
          </w:tcPr>
          <w:p w14:paraId="17A5FE5B">
            <w:pPr>
              <w:jc w:val="center"/>
              <w:rPr>
                <w:snapToGrid w:val="0"/>
                <w:kern w:val="0"/>
                <w:sz w:val="21"/>
                <w:szCs w:val="21"/>
              </w:rPr>
            </w:pPr>
            <w:r>
              <w:rPr>
                <w:rFonts w:hint="eastAsia"/>
                <w:snapToGrid w:val="0"/>
                <w:kern w:val="0"/>
                <w:sz w:val="21"/>
                <w:szCs w:val="21"/>
              </w:rPr>
              <w:t>5分</w:t>
            </w:r>
          </w:p>
        </w:tc>
        <w:tc>
          <w:tcPr>
            <w:tcW w:w="3699" w:type="dxa"/>
            <w:tcBorders>
              <w:top w:val="single" w:color="auto" w:sz="4" w:space="0"/>
              <w:left w:val="single" w:color="auto" w:sz="4" w:space="0"/>
              <w:bottom w:val="single" w:color="auto" w:sz="4" w:space="0"/>
              <w:right w:val="single" w:color="auto" w:sz="4" w:space="0"/>
            </w:tcBorders>
            <w:vAlign w:val="center"/>
          </w:tcPr>
          <w:p w14:paraId="561BB0C4">
            <w:pPr>
              <w:rPr>
                <w:snapToGrid w:val="0"/>
                <w:kern w:val="0"/>
                <w:sz w:val="21"/>
                <w:szCs w:val="21"/>
              </w:rPr>
            </w:pPr>
            <w:r>
              <w:rPr>
                <w:rFonts w:hint="eastAsia"/>
                <w:snapToGrid w:val="0"/>
                <w:kern w:val="0"/>
                <w:sz w:val="21"/>
                <w:szCs w:val="21"/>
                <w:lang w:bidi="en-US"/>
              </w:rPr>
              <w:t>体系措施完整严密，且相应措施体系完善得当</w:t>
            </w:r>
          </w:p>
        </w:tc>
        <w:tc>
          <w:tcPr>
            <w:tcW w:w="1255" w:type="dxa"/>
            <w:tcBorders>
              <w:top w:val="single" w:color="auto" w:sz="4" w:space="0"/>
              <w:left w:val="single" w:color="auto" w:sz="4" w:space="0"/>
              <w:bottom w:val="single" w:color="auto" w:sz="4" w:space="0"/>
              <w:right w:val="single" w:color="auto" w:sz="8" w:space="0"/>
            </w:tcBorders>
            <w:vAlign w:val="center"/>
          </w:tcPr>
          <w:p w14:paraId="7F592285">
            <w:pPr>
              <w:jc w:val="center"/>
              <w:rPr>
                <w:snapToGrid w:val="0"/>
                <w:kern w:val="0"/>
                <w:sz w:val="21"/>
                <w:szCs w:val="21"/>
              </w:rPr>
            </w:pPr>
            <w:r>
              <w:rPr>
                <w:rFonts w:hint="eastAsia"/>
                <w:snapToGrid w:val="0"/>
                <w:kern w:val="0"/>
                <w:sz w:val="21"/>
                <w:szCs w:val="21"/>
              </w:rPr>
              <w:t>4.0-5.0</w:t>
            </w:r>
          </w:p>
        </w:tc>
      </w:tr>
      <w:tr w14:paraId="0198B257">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0269E91A">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34203F0C">
            <w:pPr>
              <w:jc w:val="center"/>
              <w:rPr>
                <w:snapToGrid w:val="0"/>
                <w:kern w:val="0"/>
                <w:sz w:val="21"/>
                <w:szCs w:val="21"/>
              </w:rPr>
            </w:pPr>
          </w:p>
        </w:tc>
        <w:tc>
          <w:tcPr>
            <w:tcW w:w="1469" w:type="dxa"/>
            <w:vMerge w:val="continue"/>
            <w:tcBorders>
              <w:left w:val="single" w:color="000000" w:sz="2" w:space="0"/>
              <w:right w:val="single" w:color="auto" w:sz="4" w:space="0"/>
            </w:tcBorders>
            <w:vAlign w:val="center"/>
          </w:tcPr>
          <w:p w14:paraId="541F7678">
            <w:pPr>
              <w:jc w:val="center"/>
              <w:rPr>
                <w:snapToGrid w:val="0"/>
                <w:kern w:val="0"/>
                <w:sz w:val="21"/>
                <w:szCs w:val="21"/>
              </w:rPr>
            </w:pPr>
          </w:p>
        </w:tc>
        <w:tc>
          <w:tcPr>
            <w:tcW w:w="1174" w:type="dxa"/>
            <w:vMerge w:val="continue"/>
            <w:tcBorders>
              <w:left w:val="single" w:color="auto" w:sz="4" w:space="0"/>
              <w:right w:val="single" w:color="auto" w:sz="4" w:space="0"/>
            </w:tcBorders>
            <w:vAlign w:val="center"/>
          </w:tcPr>
          <w:p w14:paraId="5610B288">
            <w:pPr>
              <w:rPr>
                <w:snapToGrid w:val="0"/>
                <w:kern w:val="0"/>
                <w:sz w:val="21"/>
                <w:szCs w:val="21"/>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599DFC8C">
            <w:pPr>
              <w:rPr>
                <w:snapToGrid w:val="0"/>
                <w:kern w:val="0"/>
                <w:sz w:val="21"/>
                <w:szCs w:val="21"/>
              </w:rPr>
            </w:pPr>
            <w:r>
              <w:rPr>
                <w:rFonts w:hint="eastAsia"/>
                <w:snapToGrid w:val="0"/>
                <w:kern w:val="0"/>
                <w:sz w:val="21"/>
                <w:szCs w:val="21"/>
                <w:lang w:bidi="en-US"/>
              </w:rPr>
              <w:t>体系措施较完善</w:t>
            </w:r>
          </w:p>
        </w:tc>
        <w:tc>
          <w:tcPr>
            <w:tcW w:w="1255" w:type="dxa"/>
            <w:tcBorders>
              <w:top w:val="single" w:color="auto" w:sz="4" w:space="0"/>
              <w:left w:val="single" w:color="auto" w:sz="4" w:space="0"/>
              <w:bottom w:val="single" w:color="auto" w:sz="4" w:space="0"/>
              <w:right w:val="single" w:color="auto" w:sz="8" w:space="0"/>
            </w:tcBorders>
            <w:vAlign w:val="center"/>
          </w:tcPr>
          <w:p w14:paraId="1CEE6B57">
            <w:pPr>
              <w:jc w:val="center"/>
              <w:rPr>
                <w:snapToGrid w:val="0"/>
                <w:kern w:val="0"/>
                <w:sz w:val="21"/>
                <w:szCs w:val="21"/>
              </w:rPr>
            </w:pPr>
            <w:r>
              <w:rPr>
                <w:rFonts w:hint="eastAsia"/>
                <w:snapToGrid w:val="0"/>
                <w:kern w:val="0"/>
                <w:sz w:val="21"/>
                <w:szCs w:val="21"/>
              </w:rPr>
              <w:t>3.0-4.0</w:t>
            </w:r>
          </w:p>
        </w:tc>
      </w:tr>
      <w:tr w14:paraId="066FCBC0">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59FE5CE4">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0E3E73E5">
            <w:pPr>
              <w:jc w:val="center"/>
              <w:rPr>
                <w:snapToGrid w:val="0"/>
                <w:kern w:val="0"/>
                <w:sz w:val="21"/>
                <w:szCs w:val="21"/>
              </w:rPr>
            </w:pPr>
          </w:p>
        </w:tc>
        <w:tc>
          <w:tcPr>
            <w:tcW w:w="1469" w:type="dxa"/>
            <w:vMerge w:val="continue"/>
            <w:tcBorders>
              <w:left w:val="single" w:color="000000" w:sz="2" w:space="0"/>
              <w:bottom w:val="single" w:color="auto" w:sz="4" w:space="0"/>
              <w:right w:val="single" w:color="auto" w:sz="4" w:space="0"/>
            </w:tcBorders>
            <w:vAlign w:val="center"/>
          </w:tcPr>
          <w:p w14:paraId="0CF0C7B3">
            <w:pPr>
              <w:jc w:val="center"/>
              <w:rPr>
                <w:snapToGrid w:val="0"/>
                <w:kern w:val="0"/>
                <w:sz w:val="21"/>
                <w:szCs w:val="21"/>
              </w:rPr>
            </w:pPr>
          </w:p>
        </w:tc>
        <w:tc>
          <w:tcPr>
            <w:tcW w:w="1174" w:type="dxa"/>
            <w:vMerge w:val="continue"/>
            <w:tcBorders>
              <w:left w:val="single" w:color="auto" w:sz="4" w:space="0"/>
              <w:bottom w:val="single" w:color="auto" w:sz="4" w:space="0"/>
              <w:right w:val="single" w:color="auto" w:sz="4" w:space="0"/>
            </w:tcBorders>
            <w:vAlign w:val="center"/>
          </w:tcPr>
          <w:p w14:paraId="0C29D7A7">
            <w:pPr>
              <w:rPr>
                <w:snapToGrid w:val="0"/>
                <w:kern w:val="0"/>
                <w:sz w:val="21"/>
                <w:szCs w:val="21"/>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3C42C8EE">
            <w:pPr>
              <w:rPr>
                <w:snapToGrid w:val="0"/>
                <w:kern w:val="0"/>
                <w:sz w:val="21"/>
                <w:szCs w:val="21"/>
              </w:rPr>
            </w:pPr>
            <w:r>
              <w:rPr>
                <w:rFonts w:hint="eastAsia"/>
                <w:snapToGrid w:val="0"/>
                <w:kern w:val="0"/>
                <w:sz w:val="21"/>
                <w:szCs w:val="21"/>
                <w:lang w:bidi="en-US"/>
              </w:rPr>
              <w:t>体系措施一般</w:t>
            </w:r>
          </w:p>
        </w:tc>
        <w:tc>
          <w:tcPr>
            <w:tcW w:w="1255" w:type="dxa"/>
            <w:tcBorders>
              <w:top w:val="single" w:color="auto" w:sz="4" w:space="0"/>
              <w:left w:val="single" w:color="auto" w:sz="4" w:space="0"/>
              <w:bottom w:val="single" w:color="auto" w:sz="4" w:space="0"/>
              <w:right w:val="single" w:color="auto" w:sz="8" w:space="0"/>
            </w:tcBorders>
            <w:vAlign w:val="center"/>
          </w:tcPr>
          <w:p w14:paraId="69233331">
            <w:pPr>
              <w:jc w:val="center"/>
              <w:rPr>
                <w:snapToGrid w:val="0"/>
                <w:kern w:val="0"/>
                <w:sz w:val="21"/>
                <w:szCs w:val="21"/>
              </w:rPr>
            </w:pPr>
            <w:r>
              <w:rPr>
                <w:rFonts w:hint="eastAsia"/>
                <w:snapToGrid w:val="0"/>
                <w:kern w:val="0"/>
                <w:sz w:val="21"/>
                <w:szCs w:val="21"/>
              </w:rPr>
              <w:t>3.0</w:t>
            </w:r>
          </w:p>
        </w:tc>
      </w:tr>
      <w:tr w14:paraId="35B22E40">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09E83C47">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2D5D13C3">
            <w:pPr>
              <w:jc w:val="center"/>
              <w:rPr>
                <w:snapToGrid w:val="0"/>
                <w:kern w:val="0"/>
                <w:sz w:val="21"/>
                <w:szCs w:val="21"/>
              </w:rPr>
            </w:pPr>
          </w:p>
        </w:tc>
        <w:tc>
          <w:tcPr>
            <w:tcW w:w="1469" w:type="dxa"/>
            <w:vMerge w:val="restart"/>
            <w:tcBorders>
              <w:top w:val="single" w:color="auto" w:sz="4" w:space="0"/>
              <w:left w:val="single" w:color="000000" w:sz="2" w:space="0"/>
              <w:right w:val="single" w:color="auto" w:sz="8" w:space="0"/>
            </w:tcBorders>
            <w:vAlign w:val="center"/>
          </w:tcPr>
          <w:p w14:paraId="66CBDA82">
            <w:pPr>
              <w:jc w:val="center"/>
              <w:rPr>
                <w:snapToGrid w:val="0"/>
                <w:kern w:val="0"/>
                <w:sz w:val="21"/>
                <w:szCs w:val="21"/>
              </w:rPr>
            </w:pPr>
            <w:r>
              <w:rPr>
                <w:rFonts w:hint="eastAsia"/>
                <w:snapToGrid w:val="0"/>
                <w:kern w:val="0"/>
                <w:sz w:val="21"/>
                <w:szCs w:val="21"/>
                <w:lang w:bidi="en-US"/>
              </w:rPr>
              <w:t>安全生产管理体系及保证措施</w:t>
            </w:r>
          </w:p>
        </w:tc>
        <w:tc>
          <w:tcPr>
            <w:tcW w:w="1174" w:type="dxa"/>
            <w:vMerge w:val="restart"/>
            <w:tcBorders>
              <w:top w:val="single" w:color="auto" w:sz="4" w:space="0"/>
              <w:left w:val="single" w:color="auto" w:sz="8" w:space="0"/>
              <w:right w:val="single" w:color="auto" w:sz="4" w:space="0"/>
            </w:tcBorders>
            <w:vAlign w:val="center"/>
          </w:tcPr>
          <w:p w14:paraId="358A8FAF">
            <w:pPr>
              <w:jc w:val="center"/>
              <w:rPr>
                <w:snapToGrid w:val="0"/>
                <w:kern w:val="0"/>
                <w:sz w:val="21"/>
                <w:szCs w:val="21"/>
              </w:rPr>
            </w:pPr>
            <w:r>
              <w:rPr>
                <w:rFonts w:hint="eastAsia"/>
                <w:snapToGrid w:val="0"/>
                <w:kern w:val="0"/>
                <w:sz w:val="21"/>
                <w:szCs w:val="21"/>
              </w:rPr>
              <w:t>5分</w:t>
            </w:r>
          </w:p>
        </w:tc>
        <w:tc>
          <w:tcPr>
            <w:tcW w:w="3699" w:type="dxa"/>
            <w:tcBorders>
              <w:top w:val="single" w:color="auto" w:sz="4" w:space="0"/>
              <w:left w:val="single" w:color="auto" w:sz="4" w:space="0"/>
              <w:bottom w:val="single" w:color="auto" w:sz="4" w:space="0"/>
              <w:right w:val="single" w:color="auto" w:sz="4" w:space="0"/>
            </w:tcBorders>
            <w:vAlign w:val="center"/>
          </w:tcPr>
          <w:p w14:paraId="1FB6F9FA">
            <w:pPr>
              <w:rPr>
                <w:snapToGrid w:val="0"/>
                <w:kern w:val="0"/>
                <w:sz w:val="21"/>
                <w:szCs w:val="21"/>
              </w:rPr>
            </w:pPr>
            <w:r>
              <w:rPr>
                <w:rFonts w:hint="eastAsia"/>
                <w:snapToGrid w:val="0"/>
                <w:kern w:val="0"/>
                <w:sz w:val="21"/>
                <w:szCs w:val="21"/>
                <w:lang w:bidi="en-US"/>
              </w:rPr>
              <w:t>体系措施完整严密，且相应措施体系完善全面得当</w:t>
            </w:r>
          </w:p>
        </w:tc>
        <w:tc>
          <w:tcPr>
            <w:tcW w:w="1255" w:type="dxa"/>
            <w:tcBorders>
              <w:top w:val="single" w:color="auto" w:sz="4" w:space="0"/>
              <w:left w:val="single" w:color="auto" w:sz="4" w:space="0"/>
              <w:bottom w:val="single" w:color="auto" w:sz="4" w:space="0"/>
              <w:right w:val="single" w:color="auto" w:sz="8" w:space="0"/>
            </w:tcBorders>
            <w:vAlign w:val="center"/>
          </w:tcPr>
          <w:p w14:paraId="49A0B7A6">
            <w:pPr>
              <w:jc w:val="center"/>
              <w:rPr>
                <w:snapToGrid w:val="0"/>
                <w:kern w:val="0"/>
                <w:sz w:val="21"/>
                <w:szCs w:val="21"/>
              </w:rPr>
            </w:pPr>
            <w:r>
              <w:rPr>
                <w:rFonts w:hint="eastAsia"/>
                <w:snapToGrid w:val="0"/>
                <w:kern w:val="0"/>
                <w:sz w:val="21"/>
                <w:szCs w:val="21"/>
              </w:rPr>
              <w:t>4.0-5.0</w:t>
            </w:r>
          </w:p>
        </w:tc>
      </w:tr>
      <w:tr w14:paraId="341C195A">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0FA52A04">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4E4989FC">
            <w:pPr>
              <w:jc w:val="center"/>
              <w:rPr>
                <w:snapToGrid w:val="0"/>
                <w:kern w:val="0"/>
                <w:sz w:val="21"/>
                <w:szCs w:val="21"/>
              </w:rPr>
            </w:pPr>
          </w:p>
        </w:tc>
        <w:tc>
          <w:tcPr>
            <w:tcW w:w="1469" w:type="dxa"/>
            <w:vMerge w:val="continue"/>
            <w:tcBorders>
              <w:left w:val="single" w:color="000000" w:sz="2" w:space="0"/>
              <w:right w:val="single" w:color="auto" w:sz="8" w:space="0"/>
            </w:tcBorders>
            <w:vAlign w:val="center"/>
          </w:tcPr>
          <w:p w14:paraId="763F5AAA">
            <w:pPr>
              <w:jc w:val="center"/>
              <w:rPr>
                <w:snapToGrid w:val="0"/>
                <w:kern w:val="0"/>
                <w:sz w:val="21"/>
                <w:szCs w:val="21"/>
              </w:rPr>
            </w:pPr>
          </w:p>
        </w:tc>
        <w:tc>
          <w:tcPr>
            <w:tcW w:w="1174" w:type="dxa"/>
            <w:vMerge w:val="continue"/>
            <w:tcBorders>
              <w:left w:val="single" w:color="auto" w:sz="8" w:space="0"/>
              <w:right w:val="single" w:color="auto" w:sz="4" w:space="0"/>
            </w:tcBorders>
            <w:vAlign w:val="center"/>
          </w:tcPr>
          <w:p w14:paraId="77862EF4">
            <w:pPr>
              <w:rPr>
                <w:snapToGrid w:val="0"/>
                <w:kern w:val="0"/>
                <w:sz w:val="21"/>
                <w:szCs w:val="21"/>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71C448F0">
            <w:pPr>
              <w:rPr>
                <w:snapToGrid w:val="0"/>
                <w:kern w:val="0"/>
                <w:sz w:val="21"/>
                <w:szCs w:val="21"/>
              </w:rPr>
            </w:pPr>
            <w:r>
              <w:rPr>
                <w:rFonts w:hint="eastAsia"/>
                <w:snapToGrid w:val="0"/>
                <w:kern w:val="0"/>
                <w:sz w:val="21"/>
                <w:szCs w:val="21"/>
                <w:lang w:bidi="en-US"/>
              </w:rPr>
              <w:t>体系措施较完善</w:t>
            </w:r>
          </w:p>
        </w:tc>
        <w:tc>
          <w:tcPr>
            <w:tcW w:w="1255" w:type="dxa"/>
            <w:tcBorders>
              <w:top w:val="single" w:color="auto" w:sz="4" w:space="0"/>
              <w:left w:val="single" w:color="auto" w:sz="4" w:space="0"/>
              <w:bottom w:val="single" w:color="auto" w:sz="4" w:space="0"/>
              <w:right w:val="single" w:color="auto" w:sz="8" w:space="0"/>
            </w:tcBorders>
            <w:vAlign w:val="center"/>
          </w:tcPr>
          <w:p w14:paraId="122F1A99">
            <w:pPr>
              <w:jc w:val="center"/>
              <w:rPr>
                <w:snapToGrid w:val="0"/>
                <w:kern w:val="0"/>
                <w:sz w:val="21"/>
                <w:szCs w:val="21"/>
              </w:rPr>
            </w:pPr>
            <w:r>
              <w:rPr>
                <w:rFonts w:hint="eastAsia"/>
                <w:snapToGrid w:val="0"/>
                <w:kern w:val="0"/>
                <w:sz w:val="21"/>
                <w:szCs w:val="21"/>
              </w:rPr>
              <w:t>3.0-4.0</w:t>
            </w:r>
          </w:p>
        </w:tc>
      </w:tr>
      <w:tr w14:paraId="59C9DBEB">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35056D42">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2C3D5578">
            <w:pPr>
              <w:jc w:val="center"/>
              <w:rPr>
                <w:snapToGrid w:val="0"/>
                <w:kern w:val="0"/>
                <w:sz w:val="21"/>
                <w:szCs w:val="21"/>
              </w:rPr>
            </w:pPr>
          </w:p>
        </w:tc>
        <w:tc>
          <w:tcPr>
            <w:tcW w:w="1469" w:type="dxa"/>
            <w:vMerge w:val="continue"/>
            <w:tcBorders>
              <w:left w:val="single" w:color="000000" w:sz="2" w:space="0"/>
              <w:bottom w:val="single" w:color="auto" w:sz="4" w:space="0"/>
              <w:right w:val="single" w:color="auto" w:sz="8" w:space="0"/>
            </w:tcBorders>
            <w:vAlign w:val="center"/>
          </w:tcPr>
          <w:p w14:paraId="4804A3ED">
            <w:pPr>
              <w:jc w:val="center"/>
              <w:rPr>
                <w:snapToGrid w:val="0"/>
                <w:kern w:val="0"/>
                <w:sz w:val="21"/>
                <w:szCs w:val="21"/>
              </w:rPr>
            </w:pPr>
          </w:p>
        </w:tc>
        <w:tc>
          <w:tcPr>
            <w:tcW w:w="1174" w:type="dxa"/>
            <w:vMerge w:val="continue"/>
            <w:tcBorders>
              <w:left w:val="single" w:color="auto" w:sz="8" w:space="0"/>
              <w:bottom w:val="single" w:color="auto" w:sz="4" w:space="0"/>
              <w:right w:val="single" w:color="auto" w:sz="4" w:space="0"/>
            </w:tcBorders>
            <w:vAlign w:val="center"/>
          </w:tcPr>
          <w:p w14:paraId="751191F0">
            <w:pPr>
              <w:rPr>
                <w:snapToGrid w:val="0"/>
                <w:kern w:val="0"/>
                <w:sz w:val="21"/>
                <w:szCs w:val="21"/>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3E189208">
            <w:pPr>
              <w:rPr>
                <w:snapToGrid w:val="0"/>
                <w:kern w:val="0"/>
                <w:sz w:val="21"/>
                <w:szCs w:val="21"/>
              </w:rPr>
            </w:pPr>
            <w:r>
              <w:rPr>
                <w:rFonts w:hint="eastAsia"/>
                <w:snapToGrid w:val="0"/>
                <w:kern w:val="0"/>
                <w:sz w:val="21"/>
                <w:szCs w:val="21"/>
                <w:lang w:bidi="en-US"/>
              </w:rPr>
              <w:t>体系措施一般</w:t>
            </w:r>
          </w:p>
        </w:tc>
        <w:tc>
          <w:tcPr>
            <w:tcW w:w="1255" w:type="dxa"/>
            <w:tcBorders>
              <w:top w:val="single" w:color="auto" w:sz="4" w:space="0"/>
              <w:left w:val="single" w:color="auto" w:sz="4" w:space="0"/>
              <w:bottom w:val="single" w:color="auto" w:sz="4" w:space="0"/>
              <w:right w:val="single" w:color="auto" w:sz="8" w:space="0"/>
            </w:tcBorders>
            <w:vAlign w:val="center"/>
          </w:tcPr>
          <w:p w14:paraId="4FA721D6">
            <w:pPr>
              <w:jc w:val="center"/>
              <w:rPr>
                <w:snapToGrid w:val="0"/>
                <w:kern w:val="0"/>
                <w:sz w:val="21"/>
                <w:szCs w:val="21"/>
              </w:rPr>
            </w:pPr>
            <w:r>
              <w:rPr>
                <w:rFonts w:hint="eastAsia"/>
                <w:snapToGrid w:val="0"/>
                <w:kern w:val="0"/>
                <w:sz w:val="21"/>
                <w:szCs w:val="21"/>
              </w:rPr>
              <w:t>3.0</w:t>
            </w:r>
          </w:p>
        </w:tc>
      </w:tr>
      <w:tr w14:paraId="206D14A0">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3006A3A8">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09C14358">
            <w:pPr>
              <w:jc w:val="center"/>
              <w:rPr>
                <w:snapToGrid w:val="0"/>
                <w:kern w:val="0"/>
                <w:sz w:val="21"/>
                <w:szCs w:val="21"/>
              </w:rPr>
            </w:pPr>
          </w:p>
        </w:tc>
        <w:tc>
          <w:tcPr>
            <w:tcW w:w="1469" w:type="dxa"/>
            <w:vMerge w:val="restart"/>
            <w:tcBorders>
              <w:top w:val="single" w:color="auto" w:sz="4" w:space="0"/>
              <w:left w:val="single" w:color="000000" w:sz="2" w:space="0"/>
              <w:right w:val="single" w:color="auto" w:sz="8" w:space="0"/>
            </w:tcBorders>
            <w:vAlign w:val="center"/>
          </w:tcPr>
          <w:p w14:paraId="56413C3E">
            <w:pPr>
              <w:jc w:val="center"/>
              <w:rPr>
                <w:snapToGrid w:val="0"/>
                <w:kern w:val="0"/>
                <w:sz w:val="21"/>
                <w:szCs w:val="21"/>
              </w:rPr>
            </w:pPr>
            <w:r>
              <w:rPr>
                <w:rFonts w:hint="eastAsia"/>
                <w:snapToGrid w:val="0"/>
                <w:kern w:val="0"/>
                <w:sz w:val="21"/>
                <w:szCs w:val="21"/>
              </w:rPr>
              <w:t>环境保护、水土保持、文明施工保证措施</w:t>
            </w:r>
          </w:p>
        </w:tc>
        <w:tc>
          <w:tcPr>
            <w:tcW w:w="1174" w:type="dxa"/>
            <w:vMerge w:val="restart"/>
            <w:tcBorders>
              <w:top w:val="single" w:color="auto" w:sz="4" w:space="0"/>
              <w:left w:val="single" w:color="auto" w:sz="8" w:space="0"/>
              <w:right w:val="single" w:color="auto" w:sz="4" w:space="0"/>
            </w:tcBorders>
            <w:vAlign w:val="center"/>
          </w:tcPr>
          <w:p w14:paraId="1FB0F5FC">
            <w:pPr>
              <w:jc w:val="center"/>
              <w:rPr>
                <w:snapToGrid w:val="0"/>
                <w:kern w:val="0"/>
                <w:sz w:val="21"/>
                <w:szCs w:val="21"/>
              </w:rPr>
            </w:pPr>
            <w:r>
              <w:rPr>
                <w:rFonts w:hint="eastAsia"/>
                <w:snapToGrid w:val="0"/>
                <w:kern w:val="0"/>
                <w:sz w:val="21"/>
                <w:szCs w:val="21"/>
              </w:rPr>
              <w:t>4分</w:t>
            </w:r>
          </w:p>
        </w:tc>
        <w:tc>
          <w:tcPr>
            <w:tcW w:w="3699" w:type="dxa"/>
            <w:tcBorders>
              <w:top w:val="single" w:color="auto" w:sz="4" w:space="0"/>
              <w:left w:val="single" w:color="auto" w:sz="4" w:space="0"/>
              <w:bottom w:val="single" w:color="auto" w:sz="4" w:space="0"/>
              <w:right w:val="single" w:color="auto" w:sz="4" w:space="0"/>
            </w:tcBorders>
            <w:vAlign w:val="center"/>
          </w:tcPr>
          <w:p w14:paraId="62D987C1">
            <w:pPr>
              <w:rPr>
                <w:snapToGrid w:val="0"/>
                <w:kern w:val="0"/>
                <w:sz w:val="21"/>
                <w:szCs w:val="21"/>
              </w:rPr>
            </w:pPr>
            <w:r>
              <w:rPr>
                <w:rFonts w:hint="eastAsia"/>
                <w:snapToGrid w:val="0"/>
                <w:kern w:val="0"/>
                <w:sz w:val="21"/>
                <w:szCs w:val="21"/>
                <w:lang w:bidi="en-US"/>
              </w:rPr>
              <w:t>保证措施完整严密，且相应措施体系完善全面得当</w:t>
            </w:r>
          </w:p>
        </w:tc>
        <w:tc>
          <w:tcPr>
            <w:tcW w:w="1255" w:type="dxa"/>
            <w:tcBorders>
              <w:top w:val="single" w:color="auto" w:sz="4" w:space="0"/>
              <w:left w:val="single" w:color="auto" w:sz="4" w:space="0"/>
              <w:bottom w:val="single" w:color="auto" w:sz="4" w:space="0"/>
              <w:right w:val="single" w:color="auto" w:sz="8" w:space="0"/>
            </w:tcBorders>
            <w:vAlign w:val="center"/>
          </w:tcPr>
          <w:p w14:paraId="4E39F4B1">
            <w:pPr>
              <w:jc w:val="center"/>
              <w:rPr>
                <w:snapToGrid w:val="0"/>
                <w:kern w:val="0"/>
                <w:sz w:val="21"/>
                <w:szCs w:val="21"/>
              </w:rPr>
            </w:pPr>
            <w:r>
              <w:rPr>
                <w:rFonts w:hint="eastAsia"/>
                <w:snapToGrid w:val="0"/>
                <w:kern w:val="0"/>
                <w:sz w:val="21"/>
                <w:szCs w:val="21"/>
              </w:rPr>
              <w:t>3.2-4.0</w:t>
            </w:r>
          </w:p>
        </w:tc>
      </w:tr>
      <w:tr w14:paraId="7EA13B70">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13BD0E4D">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56DA6116">
            <w:pPr>
              <w:jc w:val="center"/>
              <w:rPr>
                <w:snapToGrid w:val="0"/>
                <w:kern w:val="0"/>
                <w:sz w:val="21"/>
                <w:szCs w:val="21"/>
              </w:rPr>
            </w:pPr>
          </w:p>
        </w:tc>
        <w:tc>
          <w:tcPr>
            <w:tcW w:w="1469" w:type="dxa"/>
            <w:vMerge w:val="continue"/>
            <w:tcBorders>
              <w:left w:val="single" w:color="000000" w:sz="2" w:space="0"/>
              <w:right w:val="single" w:color="auto" w:sz="8" w:space="0"/>
            </w:tcBorders>
            <w:vAlign w:val="center"/>
          </w:tcPr>
          <w:p w14:paraId="12CB5CEA">
            <w:pPr>
              <w:jc w:val="center"/>
              <w:rPr>
                <w:snapToGrid w:val="0"/>
                <w:kern w:val="0"/>
                <w:sz w:val="21"/>
                <w:szCs w:val="21"/>
              </w:rPr>
            </w:pPr>
          </w:p>
        </w:tc>
        <w:tc>
          <w:tcPr>
            <w:tcW w:w="1174" w:type="dxa"/>
            <w:vMerge w:val="continue"/>
            <w:tcBorders>
              <w:left w:val="single" w:color="auto" w:sz="8" w:space="0"/>
              <w:right w:val="single" w:color="auto" w:sz="4" w:space="0"/>
            </w:tcBorders>
            <w:vAlign w:val="center"/>
          </w:tcPr>
          <w:p w14:paraId="1EB84145">
            <w:pPr>
              <w:rPr>
                <w:snapToGrid w:val="0"/>
                <w:kern w:val="0"/>
                <w:sz w:val="21"/>
                <w:szCs w:val="21"/>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1DACB9C1">
            <w:pPr>
              <w:rPr>
                <w:snapToGrid w:val="0"/>
                <w:kern w:val="0"/>
                <w:sz w:val="21"/>
                <w:szCs w:val="21"/>
              </w:rPr>
            </w:pPr>
            <w:r>
              <w:rPr>
                <w:rFonts w:hint="eastAsia"/>
                <w:snapToGrid w:val="0"/>
                <w:kern w:val="0"/>
                <w:sz w:val="21"/>
                <w:szCs w:val="21"/>
                <w:lang w:bidi="en-US"/>
              </w:rPr>
              <w:t>保证措施较完善</w:t>
            </w:r>
          </w:p>
        </w:tc>
        <w:tc>
          <w:tcPr>
            <w:tcW w:w="1255" w:type="dxa"/>
            <w:tcBorders>
              <w:top w:val="single" w:color="auto" w:sz="4" w:space="0"/>
              <w:left w:val="single" w:color="auto" w:sz="4" w:space="0"/>
              <w:bottom w:val="single" w:color="auto" w:sz="4" w:space="0"/>
              <w:right w:val="single" w:color="auto" w:sz="8" w:space="0"/>
            </w:tcBorders>
            <w:vAlign w:val="center"/>
          </w:tcPr>
          <w:p w14:paraId="065ED1BF">
            <w:pPr>
              <w:jc w:val="center"/>
              <w:rPr>
                <w:snapToGrid w:val="0"/>
                <w:kern w:val="0"/>
                <w:sz w:val="21"/>
                <w:szCs w:val="21"/>
              </w:rPr>
            </w:pPr>
            <w:r>
              <w:rPr>
                <w:rFonts w:hint="eastAsia"/>
                <w:snapToGrid w:val="0"/>
                <w:kern w:val="0"/>
                <w:sz w:val="21"/>
                <w:szCs w:val="21"/>
              </w:rPr>
              <w:t>2.4-3.2</w:t>
            </w:r>
          </w:p>
        </w:tc>
      </w:tr>
      <w:tr w14:paraId="4F2905FA">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0A723A97">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5B3E72EB">
            <w:pPr>
              <w:jc w:val="center"/>
              <w:rPr>
                <w:snapToGrid w:val="0"/>
                <w:kern w:val="0"/>
                <w:sz w:val="21"/>
                <w:szCs w:val="21"/>
              </w:rPr>
            </w:pPr>
          </w:p>
        </w:tc>
        <w:tc>
          <w:tcPr>
            <w:tcW w:w="1469" w:type="dxa"/>
            <w:vMerge w:val="continue"/>
            <w:tcBorders>
              <w:left w:val="single" w:color="000000" w:sz="2" w:space="0"/>
              <w:bottom w:val="single" w:color="auto" w:sz="4" w:space="0"/>
              <w:right w:val="single" w:color="auto" w:sz="8" w:space="0"/>
            </w:tcBorders>
            <w:vAlign w:val="center"/>
          </w:tcPr>
          <w:p w14:paraId="05CB86D4">
            <w:pPr>
              <w:jc w:val="center"/>
              <w:rPr>
                <w:snapToGrid w:val="0"/>
                <w:kern w:val="0"/>
                <w:sz w:val="21"/>
                <w:szCs w:val="21"/>
              </w:rPr>
            </w:pPr>
          </w:p>
        </w:tc>
        <w:tc>
          <w:tcPr>
            <w:tcW w:w="1174" w:type="dxa"/>
            <w:vMerge w:val="continue"/>
            <w:tcBorders>
              <w:left w:val="single" w:color="auto" w:sz="8" w:space="0"/>
              <w:bottom w:val="single" w:color="auto" w:sz="4" w:space="0"/>
              <w:right w:val="single" w:color="auto" w:sz="4" w:space="0"/>
            </w:tcBorders>
            <w:vAlign w:val="center"/>
          </w:tcPr>
          <w:p w14:paraId="6C00243E">
            <w:pPr>
              <w:rPr>
                <w:snapToGrid w:val="0"/>
                <w:kern w:val="0"/>
                <w:sz w:val="21"/>
                <w:szCs w:val="21"/>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5C7B4553">
            <w:pPr>
              <w:rPr>
                <w:snapToGrid w:val="0"/>
                <w:kern w:val="0"/>
                <w:sz w:val="21"/>
                <w:szCs w:val="21"/>
              </w:rPr>
            </w:pPr>
            <w:r>
              <w:rPr>
                <w:rFonts w:hint="eastAsia"/>
                <w:snapToGrid w:val="0"/>
                <w:kern w:val="0"/>
                <w:sz w:val="21"/>
                <w:szCs w:val="21"/>
                <w:lang w:bidi="en-US"/>
              </w:rPr>
              <w:t>保证措施一般</w:t>
            </w:r>
          </w:p>
        </w:tc>
        <w:tc>
          <w:tcPr>
            <w:tcW w:w="1255" w:type="dxa"/>
            <w:tcBorders>
              <w:top w:val="single" w:color="auto" w:sz="4" w:space="0"/>
              <w:left w:val="single" w:color="auto" w:sz="4" w:space="0"/>
              <w:bottom w:val="single" w:color="auto" w:sz="4" w:space="0"/>
              <w:right w:val="single" w:color="auto" w:sz="8" w:space="0"/>
            </w:tcBorders>
            <w:vAlign w:val="center"/>
          </w:tcPr>
          <w:p w14:paraId="001F6316">
            <w:pPr>
              <w:jc w:val="center"/>
              <w:rPr>
                <w:snapToGrid w:val="0"/>
                <w:kern w:val="0"/>
                <w:sz w:val="21"/>
                <w:szCs w:val="21"/>
              </w:rPr>
            </w:pPr>
            <w:r>
              <w:rPr>
                <w:rFonts w:hint="eastAsia"/>
                <w:snapToGrid w:val="0"/>
                <w:kern w:val="0"/>
                <w:sz w:val="21"/>
                <w:szCs w:val="21"/>
              </w:rPr>
              <w:t>2.4</w:t>
            </w:r>
          </w:p>
        </w:tc>
      </w:tr>
      <w:tr w14:paraId="6EBA6E5E">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73D7307E">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216C56D9">
            <w:pPr>
              <w:jc w:val="center"/>
              <w:rPr>
                <w:snapToGrid w:val="0"/>
                <w:kern w:val="0"/>
                <w:sz w:val="21"/>
                <w:szCs w:val="21"/>
              </w:rPr>
            </w:pPr>
          </w:p>
        </w:tc>
        <w:tc>
          <w:tcPr>
            <w:tcW w:w="1469" w:type="dxa"/>
            <w:vMerge w:val="restart"/>
            <w:tcBorders>
              <w:left w:val="single" w:color="000000" w:sz="2" w:space="0"/>
              <w:right w:val="single" w:color="auto" w:sz="8" w:space="0"/>
            </w:tcBorders>
            <w:vAlign w:val="center"/>
          </w:tcPr>
          <w:p w14:paraId="544C8D16">
            <w:pPr>
              <w:jc w:val="center"/>
              <w:rPr>
                <w:snapToGrid w:val="0"/>
                <w:kern w:val="0"/>
                <w:sz w:val="21"/>
                <w:szCs w:val="21"/>
              </w:rPr>
            </w:pPr>
            <w:r>
              <w:rPr>
                <w:rFonts w:hint="eastAsia"/>
                <w:snapToGrid w:val="0"/>
                <w:kern w:val="0"/>
                <w:sz w:val="21"/>
                <w:szCs w:val="21"/>
                <w:lang w:bidi="en-US"/>
              </w:rPr>
              <w:t>项目风险预测与防范及应急预案</w:t>
            </w:r>
          </w:p>
        </w:tc>
        <w:tc>
          <w:tcPr>
            <w:tcW w:w="1174" w:type="dxa"/>
            <w:vMerge w:val="restart"/>
            <w:tcBorders>
              <w:left w:val="single" w:color="auto" w:sz="8" w:space="0"/>
              <w:right w:val="single" w:color="auto" w:sz="4" w:space="0"/>
            </w:tcBorders>
            <w:vAlign w:val="center"/>
          </w:tcPr>
          <w:p w14:paraId="17CD5F0F">
            <w:pPr>
              <w:jc w:val="center"/>
              <w:rPr>
                <w:snapToGrid w:val="0"/>
                <w:kern w:val="0"/>
                <w:sz w:val="21"/>
                <w:szCs w:val="21"/>
                <w:lang w:bidi="en-US"/>
              </w:rPr>
            </w:pPr>
            <w:r>
              <w:rPr>
                <w:rFonts w:hint="eastAsia"/>
                <w:snapToGrid w:val="0"/>
                <w:kern w:val="0"/>
                <w:sz w:val="21"/>
                <w:szCs w:val="21"/>
              </w:rPr>
              <w:t>4分</w:t>
            </w:r>
          </w:p>
        </w:tc>
        <w:tc>
          <w:tcPr>
            <w:tcW w:w="3699" w:type="dxa"/>
            <w:tcBorders>
              <w:top w:val="single" w:color="auto" w:sz="4" w:space="0"/>
              <w:left w:val="single" w:color="auto" w:sz="4" w:space="0"/>
              <w:bottom w:val="single" w:color="auto" w:sz="4" w:space="0"/>
              <w:right w:val="single" w:color="auto" w:sz="4" w:space="0"/>
            </w:tcBorders>
            <w:vAlign w:val="center"/>
          </w:tcPr>
          <w:p w14:paraId="3CC482AA">
            <w:pPr>
              <w:rPr>
                <w:snapToGrid w:val="0"/>
                <w:kern w:val="0"/>
                <w:sz w:val="21"/>
                <w:szCs w:val="21"/>
                <w:lang w:bidi="en-US"/>
              </w:rPr>
            </w:pPr>
            <w:r>
              <w:rPr>
                <w:rFonts w:hint="eastAsia"/>
                <w:snapToGrid w:val="0"/>
                <w:kern w:val="0"/>
                <w:sz w:val="21"/>
                <w:szCs w:val="21"/>
                <w:lang w:bidi="en-US"/>
              </w:rPr>
              <w:t>有全面合理的应急预案，且相应预测与防范完善得当</w:t>
            </w:r>
          </w:p>
        </w:tc>
        <w:tc>
          <w:tcPr>
            <w:tcW w:w="1255" w:type="dxa"/>
            <w:tcBorders>
              <w:top w:val="single" w:color="auto" w:sz="4" w:space="0"/>
              <w:left w:val="single" w:color="auto" w:sz="4" w:space="0"/>
              <w:bottom w:val="single" w:color="auto" w:sz="4" w:space="0"/>
              <w:right w:val="single" w:color="auto" w:sz="8" w:space="0"/>
            </w:tcBorders>
            <w:vAlign w:val="center"/>
          </w:tcPr>
          <w:p w14:paraId="59D580C8">
            <w:pPr>
              <w:jc w:val="center"/>
              <w:rPr>
                <w:snapToGrid w:val="0"/>
                <w:kern w:val="0"/>
                <w:sz w:val="21"/>
                <w:szCs w:val="21"/>
              </w:rPr>
            </w:pPr>
            <w:r>
              <w:rPr>
                <w:rFonts w:hint="eastAsia"/>
                <w:snapToGrid w:val="0"/>
                <w:kern w:val="0"/>
                <w:sz w:val="21"/>
                <w:szCs w:val="21"/>
              </w:rPr>
              <w:t>3.2-4.0</w:t>
            </w:r>
          </w:p>
        </w:tc>
      </w:tr>
      <w:tr w14:paraId="1A273C1B">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0128F3B4">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1B19F511">
            <w:pPr>
              <w:jc w:val="center"/>
              <w:rPr>
                <w:snapToGrid w:val="0"/>
                <w:kern w:val="0"/>
                <w:sz w:val="21"/>
                <w:szCs w:val="21"/>
              </w:rPr>
            </w:pPr>
          </w:p>
        </w:tc>
        <w:tc>
          <w:tcPr>
            <w:tcW w:w="1469" w:type="dxa"/>
            <w:vMerge w:val="continue"/>
            <w:tcBorders>
              <w:left w:val="single" w:color="000000" w:sz="2" w:space="0"/>
              <w:right w:val="single" w:color="auto" w:sz="8" w:space="0"/>
            </w:tcBorders>
            <w:vAlign w:val="center"/>
          </w:tcPr>
          <w:p w14:paraId="4DDB5B40">
            <w:pPr>
              <w:jc w:val="center"/>
              <w:rPr>
                <w:snapToGrid w:val="0"/>
                <w:kern w:val="0"/>
                <w:sz w:val="21"/>
                <w:szCs w:val="21"/>
              </w:rPr>
            </w:pPr>
          </w:p>
        </w:tc>
        <w:tc>
          <w:tcPr>
            <w:tcW w:w="1174" w:type="dxa"/>
            <w:vMerge w:val="continue"/>
            <w:tcBorders>
              <w:left w:val="single" w:color="auto" w:sz="8" w:space="0"/>
              <w:right w:val="single" w:color="auto" w:sz="4" w:space="0"/>
            </w:tcBorders>
            <w:vAlign w:val="center"/>
          </w:tcPr>
          <w:p w14:paraId="734895EE">
            <w:pPr>
              <w:rPr>
                <w:snapToGrid w:val="0"/>
                <w:kern w:val="0"/>
                <w:sz w:val="21"/>
                <w:szCs w:val="21"/>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42ACAE5E">
            <w:pPr>
              <w:rPr>
                <w:snapToGrid w:val="0"/>
                <w:kern w:val="0"/>
                <w:sz w:val="21"/>
                <w:szCs w:val="21"/>
                <w:lang w:bidi="en-US"/>
              </w:rPr>
            </w:pPr>
            <w:r>
              <w:rPr>
                <w:rFonts w:hint="eastAsia"/>
                <w:snapToGrid w:val="0"/>
                <w:kern w:val="0"/>
                <w:sz w:val="21"/>
                <w:szCs w:val="21"/>
                <w:lang w:bidi="en-US"/>
              </w:rPr>
              <w:t>应急预案较合理</w:t>
            </w:r>
          </w:p>
        </w:tc>
        <w:tc>
          <w:tcPr>
            <w:tcW w:w="1255" w:type="dxa"/>
            <w:tcBorders>
              <w:top w:val="single" w:color="auto" w:sz="4" w:space="0"/>
              <w:left w:val="single" w:color="auto" w:sz="4" w:space="0"/>
              <w:bottom w:val="single" w:color="auto" w:sz="4" w:space="0"/>
              <w:right w:val="single" w:color="auto" w:sz="8" w:space="0"/>
            </w:tcBorders>
            <w:vAlign w:val="center"/>
          </w:tcPr>
          <w:p w14:paraId="75AA1CFE">
            <w:pPr>
              <w:jc w:val="center"/>
              <w:rPr>
                <w:snapToGrid w:val="0"/>
                <w:kern w:val="0"/>
                <w:sz w:val="21"/>
                <w:szCs w:val="21"/>
              </w:rPr>
            </w:pPr>
            <w:r>
              <w:rPr>
                <w:rFonts w:hint="eastAsia"/>
                <w:snapToGrid w:val="0"/>
                <w:kern w:val="0"/>
                <w:sz w:val="21"/>
                <w:szCs w:val="21"/>
              </w:rPr>
              <w:t>2.4-3.2</w:t>
            </w:r>
          </w:p>
        </w:tc>
      </w:tr>
      <w:tr w14:paraId="6DEE97D8">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6E3986C9">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2FF4C8F4">
            <w:pPr>
              <w:jc w:val="center"/>
              <w:rPr>
                <w:snapToGrid w:val="0"/>
                <w:kern w:val="0"/>
                <w:sz w:val="21"/>
                <w:szCs w:val="21"/>
              </w:rPr>
            </w:pPr>
          </w:p>
        </w:tc>
        <w:tc>
          <w:tcPr>
            <w:tcW w:w="1469" w:type="dxa"/>
            <w:vMerge w:val="continue"/>
            <w:tcBorders>
              <w:left w:val="single" w:color="000000" w:sz="2" w:space="0"/>
              <w:bottom w:val="single" w:color="auto" w:sz="4" w:space="0"/>
              <w:right w:val="single" w:color="auto" w:sz="8" w:space="0"/>
            </w:tcBorders>
            <w:vAlign w:val="center"/>
          </w:tcPr>
          <w:p w14:paraId="5CCDFCE6">
            <w:pPr>
              <w:jc w:val="center"/>
              <w:rPr>
                <w:snapToGrid w:val="0"/>
                <w:kern w:val="0"/>
                <w:sz w:val="21"/>
                <w:szCs w:val="21"/>
              </w:rPr>
            </w:pPr>
          </w:p>
        </w:tc>
        <w:tc>
          <w:tcPr>
            <w:tcW w:w="1174" w:type="dxa"/>
            <w:vMerge w:val="continue"/>
            <w:tcBorders>
              <w:left w:val="single" w:color="auto" w:sz="8" w:space="0"/>
              <w:bottom w:val="single" w:color="auto" w:sz="4" w:space="0"/>
              <w:right w:val="single" w:color="auto" w:sz="4" w:space="0"/>
            </w:tcBorders>
            <w:vAlign w:val="center"/>
          </w:tcPr>
          <w:p w14:paraId="656BEF99">
            <w:pPr>
              <w:rPr>
                <w:snapToGrid w:val="0"/>
                <w:kern w:val="0"/>
                <w:sz w:val="21"/>
                <w:szCs w:val="21"/>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78D3BDEF">
            <w:pPr>
              <w:rPr>
                <w:snapToGrid w:val="0"/>
                <w:kern w:val="0"/>
                <w:sz w:val="21"/>
                <w:szCs w:val="21"/>
                <w:lang w:bidi="en-US"/>
              </w:rPr>
            </w:pPr>
            <w:r>
              <w:rPr>
                <w:rFonts w:hint="eastAsia"/>
                <w:snapToGrid w:val="0"/>
                <w:kern w:val="0"/>
                <w:sz w:val="21"/>
                <w:szCs w:val="21"/>
                <w:lang w:bidi="en-US"/>
              </w:rPr>
              <w:t>应急预案基本满足要求</w:t>
            </w:r>
          </w:p>
        </w:tc>
        <w:tc>
          <w:tcPr>
            <w:tcW w:w="1255" w:type="dxa"/>
            <w:tcBorders>
              <w:top w:val="single" w:color="auto" w:sz="4" w:space="0"/>
              <w:left w:val="single" w:color="auto" w:sz="4" w:space="0"/>
              <w:bottom w:val="single" w:color="auto" w:sz="4" w:space="0"/>
              <w:right w:val="single" w:color="auto" w:sz="8" w:space="0"/>
            </w:tcBorders>
            <w:vAlign w:val="center"/>
          </w:tcPr>
          <w:p w14:paraId="6E2A759A">
            <w:pPr>
              <w:jc w:val="center"/>
              <w:rPr>
                <w:snapToGrid w:val="0"/>
                <w:kern w:val="0"/>
                <w:sz w:val="21"/>
                <w:szCs w:val="21"/>
              </w:rPr>
            </w:pPr>
            <w:r>
              <w:rPr>
                <w:rFonts w:hint="eastAsia"/>
                <w:snapToGrid w:val="0"/>
                <w:kern w:val="0"/>
                <w:sz w:val="21"/>
                <w:szCs w:val="21"/>
              </w:rPr>
              <w:t>2.4</w:t>
            </w:r>
          </w:p>
        </w:tc>
      </w:tr>
      <w:tr w14:paraId="5C6622F7">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75441FE5">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518879B8">
            <w:pPr>
              <w:jc w:val="center"/>
              <w:rPr>
                <w:snapToGrid w:val="0"/>
                <w:kern w:val="0"/>
                <w:sz w:val="21"/>
                <w:szCs w:val="21"/>
              </w:rPr>
            </w:pPr>
          </w:p>
        </w:tc>
        <w:tc>
          <w:tcPr>
            <w:tcW w:w="1469" w:type="dxa"/>
            <w:vMerge w:val="restart"/>
            <w:tcBorders>
              <w:top w:val="single" w:color="auto" w:sz="4" w:space="0"/>
              <w:left w:val="single" w:color="000000" w:sz="2" w:space="0"/>
              <w:right w:val="single" w:color="auto" w:sz="4" w:space="0"/>
            </w:tcBorders>
            <w:vAlign w:val="center"/>
          </w:tcPr>
          <w:p w14:paraId="7BB2667A">
            <w:pPr>
              <w:jc w:val="center"/>
              <w:rPr>
                <w:snapToGrid w:val="0"/>
                <w:kern w:val="0"/>
                <w:sz w:val="21"/>
                <w:szCs w:val="21"/>
              </w:rPr>
            </w:pPr>
            <w:r>
              <w:rPr>
                <w:rFonts w:hint="eastAsia"/>
                <w:snapToGrid w:val="0"/>
                <w:kern w:val="0"/>
                <w:sz w:val="21"/>
                <w:szCs w:val="21"/>
              </w:rPr>
              <w:t>交通组织方案</w:t>
            </w:r>
          </w:p>
        </w:tc>
        <w:tc>
          <w:tcPr>
            <w:tcW w:w="1174" w:type="dxa"/>
            <w:vMerge w:val="restart"/>
            <w:tcBorders>
              <w:top w:val="single" w:color="auto" w:sz="4" w:space="0"/>
              <w:left w:val="single" w:color="auto" w:sz="4" w:space="0"/>
              <w:right w:val="single" w:color="auto" w:sz="4" w:space="0"/>
            </w:tcBorders>
            <w:vAlign w:val="center"/>
          </w:tcPr>
          <w:p w14:paraId="06123FF9">
            <w:pPr>
              <w:jc w:val="center"/>
              <w:rPr>
                <w:snapToGrid w:val="0"/>
                <w:kern w:val="0"/>
                <w:sz w:val="21"/>
                <w:szCs w:val="21"/>
              </w:rPr>
            </w:pPr>
            <w:r>
              <w:rPr>
                <w:rFonts w:hint="eastAsia"/>
                <w:snapToGrid w:val="0"/>
                <w:kern w:val="0"/>
                <w:sz w:val="21"/>
                <w:szCs w:val="21"/>
              </w:rPr>
              <w:t>4分</w:t>
            </w:r>
          </w:p>
        </w:tc>
        <w:tc>
          <w:tcPr>
            <w:tcW w:w="3699" w:type="dxa"/>
            <w:tcBorders>
              <w:top w:val="single" w:color="auto" w:sz="4" w:space="0"/>
              <w:left w:val="single" w:color="auto" w:sz="4" w:space="0"/>
              <w:bottom w:val="single" w:color="auto" w:sz="4" w:space="0"/>
              <w:right w:val="single" w:color="auto" w:sz="4" w:space="0"/>
            </w:tcBorders>
            <w:vAlign w:val="center"/>
          </w:tcPr>
          <w:p w14:paraId="052CEB6F">
            <w:pPr>
              <w:rPr>
                <w:snapToGrid w:val="0"/>
                <w:kern w:val="0"/>
                <w:sz w:val="21"/>
                <w:szCs w:val="21"/>
              </w:rPr>
            </w:pPr>
            <w:r>
              <w:rPr>
                <w:rFonts w:hint="eastAsia"/>
                <w:snapToGrid w:val="0"/>
                <w:kern w:val="0"/>
                <w:sz w:val="21"/>
                <w:szCs w:val="21"/>
                <w:lang w:bidi="en-US"/>
              </w:rPr>
              <w:t>方案合理、完善</w:t>
            </w:r>
          </w:p>
        </w:tc>
        <w:tc>
          <w:tcPr>
            <w:tcW w:w="1255" w:type="dxa"/>
            <w:tcBorders>
              <w:top w:val="single" w:color="auto" w:sz="4" w:space="0"/>
              <w:left w:val="single" w:color="auto" w:sz="4" w:space="0"/>
              <w:bottom w:val="single" w:color="auto" w:sz="4" w:space="0"/>
              <w:right w:val="single" w:color="auto" w:sz="8" w:space="0"/>
            </w:tcBorders>
            <w:vAlign w:val="center"/>
          </w:tcPr>
          <w:p w14:paraId="2750A8BD">
            <w:pPr>
              <w:jc w:val="center"/>
              <w:rPr>
                <w:snapToGrid w:val="0"/>
                <w:kern w:val="0"/>
                <w:sz w:val="21"/>
                <w:szCs w:val="21"/>
              </w:rPr>
            </w:pPr>
            <w:r>
              <w:rPr>
                <w:rFonts w:hint="eastAsia"/>
                <w:snapToGrid w:val="0"/>
                <w:kern w:val="0"/>
                <w:sz w:val="21"/>
                <w:szCs w:val="21"/>
              </w:rPr>
              <w:t>3.2-4.0</w:t>
            </w:r>
          </w:p>
        </w:tc>
      </w:tr>
      <w:tr w14:paraId="1C31EBFA">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5558426F">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35F97AF6">
            <w:pPr>
              <w:jc w:val="center"/>
              <w:rPr>
                <w:snapToGrid w:val="0"/>
                <w:kern w:val="0"/>
                <w:sz w:val="21"/>
                <w:szCs w:val="21"/>
              </w:rPr>
            </w:pPr>
          </w:p>
        </w:tc>
        <w:tc>
          <w:tcPr>
            <w:tcW w:w="1469" w:type="dxa"/>
            <w:vMerge w:val="continue"/>
            <w:tcBorders>
              <w:left w:val="single" w:color="000000" w:sz="2" w:space="0"/>
              <w:right w:val="single" w:color="auto" w:sz="4" w:space="0"/>
            </w:tcBorders>
            <w:vAlign w:val="center"/>
          </w:tcPr>
          <w:p w14:paraId="3EEEF2A7">
            <w:pPr>
              <w:jc w:val="center"/>
              <w:rPr>
                <w:snapToGrid w:val="0"/>
                <w:kern w:val="0"/>
                <w:sz w:val="21"/>
                <w:szCs w:val="21"/>
              </w:rPr>
            </w:pPr>
          </w:p>
        </w:tc>
        <w:tc>
          <w:tcPr>
            <w:tcW w:w="1174" w:type="dxa"/>
            <w:vMerge w:val="continue"/>
            <w:tcBorders>
              <w:left w:val="single" w:color="auto" w:sz="4" w:space="0"/>
              <w:right w:val="single" w:color="auto" w:sz="4" w:space="0"/>
            </w:tcBorders>
            <w:vAlign w:val="center"/>
          </w:tcPr>
          <w:p w14:paraId="6FDFCEDA">
            <w:pPr>
              <w:jc w:val="center"/>
              <w:rPr>
                <w:snapToGrid w:val="0"/>
                <w:kern w:val="0"/>
                <w:sz w:val="21"/>
                <w:szCs w:val="21"/>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780F6765">
            <w:pPr>
              <w:rPr>
                <w:snapToGrid w:val="0"/>
                <w:kern w:val="0"/>
                <w:sz w:val="21"/>
                <w:szCs w:val="21"/>
              </w:rPr>
            </w:pPr>
            <w:r>
              <w:rPr>
                <w:rFonts w:hint="eastAsia"/>
                <w:snapToGrid w:val="0"/>
                <w:kern w:val="0"/>
                <w:sz w:val="21"/>
                <w:szCs w:val="21"/>
                <w:lang w:bidi="en-US"/>
              </w:rPr>
              <w:t>方案较合理、较完善</w:t>
            </w:r>
          </w:p>
        </w:tc>
        <w:tc>
          <w:tcPr>
            <w:tcW w:w="1255" w:type="dxa"/>
            <w:tcBorders>
              <w:top w:val="single" w:color="auto" w:sz="4" w:space="0"/>
              <w:left w:val="single" w:color="auto" w:sz="4" w:space="0"/>
              <w:bottom w:val="single" w:color="auto" w:sz="4" w:space="0"/>
              <w:right w:val="single" w:color="auto" w:sz="8" w:space="0"/>
            </w:tcBorders>
            <w:vAlign w:val="center"/>
          </w:tcPr>
          <w:p w14:paraId="01FE849B">
            <w:pPr>
              <w:jc w:val="center"/>
              <w:rPr>
                <w:snapToGrid w:val="0"/>
                <w:kern w:val="0"/>
                <w:sz w:val="21"/>
                <w:szCs w:val="21"/>
              </w:rPr>
            </w:pPr>
            <w:r>
              <w:rPr>
                <w:rFonts w:hint="eastAsia"/>
                <w:snapToGrid w:val="0"/>
                <w:kern w:val="0"/>
                <w:sz w:val="21"/>
                <w:szCs w:val="21"/>
              </w:rPr>
              <w:t>2.4-3.2</w:t>
            </w:r>
          </w:p>
        </w:tc>
      </w:tr>
      <w:tr w14:paraId="572DB395">
        <w:tblPrEx>
          <w:tblCellMar>
            <w:top w:w="0" w:type="dxa"/>
            <w:left w:w="108" w:type="dxa"/>
            <w:bottom w:w="0" w:type="dxa"/>
            <w:right w:w="108" w:type="dxa"/>
          </w:tblCellMar>
        </w:tblPrEx>
        <w:trPr>
          <w:trHeight w:val="283" w:hRule="atLeast"/>
          <w:jc w:val="center"/>
        </w:trPr>
        <w:tc>
          <w:tcPr>
            <w:tcW w:w="846" w:type="dxa"/>
            <w:vMerge w:val="continue"/>
            <w:tcBorders>
              <w:top w:val="single" w:color="000000" w:sz="2" w:space="0"/>
              <w:left w:val="single" w:color="000000" w:sz="2" w:space="0"/>
              <w:bottom w:val="single" w:color="000000" w:sz="2" w:space="0"/>
              <w:right w:val="single" w:color="auto" w:sz="4" w:space="0"/>
            </w:tcBorders>
            <w:vAlign w:val="center"/>
          </w:tcPr>
          <w:p w14:paraId="42369C1B">
            <w:pPr>
              <w:jc w:val="center"/>
              <w:rPr>
                <w:snapToGrid w:val="0"/>
                <w:kern w:val="0"/>
                <w:sz w:val="21"/>
                <w:szCs w:val="21"/>
              </w:rPr>
            </w:pPr>
          </w:p>
        </w:tc>
        <w:tc>
          <w:tcPr>
            <w:tcW w:w="1762" w:type="dxa"/>
            <w:vMerge w:val="continue"/>
            <w:tcBorders>
              <w:top w:val="single" w:color="000000" w:sz="2" w:space="0"/>
              <w:left w:val="single" w:color="auto" w:sz="4" w:space="0"/>
              <w:bottom w:val="single" w:color="000000" w:sz="2" w:space="0"/>
              <w:right w:val="single" w:color="000000" w:sz="2" w:space="0"/>
            </w:tcBorders>
            <w:vAlign w:val="center"/>
          </w:tcPr>
          <w:p w14:paraId="440F90D3">
            <w:pPr>
              <w:jc w:val="center"/>
              <w:rPr>
                <w:snapToGrid w:val="0"/>
                <w:kern w:val="0"/>
                <w:sz w:val="21"/>
                <w:szCs w:val="21"/>
              </w:rPr>
            </w:pPr>
          </w:p>
        </w:tc>
        <w:tc>
          <w:tcPr>
            <w:tcW w:w="1469" w:type="dxa"/>
            <w:vMerge w:val="continue"/>
            <w:tcBorders>
              <w:left w:val="single" w:color="000000" w:sz="2" w:space="0"/>
              <w:bottom w:val="single" w:color="auto" w:sz="4" w:space="0"/>
              <w:right w:val="single" w:color="auto" w:sz="4" w:space="0"/>
            </w:tcBorders>
            <w:vAlign w:val="center"/>
          </w:tcPr>
          <w:p w14:paraId="2433C067">
            <w:pPr>
              <w:jc w:val="center"/>
              <w:rPr>
                <w:snapToGrid w:val="0"/>
                <w:kern w:val="0"/>
                <w:sz w:val="21"/>
                <w:szCs w:val="21"/>
              </w:rPr>
            </w:pPr>
          </w:p>
        </w:tc>
        <w:tc>
          <w:tcPr>
            <w:tcW w:w="1174" w:type="dxa"/>
            <w:vMerge w:val="continue"/>
            <w:tcBorders>
              <w:left w:val="single" w:color="auto" w:sz="4" w:space="0"/>
              <w:bottom w:val="single" w:color="auto" w:sz="4" w:space="0"/>
              <w:right w:val="single" w:color="auto" w:sz="4" w:space="0"/>
            </w:tcBorders>
            <w:vAlign w:val="center"/>
          </w:tcPr>
          <w:p w14:paraId="7068E969">
            <w:pPr>
              <w:jc w:val="center"/>
              <w:rPr>
                <w:snapToGrid w:val="0"/>
                <w:kern w:val="0"/>
                <w:sz w:val="21"/>
                <w:szCs w:val="21"/>
                <w:lang w:bidi="en-US"/>
              </w:rPr>
            </w:pPr>
          </w:p>
        </w:tc>
        <w:tc>
          <w:tcPr>
            <w:tcW w:w="3699" w:type="dxa"/>
            <w:tcBorders>
              <w:top w:val="single" w:color="auto" w:sz="4" w:space="0"/>
              <w:left w:val="single" w:color="auto" w:sz="4" w:space="0"/>
              <w:bottom w:val="single" w:color="auto" w:sz="4" w:space="0"/>
              <w:right w:val="single" w:color="auto" w:sz="4" w:space="0"/>
            </w:tcBorders>
            <w:vAlign w:val="center"/>
          </w:tcPr>
          <w:p w14:paraId="03CF519E">
            <w:pPr>
              <w:rPr>
                <w:snapToGrid w:val="0"/>
                <w:kern w:val="0"/>
                <w:sz w:val="21"/>
                <w:szCs w:val="21"/>
              </w:rPr>
            </w:pPr>
            <w:r>
              <w:rPr>
                <w:rFonts w:hint="eastAsia"/>
                <w:snapToGrid w:val="0"/>
                <w:kern w:val="0"/>
                <w:sz w:val="21"/>
                <w:szCs w:val="21"/>
                <w:lang w:bidi="en-US"/>
              </w:rPr>
              <w:t>方案基本满足要求</w:t>
            </w:r>
          </w:p>
        </w:tc>
        <w:tc>
          <w:tcPr>
            <w:tcW w:w="1255" w:type="dxa"/>
            <w:tcBorders>
              <w:top w:val="single" w:color="auto" w:sz="4" w:space="0"/>
              <w:left w:val="single" w:color="auto" w:sz="4" w:space="0"/>
              <w:bottom w:val="single" w:color="auto" w:sz="4" w:space="0"/>
              <w:right w:val="single" w:color="auto" w:sz="8" w:space="0"/>
            </w:tcBorders>
            <w:vAlign w:val="center"/>
          </w:tcPr>
          <w:p w14:paraId="437AC03D">
            <w:pPr>
              <w:jc w:val="center"/>
              <w:rPr>
                <w:snapToGrid w:val="0"/>
                <w:kern w:val="0"/>
                <w:sz w:val="21"/>
                <w:szCs w:val="21"/>
              </w:rPr>
            </w:pPr>
            <w:r>
              <w:rPr>
                <w:rFonts w:hint="eastAsia"/>
                <w:snapToGrid w:val="0"/>
                <w:kern w:val="0"/>
                <w:sz w:val="21"/>
                <w:szCs w:val="21"/>
              </w:rPr>
              <w:t>2.4</w:t>
            </w:r>
          </w:p>
        </w:tc>
      </w:tr>
      <w:tr w14:paraId="345233C4">
        <w:tblPrEx>
          <w:tblCellMar>
            <w:top w:w="0" w:type="dxa"/>
            <w:left w:w="108" w:type="dxa"/>
            <w:bottom w:w="0" w:type="dxa"/>
            <w:right w:w="108" w:type="dxa"/>
          </w:tblCellMar>
        </w:tblPrEx>
        <w:trPr>
          <w:trHeight w:val="283" w:hRule="atLeast"/>
          <w:jc w:val="center"/>
        </w:trPr>
        <w:tc>
          <w:tcPr>
            <w:tcW w:w="846" w:type="dxa"/>
            <w:vMerge w:val="restart"/>
            <w:tcBorders>
              <w:top w:val="single" w:color="000000" w:sz="2" w:space="0"/>
              <w:left w:val="single" w:color="auto" w:sz="8" w:space="0"/>
              <w:right w:val="single" w:color="auto" w:sz="8" w:space="0"/>
            </w:tcBorders>
            <w:vAlign w:val="center"/>
          </w:tcPr>
          <w:p w14:paraId="0F4F49A7">
            <w:pPr>
              <w:jc w:val="center"/>
              <w:rPr>
                <w:snapToGrid w:val="0"/>
                <w:kern w:val="0"/>
                <w:sz w:val="21"/>
                <w:szCs w:val="21"/>
              </w:rPr>
            </w:pPr>
            <w:r>
              <w:rPr>
                <w:rFonts w:hint="eastAsia"/>
                <w:snapToGrid w:val="0"/>
                <w:kern w:val="0"/>
                <w:sz w:val="21"/>
                <w:szCs w:val="21"/>
              </w:rPr>
              <w:t>2.2.2（2）</w:t>
            </w:r>
          </w:p>
        </w:tc>
        <w:tc>
          <w:tcPr>
            <w:tcW w:w="1762" w:type="dxa"/>
            <w:vMerge w:val="restart"/>
            <w:tcBorders>
              <w:top w:val="single" w:color="000000" w:sz="2" w:space="0"/>
              <w:left w:val="single" w:color="auto" w:sz="8" w:space="0"/>
              <w:right w:val="single" w:color="auto" w:sz="8" w:space="0"/>
            </w:tcBorders>
            <w:vAlign w:val="center"/>
          </w:tcPr>
          <w:p w14:paraId="6FC93C12">
            <w:pPr>
              <w:jc w:val="center"/>
              <w:rPr>
                <w:snapToGrid w:val="0"/>
                <w:kern w:val="0"/>
                <w:sz w:val="21"/>
                <w:szCs w:val="21"/>
              </w:rPr>
            </w:pPr>
            <w:r>
              <w:rPr>
                <w:rFonts w:hint="eastAsia"/>
                <w:snapToGrid w:val="0"/>
                <w:kern w:val="0"/>
                <w:sz w:val="21"/>
                <w:szCs w:val="21"/>
              </w:rPr>
              <w:t>主要人员</w:t>
            </w:r>
          </w:p>
          <w:p w14:paraId="1612656B">
            <w:pPr>
              <w:jc w:val="center"/>
              <w:rPr>
                <w:snapToGrid w:val="0"/>
                <w:kern w:val="0"/>
                <w:sz w:val="21"/>
                <w:szCs w:val="21"/>
              </w:rPr>
            </w:pPr>
            <w:r>
              <w:rPr>
                <w:rFonts w:hint="eastAsia"/>
                <w:snapToGrid w:val="0"/>
                <w:kern w:val="0"/>
                <w:sz w:val="21"/>
                <w:szCs w:val="21"/>
              </w:rPr>
              <w:t>（30分）</w:t>
            </w:r>
          </w:p>
        </w:tc>
        <w:tc>
          <w:tcPr>
            <w:tcW w:w="1469" w:type="dxa"/>
            <w:tcBorders>
              <w:top w:val="single" w:color="auto" w:sz="4" w:space="0"/>
              <w:left w:val="nil"/>
              <w:right w:val="single" w:color="auto" w:sz="4" w:space="0"/>
            </w:tcBorders>
            <w:vAlign w:val="center"/>
          </w:tcPr>
          <w:p w14:paraId="5AC97C7B">
            <w:pPr>
              <w:ind w:right="113"/>
              <w:jc w:val="center"/>
              <w:rPr>
                <w:snapToGrid w:val="0"/>
                <w:kern w:val="0"/>
                <w:sz w:val="21"/>
                <w:szCs w:val="21"/>
              </w:rPr>
            </w:pPr>
            <w:r>
              <w:rPr>
                <w:rFonts w:hint="eastAsia"/>
                <w:snapToGrid w:val="0"/>
                <w:kern w:val="0"/>
                <w:sz w:val="21"/>
                <w:szCs w:val="21"/>
                <w:lang w:bidi="en-US"/>
              </w:rPr>
              <w:t>项目经理任职资格</w:t>
            </w:r>
          </w:p>
        </w:tc>
        <w:tc>
          <w:tcPr>
            <w:tcW w:w="1174" w:type="dxa"/>
            <w:tcBorders>
              <w:top w:val="single" w:color="auto" w:sz="4" w:space="0"/>
              <w:left w:val="single" w:color="auto" w:sz="4" w:space="0"/>
              <w:right w:val="single" w:color="auto" w:sz="4" w:space="0"/>
            </w:tcBorders>
            <w:vAlign w:val="center"/>
          </w:tcPr>
          <w:p w14:paraId="7EB966E0">
            <w:pPr>
              <w:jc w:val="center"/>
              <w:rPr>
                <w:snapToGrid w:val="0"/>
                <w:kern w:val="0"/>
                <w:sz w:val="21"/>
                <w:szCs w:val="21"/>
                <w:lang w:bidi="en-US"/>
              </w:rPr>
            </w:pPr>
            <w:r>
              <w:rPr>
                <w:rFonts w:hint="eastAsia"/>
                <w:snapToGrid w:val="0"/>
                <w:kern w:val="0"/>
                <w:sz w:val="21"/>
                <w:szCs w:val="21"/>
              </w:rPr>
              <w:t>15分</w:t>
            </w:r>
          </w:p>
        </w:tc>
        <w:tc>
          <w:tcPr>
            <w:tcW w:w="3699" w:type="dxa"/>
            <w:tcBorders>
              <w:top w:val="single" w:color="auto" w:sz="4" w:space="0"/>
              <w:left w:val="single" w:color="auto" w:sz="4" w:space="0"/>
              <w:right w:val="single" w:color="auto" w:sz="4" w:space="0"/>
            </w:tcBorders>
            <w:vAlign w:val="center"/>
          </w:tcPr>
          <w:p w14:paraId="29ACAAAB">
            <w:pPr>
              <w:rPr>
                <w:snapToGrid w:val="0"/>
                <w:kern w:val="0"/>
                <w:sz w:val="21"/>
                <w:szCs w:val="21"/>
                <w:lang w:bidi="en-US"/>
              </w:rPr>
            </w:pPr>
            <w:r>
              <w:rPr>
                <w:rFonts w:hint="eastAsia"/>
                <w:snapToGrid w:val="0"/>
                <w:kern w:val="0"/>
                <w:sz w:val="21"/>
                <w:szCs w:val="21"/>
                <w:lang w:bidi="en-US"/>
              </w:rPr>
              <w:t>满足资格审查条件的得9分；每再增加一项满足资格审查条件的业绩加6分，最多加6分。</w:t>
            </w:r>
          </w:p>
        </w:tc>
        <w:tc>
          <w:tcPr>
            <w:tcW w:w="1255" w:type="dxa"/>
            <w:tcBorders>
              <w:top w:val="single" w:color="auto" w:sz="4" w:space="0"/>
              <w:left w:val="single" w:color="auto" w:sz="4" w:space="0"/>
              <w:right w:val="single" w:color="auto" w:sz="8" w:space="0"/>
            </w:tcBorders>
            <w:vAlign w:val="center"/>
          </w:tcPr>
          <w:p w14:paraId="601C2F5F">
            <w:pPr>
              <w:jc w:val="center"/>
              <w:rPr>
                <w:snapToGrid w:val="0"/>
                <w:kern w:val="0"/>
                <w:sz w:val="21"/>
                <w:szCs w:val="21"/>
              </w:rPr>
            </w:pPr>
            <w:r>
              <w:rPr>
                <w:rFonts w:hint="eastAsia"/>
                <w:snapToGrid w:val="0"/>
                <w:kern w:val="0"/>
                <w:sz w:val="21"/>
                <w:szCs w:val="21"/>
              </w:rPr>
              <w:t>15分</w:t>
            </w:r>
          </w:p>
        </w:tc>
      </w:tr>
      <w:tr w14:paraId="57F33C19">
        <w:tblPrEx>
          <w:tblCellMar>
            <w:top w:w="0" w:type="dxa"/>
            <w:left w:w="108" w:type="dxa"/>
            <w:bottom w:w="0" w:type="dxa"/>
            <w:right w:w="108" w:type="dxa"/>
          </w:tblCellMar>
        </w:tblPrEx>
        <w:trPr>
          <w:trHeight w:val="283" w:hRule="atLeast"/>
          <w:jc w:val="center"/>
        </w:trPr>
        <w:tc>
          <w:tcPr>
            <w:tcW w:w="846" w:type="dxa"/>
            <w:vMerge w:val="continue"/>
            <w:tcBorders>
              <w:left w:val="single" w:color="auto" w:sz="8" w:space="0"/>
              <w:bottom w:val="single" w:color="auto" w:sz="4" w:space="0"/>
              <w:right w:val="single" w:color="auto" w:sz="8" w:space="0"/>
            </w:tcBorders>
            <w:vAlign w:val="center"/>
          </w:tcPr>
          <w:p w14:paraId="5098C164">
            <w:pPr>
              <w:jc w:val="center"/>
              <w:rPr>
                <w:snapToGrid w:val="0"/>
                <w:kern w:val="0"/>
                <w:sz w:val="21"/>
                <w:szCs w:val="21"/>
              </w:rPr>
            </w:pPr>
          </w:p>
        </w:tc>
        <w:tc>
          <w:tcPr>
            <w:tcW w:w="1762" w:type="dxa"/>
            <w:vMerge w:val="continue"/>
            <w:tcBorders>
              <w:left w:val="single" w:color="auto" w:sz="8" w:space="0"/>
              <w:bottom w:val="single" w:color="auto" w:sz="4" w:space="0"/>
              <w:right w:val="single" w:color="auto" w:sz="8" w:space="0"/>
            </w:tcBorders>
            <w:vAlign w:val="center"/>
          </w:tcPr>
          <w:p w14:paraId="0F3FF558">
            <w:pPr>
              <w:jc w:val="center"/>
              <w:rPr>
                <w:snapToGrid w:val="0"/>
                <w:kern w:val="0"/>
                <w:sz w:val="21"/>
                <w:szCs w:val="21"/>
              </w:rPr>
            </w:pPr>
          </w:p>
        </w:tc>
        <w:tc>
          <w:tcPr>
            <w:tcW w:w="1469" w:type="dxa"/>
            <w:tcBorders>
              <w:top w:val="single" w:color="auto" w:sz="4" w:space="0"/>
              <w:left w:val="nil"/>
              <w:right w:val="single" w:color="auto" w:sz="4" w:space="0"/>
            </w:tcBorders>
            <w:vAlign w:val="center"/>
          </w:tcPr>
          <w:p w14:paraId="23B3E68B">
            <w:pPr>
              <w:ind w:right="113"/>
              <w:jc w:val="center"/>
              <w:rPr>
                <w:snapToGrid w:val="0"/>
                <w:kern w:val="0"/>
                <w:sz w:val="21"/>
                <w:szCs w:val="21"/>
                <w:lang w:bidi="en-US"/>
              </w:rPr>
            </w:pPr>
            <w:r>
              <w:rPr>
                <w:rFonts w:hint="eastAsia"/>
                <w:snapToGrid w:val="0"/>
                <w:kern w:val="0"/>
                <w:sz w:val="21"/>
                <w:szCs w:val="21"/>
                <w:lang w:bidi="en-US"/>
              </w:rPr>
              <w:t>项目总工任职资格</w:t>
            </w:r>
          </w:p>
        </w:tc>
        <w:tc>
          <w:tcPr>
            <w:tcW w:w="1174" w:type="dxa"/>
            <w:tcBorders>
              <w:top w:val="single" w:color="auto" w:sz="4" w:space="0"/>
              <w:left w:val="single" w:color="auto" w:sz="4" w:space="0"/>
              <w:right w:val="single" w:color="auto" w:sz="4" w:space="0"/>
            </w:tcBorders>
            <w:vAlign w:val="center"/>
          </w:tcPr>
          <w:p w14:paraId="47A03777">
            <w:pPr>
              <w:jc w:val="center"/>
              <w:rPr>
                <w:snapToGrid w:val="0"/>
                <w:kern w:val="0"/>
                <w:sz w:val="21"/>
                <w:szCs w:val="21"/>
              </w:rPr>
            </w:pPr>
            <w:r>
              <w:rPr>
                <w:rFonts w:hint="eastAsia"/>
                <w:snapToGrid w:val="0"/>
                <w:kern w:val="0"/>
                <w:sz w:val="21"/>
                <w:szCs w:val="21"/>
              </w:rPr>
              <w:t>15分</w:t>
            </w:r>
          </w:p>
        </w:tc>
        <w:tc>
          <w:tcPr>
            <w:tcW w:w="3699" w:type="dxa"/>
            <w:tcBorders>
              <w:top w:val="single" w:color="auto" w:sz="4" w:space="0"/>
              <w:left w:val="single" w:color="auto" w:sz="4" w:space="0"/>
              <w:right w:val="single" w:color="auto" w:sz="4" w:space="0"/>
            </w:tcBorders>
            <w:vAlign w:val="center"/>
          </w:tcPr>
          <w:p w14:paraId="687CA951">
            <w:pPr>
              <w:rPr>
                <w:snapToGrid w:val="0"/>
                <w:kern w:val="0"/>
                <w:sz w:val="21"/>
                <w:szCs w:val="21"/>
                <w:lang w:bidi="en-US"/>
              </w:rPr>
            </w:pPr>
            <w:r>
              <w:rPr>
                <w:rFonts w:hint="eastAsia"/>
                <w:snapToGrid w:val="0"/>
                <w:kern w:val="0"/>
                <w:sz w:val="21"/>
                <w:szCs w:val="21"/>
                <w:lang w:bidi="en-US"/>
              </w:rPr>
              <w:t>满足资格审查条件的，得9分；每再增加一项满足资格审查条件的业绩加6分，最多加6分。</w:t>
            </w:r>
          </w:p>
        </w:tc>
        <w:tc>
          <w:tcPr>
            <w:tcW w:w="1255" w:type="dxa"/>
            <w:tcBorders>
              <w:top w:val="single" w:color="auto" w:sz="4" w:space="0"/>
              <w:left w:val="single" w:color="auto" w:sz="4" w:space="0"/>
              <w:right w:val="single" w:color="auto" w:sz="8" w:space="0"/>
            </w:tcBorders>
            <w:vAlign w:val="center"/>
          </w:tcPr>
          <w:p w14:paraId="11788782">
            <w:pPr>
              <w:jc w:val="center"/>
              <w:rPr>
                <w:snapToGrid w:val="0"/>
                <w:kern w:val="0"/>
                <w:sz w:val="21"/>
                <w:szCs w:val="21"/>
              </w:rPr>
            </w:pPr>
            <w:r>
              <w:rPr>
                <w:rFonts w:hint="eastAsia"/>
                <w:snapToGrid w:val="0"/>
                <w:kern w:val="0"/>
                <w:sz w:val="21"/>
                <w:szCs w:val="21"/>
              </w:rPr>
              <w:t>15分</w:t>
            </w:r>
          </w:p>
        </w:tc>
      </w:tr>
      <w:tr w14:paraId="6CDD34C4">
        <w:tblPrEx>
          <w:tblCellMar>
            <w:top w:w="0" w:type="dxa"/>
            <w:left w:w="108" w:type="dxa"/>
            <w:bottom w:w="0" w:type="dxa"/>
            <w:right w:w="108" w:type="dxa"/>
          </w:tblCellMar>
        </w:tblPrEx>
        <w:trPr>
          <w:trHeight w:val="283"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14:paraId="29557BED">
            <w:pPr>
              <w:jc w:val="center"/>
              <w:rPr>
                <w:snapToGrid w:val="0"/>
                <w:kern w:val="0"/>
                <w:sz w:val="21"/>
                <w:szCs w:val="21"/>
              </w:rPr>
            </w:pPr>
            <w:r>
              <w:rPr>
                <w:rFonts w:hint="eastAsia"/>
                <w:snapToGrid w:val="0"/>
                <w:kern w:val="0"/>
                <w:sz w:val="21"/>
                <w:szCs w:val="21"/>
              </w:rPr>
              <w:t>2.2.2（3）</w:t>
            </w:r>
          </w:p>
        </w:tc>
        <w:tc>
          <w:tcPr>
            <w:tcW w:w="1762" w:type="dxa"/>
            <w:tcBorders>
              <w:top w:val="single" w:color="auto" w:sz="4" w:space="0"/>
              <w:left w:val="single" w:color="auto" w:sz="4" w:space="0"/>
              <w:bottom w:val="single" w:color="auto" w:sz="4" w:space="0"/>
              <w:right w:val="single" w:color="auto" w:sz="4" w:space="0"/>
            </w:tcBorders>
            <w:vAlign w:val="center"/>
          </w:tcPr>
          <w:p w14:paraId="4F7FFBB4">
            <w:pPr>
              <w:jc w:val="center"/>
              <w:rPr>
                <w:snapToGrid w:val="0"/>
                <w:kern w:val="0"/>
                <w:sz w:val="21"/>
                <w:szCs w:val="21"/>
              </w:rPr>
            </w:pPr>
            <w:r>
              <w:rPr>
                <w:rFonts w:hint="eastAsia"/>
                <w:snapToGrid w:val="0"/>
                <w:kern w:val="0"/>
                <w:sz w:val="21"/>
                <w:szCs w:val="21"/>
                <w:lang w:bidi="en-US"/>
              </w:rPr>
              <w:t>其他评分因素（30分）</w:t>
            </w:r>
          </w:p>
        </w:tc>
        <w:tc>
          <w:tcPr>
            <w:tcW w:w="1469" w:type="dxa"/>
            <w:tcBorders>
              <w:top w:val="single" w:color="auto" w:sz="4" w:space="0"/>
              <w:left w:val="single" w:color="auto" w:sz="4" w:space="0"/>
              <w:bottom w:val="single" w:color="auto" w:sz="4" w:space="0"/>
              <w:right w:val="single" w:color="auto" w:sz="4" w:space="0"/>
            </w:tcBorders>
            <w:vAlign w:val="center"/>
          </w:tcPr>
          <w:p w14:paraId="7BE8029A">
            <w:pPr>
              <w:jc w:val="center"/>
              <w:rPr>
                <w:snapToGrid w:val="0"/>
                <w:kern w:val="0"/>
                <w:sz w:val="21"/>
                <w:szCs w:val="21"/>
              </w:rPr>
            </w:pPr>
            <w:r>
              <w:rPr>
                <w:rFonts w:hint="eastAsia"/>
                <w:snapToGrid w:val="0"/>
                <w:kern w:val="0"/>
                <w:sz w:val="21"/>
                <w:szCs w:val="21"/>
              </w:rPr>
              <w:t>企业业绩</w:t>
            </w:r>
          </w:p>
        </w:tc>
        <w:tc>
          <w:tcPr>
            <w:tcW w:w="1174" w:type="dxa"/>
            <w:tcBorders>
              <w:top w:val="single" w:color="auto" w:sz="4" w:space="0"/>
              <w:left w:val="single" w:color="auto" w:sz="4" w:space="0"/>
              <w:bottom w:val="single" w:color="auto" w:sz="4" w:space="0"/>
              <w:right w:val="single" w:color="auto" w:sz="4" w:space="0"/>
            </w:tcBorders>
            <w:vAlign w:val="center"/>
          </w:tcPr>
          <w:p w14:paraId="0EB8C276">
            <w:pPr>
              <w:ind w:right="113"/>
              <w:jc w:val="center"/>
              <w:rPr>
                <w:snapToGrid w:val="0"/>
                <w:kern w:val="0"/>
                <w:sz w:val="21"/>
                <w:szCs w:val="21"/>
              </w:rPr>
            </w:pPr>
            <w:r>
              <w:rPr>
                <w:rFonts w:hint="eastAsia"/>
                <w:snapToGrid w:val="0"/>
                <w:kern w:val="0"/>
                <w:sz w:val="21"/>
                <w:szCs w:val="21"/>
              </w:rPr>
              <w:t>30分</w:t>
            </w:r>
          </w:p>
        </w:tc>
        <w:tc>
          <w:tcPr>
            <w:tcW w:w="3699" w:type="dxa"/>
            <w:tcBorders>
              <w:top w:val="single" w:color="auto" w:sz="4" w:space="0"/>
              <w:left w:val="single" w:color="auto" w:sz="4" w:space="0"/>
              <w:bottom w:val="single" w:color="auto" w:sz="4" w:space="0"/>
              <w:right w:val="single" w:color="auto" w:sz="4" w:space="0"/>
            </w:tcBorders>
            <w:vAlign w:val="center"/>
          </w:tcPr>
          <w:p w14:paraId="6108EDB9">
            <w:pPr>
              <w:ind w:right="113"/>
              <w:rPr>
                <w:snapToGrid w:val="0"/>
                <w:kern w:val="0"/>
                <w:sz w:val="21"/>
                <w:szCs w:val="21"/>
              </w:rPr>
            </w:pPr>
            <w:r>
              <w:rPr>
                <w:rFonts w:hint="eastAsia"/>
                <w:snapToGrid w:val="0"/>
                <w:kern w:val="0"/>
                <w:sz w:val="21"/>
                <w:szCs w:val="21"/>
              </w:rPr>
              <w:t>满足资格审查条件，得18分；</w:t>
            </w:r>
          </w:p>
          <w:p w14:paraId="2E94CFA3">
            <w:pPr>
              <w:pStyle w:val="2"/>
              <w:rPr>
                <w:snapToGrid w:val="0"/>
                <w:kern w:val="0"/>
                <w:sz w:val="21"/>
                <w:szCs w:val="21"/>
              </w:rPr>
            </w:pPr>
            <w:r>
              <w:rPr>
                <w:rFonts w:hint="eastAsia" w:ascii="宋体" w:hAnsi="宋体" w:cs="宋体"/>
                <w:snapToGrid w:val="0"/>
                <w:kern w:val="0"/>
                <w:sz w:val="21"/>
                <w:szCs w:val="21"/>
              </w:rPr>
              <w:t>每再增加1项近5年（2021年10月1日至投标截止时间，以竣（交）工时间为准）合同金额不低于2000万元（含）的</w:t>
            </w:r>
            <w:r>
              <w:rPr>
                <w:rFonts w:hint="eastAsia"/>
                <w:snapToGrid w:val="0"/>
                <w:kern w:val="0"/>
                <w:sz w:val="21"/>
                <w:szCs w:val="21"/>
              </w:rPr>
              <w:t>电力工程施工业绩加6分，最多加12分；</w:t>
            </w:r>
          </w:p>
          <w:p w14:paraId="1DEE7C9B">
            <w:pPr>
              <w:rPr>
                <w:snapToGrid w:val="0"/>
                <w:kern w:val="0"/>
                <w:sz w:val="21"/>
                <w:szCs w:val="21"/>
              </w:rPr>
            </w:pPr>
            <w:r>
              <w:rPr>
                <w:rFonts w:hint="eastAsia" w:ascii="宋体" w:hAnsi="宋体" w:cs="宋体"/>
                <w:snapToGrid w:val="0"/>
                <w:kern w:val="0"/>
                <w:sz w:val="21"/>
                <w:szCs w:val="21"/>
              </w:rPr>
              <w:t>每增加1项近5年（2021年10月1日至投标截止时间，以竣（交）工时间为准）</w:t>
            </w:r>
            <w:r>
              <w:rPr>
                <w:rFonts w:hint="eastAsia"/>
                <w:snapToGrid w:val="0"/>
                <w:kern w:val="0"/>
                <w:sz w:val="21"/>
                <w:szCs w:val="21"/>
              </w:rPr>
              <w:t>合同金额不低于4000万元（含）的电力工程施工业绩加12分。</w:t>
            </w:r>
          </w:p>
          <w:p w14:paraId="612EF85C">
            <w:pPr>
              <w:pStyle w:val="2"/>
              <w:rPr>
                <w:snapToGrid w:val="0"/>
                <w:kern w:val="0"/>
              </w:rPr>
            </w:pPr>
            <w:r>
              <w:rPr>
                <w:rFonts w:hint="eastAsia"/>
                <w:snapToGrid w:val="0"/>
                <w:kern w:val="0"/>
                <w:sz w:val="21"/>
                <w:szCs w:val="21"/>
              </w:rPr>
              <w:t>本项最多加12分。</w:t>
            </w:r>
          </w:p>
        </w:tc>
        <w:tc>
          <w:tcPr>
            <w:tcW w:w="1255" w:type="dxa"/>
            <w:tcBorders>
              <w:top w:val="single" w:color="auto" w:sz="4" w:space="0"/>
              <w:left w:val="single" w:color="auto" w:sz="4" w:space="0"/>
              <w:bottom w:val="single" w:color="auto" w:sz="4" w:space="0"/>
              <w:right w:val="single" w:color="auto" w:sz="4" w:space="0"/>
            </w:tcBorders>
            <w:vAlign w:val="center"/>
          </w:tcPr>
          <w:p w14:paraId="61FAC826">
            <w:pPr>
              <w:jc w:val="center"/>
              <w:rPr>
                <w:snapToGrid w:val="0"/>
                <w:kern w:val="0"/>
                <w:sz w:val="21"/>
                <w:szCs w:val="21"/>
              </w:rPr>
            </w:pPr>
            <w:r>
              <w:rPr>
                <w:rFonts w:hint="eastAsia"/>
                <w:snapToGrid w:val="0"/>
                <w:kern w:val="0"/>
                <w:sz w:val="21"/>
                <w:szCs w:val="21"/>
              </w:rPr>
              <w:t>30分</w:t>
            </w:r>
          </w:p>
        </w:tc>
      </w:tr>
      <w:tr w14:paraId="4552B8CF">
        <w:tblPrEx>
          <w:tblCellMar>
            <w:top w:w="0" w:type="dxa"/>
            <w:left w:w="108" w:type="dxa"/>
            <w:bottom w:w="0" w:type="dxa"/>
            <w:right w:w="108" w:type="dxa"/>
          </w:tblCellMar>
        </w:tblPrEx>
        <w:trPr>
          <w:trHeight w:val="283" w:hRule="atLeast"/>
          <w:jc w:val="center"/>
        </w:trPr>
        <w:tc>
          <w:tcPr>
            <w:tcW w:w="10205" w:type="dxa"/>
            <w:gridSpan w:val="6"/>
            <w:tcBorders>
              <w:top w:val="single" w:color="auto" w:sz="4" w:space="0"/>
              <w:left w:val="single" w:color="auto" w:sz="4" w:space="0"/>
              <w:bottom w:val="single" w:color="auto" w:sz="4" w:space="0"/>
              <w:right w:val="single" w:color="auto" w:sz="4" w:space="0"/>
            </w:tcBorders>
            <w:vAlign w:val="center"/>
          </w:tcPr>
          <w:p w14:paraId="7D3E30AC">
            <w:pPr>
              <w:pStyle w:val="51"/>
              <w:rPr>
                <w:rFonts w:hint="eastAsia"/>
                <w:snapToGrid w:val="0"/>
                <w:sz w:val="21"/>
              </w:rPr>
            </w:pPr>
            <w:r>
              <w:rPr>
                <w:rFonts w:hint="eastAsia"/>
                <w:snapToGrid w:val="0"/>
                <w:sz w:val="21"/>
              </w:rPr>
              <w:t>注：1、</w:t>
            </w:r>
            <w:r>
              <w:rPr>
                <w:snapToGrid w:val="0"/>
                <w:sz w:val="21"/>
                <w:szCs w:val="21"/>
              </w:rPr>
              <w:t>施工组织设计</w:t>
            </w:r>
            <w:r>
              <w:rPr>
                <w:rFonts w:hint="eastAsia"/>
                <w:snapToGrid w:val="0"/>
                <w:sz w:val="21"/>
              </w:rPr>
              <w:t>评</w:t>
            </w:r>
            <w:r>
              <w:rPr>
                <w:rFonts w:hint="eastAsia"/>
                <w:snapToGrid w:val="0"/>
                <w:sz w:val="21"/>
                <w:lang w:val="en-US"/>
              </w:rPr>
              <w:t>分因素细项</w:t>
            </w:r>
            <w:r>
              <w:rPr>
                <w:rFonts w:hint="eastAsia"/>
                <w:snapToGrid w:val="0"/>
                <w:sz w:val="21"/>
              </w:rPr>
              <w:t>缺项，</w:t>
            </w:r>
            <w:r>
              <w:rPr>
                <w:rFonts w:hint="eastAsia"/>
                <w:snapToGrid w:val="0"/>
                <w:sz w:val="21"/>
                <w:lang w:val="en-US"/>
              </w:rPr>
              <w:t>则该项</w:t>
            </w:r>
            <w:r>
              <w:rPr>
                <w:rFonts w:hint="eastAsia"/>
                <w:snapToGrid w:val="0"/>
                <w:sz w:val="21"/>
              </w:rPr>
              <w:t>得</w:t>
            </w:r>
            <w:r>
              <w:rPr>
                <w:snapToGrid w:val="0"/>
                <w:sz w:val="21"/>
              </w:rPr>
              <w:t>0</w:t>
            </w:r>
            <w:r>
              <w:rPr>
                <w:rFonts w:hint="eastAsia"/>
                <w:snapToGrid w:val="0"/>
                <w:sz w:val="21"/>
              </w:rPr>
              <w:t>分。</w:t>
            </w:r>
          </w:p>
          <w:p w14:paraId="55DE1EDC">
            <w:pPr>
              <w:rPr>
                <w:snapToGrid w:val="0"/>
                <w:kern w:val="0"/>
                <w:sz w:val="21"/>
                <w:szCs w:val="21"/>
              </w:rPr>
            </w:pPr>
            <w:r>
              <w:rPr>
                <w:rFonts w:hint="eastAsia"/>
                <w:snapToGrid w:val="0"/>
                <w:kern w:val="0"/>
                <w:sz w:val="21"/>
              </w:rPr>
              <w:t>2、评委打分保留小数点后1位小数，</w:t>
            </w:r>
            <w:r>
              <w:rPr>
                <w:rFonts w:hint="eastAsia"/>
                <w:snapToGrid w:val="0"/>
                <w:kern w:val="0"/>
                <w:sz w:val="21"/>
                <w:szCs w:val="21"/>
              </w:rPr>
              <w:t>投标人总得分为各评委得分的算术平均值（四舍五入保留两位小数）。</w:t>
            </w:r>
          </w:p>
        </w:tc>
      </w:tr>
    </w:tbl>
    <w:p w14:paraId="29324FDA"/>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570B37"/>
    <w:multiLevelType w:val="singleLevel"/>
    <w:tmpl w:val="CE570B3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E5A"/>
    <w:rsid w:val="00166E5A"/>
    <w:rsid w:val="0020722F"/>
    <w:rsid w:val="002A2BA9"/>
    <w:rsid w:val="00541D8A"/>
    <w:rsid w:val="01C72D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0" w:line="240" w:lineRule="auto"/>
      <w:jc w:val="both"/>
    </w:pPr>
    <w:rPr>
      <w:rFonts w:ascii="Times New Roman" w:hAnsi="Times New Roman" w:eastAsia="宋体" w:cs="Times New Roman"/>
      <w:kern w:val="28"/>
      <w:sz w:val="28"/>
      <w:szCs w:val="20"/>
      <w:lang w:val="en-US" w:eastAsia="zh-CN" w:bidi="ar-SA"/>
      <w14:ligatures w14:val="none"/>
    </w:rPr>
  </w:style>
  <w:style w:type="paragraph" w:styleId="4">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5">
    <w:name w:val="heading 2"/>
    <w:basedOn w:val="1"/>
    <w:next w:val="1"/>
    <w:link w:val="24"/>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6">
    <w:name w:val="heading 3"/>
    <w:basedOn w:val="1"/>
    <w:next w:val="1"/>
    <w:link w:val="25"/>
    <w:unhideWhenUsed/>
    <w:qFormat/>
    <w:uiPriority w:val="0"/>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7">
    <w:name w:val="heading 4"/>
    <w:basedOn w:val="1"/>
    <w:next w:val="1"/>
    <w:link w:val="26"/>
    <w:semiHidden/>
    <w:unhideWhenUsed/>
    <w:qFormat/>
    <w:uiPriority w:val="9"/>
    <w:pPr>
      <w:keepNext/>
      <w:keepLines/>
      <w:spacing w:before="80" w:after="40"/>
      <w:outlineLvl w:val="3"/>
    </w:pPr>
    <w:rPr>
      <w:rFonts w:cstheme="majorBidi"/>
      <w:color w:val="104862" w:themeColor="accent1" w:themeShade="BF"/>
      <w:szCs w:val="28"/>
    </w:rPr>
  </w:style>
  <w:style w:type="paragraph" w:styleId="8">
    <w:name w:val="heading 5"/>
    <w:basedOn w:val="1"/>
    <w:next w:val="1"/>
    <w:link w:val="27"/>
    <w:semiHidden/>
    <w:unhideWhenUsed/>
    <w:qFormat/>
    <w:uiPriority w:val="9"/>
    <w:pPr>
      <w:keepNext/>
      <w:keepLines/>
      <w:spacing w:before="80" w:after="40"/>
      <w:outlineLvl w:val="4"/>
    </w:pPr>
    <w:rPr>
      <w:rFonts w:cstheme="majorBidi"/>
      <w:color w:val="104862" w:themeColor="accent1" w:themeShade="BF"/>
      <w:sz w:val="24"/>
    </w:rPr>
  </w:style>
  <w:style w:type="paragraph" w:styleId="9">
    <w:name w:val="heading 6"/>
    <w:basedOn w:val="1"/>
    <w:next w:val="1"/>
    <w:link w:val="28"/>
    <w:semiHidden/>
    <w:unhideWhenUsed/>
    <w:qFormat/>
    <w:uiPriority w:val="9"/>
    <w:pPr>
      <w:keepNext/>
      <w:keepLines/>
      <w:spacing w:before="40"/>
      <w:outlineLvl w:val="5"/>
    </w:pPr>
    <w:rPr>
      <w:rFonts w:cstheme="majorBidi"/>
      <w:b/>
      <w:bCs/>
      <w:color w:val="104862" w:themeColor="accent1" w:themeShade="BF"/>
    </w:rPr>
  </w:style>
  <w:style w:type="paragraph" w:styleId="10">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2">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48"/>
    <w:qFormat/>
    <w:uiPriority w:val="1"/>
    <w:rPr>
      <w:kern w:val="2"/>
      <w:szCs w:val="24"/>
    </w:rPr>
  </w:style>
  <w:style w:type="paragraph" w:styleId="3">
    <w:name w:val="Body Text 2"/>
    <w:basedOn w:val="1"/>
    <w:link w:val="52"/>
    <w:semiHidden/>
    <w:unhideWhenUsed/>
    <w:qFormat/>
    <w:uiPriority w:val="99"/>
    <w:pPr>
      <w:spacing w:after="120" w:line="480" w:lineRule="auto"/>
    </w:pPr>
  </w:style>
  <w:style w:type="paragraph" w:styleId="13">
    <w:name w:val="Body Text Indent"/>
    <w:basedOn w:val="1"/>
    <w:link w:val="45"/>
    <w:semiHidden/>
    <w:unhideWhenUsed/>
    <w:qFormat/>
    <w:uiPriority w:val="99"/>
    <w:pPr>
      <w:spacing w:after="120"/>
      <w:ind w:left="420" w:leftChars="200"/>
    </w:pPr>
  </w:style>
  <w:style w:type="paragraph" w:styleId="14">
    <w:name w:val="Plain Text"/>
    <w:basedOn w:val="1"/>
    <w:link w:val="49"/>
    <w:qFormat/>
    <w:uiPriority w:val="0"/>
    <w:rPr>
      <w:rFonts w:ascii="宋体" w:hAnsi="Courier New"/>
      <w:kern w:val="2"/>
      <w:sz w:val="21"/>
    </w:rPr>
  </w:style>
  <w:style w:type="paragraph" w:styleId="15">
    <w:name w:val="footer"/>
    <w:basedOn w:val="1"/>
    <w:link w:val="42"/>
    <w:unhideWhenUsed/>
    <w:qFormat/>
    <w:uiPriority w:val="99"/>
    <w:pPr>
      <w:tabs>
        <w:tab w:val="center" w:pos="4153"/>
        <w:tab w:val="right" w:pos="8306"/>
      </w:tabs>
      <w:snapToGrid w:val="0"/>
    </w:pPr>
    <w:rPr>
      <w:sz w:val="18"/>
      <w:szCs w:val="18"/>
    </w:rPr>
  </w:style>
  <w:style w:type="paragraph" w:styleId="16">
    <w:name w:val="header"/>
    <w:basedOn w:val="1"/>
    <w:link w:val="41"/>
    <w:unhideWhenUsed/>
    <w:qFormat/>
    <w:uiPriority w:val="99"/>
    <w:pPr>
      <w:tabs>
        <w:tab w:val="center" w:pos="4153"/>
        <w:tab w:val="right" w:pos="8306"/>
      </w:tabs>
      <w:snapToGrid w:val="0"/>
      <w:jc w:val="center"/>
    </w:pPr>
    <w:rPr>
      <w:sz w:val="18"/>
      <w:szCs w:val="18"/>
    </w:rPr>
  </w:style>
  <w:style w:type="paragraph" w:styleId="17">
    <w:name w:val="Subtitle"/>
    <w:basedOn w:val="1"/>
    <w:next w:val="1"/>
    <w:link w:val="33"/>
    <w:qFormat/>
    <w:uiPriority w:val="11"/>
    <w:pPr>
      <w:jc w:val="center"/>
    </w:pPr>
    <w:rPr>
      <w:rFonts w:asciiTheme="majorHAnsi" w:hAnsiTheme="majorHAnsi" w:eastAsiaTheme="majorEastAsia" w:cstheme="majorBidi"/>
      <w:color w:val="595959" w:themeColor="text1" w:themeTint="A6"/>
      <w:spacing w:val="15"/>
      <w:szCs w:val="28"/>
      <w14:textFill>
        <w14:solidFill>
          <w14:schemeClr w14:val="tx1">
            <w14:lumMod w14:val="65000"/>
            <w14:lumOff w14:val="35000"/>
          </w14:schemeClr>
        </w14:solidFill>
      </w14:textFill>
    </w:rPr>
  </w:style>
  <w:style w:type="paragraph" w:styleId="18">
    <w:name w:val="Title"/>
    <w:basedOn w:val="1"/>
    <w:next w:val="1"/>
    <w:link w:val="32"/>
    <w:qFormat/>
    <w:uiPriority w:val="10"/>
    <w:pPr>
      <w:spacing w:after="80"/>
      <w:contextualSpacing/>
      <w:jc w:val="center"/>
    </w:pPr>
    <w:rPr>
      <w:rFonts w:asciiTheme="majorHAnsi" w:hAnsiTheme="majorHAnsi" w:eastAsiaTheme="majorEastAsia" w:cstheme="majorBidi"/>
      <w:spacing w:val="-10"/>
      <w:sz w:val="56"/>
      <w:szCs w:val="56"/>
    </w:rPr>
  </w:style>
  <w:style w:type="paragraph" w:styleId="19">
    <w:name w:val="Body Text First Indent 2"/>
    <w:basedOn w:val="13"/>
    <w:next w:val="1"/>
    <w:link w:val="46"/>
    <w:qFormat/>
    <w:uiPriority w:val="0"/>
    <w:pPr>
      <w:ind w:firstLine="420" w:firstLineChars="200"/>
    </w:pPr>
    <w:rPr>
      <w:rFonts w:ascii="宋体" w:hAnsi="宋体"/>
      <w:kern w:val="2"/>
      <w:sz w:val="21"/>
      <w:szCs w:val="24"/>
    </w:rPr>
  </w:style>
  <w:style w:type="character" w:styleId="22">
    <w:name w:val="Hyperlink"/>
    <w:qFormat/>
    <w:uiPriority w:val="99"/>
    <w:rPr>
      <w:color w:val="333333"/>
      <w:u w:val="none"/>
    </w:rPr>
  </w:style>
  <w:style w:type="character" w:customStyle="1" w:styleId="23">
    <w:name w:val="标题 1 字符"/>
    <w:basedOn w:val="21"/>
    <w:link w:val="4"/>
    <w:qFormat/>
    <w:uiPriority w:val="9"/>
    <w:rPr>
      <w:rFonts w:asciiTheme="majorHAnsi" w:hAnsiTheme="majorHAnsi" w:eastAsiaTheme="majorEastAsia" w:cstheme="majorBidi"/>
      <w:color w:val="104862" w:themeColor="accent1" w:themeShade="BF"/>
      <w:sz w:val="48"/>
      <w:szCs w:val="48"/>
    </w:rPr>
  </w:style>
  <w:style w:type="character" w:customStyle="1" w:styleId="24">
    <w:name w:val="标题 2 字符"/>
    <w:basedOn w:val="21"/>
    <w:link w:val="5"/>
    <w:semiHidden/>
    <w:qFormat/>
    <w:uiPriority w:val="9"/>
    <w:rPr>
      <w:rFonts w:asciiTheme="majorHAnsi" w:hAnsiTheme="majorHAnsi" w:eastAsiaTheme="majorEastAsia" w:cstheme="majorBidi"/>
      <w:color w:val="104862" w:themeColor="accent1" w:themeShade="BF"/>
      <w:sz w:val="40"/>
      <w:szCs w:val="40"/>
    </w:rPr>
  </w:style>
  <w:style w:type="character" w:customStyle="1" w:styleId="25">
    <w:name w:val="标题 3 字符"/>
    <w:basedOn w:val="21"/>
    <w:link w:val="6"/>
    <w:semiHidden/>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4 字符"/>
    <w:basedOn w:val="21"/>
    <w:link w:val="7"/>
    <w:semiHidden/>
    <w:qFormat/>
    <w:uiPriority w:val="9"/>
    <w:rPr>
      <w:rFonts w:cstheme="majorBidi"/>
      <w:color w:val="104862" w:themeColor="accent1" w:themeShade="BF"/>
      <w:sz w:val="28"/>
      <w:szCs w:val="28"/>
    </w:rPr>
  </w:style>
  <w:style w:type="character" w:customStyle="1" w:styleId="27">
    <w:name w:val="标题 5 字符"/>
    <w:basedOn w:val="21"/>
    <w:link w:val="8"/>
    <w:semiHidden/>
    <w:uiPriority w:val="9"/>
    <w:rPr>
      <w:rFonts w:cstheme="majorBidi"/>
      <w:color w:val="104862" w:themeColor="accent1" w:themeShade="BF"/>
      <w:sz w:val="24"/>
    </w:rPr>
  </w:style>
  <w:style w:type="character" w:customStyle="1" w:styleId="28">
    <w:name w:val="标题 6 字符"/>
    <w:basedOn w:val="21"/>
    <w:link w:val="9"/>
    <w:semiHidden/>
    <w:qFormat/>
    <w:uiPriority w:val="9"/>
    <w:rPr>
      <w:rFonts w:cstheme="majorBidi"/>
      <w:b/>
      <w:bCs/>
      <w:color w:val="104862" w:themeColor="accent1" w:themeShade="BF"/>
    </w:rPr>
  </w:style>
  <w:style w:type="character" w:customStyle="1" w:styleId="29">
    <w:name w:val="标题 7 字符"/>
    <w:basedOn w:val="21"/>
    <w:link w:val="10"/>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1"/>
    <w:link w:val="11"/>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1"/>
    <w:link w:val="12"/>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1"/>
    <w:link w:val="18"/>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1"/>
    <w:link w:val="17"/>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1"/>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Intense Emphasis"/>
    <w:basedOn w:val="21"/>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明显引用 字符"/>
    <w:basedOn w:val="21"/>
    <w:link w:val="38"/>
    <w:qFormat/>
    <w:uiPriority w:val="30"/>
    <w:rPr>
      <w:i/>
      <w:iCs/>
      <w:color w:val="104862" w:themeColor="accent1" w:themeShade="BF"/>
    </w:rPr>
  </w:style>
  <w:style w:type="character" w:customStyle="1" w:styleId="40">
    <w:name w:val="Intense Reference"/>
    <w:basedOn w:val="21"/>
    <w:qFormat/>
    <w:uiPriority w:val="32"/>
    <w:rPr>
      <w:b/>
      <w:bCs/>
      <w:smallCaps/>
      <w:color w:val="104862" w:themeColor="accent1" w:themeShade="BF"/>
      <w:spacing w:val="5"/>
    </w:rPr>
  </w:style>
  <w:style w:type="character" w:customStyle="1" w:styleId="41">
    <w:name w:val="页眉 字符"/>
    <w:basedOn w:val="21"/>
    <w:link w:val="16"/>
    <w:qFormat/>
    <w:uiPriority w:val="99"/>
    <w:rPr>
      <w:sz w:val="18"/>
      <w:szCs w:val="18"/>
    </w:rPr>
  </w:style>
  <w:style w:type="character" w:customStyle="1" w:styleId="42">
    <w:name w:val="页脚 字符"/>
    <w:basedOn w:val="21"/>
    <w:link w:val="15"/>
    <w:qFormat/>
    <w:uiPriority w:val="99"/>
    <w:rPr>
      <w:sz w:val="18"/>
      <w:szCs w:val="18"/>
    </w:rPr>
  </w:style>
  <w:style w:type="character" w:customStyle="1" w:styleId="43">
    <w:name w:val="正文文本 字符"/>
    <w:basedOn w:val="21"/>
    <w:semiHidden/>
    <w:qFormat/>
    <w:uiPriority w:val="99"/>
    <w:rPr>
      <w:rFonts w:ascii="Times New Roman" w:hAnsi="Times New Roman" w:eastAsia="宋体" w:cs="Times New Roman"/>
      <w:kern w:val="28"/>
      <w:sz w:val="28"/>
      <w:szCs w:val="20"/>
      <w14:ligatures w14:val="none"/>
    </w:rPr>
  </w:style>
  <w:style w:type="character" w:customStyle="1" w:styleId="44">
    <w:name w:val="纯文本 字符"/>
    <w:basedOn w:val="21"/>
    <w:semiHidden/>
    <w:qFormat/>
    <w:uiPriority w:val="99"/>
    <w:rPr>
      <w:rFonts w:hAnsi="Courier New" w:cs="Courier New" w:asciiTheme="minorEastAsia"/>
      <w:kern w:val="28"/>
      <w:sz w:val="28"/>
      <w:szCs w:val="20"/>
      <w14:ligatures w14:val="none"/>
    </w:rPr>
  </w:style>
  <w:style w:type="character" w:customStyle="1" w:styleId="45">
    <w:name w:val="正文文本缩进 字符"/>
    <w:basedOn w:val="21"/>
    <w:link w:val="13"/>
    <w:semiHidden/>
    <w:qFormat/>
    <w:uiPriority w:val="99"/>
    <w:rPr>
      <w:rFonts w:ascii="Times New Roman" w:hAnsi="Times New Roman" w:eastAsia="宋体" w:cs="Times New Roman"/>
      <w:kern w:val="28"/>
      <w:sz w:val="28"/>
      <w:szCs w:val="20"/>
      <w14:ligatures w14:val="none"/>
    </w:rPr>
  </w:style>
  <w:style w:type="character" w:customStyle="1" w:styleId="46">
    <w:name w:val="正文文本首行缩进 2 字符"/>
    <w:basedOn w:val="45"/>
    <w:link w:val="19"/>
    <w:qFormat/>
    <w:uiPriority w:val="0"/>
    <w:rPr>
      <w:rFonts w:ascii="宋体" w:hAnsi="宋体" w:eastAsia="宋体" w:cs="Times New Roman"/>
      <w:kern w:val="28"/>
      <w:sz w:val="21"/>
      <w:szCs w:val="20"/>
      <w14:ligatures w14:val="none"/>
    </w:rPr>
  </w:style>
  <w:style w:type="character" w:customStyle="1" w:styleId="47">
    <w:name w:val="标题 3 字符2"/>
    <w:qFormat/>
    <w:uiPriority w:val="0"/>
    <w:rPr>
      <w:b/>
      <w:bCs/>
      <w:kern w:val="28"/>
      <w:sz w:val="32"/>
      <w:szCs w:val="32"/>
    </w:rPr>
  </w:style>
  <w:style w:type="character" w:customStyle="1" w:styleId="48">
    <w:name w:val="正文文本 字符3"/>
    <w:link w:val="2"/>
    <w:qFormat/>
    <w:uiPriority w:val="1"/>
    <w:rPr>
      <w:rFonts w:ascii="Times New Roman" w:hAnsi="Times New Roman" w:eastAsia="宋体" w:cs="Times New Roman"/>
      <w:sz w:val="28"/>
      <w14:ligatures w14:val="none"/>
    </w:rPr>
  </w:style>
  <w:style w:type="character" w:customStyle="1" w:styleId="49">
    <w:name w:val="纯文本 字符3"/>
    <w:link w:val="14"/>
    <w:qFormat/>
    <w:uiPriority w:val="0"/>
    <w:rPr>
      <w:rFonts w:ascii="宋体" w:hAnsi="Courier New" w:eastAsia="宋体" w:cs="Times New Roman"/>
      <w:sz w:val="21"/>
      <w:szCs w:val="20"/>
      <w14:ligatures w14:val="none"/>
    </w:rPr>
  </w:style>
  <w:style w:type="character" w:customStyle="1" w:styleId="50">
    <w:name w:val="正文文本 (2) + Times New Roman"/>
    <w:qFormat/>
    <w:uiPriority w:val="0"/>
    <w:rPr>
      <w:rFonts w:ascii="Times New Roman" w:hAnsi="Times New Roman" w:eastAsia="Times New Roman" w:cs="Times New Roman"/>
      <w:color w:val="000000"/>
      <w:spacing w:val="0"/>
      <w:w w:val="100"/>
      <w:position w:val="0"/>
      <w:sz w:val="18"/>
      <w:szCs w:val="18"/>
      <w:u w:val="none"/>
      <w:shd w:val="clear" w:color="auto" w:fill="FFFFFF"/>
      <w:lang w:val="zh-CN" w:eastAsia="zh-CN" w:bidi="zh-CN"/>
    </w:rPr>
  </w:style>
  <w:style w:type="paragraph" w:customStyle="1" w:styleId="51">
    <w:name w:val="Table Paragraph"/>
    <w:basedOn w:val="1"/>
    <w:qFormat/>
    <w:uiPriority w:val="1"/>
    <w:pPr>
      <w:autoSpaceDE w:val="0"/>
      <w:autoSpaceDN w:val="0"/>
      <w:jc w:val="left"/>
    </w:pPr>
    <w:rPr>
      <w:rFonts w:ascii="宋体" w:hAnsi="宋体" w:cs="宋体"/>
      <w:kern w:val="0"/>
      <w:sz w:val="22"/>
      <w:szCs w:val="22"/>
      <w:lang w:val="zh-CN" w:bidi="zh-CN"/>
    </w:rPr>
  </w:style>
  <w:style w:type="character" w:customStyle="1" w:styleId="52">
    <w:name w:val="正文文本 2 字符"/>
    <w:basedOn w:val="21"/>
    <w:link w:val="3"/>
    <w:semiHidden/>
    <w:qFormat/>
    <w:uiPriority w:val="99"/>
    <w:rPr>
      <w:rFonts w:ascii="Times New Roman" w:hAnsi="Times New Roman" w:eastAsia="宋体" w:cs="Times New Roman"/>
      <w:kern w:val="28"/>
      <w:sz w:val="28"/>
      <w:szCs w:val="20"/>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9</Pages>
  <Words>4845</Words>
  <Characters>5447</Characters>
  <Lines>73</Lines>
  <Paragraphs>20</Paragraphs>
  <TotalTime>0</TotalTime>
  <ScaleCrop>false</ScaleCrop>
  <LinksUpToDate>false</LinksUpToDate>
  <CharactersWithSpaces>5505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2026-10-16T03:20:00Z</dcterms:created>
  <dc:creator>honru Liang</dc:creator>
  <cp:lastModifiedBy>冯士峰</cp:lastModifiedBy>
  <dcterms:modified xsi:type="dcterms:W3CDTF">2026-10-16T03:40:49Z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eyJoZGlkIjoiMjNhMGNiNzBmYzRmYmU1YWU1ZDVjYzI3MTI0YTIzZjQiLCJ1c2VySWQiOiIxNjg3ODQzOTczIn0=</vt:lpwstr>
  </property>
  <property fmtid="{D5CDD505-2E9C-101B-9397-08002B2CF9AE}" pid="3" name="KSOProductBuildVer">
    <vt:lpwstr>2052-12.1.0.29161</vt:lpwstr>
  </property>
  <property fmtid="{D5CDD505-2E9C-101B-9397-08002B2CF9AE}" pid="4" name="ICV">
    <vt:lpwstr>8933AEF772AC4776B23AEE08ED544118_12</vt:lpwstr>
  </property>
</Properties>
</file>