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DD147">
      <w:pPr>
        <w:adjustRightInd w:val="0"/>
        <w:snapToGrid w:val="0"/>
        <w:spacing w:before="120" w:beforeLines="50" w:line="480" w:lineRule="exact"/>
        <w:rPr>
          <w:rFonts w:hint="eastAsia" w:ascii="宋体" w:hAnsi="宋体"/>
          <w:b/>
          <w:snapToGrid w:val="0"/>
          <w:kern w:val="0"/>
          <w:sz w:val="24"/>
        </w:rPr>
      </w:pPr>
      <w:r>
        <w:rPr>
          <w:rFonts w:hint="eastAsia" w:ascii="宋体" w:hAnsi="宋体"/>
          <w:b/>
          <w:snapToGrid w:val="0"/>
          <w:kern w:val="0"/>
          <w:sz w:val="24"/>
        </w:rPr>
        <w:t>附件</w:t>
      </w:r>
      <w:r>
        <w:rPr>
          <w:rFonts w:ascii="宋体" w:hAnsi="宋体"/>
          <w:b/>
          <w:snapToGrid w:val="0"/>
          <w:kern w:val="0"/>
          <w:sz w:val="24"/>
        </w:rPr>
        <w:t>1</w:t>
      </w:r>
      <w:r>
        <w:rPr>
          <w:rFonts w:hint="eastAsia" w:ascii="宋体" w:hAnsi="宋体"/>
          <w:b/>
          <w:snapToGrid w:val="0"/>
          <w:kern w:val="0"/>
          <w:sz w:val="24"/>
        </w:rPr>
        <w:t>：资格审查条件</w:t>
      </w:r>
    </w:p>
    <w:p w14:paraId="53127AAA">
      <w:pPr>
        <w:adjustRightInd w:val="0"/>
        <w:spacing w:line="276" w:lineRule="auto"/>
        <w:ind w:firstLine="422"/>
        <w:jc w:val="center"/>
        <w:rPr>
          <w:rFonts w:hint="eastAsia" w:ascii="宋体" w:hAnsi="宋体"/>
          <w:b/>
          <w:snapToGrid w:val="0"/>
          <w:kern w:val="0"/>
          <w:sz w:val="21"/>
          <w:szCs w:val="21"/>
        </w:rPr>
      </w:pPr>
      <w:r>
        <w:rPr>
          <w:rFonts w:hint="eastAsia" w:ascii="宋体" w:hAnsi="宋体"/>
          <w:b/>
          <w:snapToGrid w:val="0"/>
          <w:kern w:val="0"/>
          <w:sz w:val="21"/>
          <w:szCs w:val="21"/>
        </w:rPr>
        <w:t>附录1 资格审查条件（资质最低要求）</w:t>
      </w:r>
    </w:p>
    <w:tbl>
      <w:tblPr>
        <w:tblStyle w:val="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0FC14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jc w:val="center"/>
        </w:trPr>
        <w:tc>
          <w:tcPr>
            <w:tcW w:w="5000" w:type="pct"/>
            <w:vAlign w:val="center"/>
          </w:tcPr>
          <w:p w14:paraId="06F8BEED">
            <w:pPr>
              <w:pStyle w:val="6"/>
              <w:ind w:firstLine="480"/>
              <w:rPr>
                <w:rFonts w:hint="eastAsia"/>
                <w:snapToGrid w:val="0"/>
              </w:rPr>
            </w:pPr>
            <w:r>
              <w:rPr>
                <w:rFonts w:hint="eastAsia"/>
                <w:snapToGrid w:val="0"/>
              </w:rPr>
              <w:t>企业资质等级要求</w:t>
            </w:r>
          </w:p>
        </w:tc>
      </w:tr>
      <w:tr w14:paraId="692BF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2" w:hRule="atLeast"/>
          <w:jc w:val="center"/>
        </w:trPr>
        <w:tc>
          <w:tcPr>
            <w:tcW w:w="5000" w:type="pct"/>
            <w:vAlign w:val="center"/>
          </w:tcPr>
          <w:p w14:paraId="046F560D">
            <w:pPr>
              <w:spacing w:line="276" w:lineRule="auto"/>
              <w:ind w:left="-62" w:leftChars="-22" w:firstLine="420"/>
              <w:rPr>
                <w:rFonts w:hint="eastAsia" w:ascii="宋体" w:hAnsi="宋体"/>
                <w:snapToGrid w:val="0"/>
                <w:kern w:val="0"/>
                <w:sz w:val="21"/>
                <w:szCs w:val="21"/>
              </w:rPr>
            </w:pPr>
            <w:r>
              <w:rPr>
                <w:rFonts w:hint="eastAsia" w:ascii="宋体" w:hAnsi="宋体"/>
                <w:snapToGrid w:val="0"/>
                <w:kern w:val="0"/>
                <w:sz w:val="21"/>
                <w:szCs w:val="21"/>
              </w:rPr>
              <w:t>1、投标人应是中华人民共和国境内的法人或其他组织，持有有效的营业执照；</w:t>
            </w:r>
          </w:p>
          <w:p w14:paraId="3E44E420">
            <w:pPr>
              <w:spacing w:line="276" w:lineRule="auto"/>
              <w:ind w:left="-62" w:leftChars="-22" w:firstLine="420"/>
              <w:rPr>
                <w:rFonts w:hint="eastAsia" w:ascii="宋体" w:hAnsi="宋体"/>
                <w:snapToGrid w:val="0"/>
                <w:kern w:val="0"/>
                <w:sz w:val="21"/>
                <w:szCs w:val="21"/>
              </w:rPr>
            </w:pPr>
            <w:r>
              <w:rPr>
                <w:rFonts w:hint="eastAsia" w:ascii="宋体" w:hAnsi="宋体"/>
                <w:snapToGrid w:val="0"/>
                <w:kern w:val="0"/>
                <w:sz w:val="21"/>
                <w:szCs w:val="21"/>
              </w:rPr>
              <w:t>2、投标人具备住房和城乡建设行政主管部门颁发的工程勘察综合甲级资质或工程勘察专业类（工程测量、岩土工程）甲级资质；</w:t>
            </w:r>
          </w:p>
          <w:p w14:paraId="73F06A53">
            <w:pPr>
              <w:spacing w:line="276" w:lineRule="auto"/>
              <w:ind w:left="-62" w:leftChars="-22" w:firstLine="420"/>
              <w:rPr>
                <w:rFonts w:hint="eastAsia" w:ascii="宋体" w:hAnsi="宋体"/>
                <w:snapToGrid w:val="0"/>
                <w:kern w:val="0"/>
                <w:sz w:val="21"/>
                <w:szCs w:val="21"/>
              </w:rPr>
            </w:pPr>
            <w:r>
              <w:rPr>
                <w:rFonts w:hint="eastAsia" w:ascii="宋体" w:hAnsi="宋体"/>
                <w:snapToGrid w:val="0"/>
                <w:kern w:val="0"/>
                <w:sz w:val="21"/>
                <w:szCs w:val="21"/>
              </w:rPr>
              <w:t>3、投标人具备住房和城乡建设行政主管部门颁发的工程设计综合甲级资质或工程设计电力行业甲级资质或工程设计电力行业（送电工程）专业甲级资质。</w:t>
            </w:r>
          </w:p>
        </w:tc>
      </w:tr>
    </w:tbl>
    <w:p w14:paraId="568A3864">
      <w:pPr>
        <w:adjustRightInd w:val="0"/>
        <w:spacing w:line="276" w:lineRule="auto"/>
        <w:ind w:firstLine="422"/>
        <w:jc w:val="center"/>
        <w:rPr>
          <w:rFonts w:hint="eastAsia" w:ascii="宋体" w:hAnsi="宋体"/>
          <w:b/>
          <w:snapToGrid w:val="0"/>
          <w:kern w:val="0"/>
          <w:sz w:val="21"/>
          <w:szCs w:val="21"/>
        </w:rPr>
      </w:pPr>
    </w:p>
    <w:p w14:paraId="0FA249F8">
      <w:pPr>
        <w:adjustRightInd w:val="0"/>
        <w:spacing w:line="276" w:lineRule="auto"/>
        <w:ind w:firstLine="422"/>
        <w:jc w:val="center"/>
        <w:rPr>
          <w:rFonts w:hint="eastAsia" w:ascii="宋体" w:hAnsi="宋体"/>
          <w:b/>
          <w:snapToGrid w:val="0"/>
          <w:kern w:val="0"/>
          <w:sz w:val="21"/>
          <w:szCs w:val="21"/>
        </w:rPr>
      </w:pPr>
      <w:r>
        <w:rPr>
          <w:rFonts w:hint="eastAsia" w:ascii="宋体" w:hAnsi="宋体"/>
          <w:b/>
          <w:snapToGrid w:val="0"/>
          <w:kern w:val="0"/>
          <w:sz w:val="21"/>
          <w:szCs w:val="21"/>
        </w:rPr>
        <w:t>附录2 资格审查条件（业绩最低要求）</w:t>
      </w:r>
    </w:p>
    <w:tbl>
      <w:tblPr>
        <w:tblStyle w:val="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71610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5000" w:type="pct"/>
            <w:vAlign w:val="center"/>
          </w:tcPr>
          <w:p w14:paraId="5FFC6950">
            <w:pPr>
              <w:pStyle w:val="6"/>
              <w:ind w:firstLine="480"/>
              <w:rPr>
                <w:rFonts w:hint="eastAsia"/>
                <w:snapToGrid w:val="0"/>
              </w:rPr>
            </w:pPr>
            <w:r>
              <w:rPr>
                <w:rFonts w:hint="eastAsia"/>
                <w:snapToGrid w:val="0"/>
              </w:rPr>
              <w:t>业绩要求</w:t>
            </w:r>
          </w:p>
        </w:tc>
      </w:tr>
      <w:tr w14:paraId="22476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0" w:hRule="atLeast"/>
          <w:jc w:val="center"/>
        </w:trPr>
        <w:tc>
          <w:tcPr>
            <w:tcW w:w="5000" w:type="pct"/>
            <w:vAlign w:val="center"/>
          </w:tcPr>
          <w:p w14:paraId="3172F5AB">
            <w:pPr>
              <w:pStyle w:val="4"/>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近5年内（2021年10月1日至今，以项目竣工日期为准）完成过1项不低于500</w:t>
            </w:r>
            <w:r>
              <w:rPr>
                <w:rFonts w:ascii="宋体" w:hAnsi="宋体" w:cs="宋体"/>
                <w:snapToGrid w:val="0"/>
                <w:kern w:val="0"/>
                <w:sz w:val="21"/>
                <w:szCs w:val="21"/>
              </w:rPr>
              <w:t>kV</w:t>
            </w:r>
            <w:r>
              <w:rPr>
                <w:rFonts w:hint="eastAsia" w:ascii="宋体" w:hAnsi="宋体"/>
                <w:snapToGrid w:val="0"/>
                <w:kern w:val="0"/>
                <w:sz w:val="21"/>
                <w:szCs w:val="21"/>
              </w:rPr>
              <w:t>（含）电压等级的电力工程初步设计或施工图设计业绩。</w:t>
            </w:r>
          </w:p>
        </w:tc>
      </w:tr>
    </w:tbl>
    <w:p w14:paraId="28D81CFA">
      <w:pPr>
        <w:adjustRightInd w:val="0"/>
        <w:spacing w:line="276" w:lineRule="auto"/>
        <w:ind w:firstLine="422"/>
        <w:jc w:val="center"/>
        <w:rPr>
          <w:rFonts w:hint="eastAsia" w:ascii="宋体" w:hAnsi="宋体"/>
          <w:b/>
          <w:snapToGrid w:val="0"/>
          <w:kern w:val="0"/>
          <w:sz w:val="21"/>
          <w:szCs w:val="21"/>
        </w:rPr>
      </w:pPr>
    </w:p>
    <w:p w14:paraId="05DC5DA5">
      <w:pPr>
        <w:adjustRightInd w:val="0"/>
        <w:spacing w:line="276" w:lineRule="auto"/>
        <w:ind w:firstLine="422"/>
        <w:jc w:val="center"/>
        <w:rPr>
          <w:rFonts w:hint="eastAsia" w:ascii="宋体" w:hAnsi="宋体"/>
          <w:b/>
          <w:snapToGrid w:val="0"/>
          <w:kern w:val="0"/>
          <w:sz w:val="21"/>
          <w:szCs w:val="21"/>
        </w:rPr>
      </w:pPr>
      <w:r>
        <w:rPr>
          <w:rFonts w:hint="eastAsia" w:ascii="宋体" w:hAnsi="宋体"/>
          <w:b/>
          <w:snapToGrid w:val="0"/>
          <w:kern w:val="0"/>
          <w:sz w:val="21"/>
          <w:szCs w:val="21"/>
        </w:rPr>
        <w:t>附录3 资格审查条件（信誉最低要求）</w:t>
      </w:r>
    </w:p>
    <w:tbl>
      <w:tblPr>
        <w:tblStyle w:val="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132F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trPr>
        <w:tc>
          <w:tcPr>
            <w:tcW w:w="5000" w:type="pct"/>
            <w:vAlign w:val="center"/>
          </w:tcPr>
          <w:p w14:paraId="7201269B">
            <w:pPr>
              <w:pStyle w:val="6"/>
              <w:ind w:firstLine="480"/>
              <w:rPr>
                <w:rFonts w:hint="eastAsia"/>
                <w:snapToGrid w:val="0"/>
              </w:rPr>
            </w:pPr>
            <w:r>
              <w:rPr>
                <w:rFonts w:hint="eastAsia"/>
                <w:snapToGrid w:val="0"/>
              </w:rPr>
              <w:t>信誉要求</w:t>
            </w:r>
          </w:p>
        </w:tc>
      </w:tr>
      <w:tr w14:paraId="2904A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trPr>
        <w:tc>
          <w:tcPr>
            <w:tcW w:w="5000" w:type="pct"/>
            <w:vAlign w:val="center"/>
          </w:tcPr>
          <w:p w14:paraId="0AC0FF09">
            <w:pPr>
              <w:spacing w:line="276" w:lineRule="auto"/>
              <w:ind w:firstLine="420"/>
              <w:rPr>
                <w:snapToGrid w:val="0"/>
                <w:kern w:val="0"/>
                <w:sz w:val="21"/>
                <w:szCs w:val="21"/>
              </w:rPr>
            </w:pPr>
            <w:r>
              <w:rPr>
                <w:rFonts w:hint="eastAsia"/>
                <w:snapToGrid w:val="0"/>
                <w:kern w:val="0"/>
                <w:sz w:val="21"/>
                <w:szCs w:val="21"/>
              </w:rPr>
              <w:t>投标人在近1年内（2025年10月1日至今）不曾在电力工程</w:t>
            </w:r>
            <w:r>
              <w:rPr>
                <w:rFonts w:hint="eastAsia" w:ascii="宋体" w:hAnsi="宋体"/>
                <w:snapToGrid w:val="0"/>
                <w:kern w:val="0"/>
                <w:sz w:val="21"/>
                <w:szCs w:val="21"/>
              </w:rPr>
              <w:t>设计</w:t>
            </w:r>
            <w:r>
              <w:rPr>
                <w:rFonts w:hint="eastAsia"/>
                <w:snapToGrid w:val="0"/>
                <w:kern w:val="0"/>
                <w:sz w:val="21"/>
                <w:szCs w:val="21"/>
              </w:rPr>
              <w:t>合同中违约被驱逐或因投标人自身的原因而使合同被解除。</w:t>
            </w:r>
          </w:p>
        </w:tc>
      </w:tr>
    </w:tbl>
    <w:p w14:paraId="32CBB016">
      <w:pPr>
        <w:adjustRightInd w:val="0"/>
        <w:spacing w:line="276" w:lineRule="auto"/>
        <w:ind w:firstLine="422"/>
        <w:jc w:val="center"/>
        <w:rPr>
          <w:rFonts w:hint="eastAsia" w:ascii="宋体" w:hAnsi="宋体"/>
          <w:b/>
          <w:snapToGrid w:val="0"/>
          <w:kern w:val="0"/>
          <w:sz w:val="21"/>
          <w:szCs w:val="21"/>
        </w:rPr>
      </w:pPr>
    </w:p>
    <w:p w14:paraId="4B2F1502">
      <w:pPr>
        <w:adjustRightInd w:val="0"/>
        <w:spacing w:line="276" w:lineRule="auto"/>
        <w:ind w:firstLine="422"/>
        <w:jc w:val="center"/>
        <w:rPr>
          <w:rFonts w:hint="eastAsia" w:ascii="宋体" w:hAnsi="宋体"/>
          <w:b/>
          <w:snapToGrid w:val="0"/>
          <w:kern w:val="0"/>
          <w:sz w:val="21"/>
          <w:szCs w:val="21"/>
        </w:rPr>
      </w:pPr>
      <w:r>
        <w:rPr>
          <w:rFonts w:hint="eastAsia" w:ascii="宋体" w:hAnsi="宋体"/>
          <w:b/>
          <w:snapToGrid w:val="0"/>
          <w:kern w:val="0"/>
          <w:sz w:val="21"/>
          <w:szCs w:val="21"/>
        </w:rPr>
        <w:t xml:space="preserve">附录4 资格审查条件（项目负责人最低要求） </w:t>
      </w:r>
    </w:p>
    <w:p w14:paraId="6845BF79">
      <w:pPr>
        <w:spacing w:line="276" w:lineRule="auto"/>
        <w:ind w:left="-62" w:leftChars="-22" w:firstLine="420"/>
        <w:jc w:val="left"/>
        <w:rPr>
          <w:rFonts w:hint="eastAsia" w:ascii="宋体" w:hAnsi="宋体"/>
          <w:snapToGrid w:val="0"/>
          <w:kern w:val="0"/>
          <w:sz w:val="21"/>
          <w:szCs w:val="21"/>
        </w:rPr>
      </w:pPr>
    </w:p>
    <w:tbl>
      <w:tblPr>
        <w:tblStyle w:val="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6"/>
        <w:gridCol w:w="758"/>
        <w:gridCol w:w="6808"/>
      </w:tblGrid>
      <w:tr w14:paraId="5B5CB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atLeast"/>
          <w:jc w:val="center"/>
        </w:trPr>
        <w:tc>
          <w:tcPr>
            <w:tcW w:w="561" w:type="pct"/>
            <w:vAlign w:val="center"/>
          </w:tcPr>
          <w:p w14:paraId="56CF6550">
            <w:pPr>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人员</w:t>
            </w:r>
          </w:p>
        </w:tc>
        <w:tc>
          <w:tcPr>
            <w:tcW w:w="445" w:type="pct"/>
            <w:vAlign w:val="center"/>
          </w:tcPr>
          <w:p w14:paraId="6D6E9E87">
            <w:pPr>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数量</w:t>
            </w:r>
          </w:p>
        </w:tc>
        <w:tc>
          <w:tcPr>
            <w:tcW w:w="3994" w:type="pct"/>
            <w:vAlign w:val="center"/>
          </w:tcPr>
          <w:p w14:paraId="47C49389">
            <w:pPr>
              <w:spacing w:line="276" w:lineRule="auto"/>
              <w:ind w:firstLine="420"/>
              <w:jc w:val="center"/>
              <w:rPr>
                <w:rFonts w:hint="eastAsia" w:ascii="宋体" w:hAnsi="宋体"/>
                <w:snapToGrid w:val="0"/>
                <w:kern w:val="0"/>
                <w:sz w:val="21"/>
                <w:szCs w:val="21"/>
              </w:rPr>
            </w:pPr>
            <w:r>
              <w:rPr>
                <w:rFonts w:hint="eastAsia" w:ascii="宋体" w:hAnsi="宋体"/>
                <w:snapToGrid w:val="0"/>
                <w:kern w:val="0"/>
                <w:sz w:val="21"/>
                <w:szCs w:val="21"/>
              </w:rPr>
              <w:t>资格要求</w:t>
            </w:r>
          </w:p>
        </w:tc>
      </w:tr>
      <w:tr w14:paraId="6EEF9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9" w:hRule="atLeast"/>
          <w:jc w:val="center"/>
        </w:trPr>
        <w:tc>
          <w:tcPr>
            <w:tcW w:w="561" w:type="pct"/>
            <w:vAlign w:val="center"/>
          </w:tcPr>
          <w:p w14:paraId="0EEDF85A">
            <w:pPr>
              <w:spacing w:line="276" w:lineRule="auto"/>
              <w:jc w:val="center"/>
              <w:rPr>
                <w:rFonts w:hint="eastAsia" w:ascii="宋体" w:hAnsi="宋体"/>
                <w:snapToGrid w:val="0"/>
                <w:kern w:val="0"/>
                <w:sz w:val="21"/>
                <w:szCs w:val="21"/>
              </w:rPr>
            </w:pPr>
            <w:bookmarkStart w:id="0" w:name="_Hlk175584432"/>
            <w:r>
              <w:rPr>
                <w:rFonts w:hint="eastAsia" w:ascii="宋体" w:hAnsi="宋体"/>
                <w:snapToGrid w:val="0"/>
                <w:kern w:val="0"/>
                <w:sz w:val="21"/>
                <w:szCs w:val="21"/>
              </w:rPr>
              <w:t>项目负责人</w:t>
            </w:r>
            <w:bookmarkEnd w:id="0"/>
          </w:p>
        </w:tc>
        <w:tc>
          <w:tcPr>
            <w:tcW w:w="445" w:type="pct"/>
            <w:vAlign w:val="center"/>
          </w:tcPr>
          <w:p w14:paraId="5A5D44B9">
            <w:pPr>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1</w:t>
            </w:r>
          </w:p>
        </w:tc>
        <w:tc>
          <w:tcPr>
            <w:tcW w:w="3994" w:type="pct"/>
            <w:vAlign w:val="center"/>
          </w:tcPr>
          <w:p w14:paraId="4722579B">
            <w:pPr>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1、具备高级及以上职称；具备注册电气工程师（发输变电）证书，注册证书的注册单位须与投标人单位名称一致。</w:t>
            </w:r>
          </w:p>
          <w:p w14:paraId="0B87AC74">
            <w:pPr>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2、近5年内（2021年10月1日至今，以项目竣工日期为准）至少担任过1项不低于500</w:t>
            </w:r>
            <w:r>
              <w:rPr>
                <w:rFonts w:ascii="宋体" w:hAnsi="宋体" w:cs="宋体"/>
                <w:snapToGrid w:val="0"/>
                <w:kern w:val="0"/>
                <w:sz w:val="21"/>
                <w:szCs w:val="21"/>
              </w:rPr>
              <w:t>kV</w:t>
            </w:r>
            <w:r>
              <w:rPr>
                <w:rFonts w:hint="eastAsia" w:ascii="宋体" w:hAnsi="宋体"/>
                <w:snapToGrid w:val="0"/>
                <w:kern w:val="0"/>
                <w:sz w:val="21"/>
                <w:szCs w:val="21"/>
              </w:rPr>
              <w:t>（含）电压等级的电力工程初步设计或施工图设计业绩的项目负责人（或设计负责人）。</w:t>
            </w:r>
          </w:p>
        </w:tc>
      </w:tr>
    </w:tbl>
    <w:p w14:paraId="791F3BA5">
      <w:pPr>
        <w:adjustRightInd w:val="0"/>
        <w:spacing w:line="480" w:lineRule="exact"/>
        <w:ind w:firstLine="482"/>
        <w:jc w:val="left"/>
        <w:rPr>
          <w:rFonts w:hint="eastAsia" w:ascii="宋体" w:hAnsi="宋体"/>
          <w:b/>
          <w:snapToGrid w:val="0"/>
          <w:kern w:val="0"/>
          <w:sz w:val="24"/>
        </w:rPr>
      </w:pPr>
    </w:p>
    <w:p w14:paraId="3E40101E">
      <w:pPr>
        <w:widowControl/>
        <w:ind w:firstLine="422"/>
        <w:jc w:val="left"/>
        <w:rPr>
          <w:rFonts w:hint="eastAsia" w:ascii="宋体" w:hAnsi="宋体"/>
          <w:b/>
          <w:snapToGrid w:val="0"/>
          <w:kern w:val="0"/>
          <w:sz w:val="21"/>
          <w:szCs w:val="21"/>
        </w:rPr>
      </w:pPr>
      <w:r>
        <w:rPr>
          <w:rFonts w:hint="eastAsia" w:ascii="宋体" w:hAnsi="宋体"/>
          <w:b/>
          <w:snapToGrid w:val="0"/>
          <w:kern w:val="0"/>
          <w:sz w:val="21"/>
          <w:szCs w:val="21"/>
        </w:rPr>
        <w:br w:type="page"/>
      </w:r>
    </w:p>
    <w:p w14:paraId="3AB72D62">
      <w:pPr>
        <w:adjustRightInd w:val="0"/>
        <w:spacing w:line="360" w:lineRule="auto"/>
        <w:jc w:val="left"/>
        <w:rPr>
          <w:rFonts w:hint="eastAsia" w:ascii="宋体" w:hAnsi="宋体"/>
          <w:b/>
          <w:snapToGrid w:val="0"/>
          <w:kern w:val="0"/>
          <w:sz w:val="24"/>
        </w:rPr>
      </w:pPr>
      <w:r>
        <w:rPr>
          <w:rFonts w:hint="eastAsia" w:ascii="宋体" w:hAnsi="宋体"/>
          <w:b/>
          <w:snapToGrid w:val="0"/>
          <w:kern w:val="0"/>
          <w:sz w:val="24"/>
        </w:rPr>
        <w:t>附件2：评标办法</w:t>
      </w:r>
    </w:p>
    <w:p w14:paraId="2054E451">
      <w:pPr>
        <w:pStyle w:val="9"/>
        <w:spacing w:line="480" w:lineRule="exact"/>
        <w:ind w:firstLine="602"/>
        <w:rPr>
          <w:rFonts w:hint="eastAsia" w:ascii="宋体" w:hAnsi="宋体" w:eastAsia="宋体"/>
          <w:snapToGrid w:val="0"/>
          <w:kern w:val="0"/>
          <w:sz w:val="30"/>
          <w:szCs w:val="30"/>
        </w:rPr>
      </w:pPr>
      <w:bookmarkStart w:id="1" w:name="_Toc101801418"/>
      <w:bookmarkStart w:id="2" w:name="_Toc502992691"/>
      <w:bookmarkStart w:id="3" w:name="_Toc459307890"/>
      <w:bookmarkStart w:id="4" w:name="_Toc450319202"/>
      <w:bookmarkStart w:id="5" w:name="_Toc509660966"/>
      <w:bookmarkStart w:id="6" w:name="_Toc509846348"/>
      <w:bookmarkStart w:id="7" w:name="_Toc509659998"/>
      <w:bookmarkStart w:id="8" w:name="_Toc511635241"/>
      <w:bookmarkStart w:id="9" w:name="_Toc445222503"/>
      <w:bookmarkStart w:id="10" w:name="_Toc444271617"/>
      <w:bookmarkStart w:id="11" w:name="_Toc444088432"/>
      <w:bookmarkStart w:id="12" w:name="_Toc445382083"/>
      <w:r>
        <w:rPr>
          <w:rFonts w:hint="eastAsia" w:ascii="宋体" w:hAnsi="宋体" w:eastAsia="宋体"/>
          <w:snapToGrid w:val="0"/>
          <w:kern w:val="0"/>
          <w:sz w:val="30"/>
          <w:szCs w:val="30"/>
        </w:rPr>
        <w:t>评标办法（综合评估法）</w:t>
      </w:r>
      <w:bookmarkEnd w:id="1"/>
      <w:bookmarkEnd w:id="2"/>
      <w:bookmarkEnd w:id="3"/>
      <w:bookmarkEnd w:id="4"/>
      <w:bookmarkEnd w:id="5"/>
      <w:bookmarkEnd w:id="6"/>
      <w:bookmarkEnd w:id="7"/>
      <w:bookmarkEnd w:id="8"/>
    </w:p>
    <w:bookmarkEnd w:id="9"/>
    <w:bookmarkEnd w:id="10"/>
    <w:bookmarkEnd w:id="11"/>
    <w:bookmarkEnd w:id="12"/>
    <w:p w14:paraId="73C7B77D">
      <w:pPr>
        <w:pStyle w:val="10"/>
        <w:spacing w:line="480" w:lineRule="exact"/>
        <w:ind w:firstLine="482"/>
        <w:rPr>
          <w:rFonts w:hint="eastAsia" w:ascii="宋体" w:hAnsi="宋体"/>
          <w:snapToGrid w:val="0"/>
          <w:kern w:val="0"/>
          <w:sz w:val="24"/>
          <w:szCs w:val="24"/>
          <w:vertAlign w:val="superscript"/>
        </w:rPr>
      </w:pPr>
      <w:bookmarkStart w:id="13" w:name="_Toc511635242"/>
      <w:bookmarkStart w:id="14" w:name="_Toc101801419"/>
      <w:r>
        <w:rPr>
          <w:rFonts w:hint="eastAsia" w:ascii="宋体" w:hAnsi="宋体"/>
          <w:snapToGrid w:val="0"/>
          <w:kern w:val="0"/>
          <w:sz w:val="24"/>
          <w:szCs w:val="24"/>
        </w:rPr>
        <w:t>评标办法前附表</w:t>
      </w:r>
      <w:bookmarkEnd w:id="13"/>
      <w:bookmarkEnd w:id="14"/>
    </w:p>
    <w:tbl>
      <w:tblPr>
        <w:tblStyle w:val="7"/>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277"/>
        <w:gridCol w:w="7279"/>
      </w:tblGrid>
      <w:tr w14:paraId="2A93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blHeader/>
          <w:jc w:val="center"/>
        </w:trPr>
        <w:tc>
          <w:tcPr>
            <w:tcW w:w="1072" w:type="dxa"/>
            <w:vAlign w:val="center"/>
          </w:tcPr>
          <w:p w14:paraId="4FD71BDD">
            <w:pPr>
              <w:snapToGrid w:val="0"/>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条款号</w:t>
            </w:r>
          </w:p>
        </w:tc>
        <w:tc>
          <w:tcPr>
            <w:tcW w:w="1277" w:type="dxa"/>
            <w:vAlign w:val="center"/>
          </w:tcPr>
          <w:p w14:paraId="0A54C508">
            <w:pPr>
              <w:snapToGrid w:val="0"/>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条款名称</w:t>
            </w:r>
          </w:p>
        </w:tc>
        <w:tc>
          <w:tcPr>
            <w:tcW w:w="7279" w:type="dxa"/>
            <w:vAlign w:val="center"/>
          </w:tcPr>
          <w:p w14:paraId="71176BEA">
            <w:pPr>
              <w:snapToGrid w:val="0"/>
              <w:spacing w:line="276" w:lineRule="auto"/>
              <w:ind w:firstLine="420"/>
              <w:jc w:val="center"/>
              <w:rPr>
                <w:rFonts w:hint="eastAsia" w:ascii="宋体" w:hAnsi="宋体"/>
                <w:snapToGrid w:val="0"/>
                <w:kern w:val="0"/>
                <w:sz w:val="21"/>
                <w:szCs w:val="21"/>
              </w:rPr>
            </w:pPr>
            <w:r>
              <w:rPr>
                <w:rFonts w:hint="eastAsia" w:ascii="宋体" w:hAnsi="宋体"/>
                <w:snapToGrid w:val="0"/>
                <w:kern w:val="0"/>
                <w:sz w:val="21"/>
                <w:szCs w:val="21"/>
              </w:rPr>
              <w:t>评审因素与评审标准</w:t>
            </w:r>
          </w:p>
        </w:tc>
      </w:tr>
      <w:tr w14:paraId="2528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1072" w:type="dxa"/>
            <w:vAlign w:val="center"/>
          </w:tcPr>
          <w:p w14:paraId="086D59A0">
            <w:pPr>
              <w:snapToGrid w:val="0"/>
              <w:spacing w:line="276" w:lineRule="auto"/>
              <w:jc w:val="center"/>
              <w:rPr>
                <w:rFonts w:hint="eastAsia" w:ascii="宋体" w:hAnsi="宋体"/>
                <w:snapToGrid w:val="0"/>
                <w:kern w:val="0"/>
                <w:sz w:val="21"/>
                <w:szCs w:val="21"/>
              </w:rPr>
            </w:pPr>
            <w:r>
              <w:rPr>
                <w:rFonts w:ascii="宋体" w:hAnsi="宋体"/>
                <w:snapToGrid w:val="0"/>
                <w:kern w:val="0"/>
                <w:sz w:val="21"/>
                <w:szCs w:val="21"/>
              </w:rPr>
              <w:t>1</w:t>
            </w:r>
          </w:p>
        </w:tc>
        <w:tc>
          <w:tcPr>
            <w:tcW w:w="1277" w:type="dxa"/>
            <w:vAlign w:val="center"/>
          </w:tcPr>
          <w:p w14:paraId="6614115C">
            <w:pPr>
              <w:snapToGrid w:val="0"/>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评标办法</w:t>
            </w:r>
          </w:p>
        </w:tc>
        <w:tc>
          <w:tcPr>
            <w:tcW w:w="7279" w:type="dxa"/>
            <w:vAlign w:val="center"/>
          </w:tcPr>
          <w:p w14:paraId="2AEAE624">
            <w:pPr>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本次评标采用综合评估法。评标委员会对满足招标文件实质性要求的投标文件，按照本章第2.2款规定的评分标准进行打分，并按得分由高到低顺序推荐1-3名中标候选人。综合评分相等时，评标委员会依次按照以下优先顺序推荐中标候选人：</w:t>
            </w:r>
          </w:p>
          <w:p w14:paraId="108BC640">
            <w:pPr>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（1）评标价低的投标人优先；</w:t>
            </w:r>
          </w:p>
          <w:p w14:paraId="5D41508D">
            <w:pPr>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（2）技术建议书得分较高的投标人优先；</w:t>
            </w:r>
          </w:p>
          <w:p w14:paraId="2DBC201E">
            <w:pPr>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（3）满足资格审查条件(业绩最低条件)要求所附业绩中单项合同金额较大的优先。</w:t>
            </w:r>
          </w:p>
        </w:tc>
      </w:tr>
      <w:tr w14:paraId="058E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072" w:type="dxa"/>
            <w:vAlign w:val="center"/>
          </w:tcPr>
          <w:p w14:paraId="2EDE47B7">
            <w:pPr>
              <w:snapToGrid w:val="0"/>
              <w:spacing w:line="276" w:lineRule="auto"/>
              <w:jc w:val="center"/>
              <w:rPr>
                <w:rFonts w:hint="eastAsia" w:ascii="宋体" w:hAnsi="宋体"/>
                <w:snapToGrid w:val="0"/>
                <w:kern w:val="0"/>
                <w:sz w:val="21"/>
                <w:szCs w:val="21"/>
              </w:rPr>
            </w:pPr>
            <w:r>
              <w:rPr>
                <w:rFonts w:ascii="宋体" w:hAnsi="宋体"/>
                <w:snapToGrid w:val="0"/>
                <w:kern w:val="0"/>
                <w:sz w:val="21"/>
                <w:szCs w:val="21"/>
              </w:rPr>
              <w:t>2.1.1</w:t>
            </w:r>
          </w:p>
          <w:p w14:paraId="2071FBE4">
            <w:pPr>
              <w:snapToGrid w:val="0"/>
              <w:spacing w:line="276" w:lineRule="auto"/>
              <w:jc w:val="center"/>
              <w:rPr>
                <w:rFonts w:hint="eastAsia" w:ascii="宋体" w:hAnsi="宋体"/>
                <w:snapToGrid w:val="0"/>
                <w:kern w:val="0"/>
                <w:sz w:val="21"/>
                <w:szCs w:val="21"/>
              </w:rPr>
            </w:pPr>
            <w:r>
              <w:rPr>
                <w:rFonts w:ascii="宋体" w:hAnsi="宋体"/>
                <w:snapToGrid w:val="0"/>
                <w:kern w:val="0"/>
                <w:sz w:val="21"/>
                <w:szCs w:val="21"/>
              </w:rPr>
              <w:t>2.1.3</w:t>
            </w:r>
          </w:p>
        </w:tc>
        <w:tc>
          <w:tcPr>
            <w:tcW w:w="1277" w:type="dxa"/>
            <w:vAlign w:val="center"/>
          </w:tcPr>
          <w:p w14:paraId="4FD92D73">
            <w:pPr>
              <w:snapToGrid w:val="0"/>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形式评审与响应性评审标准</w:t>
            </w:r>
          </w:p>
        </w:tc>
        <w:tc>
          <w:tcPr>
            <w:tcW w:w="7279" w:type="dxa"/>
          </w:tcPr>
          <w:p w14:paraId="59B16387">
            <w:pPr>
              <w:tabs>
                <w:tab w:val="left" w:pos="3060"/>
              </w:tabs>
              <w:snapToGrid w:val="0"/>
              <w:spacing w:line="276" w:lineRule="auto"/>
              <w:rPr>
                <w:rFonts w:hint="eastAsia" w:ascii="宋体" w:hAnsi="宋体"/>
                <w:b/>
                <w:snapToGrid w:val="0"/>
                <w:kern w:val="0"/>
                <w:sz w:val="21"/>
                <w:szCs w:val="21"/>
              </w:rPr>
            </w:pPr>
            <w:r>
              <w:rPr>
                <w:rFonts w:hint="eastAsia" w:ascii="宋体" w:hAnsi="宋体"/>
                <w:b/>
                <w:snapToGrid w:val="0"/>
                <w:kern w:val="0"/>
                <w:sz w:val="21"/>
                <w:szCs w:val="21"/>
              </w:rPr>
              <w:t>第一个信封（商务文件）评审标准：</w:t>
            </w:r>
          </w:p>
          <w:p w14:paraId="05440837">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（1）投标文件按照招标文件规定的格式、内容填写，字迹清晰可辨：</w:t>
            </w:r>
          </w:p>
          <w:p w14:paraId="1DFBD51D">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a．投标函按招标文件规定填报了招标人名称、项目名称、补遗书编号（如有）、项目负责人相关信息、服务期限、质量要求、安全目标等内容；</w:t>
            </w:r>
          </w:p>
          <w:p w14:paraId="612B76AD">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b．投标文件组成齐全完整，内容均按规定填写。</w:t>
            </w:r>
          </w:p>
          <w:p w14:paraId="5B74AD14">
            <w:pPr>
              <w:tabs>
                <w:tab w:val="left" w:pos="3060"/>
              </w:tabs>
              <w:snapToGrid w:val="0"/>
              <w:spacing w:line="276" w:lineRule="auto"/>
              <w:ind w:firstLine="420"/>
              <w:rPr>
                <w:rFonts w:hint="eastAsia" w:ascii="宋体" w:hAnsi="宋体"/>
                <w:bCs/>
                <w:snapToGrid w:val="0"/>
                <w:kern w:val="0"/>
                <w:sz w:val="21"/>
                <w:szCs w:val="21"/>
              </w:rPr>
            </w:pPr>
            <w:r>
              <w:rPr>
                <w:rFonts w:hint="eastAsia" w:ascii="宋体" w:hAnsi="宋体"/>
                <w:bCs/>
                <w:snapToGrid w:val="0"/>
                <w:kern w:val="0"/>
                <w:sz w:val="21"/>
                <w:szCs w:val="21"/>
              </w:rPr>
              <w:t>（</w:t>
            </w:r>
            <w:r>
              <w:rPr>
                <w:rFonts w:ascii="宋体" w:hAnsi="宋体"/>
                <w:bCs/>
                <w:snapToGrid w:val="0"/>
                <w:kern w:val="0"/>
                <w:sz w:val="21"/>
                <w:szCs w:val="21"/>
              </w:rPr>
              <w:t>2</w:t>
            </w:r>
            <w:r>
              <w:rPr>
                <w:rFonts w:hint="eastAsia" w:ascii="宋体" w:hAnsi="宋体"/>
                <w:bCs/>
                <w:snapToGrid w:val="0"/>
                <w:kern w:val="0"/>
                <w:sz w:val="21"/>
                <w:szCs w:val="21"/>
              </w:rPr>
              <w:t>）投标文件上法定代表人或其授权代理人的签字、投标人的单位章盖章齐全，符合招标文件规定。</w:t>
            </w:r>
          </w:p>
          <w:p w14:paraId="2620B720">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cs="宋体"/>
                <w:snapToGrid w:val="0"/>
                <w:kern w:val="0"/>
                <w:sz w:val="21"/>
                <w:szCs w:val="21"/>
              </w:rPr>
              <w:t>（3）投标人按照招标文件的规定提供了投标保证金，满足招标文件投标人须知前附表第3.4.1款。</w:t>
            </w:r>
          </w:p>
          <w:p w14:paraId="501E1ED1">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4</w:t>
            </w:r>
            <w:r>
              <w:rPr>
                <w:rFonts w:hint="eastAsia" w:ascii="宋体" w:hAnsi="宋体"/>
                <w:snapToGrid w:val="0"/>
                <w:kern w:val="0"/>
                <w:sz w:val="21"/>
                <w:szCs w:val="21"/>
              </w:rPr>
              <w:t>）投标人法定代表人授权委托代理人签署投标文件的，须提交授权委托书，授权委托书符合招标文件规定。</w:t>
            </w:r>
          </w:p>
          <w:p w14:paraId="2E9109C0">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5</w:t>
            </w:r>
            <w:r>
              <w:rPr>
                <w:rFonts w:hint="eastAsia" w:ascii="宋体" w:hAnsi="宋体"/>
                <w:snapToGrid w:val="0"/>
                <w:kern w:val="0"/>
                <w:sz w:val="21"/>
                <w:szCs w:val="21"/>
              </w:rPr>
              <w:t>）投标人法定代表人亲自签署投标文件的，提供了法定代表人身份证明，法定代表人身份证明符合招标文件规定。</w:t>
            </w:r>
          </w:p>
          <w:p w14:paraId="0D2FCBB7">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（6）投标人未以联合体形式投标。</w:t>
            </w:r>
          </w:p>
          <w:p w14:paraId="7DA6F176">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（7）</w:t>
            </w:r>
            <w:r>
              <w:rPr>
                <w:rFonts w:ascii="宋体" w:hAnsi="宋体"/>
                <w:snapToGrid w:val="0"/>
                <w:kern w:val="0"/>
                <w:sz w:val="21"/>
                <w:szCs w:val="21"/>
              </w:rPr>
              <w:t>投标人未对本项目提出分包计划</w:t>
            </w:r>
            <w:r>
              <w:rPr>
                <w:rFonts w:hint="eastAsia" w:ascii="宋体" w:hAnsi="宋体"/>
                <w:snapToGrid w:val="0"/>
                <w:kern w:val="0"/>
                <w:sz w:val="21"/>
                <w:szCs w:val="21"/>
              </w:rPr>
              <w:t>。</w:t>
            </w:r>
          </w:p>
          <w:p w14:paraId="088A2EBC">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（8）投标人未提交两个以上不同的投标文件。</w:t>
            </w:r>
          </w:p>
          <w:p w14:paraId="382FA74E">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（9）投标文件中未出现有关投标报价的内容。</w:t>
            </w:r>
          </w:p>
          <w:p w14:paraId="17324058">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（10）投标文件载明的招标项目完成期限符合招标文件规定。</w:t>
            </w:r>
          </w:p>
          <w:p w14:paraId="7DDB1DBF">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1</w:t>
            </w:r>
            <w:r>
              <w:rPr>
                <w:rFonts w:hint="eastAsia" w:ascii="宋体" w:hAnsi="宋体"/>
                <w:snapToGrid w:val="0"/>
                <w:kern w:val="0"/>
                <w:sz w:val="21"/>
                <w:szCs w:val="21"/>
              </w:rPr>
              <w:t>1）投标文件对招标文件的实质性要求和条件作出响应。</w:t>
            </w:r>
          </w:p>
          <w:p w14:paraId="5A1127EA">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1</w:t>
            </w:r>
            <w:r>
              <w:rPr>
                <w:rFonts w:hint="eastAsia" w:ascii="宋体" w:hAnsi="宋体"/>
                <w:snapToGrid w:val="0"/>
                <w:kern w:val="0"/>
                <w:sz w:val="21"/>
                <w:szCs w:val="21"/>
              </w:rPr>
              <w:t>2）权利义务符合招标文件规定：</w:t>
            </w:r>
          </w:p>
          <w:p w14:paraId="5F351BD7">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a.投标人应接受招标文件规定的风险划分原则，未提出新的风险划分办法；</w:t>
            </w:r>
          </w:p>
          <w:p w14:paraId="1379ED29">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b.投标人未增加发包人的责任范围，或减少投标人义务；</w:t>
            </w:r>
          </w:p>
          <w:p w14:paraId="478C0081">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c.投标人未提出不同的支付办法；</w:t>
            </w:r>
          </w:p>
          <w:p w14:paraId="60FC410F">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d.投标人对合同纠纷、事故处理办法未提出异议；</w:t>
            </w:r>
          </w:p>
          <w:p w14:paraId="4858C161">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e.投标人在投标活动中无欺诈行为；</w:t>
            </w:r>
          </w:p>
          <w:p w14:paraId="0FFF736B">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f.投标人未对合同条款有重要保留。</w:t>
            </w:r>
          </w:p>
          <w:p w14:paraId="55FB86CB">
            <w:pPr>
              <w:tabs>
                <w:tab w:val="left" w:pos="3060"/>
              </w:tabs>
              <w:snapToGrid w:val="0"/>
              <w:spacing w:line="276" w:lineRule="auto"/>
              <w:rPr>
                <w:rFonts w:hint="eastAsia" w:ascii="宋体" w:hAnsi="宋体"/>
                <w:b/>
                <w:snapToGrid w:val="0"/>
                <w:kern w:val="0"/>
                <w:sz w:val="21"/>
                <w:szCs w:val="21"/>
              </w:rPr>
            </w:pPr>
            <w:r>
              <w:rPr>
                <w:rFonts w:hint="eastAsia" w:ascii="宋体" w:hAnsi="宋体"/>
                <w:b/>
                <w:snapToGrid w:val="0"/>
                <w:kern w:val="0"/>
                <w:sz w:val="21"/>
                <w:szCs w:val="21"/>
              </w:rPr>
              <w:t>第一个信封（技术文件）评审标准</w:t>
            </w:r>
            <w:r>
              <w:rPr>
                <w:rFonts w:ascii="宋体" w:hAnsi="宋体"/>
                <w:b/>
                <w:snapToGrid w:val="0"/>
                <w:kern w:val="0"/>
                <w:sz w:val="21"/>
                <w:szCs w:val="21"/>
              </w:rPr>
              <w:t>:</w:t>
            </w:r>
          </w:p>
          <w:p w14:paraId="2D6EF90E">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（1）技术建议书（暗标）编制符合招标文件第二章“投标人须知前附表”第3.7.3（5）款的规定。</w:t>
            </w:r>
          </w:p>
          <w:p w14:paraId="155569BA">
            <w:pPr>
              <w:tabs>
                <w:tab w:val="left" w:pos="3060"/>
              </w:tabs>
              <w:snapToGrid w:val="0"/>
              <w:spacing w:line="276" w:lineRule="auto"/>
              <w:rPr>
                <w:rFonts w:hint="eastAsia" w:ascii="宋体" w:hAnsi="宋体"/>
                <w:b/>
                <w:snapToGrid w:val="0"/>
                <w:kern w:val="0"/>
                <w:sz w:val="21"/>
                <w:szCs w:val="21"/>
              </w:rPr>
            </w:pPr>
            <w:r>
              <w:rPr>
                <w:rFonts w:hint="eastAsia" w:ascii="宋体" w:hAnsi="宋体"/>
                <w:b/>
                <w:snapToGrid w:val="0"/>
                <w:kern w:val="0"/>
                <w:sz w:val="21"/>
                <w:szCs w:val="21"/>
              </w:rPr>
              <w:t>第二个信封（报价文件）评审标准：</w:t>
            </w:r>
          </w:p>
          <w:p w14:paraId="08C5BDAB">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(1)投标文件按照招标文件规定的格式、内容填写，字迹清晰可辨，内容齐</w:t>
            </w:r>
            <w:r>
              <w:rPr>
                <w:rFonts w:hint="eastAsia" w:ascii="宋体" w:hAnsi="宋体"/>
                <w:snapToGrid w:val="0"/>
                <w:kern w:val="0"/>
                <w:sz w:val="21"/>
                <w:szCs w:val="21"/>
              </w:rPr>
              <w:t>全完整：</w:t>
            </w:r>
          </w:p>
          <w:p w14:paraId="250A0C55">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a．</w:t>
            </w:r>
            <w:r>
              <w:rPr>
                <w:rFonts w:hint="eastAsia" w:ascii="宋体" w:hAnsi="宋体"/>
                <w:snapToGrid w:val="0"/>
                <w:kern w:val="0"/>
                <w:sz w:val="21"/>
                <w:szCs w:val="21"/>
              </w:rPr>
              <w:t>投标函按招标文件规定填报了招标人名称、项目名称、补遗书编号（如有）、投标报价（包括大写金额和小写金额）；</w:t>
            </w:r>
          </w:p>
          <w:p w14:paraId="0D87F019">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b．投标文件组成齐全完整，内容均按规定填写。</w:t>
            </w:r>
          </w:p>
          <w:p w14:paraId="3312B30B">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 xml:space="preserve">(2) </w:t>
            </w:r>
            <w:r>
              <w:rPr>
                <w:rFonts w:hint="eastAsia" w:ascii="宋体" w:hAnsi="宋体"/>
                <w:snapToGrid w:val="0"/>
                <w:kern w:val="0"/>
                <w:sz w:val="21"/>
                <w:szCs w:val="21"/>
              </w:rPr>
              <w:t>投标文件上法定代表人或其委托代理人签字、投标人的单位章齐全，符合招标文件规定。</w:t>
            </w:r>
          </w:p>
          <w:p w14:paraId="6F6B7D2B">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(3)投标报价未超过招标文件设定的最高投标限价。</w:t>
            </w:r>
          </w:p>
          <w:p w14:paraId="09ADC21A">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(4)投标报价的大写金额能够确定具体数值。</w:t>
            </w:r>
          </w:p>
          <w:p w14:paraId="69FC0D13">
            <w:pPr>
              <w:tabs>
                <w:tab w:val="left" w:pos="3060"/>
              </w:tabs>
              <w:snapToGrid w:val="0"/>
              <w:spacing w:line="276" w:lineRule="auto"/>
              <w:ind w:firstLine="420"/>
              <w:rPr>
                <w:rFonts w:hint="eastAsia" w:ascii="宋体" w:hAnsi="宋体"/>
                <w:snapToGrid w:val="0"/>
                <w:kern w:val="0"/>
                <w:sz w:val="21"/>
                <w:szCs w:val="21"/>
              </w:rPr>
            </w:pPr>
            <w:r>
              <w:rPr>
                <w:rFonts w:ascii="宋体" w:hAnsi="宋体"/>
                <w:snapToGrid w:val="0"/>
                <w:kern w:val="0"/>
                <w:sz w:val="21"/>
                <w:szCs w:val="21"/>
              </w:rPr>
              <w:t>(5)投标人</w:t>
            </w:r>
            <w:r>
              <w:rPr>
                <w:rFonts w:hint="eastAsia" w:ascii="宋体" w:hAnsi="宋体"/>
                <w:snapToGrid w:val="0"/>
                <w:kern w:val="0"/>
                <w:sz w:val="21"/>
                <w:szCs w:val="21"/>
              </w:rPr>
              <w:t>未提交</w:t>
            </w:r>
            <w:r>
              <w:rPr>
                <w:rFonts w:ascii="宋体" w:hAnsi="宋体"/>
                <w:snapToGrid w:val="0"/>
                <w:kern w:val="0"/>
                <w:sz w:val="21"/>
                <w:szCs w:val="21"/>
              </w:rPr>
              <w:t>两个以上不同的投标报价。</w:t>
            </w:r>
          </w:p>
        </w:tc>
      </w:tr>
      <w:tr w14:paraId="5A7A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072" w:type="dxa"/>
            <w:vAlign w:val="center"/>
          </w:tcPr>
          <w:p w14:paraId="475760B3">
            <w:pPr>
              <w:snapToGrid w:val="0"/>
              <w:spacing w:line="276" w:lineRule="auto"/>
              <w:jc w:val="center"/>
              <w:rPr>
                <w:rFonts w:hint="eastAsia" w:ascii="宋体" w:hAnsi="宋体"/>
                <w:snapToGrid w:val="0"/>
                <w:kern w:val="0"/>
                <w:sz w:val="21"/>
                <w:szCs w:val="21"/>
              </w:rPr>
            </w:pPr>
            <w:r>
              <w:rPr>
                <w:rFonts w:ascii="宋体" w:hAnsi="宋体"/>
                <w:snapToGrid w:val="0"/>
                <w:kern w:val="0"/>
                <w:sz w:val="21"/>
                <w:szCs w:val="21"/>
              </w:rPr>
              <w:t>2.1.2</w:t>
            </w:r>
          </w:p>
        </w:tc>
        <w:tc>
          <w:tcPr>
            <w:tcW w:w="1277" w:type="dxa"/>
            <w:vAlign w:val="center"/>
          </w:tcPr>
          <w:p w14:paraId="7E258A64">
            <w:pPr>
              <w:snapToGrid w:val="0"/>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资格评审标准</w:t>
            </w:r>
          </w:p>
        </w:tc>
        <w:tc>
          <w:tcPr>
            <w:tcW w:w="7279" w:type="dxa"/>
          </w:tcPr>
          <w:p w14:paraId="013B1698">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1）</w:t>
            </w:r>
            <w:r>
              <w:rPr>
                <w:rFonts w:hint="eastAsia" w:ascii="宋体" w:hAnsi="宋体"/>
                <w:snapToGrid w:val="0"/>
                <w:kern w:val="0"/>
                <w:sz w:val="21"/>
                <w:szCs w:val="21"/>
              </w:rPr>
              <w:t>投标人具备有效的营业执照</w:t>
            </w:r>
            <w:r>
              <w:rPr>
                <w:rFonts w:ascii="宋体" w:hAnsi="宋体"/>
                <w:snapToGrid w:val="0"/>
                <w:kern w:val="0"/>
                <w:sz w:val="21"/>
                <w:szCs w:val="21"/>
              </w:rPr>
              <w:t>、资质证书和基本账户开户许可证（或基本存款账户信息）；</w:t>
            </w:r>
          </w:p>
          <w:p w14:paraId="52DE66DC">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2）投标人的资质等级符合招标文件规定；</w:t>
            </w:r>
          </w:p>
          <w:p w14:paraId="391CF51E">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3）投标人的类似项目业绩符合招标文件规定；</w:t>
            </w:r>
          </w:p>
          <w:p w14:paraId="26F4541F">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4）投标人的信誉符合招标文件规定；</w:t>
            </w:r>
          </w:p>
          <w:p w14:paraId="064BE309">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 xml:space="preserve">5）投标人的项目负责人资格符合招标文件规定； </w:t>
            </w:r>
          </w:p>
          <w:p w14:paraId="28518578">
            <w:pPr>
              <w:tabs>
                <w:tab w:val="left" w:pos="3060"/>
              </w:tabs>
              <w:snapToGrid w:val="0"/>
              <w:spacing w:line="276" w:lineRule="auto"/>
              <w:ind w:firstLine="420"/>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6）投标人不存在第二章“投标人须知”第1.4.3项或第1.4.4项规定的任何一种情形。</w:t>
            </w:r>
          </w:p>
        </w:tc>
      </w:tr>
      <w:tr w14:paraId="0E25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72" w:type="dxa"/>
            <w:vAlign w:val="center"/>
          </w:tcPr>
          <w:p w14:paraId="1AED8454">
            <w:pPr>
              <w:snapToGrid w:val="0"/>
              <w:spacing w:line="276" w:lineRule="auto"/>
              <w:jc w:val="center"/>
              <w:rPr>
                <w:rFonts w:hint="eastAsia" w:ascii="宋体" w:hAnsi="宋体"/>
                <w:snapToGrid w:val="0"/>
                <w:kern w:val="0"/>
                <w:sz w:val="21"/>
                <w:szCs w:val="21"/>
              </w:rPr>
            </w:pPr>
            <w:r>
              <w:rPr>
                <w:rFonts w:ascii="宋体" w:hAnsi="宋体"/>
                <w:snapToGrid w:val="0"/>
                <w:kern w:val="0"/>
                <w:sz w:val="21"/>
                <w:szCs w:val="21"/>
              </w:rPr>
              <w:t>2.2.1</w:t>
            </w:r>
          </w:p>
        </w:tc>
        <w:tc>
          <w:tcPr>
            <w:tcW w:w="1277" w:type="dxa"/>
            <w:vAlign w:val="center"/>
          </w:tcPr>
          <w:p w14:paraId="24FA3AFF">
            <w:pPr>
              <w:snapToGrid w:val="0"/>
              <w:spacing w:line="276" w:lineRule="auto"/>
              <w:jc w:val="center"/>
              <w:rPr>
                <w:rFonts w:hint="eastAsia" w:ascii="宋体" w:hAnsi="宋体"/>
                <w:snapToGrid w:val="0"/>
                <w:kern w:val="0"/>
                <w:sz w:val="21"/>
                <w:szCs w:val="21"/>
              </w:rPr>
            </w:pPr>
            <w:r>
              <w:rPr>
                <w:rFonts w:hint="eastAsia" w:ascii="宋体" w:hAnsi="宋体"/>
                <w:snapToGrid w:val="0"/>
                <w:kern w:val="0"/>
                <w:sz w:val="21"/>
                <w:szCs w:val="21"/>
              </w:rPr>
              <w:t>分值构成</w:t>
            </w:r>
          </w:p>
        </w:tc>
        <w:tc>
          <w:tcPr>
            <w:tcW w:w="7279" w:type="dxa"/>
            <w:vAlign w:val="center"/>
          </w:tcPr>
          <w:p w14:paraId="2EB6101F">
            <w:pPr>
              <w:autoSpaceDE w:val="0"/>
              <w:autoSpaceDN w:val="0"/>
              <w:adjustRightInd w:val="0"/>
              <w:snapToGrid w:val="0"/>
              <w:spacing w:line="276" w:lineRule="auto"/>
              <w:jc w:val="left"/>
              <w:rPr>
                <w:rFonts w:hint="eastAsia" w:ascii="宋体" w:hAnsi="宋体"/>
                <w:b/>
                <w:snapToGrid w:val="0"/>
                <w:kern w:val="0"/>
                <w:sz w:val="21"/>
                <w:szCs w:val="21"/>
              </w:rPr>
            </w:pPr>
            <w:r>
              <w:rPr>
                <w:rFonts w:hint="eastAsia" w:ascii="宋体" w:hAnsi="宋体"/>
                <w:b/>
                <w:snapToGrid w:val="0"/>
                <w:kern w:val="0"/>
                <w:sz w:val="21"/>
                <w:szCs w:val="21"/>
              </w:rPr>
              <w:t>第一信封（商务及技术文件）评分分值构成：</w:t>
            </w:r>
          </w:p>
          <w:p w14:paraId="199533AE">
            <w:pPr>
              <w:autoSpaceDE w:val="0"/>
              <w:autoSpaceDN w:val="0"/>
              <w:adjustRightInd w:val="0"/>
              <w:snapToGrid w:val="0"/>
              <w:spacing w:line="276" w:lineRule="auto"/>
              <w:ind w:left="107" w:firstLine="420"/>
              <w:jc w:val="left"/>
              <w:rPr>
                <w:rFonts w:hint="eastAsia" w:ascii="宋体" w:hAnsi="宋体" w:cs="宋?"/>
                <w:snapToGrid w:val="0"/>
                <w:kern w:val="0"/>
                <w:sz w:val="21"/>
                <w:szCs w:val="21"/>
              </w:rPr>
            </w:pPr>
            <w:r>
              <w:rPr>
                <w:rFonts w:hint="eastAsia" w:ascii="宋体" w:hAnsi="宋体" w:cs="宋?"/>
                <w:snapToGrid w:val="0"/>
                <w:kern w:val="0"/>
                <w:sz w:val="21"/>
                <w:szCs w:val="21"/>
              </w:rPr>
              <w:t>技术建议书：45</w:t>
            </w:r>
            <w:r>
              <w:rPr>
                <w:rFonts w:ascii="宋体" w:hAnsi="宋体" w:cs="宋?"/>
                <w:snapToGrid w:val="0"/>
                <w:kern w:val="0"/>
                <w:sz w:val="21"/>
                <w:szCs w:val="21"/>
              </w:rPr>
              <w:t>分</w:t>
            </w:r>
            <w:r>
              <w:rPr>
                <w:rFonts w:hint="eastAsia" w:ascii="宋体" w:hAnsi="宋体" w:cs="宋?"/>
                <w:snapToGrid w:val="0"/>
                <w:kern w:val="0"/>
                <w:sz w:val="21"/>
                <w:szCs w:val="21"/>
              </w:rPr>
              <w:t>（暗标）</w:t>
            </w:r>
          </w:p>
          <w:p w14:paraId="0BEC5974">
            <w:pPr>
              <w:autoSpaceDE w:val="0"/>
              <w:autoSpaceDN w:val="0"/>
              <w:adjustRightInd w:val="0"/>
              <w:snapToGrid w:val="0"/>
              <w:spacing w:line="276" w:lineRule="auto"/>
              <w:ind w:left="107" w:firstLine="420"/>
              <w:jc w:val="left"/>
              <w:rPr>
                <w:rFonts w:hint="eastAsia" w:ascii="宋体" w:hAnsi="宋体"/>
                <w:snapToGrid w:val="0"/>
                <w:kern w:val="0"/>
                <w:sz w:val="21"/>
                <w:szCs w:val="21"/>
              </w:rPr>
            </w:pPr>
            <w:r>
              <w:rPr>
                <w:rFonts w:hint="eastAsia" w:ascii="宋体" w:hAnsi="宋体"/>
                <w:snapToGrid w:val="0"/>
                <w:kern w:val="0"/>
                <w:sz w:val="21"/>
                <w:szCs w:val="21"/>
              </w:rPr>
              <w:t>主要人员：25分</w:t>
            </w:r>
          </w:p>
          <w:p w14:paraId="0530764F">
            <w:pPr>
              <w:autoSpaceDE w:val="0"/>
              <w:autoSpaceDN w:val="0"/>
              <w:adjustRightInd w:val="0"/>
              <w:snapToGrid w:val="0"/>
              <w:spacing w:line="276" w:lineRule="auto"/>
              <w:ind w:left="107" w:firstLine="420"/>
              <w:jc w:val="left"/>
              <w:rPr>
                <w:rFonts w:hint="eastAsia" w:ascii="宋体" w:hAnsi="宋体"/>
                <w:snapToGrid w:val="0"/>
                <w:kern w:val="0"/>
                <w:sz w:val="21"/>
                <w:szCs w:val="21"/>
              </w:rPr>
            </w:pPr>
            <w:r>
              <w:rPr>
                <w:rFonts w:hint="eastAsia" w:ascii="宋体" w:hAnsi="宋体"/>
                <w:snapToGrid w:val="0"/>
                <w:kern w:val="0"/>
                <w:sz w:val="21"/>
                <w:szCs w:val="21"/>
              </w:rPr>
              <w:t>其他因素：</w:t>
            </w:r>
            <w:r>
              <w:rPr>
                <w:rFonts w:ascii="宋体" w:hAnsi="宋体"/>
                <w:snapToGrid w:val="0"/>
                <w:kern w:val="0"/>
                <w:sz w:val="21"/>
                <w:szCs w:val="21"/>
              </w:rPr>
              <w:t>2</w:t>
            </w:r>
            <w:r>
              <w:rPr>
                <w:rFonts w:hint="eastAsia" w:ascii="宋体" w:hAnsi="宋体"/>
                <w:snapToGrid w:val="0"/>
                <w:kern w:val="0"/>
                <w:sz w:val="21"/>
                <w:szCs w:val="21"/>
              </w:rPr>
              <w:t>0</w:t>
            </w:r>
            <w:r>
              <w:rPr>
                <w:rFonts w:ascii="宋体" w:hAnsi="宋体"/>
                <w:snapToGrid w:val="0"/>
                <w:kern w:val="0"/>
                <w:sz w:val="21"/>
                <w:szCs w:val="21"/>
              </w:rPr>
              <w:t>分</w:t>
            </w:r>
          </w:p>
          <w:p w14:paraId="2F376CE6">
            <w:pPr>
              <w:autoSpaceDE w:val="0"/>
              <w:autoSpaceDN w:val="0"/>
              <w:adjustRightInd w:val="0"/>
              <w:snapToGrid w:val="0"/>
              <w:spacing w:line="276" w:lineRule="auto"/>
              <w:jc w:val="left"/>
              <w:rPr>
                <w:rFonts w:hint="eastAsia" w:ascii="宋体" w:hAnsi="宋体"/>
                <w:b/>
                <w:snapToGrid w:val="0"/>
                <w:kern w:val="0"/>
                <w:sz w:val="21"/>
                <w:szCs w:val="21"/>
              </w:rPr>
            </w:pPr>
            <w:r>
              <w:rPr>
                <w:rFonts w:hint="eastAsia" w:ascii="宋体" w:hAnsi="宋体"/>
                <w:b/>
                <w:snapToGrid w:val="0"/>
                <w:kern w:val="0"/>
                <w:sz w:val="21"/>
                <w:szCs w:val="21"/>
              </w:rPr>
              <w:t>第二信封（报价文件）评分分值构成：</w:t>
            </w:r>
          </w:p>
          <w:p w14:paraId="7C596FDE">
            <w:pPr>
              <w:autoSpaceDE w:val="0"/>
              <w:autoSpaceDN w:val="0"/>
              <w:adjustRightInd w:val="0"/>
              <w:snapToGrid w:val="0"/>
              <w:spacing w:line="276" w:lineRule="auto"/>
              <w:ind w:left="107" w:firstLine="420"/>
              <w:jc w:val="left"/>
              <w:rPr>
                <w:rFonts w:hint="eastAsia" w:ascii="宋体" w:hAnsi="宋体"/>
                <w:snapToGrid w:val="0"/>
                <w:kern w:val="0"/>
                <w:sz w:val="21"/>
                <w:szCs w:val="21"/>
              </w:rPr>
            </w:pPr>
            <w:r>
              <w:rPr>
                <w:rFonts w:hint="eastAsia" w:ascii="宋体" w:hAnsi="宋体"/>
                <w:snapToGrid w:val="0"/>
                <w:kern w:val="0"/>
                <w:sz w:val="21"/>
                <w:szCs w:val="21"/>
              </w:rPr>
              <w:t>评标价：</w:t>
            </w:r>
            <w:r>
              <w:rPr>
                <w:rFonts w:ascii="宋体" w:hAnsi="宋体"/>
                <w:snapToGrid w:val="0"/>
                <w:kern w:val="0"/>
                <w:sz w:val="21"/>
                <w:szCs w:val="21"/>
              </w:rPr>
              <w:t>10分</w:t>
            </w:r>
          </w:p>
        </w:tc>
      </w:tr>
      <w:tr w14:paraId="3CBA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72" w:type="dxa"/>
            <w:vAlign w:val="center"/>
          </w:tcPr>
          <w:p w14:paraId="54842941">
            <w:pPr>
              <w:snapToGrid w:val="0"/>
              <w:spacing w:line="276" w:lineRule="auto"/>
              <w:ind w:right="113"/>
              <w:jc w:val="center"/>
              <w:rPr>
                <w:rFonts w:hint="eastAsia" w:ascii="宋体" w:hAnsi="宋体"/>
                <w:snapToGrid w:val="0"/>
                <w:kern w:val="0"/>
                <w:sz w:val="21"/>
                <w:szCs w:val="21"/>
              </w:rPr>
            </w:pPr>
            <w:r>
              <w:rPr>
                <w:rFonts w:ascii="宋体" w:hAnsi="宋体"/>
                <w:snapToGrid w:val="0"/>
                <w:kern w:val="0"/>
                <w:sz w:val="21"/>
                <w:szCs w:val="21"/>
              </w:rPr>
              <w:t>2.2.2</w:t>
            </w:r>
          </w:p>
        </w:tc>
        <w:tc>
          <w:tcPr>
            <w:tcW w:w="1277" w:type="dxa"/>
            <w:vAlign w:val="center"/>
          </w:tcPr>
          <w:p w14:paraId="6D2F76AE">
            <w:pPr>
              <w:snapToGrid w:val="0"/>
              <w:spacing w:line="276" w:lineRule="auto"/>
              <w:ind w:right="113"/>
              <w:rPr>
                <w:rFonts w:hint="eastAsia" w:ascii="宋体" w:hAnsi="宋体"/>
                <w:snapToGrid w:val="0"/>
                <w:kern w:val="0"/>
                <w:sz w:val="21"/>
                <w:szCs w:val="21"/>
              </w:rPr>
            </w:pPr>
            <w:r>
              <w:rPr>
                <w:rFonts w:hint="eastAsia" w:ascii="宋体" w:hAnsi="宋体"/>
                <w:snapToGrid w:val="0"/>
                <w:kern w:val="0"/>
                <w:sz w:val="21"/>
                <w:szCs w:val="21"/>
              </w:rPr>
              <w:t>评标基准价计算方法</w:t>
            </w:r>
          </w:p>
        </w:tc>
        <w:tc>
          <w:tcPr>
            <w:tcW w:w="7279" w:type="dxa"/>
            <w:vAlign w:val="center"/>
          </w:tcPr>
          <w:p w14:paraId="50E8E9C5">
            <w:pPr>
              <w:snapToGrid w:val="0"/>
              <w:spacing w:line="276" w:lineRule="auto"/>
              <w:jc w:val="left"/>
              <w:rPr>
                <w:rFonts w:hint="eastAsia" w:ascii="宋体" w:hAnsi="宋体"/>
                <w:b/>
                <w:snapToGrid w:val="0"/>
                <w:kern w:val="0"/>
                <w:sz w:val="21"/>
                <w:szCs w:val="21"/>
              </w:rPr>
            </w:pPr>
            <w:r>
              <w:rPr>
                <w:rFonts w:hint="eastAsia" w:ascii="宋体" w:hAnsi="宋体"/>
                <w:b/>
                <w:snapToGrid w:val="0"/>
                <w:kern w:val="0"/>
                <w:sz w:val="21"/>
                <w:szCs w:val="21"/>
              </w:rPr>
              <w:t>评标基准价的计算：</w:t>
            </w:r>
          </w:p>
          <w:p w14:paraId="125D0E73">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所有通过第一个信封评审的投标文件，由评标委员会开启第二个信封，  并当场计算并宣布评标基准价。</w:t>
            </w:r>
          </w:p>
          <w:p w14:paraId="17000A20">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（1）评标价的确定： 评标价=投标函文字报价</w:t>
            </w:r>
          </w:p>
          <w:p w14:paraId="779137E0">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（2）评标价平均值的计算：</w:t>
            </w:r>
          </w:p>
          <w:p w14:paraId="19198CCE">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除按第二章“投标人须知”第5.2.4项规定开标现场被宣布为不进入评标基准价计算的投标报价之外，所有投标人的评标价去掉一个最高值和一个最低值后的算术平均值即为评标价平均值（如果参与评标价平均值计算的有效投标人≤5家时，则计算评标价平均值时不去掉最高值和最低值）。</w:t>
            </w:r>
          </w:p>
          <w:p w14:paraId="043B7B34">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（3）评标基准价的确定：</w:t>
            </w:r>
          </w:p>
          <w:p w14:paraId="78F22E7D">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将评标价平均值直接作为评标基准价（评标基准价保留两位小数，第三位四舍五入）。</w:t>
            </w:r>
          </w:p>
          <w:p w14:paraId="7DEE5EE0">
            <w:pPr>
              <w:snapToGrid w:val="0"/>
              <w:spacing w:line="276" w:lineRule="auto"/>
              <w:ind w:left="-39" w:leftChars="-14" w:right="113" w:firstLine="420"/>
              <w:rPr>
                <w:rFonts w:hint="eastAsia" w:ascii="宋体" w:hAnsi="宋体"/>
                <w:snapToGrid w:val="0"/>
                <w:kern w:val="0"/>
                <w:sz w:val="21"/>
                <w:szCs w:val="21"/>
              </w:rPr>
            </w:pPr>
            <w:r>
              <w:rPr>
                <w:rFonts w:hint="eastAsia" w:ascii="宋体" w:hAnsi="宋体"/>
                <w:snapToGrid w:val="0"/>
                <w:kern w:val="0"/>
                <w:sz w:val="21"/>
                <w:szCs w:val="21"/>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7A50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644F216C">
            <w:pPr>
              <w:snapToGrid w:val="0"/>
              <w:spacing w:line="276" w:lineRule="auto"/>
              <w:ind w:right="113"/>
              <w:jc w:val="center"/>
              <w:rPr>
                <w:rFonts w:hint="eastAsia" w:ascii="宋体" w:hAnsi="宋体"/>
                <w:snapToGrid w:val="0"/>
                <w:kern w:val="0"/>
                <w:sz w:val="21"/>
                <w:szCs w:val="21"/>
              </w:rPr>
            </w:pPr>
            <w:r>
              <w:rPr>
                <w:rFonts w:ascii="宋体" w:hAnsi="宋体"/>
                <w:snapToGrid w:val="0"/>
                <w:kern w:val="0"/>
                <w:sz w:val="21"/>
                <w:szCs w:val="21"/>
              </w:rPr>
              <w:t>2.2.3</w:t>
            </w:r>
          </w:p>
        </w:tc>
        <w:tc>
          <w:tcPr>
            <w:tcW w:w="1277" w:type="dxa"/>
            <w:vAlign w:val="center"/>
          </w:tcPr>
          <w:p w14:paraId="4AC212BC">
            <w:pPr>
              <w:snapToGrid w:val="0"/>
              <w:spacing w:line="276" w:lineRule="auto"/>
              <w:ind w:left="113" w:right="113"/>
              <w:rPr>
                <w:rFonts w:hint="eastAsia" w:ascii="宋体" w:hAnsi="宋体"/>
                <w:snapToGrid w:val="0"/>
                <w:kern w:val="0"/>
                <w:sz w:val="21"/>
                <w:szCs w:val="21"/>
              </w:rPr>
            </w:pPr>
            <w:r>
              <w:rPr>
                <w:rFonts w:hint="eastAsia" w:ascii="宋体" w:hAnsi="宋体"/>
                <w:snapToGrid w:val="0"/>
                <w:kern w:val="0"/>
                <w:sz w:val="21"/>
                <w:szCs w:val="21"/>
              </w:rPr>
              <w:t>评标价的偏差率计算公式</w:t>
            </w:r>
          </w:p>
        </w:tc>
        <w:tc>
          <w:tcPr>
            <w:tcW w:w="7279" w:type="dxa"/>
            <w:vAlign w:val="center"/>
          </w:tcPr>
          <w:p w14:paraId="1255A2B9">
            <w:pPr>
              <w:snapToGrid w:val="0"/>
              <w:spacing w:line="276" w:lineRule="auto"/>
              <w:ind w:right="113" w:firstLine="420"/>
              <w:rPr>
                <w:rFonts w:hint="eastAsia" w:ascii="宋体" w:hAnsi="宋体"/>
                <w:snapToGrid w:val="0"/>
                <w:kern w:val="0"/>
                <w:sz w:val="21"/>
                <w:szCs w:val="21"/>
              </w:rPr>
            </w:pPr>
            <w:r>
              <w:rPr>
                <w:rFonts w:hint="eastAsia" w:ascii="宋体" w:hAnsi="宋体"/>
                <w:snapToGrid w:val="0"/>
                <w:kern w:val="0"/>
                <w:sz w:val="21"/>
                <w:szCs w:val="21"/>
              </w:rPr>
              <w:t>/</w:t>
            </w:r>
          </w:p>
        </w:tc>
      </w:tr>
      <w:tr w14:paraId="6F26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73C0243C">
            <w:pPr>
              <w:snapToGrid w:val="0"/>
              <w:spacing w:line="276" w:lineRule="auto"/>
              <w:ind w:right="113"/>
              <w:jc w:val="center"/>
              <w:rPr>
                <w:rFonts w:hint="eastAsia" w:ascii="宋体" w:hAnsi="宋体"/>
                <w:snapToGrid w:val="0"/>
                <w:kern w:val="0"/>
                <w:sz w:val="21"/>
                <w:szCs w:val="21"/>
              </w:rPr>
            </w:pPr>
            <w:r>
              <w:rPr>
                <w:rFonts w:hint="eastAsia" w:ascii="宋体" w:hAnsi="宋体"/>
                <w:sz w:val="21"/>
                <w:szCs w:val="21"/>
              </w:rPr>
              <w:t>3.5.3</w:t>
            </w:r>
          </w:p>
        </w:tc>
        <w:tc>
          <w:tcPr>
            <w:tcW w:w="1277" w:type="dxa"/>
            <w:vAlign w:val="center"/>
          </w:tcPr>
          <w:p w14:paraId="2D3B16A5">
            <w:pPr>
              <w:snapToGrid w:val="0"/>
              <w:spacing w:line="276" w:lineRule="auto"/>
              <w:ind w:left="113" w:right="113"/>
              <w:rPr>
                <w:rFonts w:hint="eastAsia" w:ascii="宋体" w:hAnsi="宋体"/>
                <w:snapToGrid w:val="0"/>
                <w:kern w:val="0"/>
                <w:sz w:val="21"/>
                <w:szCs w:val="21"/>
              </w:rPr>
            </w:pPr>
            <w:r>
              <w:rPr>
                <w:rFonts w:hint="eastAsia" w:ascii="宋体" w:hAnsi="宋体"/>
                <w:sz w:val="21"/>
                <w:szCs w:val="21"/>
              </w:rPr>
              <w:t>异常低价评审</w:t>
            </w:r>
          </w:p>
        </w:tc>
        <w:tc>
          <w:tcPr>
            <w:tcW w:w="7279" w:type="dxa"/>
            <w:vAlign w:val="center"/>
          </w:tcPr>
          <w:p w14:paraId="4EE093BA">
            <w:pPr>
              <w:spacing w:line="360" w:lineRule="auto"/>
              <w:ind w:right="113"/>
              <w:rPr>
                <w:rFonts w:hint="eastAsia" w:ascii="宋体" w:hAnsi="宋体"/>
                <w:sz w:val="21"/>
                <w:szCs w:val="21"/>
              </w:rPr>
            </w:pPr>
            <w:r>
              <w:rPr>
                <w:rFonts w:hint="eastAsia" w:ascii="宋体" w:hAnsi="宋体"/>
                <w:sz w:val="21"/>
                <w:szCs w:val="21"/>
              </w:rPr>
              <w:t>本款修改为：</w:t>
            </w:r>
          </w:p>
          <w:p w14:paraId="189033F8">
            <w:pPr>
              <w:snapToGrid w:val="0"/>
              <w:spacing w:line="276" w:lineRule="auto"/>
              <w:ind w:right="113" w:firstLine="420"/>
              <w:rPr>
                <w:rFonts w:hint="eastAsia" w:ascii="宋体" w:hAnsi="宋体"/>
                <w:snapToGrid w:val="0"/>
                <w:kern w:val="0"/>
                <w:sz w:val="21"/>
                <w:szCs w:val="21"/>
              </w:rPr>
            </w:pPr>
            <w:r>
              <w:rPr>
                <w:rFonts w:hint="eastAsia" w:ascii="宋体" w:hAnsi="宋体"/>
                <w:sz w:val="21"/>
                <w:szCs w:val="21"/>
              </w:rPr>
              <w:t>评标委员会发现投标人的投标报价低于最高投标限价的65%（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5F0B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300C79C8">
            <w:pPr>
              <w:snapToGrid w:val="0"/>
              <w:spacing w:line="276" w:lineRule="auto"/>
              <w:ind w:left="113" w:right="113"/>
              <w:rPr>
                <w:rFonts w:hint="eastAsia" w:ascii="宋体" w:hAnsi="宋体"/>
                <w:snapToGrid w:val="0"/>
                <w:kern w:val="0"/>
                <w:sz w:val="21"/>
                <w:szCs w:val="21"/>
              </w:rPr>
            </w:pPr>
            <w:r>
              <w:rPr>
                <w:rFonts w:hint="eastAsia" w:ascii="宋体" w:hAnsi="宋体"/>
                <w:snapToGrid w:val="0"/>
                <w:kern w:val="0"/>
                <w:sz w:val="21"/>
                <w:szCs w:val="21"/>
              </w:rPr>
              <w:t>3.6.1</w:t>
            </w:r>
          </w:p>
        </w:tc>
        <w:tc>
          <w:tcPr>
            <w:tcW w:w="1277" w:type="dxa"/>
            <w:vAlign w:val="center"/>
          </w:tcPr>
          <w:p w14:paraId="69A8AAB8">
            <w:pPr>
              <w:snapToGrid w:val="0"/>
              <w:spacing w:line="276" w:lineRule="auto"/>
              <w:ind w:left="113" w:right="113"/>
              <w:rPr>
                <w:rFonts w:hint="eastAsia" w:ascii="宋体" w:hAnsi="宋体"/>
                <w:snapToGrid w:val="0"/>
                <w:kern w:val="0"/>
                <w:sz w:val="21"/>
                <w:szCs w:val="21"/>
              </w:rPr>
            </w:pPr>
            <w:r>
              <w:rPr>
                <w:rFonts w:hint="eastAsia" w:ascii="宋体" w:hAnsi="宋体"/>
                <w:snapToGrid w:val="0"/>
                <w:kern w:val="0"/>
                <w:sz w:val="21"/>
                <w:szCs w:val="21"/>
              </w:rPr>
              <w:t>投标文件相关信息的核查</w:t>
            </w:r>
          </w:p>
        </w:tc>
        <w:tc>
          <w:tcPr>
            <w:tcW w:w="7279" w:type="dxa"/>
            <w:vAlign w:val="center"/>
          </w:tcPr>
          <w:p w14:paraId="06AA5679">
            <w:pPr>
              <w:snapToGrid w:val="0"/>
              <w:spacing w:line="276" w:lineRule="auto"/>
              <w:ind w:right="113" w:firstLine="420" w:firstLineChars="200"/>
              <w:rPr>
                <w:rFonts w:hint="eastAsia" w:ascii="宋体" w:hAnsi="宋体"/>
                <w:snapToGrid w:val="0"/>
                <w:kern w:val="0"/>
                <w:sz w:val="21"/>
                <w:szCs w:val="21"/>
              </w:rPr>
            </w:pPr>
            <w:r>
              <w:rPr>
                <w:rFonts w:hint="eastAsia" w:ascii="宋体" w:hAnsi="宋体"/>
                <w:snapToGrid w:val="0"/>
                <w:kern w:val="0"/>
                <w:sz w:val="21"/>
                <w:szCs w:val="21"/>
              </w:rPr>
              <w:t>本款修改为：</w:t>
            </w:r>
          </w:p>
          <w:p w14:paraId="4FC41C93">
            <w:pPr>
              <w:snapToGrid w:val="0"/>
              <w:spacing w:line="276" w:lineRule="auto"/>
              <w:ind w:right="113" w:firstLine="420" w:firstLineChars="200"/>
              <w:rPr>
                <w:rFonts w:hint="eastAsia" w:ascii="宋体" w:hAnsi="宋体" w:cs="宋体"/>
                <w:sz w:val="21"/>
                <w:szCs w:val="21"/>
              </w:rPr>
            </w:pPr>
            <w:r>
              <w:rPr>
                <w:rFonts w:hint="eastAsia" w:ascii="宋体" w:hAnsi="宋体" w:cs="宋体"/>
                <w:sz w:val="21"/>
                <w:szCs w:val="21"/>
              </w:rPr>
              <w:t>（1）评标委员会在评标过程中将对投标人的信誉情况进行查询。如投标人存在下列情形之一的，评标委员会应否决其投标。</w:t>
            </w:r>
          </w:p>
          <w:p w14:paraId="31890B38">
            <w:pPr>
              <w:snapToGrid w:val="0"/>
              <w:spacing w:line="276" w:lineRule="auto"/>
              <w:ind w:right="113" w:firstLine="420" w:firstLineChars="200"/>
              <w:rPr>
                <w:rFonts w:hint="eastAsia" w:ascii="宋体" w:hAnsi="宋体"/>
                <w:snapToGrid w:val="0"/>
                <w:kern w:val="0"/>
                <w:sz w:val="21"/>
                <w:szCs w:val="21"/>
              </w:rPr>
            </w:pPr>
            <w:r>
              <w:rPr>
                <w:rFonts w:hint="eastAsia" w:ascii="宋体" w:hAnsi="宋体"/>
                <w:snapToGrid w:val="0"/>
                <w:kern w:val="0"/>
                <w:sz w:val="21"/>
                <w:szCs w:val="21"/>
              </w:rPr>
              <w:t>在“信用中国”网站被列入失信被执行人、经营(活动)异常名录、重大税收违法失信主体、政府采购严重违法失信行为记录名单和安全生产严重失信主体名单（均不含分公司）。</w:t>
            </w:r>
          </w:p>
          <w:p w14:paraId="718038AF">
            <w:pPr>
              <w:snapToGrid w:val="0"/>
              <w:spacing w:line="276" w:lineRule="auto"/>
              <w:ind w:right="113" w:firstLine="420" w:firstLineChars="200"/>
              <w:rPr>
                <w:rFonts w:hint="eastAsia" w:ascii="宋体" w:hAnsi="宋体"/>
                <w:snapToGrid w:val="0"/>
                <w:kern w:val="0"/>
                <w:sz w:val="21"/>
                <w:szCs w:val="21"/>
              </w:rPr>
            </w:pPr>
            <w:r>
              <w:rPr>
                <w:rFonts w:hint="eastAsia" w:ascii="宋体" w:hAnsi="宋体"/>
                <w:snapToGrid w:val="0"/>
                <w:kern w:val="0"/>
                <w:sz w:val="21"/>
                <w:szCs w:val="21"/>
              </w:rPr>
              <w:t>在“国家企业信用信息公示系统”</w:t>
            </w:r>
            <w:r>
              <w:rPr>
                <w:rFonts w:hint="eastAsia" w:ascii="宋体" w:hAnsi="宋体" w:cs="宋体"/>
                <w:snapToGrid w:val="0"/>
                <w:kern w:val="0"/>
                <w:sz w:val="21"/>
                <w:szCs w:val="21"/>
              </w:rPr>
              <w:t>中被列入严重违法失信企业名单（</w:t>
            </w:r>
            <w:r>
              <w:rPr>
                <w:rFonts w:hint="eastAsia" w:ascii="宋体" w:hAnsi="宋体"/>
                <w:snapToGrid w:val="0"/>
                <w:kern w:val="0"/>
                <w:sz w:val="21"/>
                <w:szCs w:val="21"/>
              </w:rPr>
              <w:t>不含分公司</w:t>
            </w:r>
            <w:r>
              <w:rPr>
                <w:rFonts w:hint="eastAsia" w:ascii="宋体" w:hAnsi="宋体" w:cs="宋体"/>
                <w:snapToGrid w:val="0"/>
                <w:kern w:val="0"/>
                <w:sz w:val="21"/>
                <w:szCs w:val="21"/>
              </w:rPr>
              <w:t>）</w:t>
            </w:r>
            <w:r>
              <w:rPr>
                <w:rFonts w:hint="eastAsia" w:ascii="宋体" w:hAnsi="宋体"/>
                <w:snapToGrid w:val="0"/>
                <w:kern w:val="0"/>
                <w:sz w:val="21"/>
                <w:szCs w:val="21"/>
              </w:rPr>
              <w:t>。</w:t>
            </w:r>
          </w:p>
        </w:tc>
      </w:tr>
      <w:tr w14:paraId="3C08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5940787C">
            <w:pPr>
              <w:adjustRightInd w:val="0"/>
              <w:snapToGrid w:val="0"/>
              <w:spacing w:line="320" w:lineRule="exact"/>
              <w:jc w:val="center"/>
              <w:rPr>
                <w:rFonts w:hint="eastAsia" w:ascii="宋体" w:hAnsi="宋体"/>
                <w:sz w:val="21"/>
                <w:szCs w:val="21"/>
              </w:rPr>
            </w:pPr>
            <w:r>
              <w:rPr>
                <w:rFonts w:hint="eastAsia" w:ascii="宋体" w:hAnsi="宋体"/>
                <w:sz w:val="21"/>
                <w:szCs w:val="21"/>
              </w:rPr>
              <w:t>增加3.6.3</w:t>
            </w:r>
          </w:p>
        </w:tc>
        <w:tc>
          <w:tcPr>
            <w:tcW w:w="1277" w:type="dxa"/>
            <w:vAlign w:val="center"/>
          </w:tcPr>
          <w:p w14:paraId="195B1919">
            <w:pPr>
              <w:snapToGrid w:val="0"/>
              <w:spacing w:line="320" w:lineRule="exact"/>
              <w:ind w:left="113" w:right="113"/>
              <w:jc w:val="center"/>
              <w:rPr>
                <w:rFonts w:hint="eastAsia" w:ascii="宋体" w:hAnsi="宋体"/>
                <w:sz w:val="21"/>
                <w:szCs w:val="21"/>
              </w:rPr>
            </w:pPr>
            <w:r>
              <w:rPr>
                <w:rFonts w:hint="eastAsia" w:ascii="宋体" w:hAnsi="宋体"/>
                <w:sz w:val="21"/>
                <w:szCs w:val="21"/>
              </w:rPr>
              <w:t>异常投标情形核查</w:t>
            </w:r>
          </w:p>
        </w:tc>
        <w:tc>
          <w:tcPr>
            <w:tcW w:w="7279" w:type="dxa"/>
            <w:vAlign w:val="center"/>
          </w:tcPr>
          <w:p w14:paraId="56DE84B6">
            <w:pPr>
              <w:snapToGrid w:val="0"/>
              <w:spacing w:line="320" w:lineRule="exact"/>
              <w:ind w:right="113"/>
              <w:rPr>
                <w:rFonts w:hint="eastAsia" w:ascii="宋体" w:hAnsi="宋体"/>
                <w:sz w:val="21"/>
                <w:szCs w:val="21"/>
              </w:rPr>
            </w:pPr>
            <w:r>
              <w:rPr>
                <w:rFonts w:hint="eastAsia" w:ascii="宋体" w:hAnsi="宋体"/>
                <w:sz w:val="21"/>
                <w:szCs w:val="21"/>
              </w:rPr>
              <w:t>增加3.6.3款：</w:t>
            </w:r>
          </w:p>
          <w:p w14:paraId="31960F89">
            <w:pPr>
              <w:snapToGrid w:val="0"/>
              <w:spacing w:line="320" w:lineRule="exact"/>
              <w:ind w:right="113"/>
              <w:rPr>
                <w:rFonts w:hint="eastAsia" w:ascii="宋体" w:hAnsi="宋体"/>
                <w:sz w:val="21"/>
                <w:szCs w:val="21"/>
              </w:rPr>
            </w:pPr>
            <w:r>
              <w:rPr>
                <w:rFonts w:hint="eastAsia" w:ascii="宋体" w:hAnsi="宋体"/>
                <w:sz w:val="21"/>
                <w:szCs w:val="21"/>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否决其投标。</w:t>
            </w:r>
          </w:p>
          <w:p w14:paraId="64DED74E">
            <w:pPr>
              <w:snapToGrid w:val="0"/>
              <w:spacing w:line="320" w:lineRule="exact"/>
              <w:ind w:right="113"/>
              <w:rPr>
                <w:rFonts w:hint="eastAsia" w:ascii="宋体" w:hAnsi="宋体"/>
                <w:sz w:val="21"/>
                <w:szCs w:val="21"/>
              </w:rPr>
            </w:pPr>
            <w:r>
              <w:rPr>
                <w:rFonts w:hint="eastAsia" w:ascii="宋体" w:hAnsi="宋体"/>
                <w:sz w:val="21"/>
                <w:szCs w:val="21"/>
              </w:rPr>
              <w:t>有下列情形之一的，属于投标文件异常一致或投标活动异常关联等异常投标情形：</w:t>
            </w:r>
          </w:p>
          <w:p w14:paraId="53F6B1B0">
            <w:pPr>
              <w:snapToGrid w:val="0"/>
              <w:spacing w:line="320" w:lineRule="exact"/>
              <w:ind w:right="113"/>
              <w:rPr>
                <w:rFonts w:hint="eastAsia" w:ascii="宋体" w:hAnsi="宋体"/>
                <w:sz w:val="21"/>
                <w:szCs w:val="21"/>
              </w:rPr>
            </w:pPr>
            <w:r>
              <w:rPr>
                <w:rFonts w:hint="eastAsia" w:ascii="宋体" w:hAnsi="宋体"/>
                <w:sz w:val="21"/>
                <w:szCs w:val="21"/>
              </w:rPr>
              <w:t>（1）投标人投标文件制作机器码雷同；</w:t>
            </w:r>
          </w:p>
          <w:p w14:paraId="3A0B8B6C">
            <w:pPr>
              <w:snapToGrid w:val="0"/>
              <w:spacing w:line="320" w:lineRule="exact"/>
              <w:ind w:right="113"/>
              <w:rPr>
                <w:rFonts w:hint="eastAsia" w:ascii="宋体" w:hAnsi="宋体"/>
                <w:sz w:val="21"/>
                <w:szCs w:val="21"/>
              </w:rPr>
            </w:pPr>
            <w:r>
              <w:rPr>
                <w:rFonts w:hint="eastAsia" w:ascii="宋体" w:hAnsi="宋体"/>
                <w:sz w:val="21"/>
                <w:szCs w:val="21"/>
              </w:rPr>
              <w:t>（2）投标文件创建标识码雷同；</w:t>
            </w:r>
          </w:p>
          <w:p w14:paraId="67F089F2">
            <w:pPr>
              <w:snapToGrid w:val="0"/>
              <w:spacing w:line="320" w:lineRule="exact"/>
              <w:ind w:right="113"/>
              <w:rPr>
                <w:rFonts w:hint="eastAsia" w:ascii="宋体" w:hAnsi="宋体"/>
                <w:sz w:val="21"/>
                <w:szCs w:val="21"/>
              </w:rPr>
            </w:pPr>
            <w:r>
              <w:rPr>
                <w:rFonts w:hint="eastAsia" w:ascii="宋体" w:hAnsi="宋体"/>
                <w:sz w:val="21"/>
                <w:szCs w:val="21"/>
              </w:rPr>
              <w:t>（3）投标文件制作计算机MAC地址雷同；</w:t>
            </w:r>
          </w:p>
          <w:p w14:paraId="11E8EF58">
            <w:pPr>
              <w:snapToGrid w:val="0"/>
              <w:spacing w:line="320" w:lineRule="exact"/>
              <w:ind w:right="113"/>
              <w:rPr>
                <w:rFonts w:hint="eastAsia" w:ascii="宋体" w:hAnsi="宋体"/>
                <w:sz w:val="21"/>
                <w:szCs w:val="21"/>
              </w:rPr>
            </w:pPr>
            <w:r>
              <w:rPr>
                <w:rFonts w:hint="eastAsia" w:ascii="宋体" w:hAnsi="宋体"/>
                <w:sz w:val="21"/>
                <w:szCs w:val="21"/>
              </w:rPr>
              <w:t>（4）投标文件制作计算机硬盘序列号雷同；</w:t>
            </w:r>
          </w:p>
          <w:p w14:paraId="3032C20F">
            <w:pPr>
              <w:snapToGrid w:val="0"/>
              <w:spacing w:line="320" w:lineRule="exact"/>
              <w:ind w:right="113"/>
              <w:rPr>
                <w:rFonts w:hint="eastAsia" w:ascii="宋体" w:hAnsi="宋体"/>
                <w:sz w:val="21"/>
                <w:szCs w:val="21"/>
              </w:rPr>
            </w:pPr>
            <w:r>
              <w:rPr>
                <w:rFonts w:hint="eastAsia" w:ascii="宋体" w:hAnsi="宋体"/>
                <w:sz w:val="21"/>
                <w:szCs w:val="21"/>
              </w:rPr>
              <w:t>（5）投标文件上传IP地址雷同；</w:t>
            </w:r>
          </w:p>
          <w:p w14:paraId="264B910B">
            <w:pPr>
              <w:snapToGrid w:val="0"/>
              <w:spacing w:line="320" w:lineRule="exact"/>
              <w:ind w:right="113"/>
              <w:rPr>
                <w:rFonts w:hint="eastAsia" w:ascii="宋体" w:hAnsi="宋体"/>
                <w:sz w:val="21"/>
                <w:szCs w:val="21"/>
              </w:rPr>
            </w:pPr>
            <w:r>
              <w:rPr>
                <w:rFonts w:hint="eastAsia" w:ascii="宋体" w:hAnsi="宋体"/>
                <w:sz w:val="21"/>
                <w:szCs w:val="21"/>
              </w:rPr>
              <w:t>（6）投标文件解密IP地址雷同。</w:t>
            </w:r>
          </w:p>
        </w:tc>
      </w:tr>
    </w:tbl>
    <w:p w14:paraId="7F3BAEA8">
      <w:pPr>
        <w:spacing w:line="480" w:lineRule="exact"/>
        <w:rPr>
          <w:rFonts w:hint="eastAsia" w:ascii="宋体" w:hAnsi="宋体"/>
          <w:snapToGrid w:val="0"/>
          <w:kern w:val="0"/>
          <w:szCs w:val="21"/>
        </w:rPr>
      </w:pPr>
      <w:r>
        <w:rPr>
          <w:rFonts w:hint="eastAsia" w:ascii="宋体" w:hAnsi="宋体"/>
          <w:snapToGrid w:val="0"/>
          <w:kern w:val="0"/>
          <w:sz w:val="24"/>
        </w:rPr>
        <w:t>续上表</w:t>
      </w:r>
    </w:p>
    <w:tbl>
      <w:tblPr>
        <w:tblStyle w:val="7"/>
        <w:tblW w:w="9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741"/>
        <w:gridCol w:w="831"/>
        <w:gridCol w:w="1209"/>
        <w:gridCol w:w="634"/>
        <w:gridCol w:w="5410"/>
      </w:tblGrid>
      <w:tr w14:paraId="5197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156" w:type="dxa"/>
            <w:gridSpan w:val="5"/>
            <w:vAlign w:val="center"/>
          </w:tcPr>
          <w:p w14:paraId="2FA870B9">
            <w:pPr>
              <w:pStyle w:val="5"/>
              <w:spacing w:line="276" w:lineRule="auto"/>
              <w:ind w:firstLine="420"/>
              <w:jc w:val="center"/>
              <w:rPr>
                <w:rFonts w:hint="eastAsia" w:hAnsi="宋体"/>
                <w:snapToGrid w:val="0"/>
                <w:kern w:val="0"/>
                <w:szCs w:val="21"/>
              </w:rPr>
            </w:pPr>
            <w:r>
              <w:rPr>
                <w:rFonts w:hint="eastAsia" w:hAnsi="宋体"/>
                <w:snapToGrid w:val="0"/>
                <w:kern w:val="0"/>
                <w:szCs w:val="21"/>
              </w:rPr>
              <w:t>评分因素与权重分值</w:t>
            </w:r>
          </w:p>
        </w:tc>
        <w:tc>
          <w:tcPr>
            <w:tcW w:w="5410" w:type="dxa"/>
            <w:vMerge w:val="restart"/>
            <w:vAlign w:val="center"/>
          </w:tcPr>
          <w:p w14:paraId="6BF92F43">
            <w:pPr>
              <w:pStyle w:val="5"/>
              <w:spacing w:line="276" w:lineRule="auto"/>
              <w:ind w:firstLine="420"/>
              <w:jc w:val="center"/>
              <w:rPr>
                <w:rFonts w:hint="eastAsia" w:hAnsi="宋体"/>
                <w:snapToGrid w:val="0"/>
                <w:kern w:val="0"/>
                <w:szCs w:val="21"/>
              </w:rPr>
            </w:pPr>
            <w:r>
              <w:rPr>
                <w:rFonts w:hint="eastAsia" w:hAnsi="宋体"/>
                <w:snapToGrid w:val="0"/>
                <w:kern w:val="0"/>
                <w:szCs w:val="21"/>
              </w:rPr>
              <w:t>评分标准</w:t>
            </w:r>
          </w:p>
        </w:tc>
      </w:tr>
      <w:tr w14:paraId="3FE8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41" w:type="dxa"/>
            <w:vAlign w:val="center"/>
          </w:tcPr>
          <w:p w14:paraId="2C60DA50">
            <w:pPr>
              <w:pStyle w:val="5"/>
              <w:spacing w:line="276" w:lineRule="auto"/>
              <w:rPr>
                <w:rFonts w:hint="eastAsia" w:hAnsi="宋体"/>
                <w:snapToGrid w:val="0"/>
                <w:kern w:val="0"/>
                <w:szCs w:val="21"/>
              </w:rPr>
            </w:pPr>
            <w:r>
              <w:rPr>
                <w:rFonts w:hint="eastAsia" w:hAnsi="宋体"/>
                <w:snapToGrid w:val="0"/>
                <w:kern w:val="0"/>
                <w:szCs w:val="21"/>
              </w:rPr>
              <w:t>条款号</w:t>
            </w:r>
          </w:p>
        </w:tc>
        <w:tc>
          <w:tcPr>
            <w:tcW w:w="741" w:type="dxa"/>
            <w:vAlign w:val="center"/>
          </w:tcPr>
          <w:p w14:paraId="1AA3F50C">
            <w:pPr>
              <w:pStyle w:val="5"/>
              <w:spacing w:line="276" w:lineRule="auto"/>
              <w:rPr>
                <w:rFonts w:hint="eastAsia" w:hAnsi="宋体"/>
                <w:snapToGrid w:val="0"/>
                <w:kern w:val="0"/>
                <w:szCs w:val="21"/>
              </w:rPr>
            </w:pPr>
            <w:r>
              <w:rPr>
                <w:rFonts w:hint="eastAsia" w:hAnsi="宋体"/>
                <w:snapToGrid w:val="0"/>
                <w:kern w:val="0"/>
                <w:szCs w:val="21"/>
              </w:rPr>
              <w:t>评分因素</w:t>
            </w:r>
          </w:p>
        </w:tc>
        <w:tc>
          <w:tcPr>
            <w:tcW w:w="831" w:type="dxa"/>
            <w:vAlign w:val="center"/>
          </w:tcPr>
          <w:p w14:paraId="1EFC99DD">
            <w:pPr>
              <w:pStyle w:val="5"/>
              <w:spacing w:line="276" w:lineRule="auto"/>
              <w:rPr>
                <w:rFonts w:hint="eastAsia" w:hAnsi="宋体"/>
                <w:snapToGrid w:val="0"/>
                <w:kern w:val="0"/>
                <w:szCs w:val="21"/>
              </w:rPr>
            </w:pPr>
            <w:r>
              <w:rPr>
                <w:rFonts w:hint="eastAsia" w:hAnsi="宋体"/>
                <w:snapToGrid w:val="0"/>
                <w:kern w:val="0"/>
                <w:szCs w:val="21"/>
              </w:rPr>
              <w:t>评分因素</w:t>
            </w:r>
            <w:r>
              <w:rPr>
                <w:rFonts w:hAnsi="宋体"/>
                <w:snapToGrid w:val="0"/>
                <w:kern w:val="0"/>
                <w:szCs w:val="21"/>
              </w:rPr>
              <w:t xml:space="preserve"> </w:t>
            </w:r>
            <w:r>
              <w:rPr>
                <w:rFonts w:hint="eastAsia" w:hAnsi="宋体"/>
                <w:snapToGrid w:val="0"/>
                <w:kern w:val="0"/>
                <w:szCs w:val="21"/>
              </w:rPr>
              <w:t>权重分值</w:t>
            </w:r>
          </w:p>
        </w:tc>
        <w:tc>
          <w:tcPr>
            <w:tcW w:w="1209" w:type="dxa"/>
            <w:vAlign w:val="center"/>
          </w:tcPr>
          <w:p w14:paraId="5BA77838">
            <w:pPr>
              <w:pStyle w:val="5"/>
              <w:spacing w:line="276" w:lineRule="auto"/>
              <w:rPr>
                <w:rFonts w:hint="eastAsia" w:hAnsi="宋体"/>
                <w:snapToGrid w:val="0"/>
                <w:kern w:val="0"/>
                <w:szCs w:val="21"/>
              </w:rPr>
            </w:pPr>
            <w:r>
              <w:rPr>
                <w:rStyle w:val="11"/>
                <w:snapToGrid w:val="0"/>
                <w:color w:val="auto"/>
                <w:kern w:val="0"/>
              </w:rPr>
              <w:t>各评分因素细分项</w:t>
            </w:r>
          </w:p>
        </w:tc>
        <w:tc>
          <w:tcPr>
            <w:tcW w:w="634" w:type="dxa"/>
            <w:vAlign w:val="center"/>
          </w:tcPr>
          <w:p w14:paraId="42BBDA61">
            <w:pPr>
              <w:pStyle w:val="5"/>
              <w:spacing w:line="276" w:lineRule="auto"/>
              <w:rPr>
                <w:rFonts w:hint="eastAsia" w:hAnsi="宋体"/>
                <w:snapToGrid w:val="0"/>
                <w:kern w:val="0"/>
                <w:szCs w:val="21"/>
              </w:rPr>
            </w:pPr>
            <w:r>
              <w:rPr>
                <w:rFonts w:hint="eastAsia" w:hAnsi="宋体"/>
                <w:snapToGrid w:val="0"/>
                <w:kern w:val="0"/>
                <w:szCs w:val="21"/>
              </w:rPr>
              <w:t>分值</w:t>
            </w:r>
          </w:p>
        </w:tc>
        <w:tc>
          <w:tcPr>
            <w:tcW w:w="5410" w:type="dxa"/>
            <w:vMerge w:val="continue"/>
            <w:vAlign w:val="center"/>
          </w:tcPr>
          <w:p w14:paraId="3BB59381">
            <w:pPr>
              <w:pStyle w:val="5"/>
              <w:spacing w:line="276" w:lineRule="auto"/>
              <w:ind w:firstLine="420"/>
              <w:jc w:val="center"/>
              <w:rPr>
                <w:rFonts w:hint="eastAsia" w:hAnsi="宋体"/>
                <w:snapToGrid w:val="0"/>
                <w:kern w:val="0"/>
                <w:szCs w:val="21"/>
              </w:rPr>
            </w:pPr>
          </w:p>
        </w:tc>
      </w:tr>
      <w:tr w14:paraId="5936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41" w:type="dxa"/>
            <w:vMerge w:val="restart"/>
            <w:vAlign w:val="center"/>
          </w:tcPr>
          <w:p w14:paraId="589BADDF">
            <w:pPr>
              <w:pStyle w:val="5"/>
              <w:spacing w:line="276" w:lineRule="auto"/>
              <w:jc w:val="center"/>
              <w:rPr>
                <w:rFonts w:hint="eastAsia" w:hAnsi="宋体"/>
                <w:snapToGrid w:val="0"/>
                <w:kern w:val="0"/>
                <w:szCs w:val="21"/>
              </w:rPr>
            </w:pPr>
            <w:r>
              <w:rPr>
                <w:rFonts w:hAnsi="宋体"/>
                <w:snapToGrid w:val="0"/>
                <w:kern w:val="0"/>
                <w:szCs w:val="21"/>
              </w:rPr>
              <w:t>2.2.4（1）</w:t>
            </w:r>
          </w:p>
        </w:tc>
        <w:tc>
          <w:tcPr>
            <w:tcW w:w="741" w:type="dxa"/>
            <w:vMerge w:val="restart"/>
            <w:vAlign w:val="center"/>
          </w:tcPr>
          <w:p w14:paraId="676A30BB">
            <w:pPr>
              <w:pStyle w:val="5"/>
              <w:spacing w:line="276" w:lineRule="auto"/>
              <w:jc w:val="center"/>
              <w:rPr>
                <w:rFonts w:hint="eastAsia" w:hAnsi="宋体"/>
                <w:snapToGrid w:val="0"/>
                <w:kern w:val="0"/>
                <w:szCs w:val="21"/>
              </w:rPr>
            </w:pPr>
            <w:r>
              <w:rPr>
                <w:rFonts w:hint="eastAsia" w:hAnsi="宋体"/>
                <w:snapToGrid w:val="0"/>
                <w:kern w:val="0"/>
                <w:szCs w:val="21"/>
              </w:rPr>
              <w:t>技术建议书</w:t>
            </w:r>
            <w:r>
              <w:rPr>
                <w:rFonts w:hint="eastAsia" w:hAnsi="宋体" w:cs="宋?"/>
                <w:snapToGrid w:val="0"/>
                <w:kern w:val="0"/>
                <w:szCs w:val="21"/>
              </w:rPr>
              <w:t>（暗标）</w:t>
            </w:r>
          </w:p>
        </w:tc>
        <w:tc>
          <w:tcPr>
            <w:tcW w:w="831" w:type="dxa"/>
            <w:vMerge w:val="restart"/>
            <w:vAlign w:val="center"/>
          </w:tcPr>
          <w:p w14:paraId="6FDC6546">
            <w:pPr>
              <w:pStyle w:val="5"/>
              <w:spacing w:line="276" w:lineRule="auto"/>
              <w:rPr>
                <w:rFonts w:hint="eastAsia" w:hAnsi="宋体"/>
                <w:snapToGrid w:val="0"/>
                <w:kern w:val="0"/>
                <w:szCs w:val="21"/>
              </w:rPr>
            </w:pPr>
            <w:r>
              <w:rPr>
                <w:rFonts w:hint="eastAsia" w:hAnsi="宋体"/>
                <w:snapToGrid w:val="0"/>
                <w:kern w:val="0"/>
                <w:szCs w:val="21"/>
              </w:rPr>
              <w:t>45分</w:t>
            </w:r>
          </w:p>
        </w:tc>
        <w:tc>
          <w:tcPr>
            <w:tcW w:w="1209" w:type="dxa"/>
            <w:vAlign w:val="center"/>
          </w:tcPr>
          <w:p w14:paraId="75262B7B">
            <w:pPr>
              <w:pStyle w:val="5"/>
              <w:spacing w:line="276" w:lineRule="auto"/>
              <w:jc w:val="center"/>
              <w:rPr>
                <w:rFonts w:hint="eastAsia" w:hAnsi="宋体"/>
                <w:snapToGrid w:val="0"/>
                <w:kern w:val="0"/>
                <w:szCs w:val="21"/>
              </w:rPr>
            </w:pPr>
            <w:r>
              <w:rPr>
                <w:rFonts w:hint="eastAsia" w:hAnsi="宋体" w:cs="宋体"/>
                <w:snapToGrid w:val="0"/>
                <w:kern w:val="0"/>
                <w:szCs w:val="21"/>
              </w:rPr>
              <w:t>总体工作思路及服务方案</w:t>
            </w:r>
          </w:p>
        </w:tc>
        <w:tc>
          <w:tcPr>
            <w:tcW w:w="634" w:type="dxa"/>
            <w:vAlign w:val="center"/>
          </w:tcPr>
          <w:p w14:paraId="545F1407">
            <w:pPr>
              <w:pStyle w:val="5"/>
              <w:spacing w:line="276" w:lineRule="auto"/>
              <w:rPr>
                <w:rFonts w:hint="eastAsia" w:hAnsi="宋体"/>
                <w:snapToGrid w:val="0"/>
                <w:kern w:val="0"/>
                <w:szCs w:val="21"/>
              </w:rPr>
            </w:pPr>
            <w:r>
              <w:rPr>
                <w:rFonts w:hint="eastAsia" w:hAnsi="宋体"/>
                <w:snapToGrid w:val="0"/>
                <w:kern w:val="0"/>
                <w:szCs w:val="21"/>
              </w:rPr>
              <w:t>10</w:t>
            </w:r>
          </w:p>
        </w:tc>
        <w:tc>
          <w:tcPr>
            <w:tcW w:w="5410" w:type="dxa"/>
            <w:vAlign w:val="center"/>
          </w:tcPr>
          <w:p w14:paraId="5E90449B">
            <w:pPr>
              <w:snapToGrid w:val="0"/>
              <w:spacing w:line="276" w:lineRule="auto"/>
              <w:jc w:val="left"/>
              <w:rPr>
                <w:rFonts w:hint="eastAsia" w:ascii="宋体" w:hAnsi="宋体" w:cs="宋体"/>
                <w:snapToGrid w:val="0"/>
                <w:kern w:val="0"/>
                <w:sz w:val="21"/>
                <w:szCs w:val="24"/>
              </w:rPr>
            </w:pPr>
            <w:r>
              <w:rPr>
                <w:rFonts w:hint="eastAsia" w:ascii="宋体" w:hAnsi="宋体" w:cs="宋体"/>
                <w:snapToGrid w:val="0"/>
                <w:kern w:val="0"/>
                <w:sz w:val="21"/>
                <w:szCs w:val="24"/>
              </w:rPr>
              <w:t>思路清晰，方案全面、针对性强得</w:t>
            </w:r>
            <w:r>
              <w:rPr>
                <w:rFonts w:hint="eastAsia" w:ascii="宋体" w:hAnsi="宋体" w:cs="宋体"/>
                <w:snapToGrid w:val="0"/>
                <w:kern w:val="0"/>
                <w:sz w:val="21"/>
                <w:szCs w:val="21"/>
              </w:rPr>
              <w:t>8－10</w:t>
            </w:r>
            <w:r>
              <w:rPr>
                <w:rFonts w:hint="eastAsia" w:ascii="宋体" w:hAnsi="宋体" w:cs="宋体"/>
                <w:snapToGrid w:val="0"/>
                <w:kern w:val="0"/>
                <w:sz w:val="21"/>
                <w:szCs w:val="24"/>
              </w:rPr>
              <w:t>分；</w:t>
            </w:r>
          </w:p>
          <w:p w14:paraId="5FA4D602">
            <w:pPr>
              <w:snapToGrid w:val="0"/>
              <w:spacing w:line="276" w:lineRule="auto"/>
              <w:jc w:val="left"/>
              <w:rPr>
                <w:rFonts w:hint="eastAsia" w:ascii="宋体" w:hAnsi="宋体" w:cs="宋体"/>
                <w:snapToGrid w:val="0"/>
                <w:kern w:val="0"/>
                <w:sz w:val="21"/>
                <w:szCs w:val="24"/>
              </w:rPr>
            </w:pPr>
            <w:r>
              <w:rPr>
                <w:rFonts w:hint="eastAsia" w:ascii="宋体" w:hAnsi="宋体" w:cs="宋体"/>
                <w:snapToGrid w:val="0"/>
                <w:kern w:val="0"/>
                <w:sz w:val="21"/>
                <w:szCs w:val="24"/>
              </w:rPr>
              <w:t>思路较清晰，方案较全面、针对性较强得</w:t>
            </w:r>
            <w:r>
              <w:rPr>
                <w:rFonts w:hint="eastAsia" w:ascii="宋体" w:hAnsi="宋体" w:cs="宋体"/>
                <w:snapToGrid w:val="0"/>
                <w:kern w:val="0"/>
                <w:sz w:val="21"/>
                <w:szCs w:val="21"/>
              </w:rPr>
              <w:t>6－8</w:t>
            </w:r>
            <w:r>
              <w:rPr>
                <w:rFonts w:hint="eastAsia" w:ascii="宋体" w:hAnsi="宋体" w:cs="宋体"/>
                <w:snapToGrid w:val="0"/>
                <w:kern w:val="0"/>
                <w:sz w:val="21"/>
                <w:szCs w:val="24"/>
              </w:rPr>
              <w:t>分；</w:t>
            </w:r>
          </w:p>
          <w:p w14:paraId="51B2F38D">
            <w:pPr>
              <w:adjustRightInd w:val="0"/>
              <w:snapToGrid w:val="0"/>
              <w:spacing w:line="276" w:lineRule="auto"/>
              <w:rPr>
                <w:rFonts w:hint="eastAsia" w:ascii="宋体" w:hAnsi="宋体"/>
                <w:snapToGrid w:val="0"/>
                <w:kern w:val="0"/>
                <w:sz w:val="21"/>
                <w:szCs w:val="21"/>
              </w:rPr>
            </w:pPr>
            <w:r>
              <w:rPr>
                <w:rFonts w:hint="eastAsia" w:ascii="宋体" w:hAnsi="宋体" w:cs="宋体"/>
                <w:snapToGrid w:val="0"/>
                <w:kern w:val="0"/>
                <w:sz w:val="21"/>
                <w:szCs w:val="24"/>
              </w:rPr>
              <w:t>思路一般，方案尚可得</w:t>
            </w:r>
            <w:r>
              <w:rPr>
                <w:rFonts w:hint="eastAsia" w:ascii="宋体" w:hAnsi="宋体" w:cs="宋体"/>
                <w:snapToGrid w:val="0"/>
                <w:kern w:val="0"/>
                <w:sz w:val="21"/>
                <w:szCs w:val="21"/>
              </w:rPr>
              <w:t>6</w:t>
            </w:r>
            <w:r>
              <w:rPr>
                <w:rFonts w:hint="eastAsia" w:ascii="宋体" w:hAnsi="宋体" w:cs="宋体"/>
                <w:snapToGrid w:val="0"/>
                <w:kern w:val="0"/>
                <w:sz w:val="21"/>
                <w:szCs w:val="24"/>
              </w:rPr>
              <w:t>分。</w:t>
            </w:r>
          </w:p>
        </w:tc>
      </w:tr>
      <w:tr w14:paraId="56C2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741" w:type="dxa"/>
            <w:vMerge w:val="continue"/>
            <w:vAlign w:val="center"/>
          </w:tcPr>
          <w:p w14:paraId="123AC9DB">
            <w:pPr>
              <w:pStyle w:val="5"/>
              <w:spacing w:line="276" w:lineRule="auto"/>
              <w:jc w:val="center"/>
              <w:rPr>
                <w:rFonts w:hint="eastAsia" w:hAnsi="宋体"/>
                <w:snapToGrid w:val="0"/>
                <w:kern w:val="0"/>
                <w:szCs w:val="21"/>
              </w:rPr>
            </w:pPr>
          </w:p>
        </w:tc>
        <w:tc>
          <w:tcPr>
            <w:tcW w:w="741" w:type="dxa"/>
            <w:vMerge w:val="continue"/>
          </w:tcPr>
          <w:p w14:paraId="745EA2FC">
            <w:pPr>
              <w:pStyle w:val="5"/>
              <w:spacing w:line="276" w:lineRule="auto"/>
              <w:jc w:val="center"/>
              <w:rPr>
                <w:rFonts w:hint="eastAsia" w:hAnsi="宋体"/>
                <w:snapToGrid w:val="0"/>
                <w:kern w:val="0"/>
                <w:szCs w:val="21"/>
              </w:rPr>
            </w:pPr>
          </w:p>
        </w:tc>
        <w:tc>
          <w:tcPr>
            <w:tcW w:w="831" w:type="dxa"/>
            <w:vMerge w:val="continue"/>
            <w:vAlign w:val="center"/>
          </w:tcPr>
          <w:p w14:paraId="6D9F81E0">
            <w:pPr>
              <w:pStyle w:val="5"/>
              <w:spacing w:line="276" w:lineRule="auto"/>
              <w:jc w:val="center"/>
              <w:rPr>
                <w:rFonts w:hint="eastAsia" w:hAnsi="宋体"/>
                <w:snapToGrid w:val="0"/>
                <w:kern w:val="0"/>
                <w:szCs w:val="21"/>
              </w:rPr>
            </w:pPr>
          </w:p>
        </w:tc>
        <w:tc>
          <w:tcPr>
            <w:tcW w:w="1209" w:type="dxa"/>
            <w:vAlign w:val="center"/>
          </w:tcPr>
          <w:p w14:paraId="1B46509C">
            <w:pPr>
              <w:pStyle w:val="5"/>
              <w:spacing w:line="276" w:lineRule="auto"/>
              <w:jc w:val="center"/>
              <w:rPr>
                <w:rFonts w:hint="eastAsia" w:hAnsi="宋体"/>
                <w:snapToGrid w:val="0"/>
                <w:kern w:val="0"/>
                <w:szCs w:val="21"/>
              </w:rPr>
            </w:pPr>
            <w:r>
              <w:rPr>
                <w:rFonts w:hint="eastAsia" w:ascii="Times New Roman" w:hAnsi="Times New Roman" w:cs="宋体"/>
                <w:snapToGrid w:val="0"/>
                <w:kern w:val="0"/>
                <w:szCs w:val="21"/>
              </w:rPr>
              <w:t>对本项目特点、关键技术问题的认识及对策措施</w:t>
            </w:r>
          </w:p>
        </w:tc>
        <w:tc>
          <w:tcPr>
            <w:tcW w:w="634" w:type="dxa"/>
            <w:vAlign w:val="center"/>
          </w:tcPr>
          <w:p w14:paraId="738F293D">
            <w:pPr>
              <w:pStyle w:val="5"/>
              <w:spacing w:line="276" w:lineRule="auto"/>
              <w:rPr>
                <w:rFonts w:hint="eastAsia" w:hAnsi="宋体"/>
                <w:snapToGrid w:val="0"/>
                <w:kern w:val="0"/>
                <w:szCs w:val="21"/>
              </w:rPr>
            </w:pPr>
            <w:r>
              <w:rPr>
                <w:rFonts w:hint="eastAsia" w:hAnsi="宋体"/>
                <w:snapToGrid w:val="0"/>
                <w:kern w:val="0"/>
                <w:szCs w:val="21"/>
              </w:rPr>
              <w:t>10</w:t>
            </w:r>
          </w:p>
        </w:tc>
        <w:tc>
          <w:tcPr>
            <w:tcW w:w="5410" w:type="dxa"/>
            <w:vAlign w:val="center"/>
          </w:tcPr>
          <w:p w14:paraId="562E0EAE">
            <w:pPr>
              <w:snapToGrid w:val="0"/>
              <w:spacing w:line="276" w:lineRule="auto"/>
              <w:jc w:val="left"/>
              <w:rPr>
                <w:rFonts w:hint="eastAsia" w:ascii="宋体" w:hAnsi="宋体" w:cs="宋体"/>
                <w:snapToGrid w:val="0"/>
                <w:kern w:val="0"/>
                <w:sz w:val="21"/>
                <w:szCs w:val="21"/>
              </w:rPr>
            </w:pPr>
            <w:r>
              <w:rPr>
                <w:rFonts w:hint="eastAsia" w:ascii="宋体" w:hAnsi="宋体" w:cs="宋体"/>
                <w:snapToGrid w:val="0"/>
                <w:kern w:val="0"/>
                <w:sz w:val="21"/>
                <w:szCs w:val="21"/>
              </w:rPr>
              <w:t>问题分析清楚，措施全面可行，针对性强得8－10分。</w:t>
            </w:r>
          </w:p>
          <w:p w14:paraId="3FF61D6D">
            <w:pPr>
              <w:snapToGrid w:val="0"/>
              <w:spacing w:line="276" w:lineRule="auto"/>
              <w:jc w:val="left"/>
              <w:rPr>
                <w:rFonts w:hint="eastAsia" w:ascii="宋体" w:hAnsi="宋体" w:cs="宋体"/>
                <w:snapToGrid w:val="0"/>
                <w:kern w:val="0"/>
                <w:sz w:val="21"/>
                <w:szCs w:val="21"/>
              </w:rPr>
            </w:pPr>
            <w:r>
              <w:rPr>
                <w:rFonts w:hint="eastAsia" w:ascii="宋体" w:hAnsi="宋体" w:cs="宋体"/>
                <w:snapToGrid w:val="0"/>
                <w:kern w:val="0"/>
                <w:sz w:val="21"/>
                <w:szCs w:val="21"/>
              </w:rPr>
              <w:t>问题分析清楚，措施合理可行，针对性较强得6－8分；</w:t>
            </w:r>
          </w:p>
          <w:p w14:paraId="5FD3ADDF">
            <w:pPr>
              <w:adjustRightInd w:val="0"/>
              <w:snapToGrid w:val="0"/>
              <w:spacing w:line="276" w:lineRule="auto"/>
              <w:rPr>
                <w:rFonts w:hint="eastAsia" w:ascii="宋体" w:hAnsi="宋体"/>
                <w:snapToGrid w:val="0"/>
                <w:kern w:val="0"/>
                <w:sz w:val="21"/>
                <w:szCs w:val="21"/>
              </w:rPr>
            </w:pPr>
            <w:r>
              <w:rPr>
                <w:rFonts w:hint="eastAsia" w:ascii="宋体" w:hAnsi="宋体" w:cs="宋体"/>
                <w:snapToGrid w:val="0"/>
                <w:kern w:val="0"/>
                <w:sz w:val="21"/>
                <w:szCs w:val="21"/>
              </w:rPr>
              <w:t>问题分析不够清楚，措施欠合理，针对性一般得6分。</w:t>
            </w:r>
          </w:p>
        </w:tc>
      </w:tr>
      <w:tr w14:paraId="1C25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741" w:type="dxa"/>
            <w:vMerge w:val="continue"/>
            <w:vAlign w:val="center"/>
          </w:tcPr>
          <w:p w14:paraId="7102BA3A">
            <w:pPr>
              <w:pStyle w:val="5"/>
              <w:spacing w:line="276" w:lineRule="auto"/>
              <w:jc w:val="center"/>
              <w:rPr>
                <w:rFonts w:hint="eastAsia" w:hAnsi="宋体"/>
                <w:snapToGrid w:val="0"/>
                <w:kern w:val="0"/>
                <w:szCs w:val="21"/>
              </w:rPr>
            </w:pPr>
          </w:p>
        </w:tc>
        <w:tc>
          <w:tcPr>
            <w:tcW w:w="741" w:type="dxa"/>
            <w:vMerge w:val="continue"/>
          </w:tcPr>
          <w:p w14:paraId="10AF2933">
            <w:pPr>
              <w:pStyle w:val="5"/>
              <w:spacing w:line="276" w:lineRule="auto"/>
              <w:jc w:val="center"/>
              <w:rPr>
                <w:rFonts w:hint="eastAsia" w:hAnsi="宋体"/>
                <w:snapToGrid w:val="0"/>
                <w:kern w:val="0"/>
                <w:szCs w:val="21"/>
              </w:rPr>
            </w:pPr>
          </w:p>
        </w:tc>
        <w:tc>
          <w:tcPr>
            <w:tcW w:w="831" w:type="dxa"/>
            <w:vMerge w:val="continue"/>
            <w:vAlign w:val="center"/>
          </w:tcPr>
          <w:p w14:paraId="2ACC532F">
            <w:pPr>
              <w:pStyle w:val="5"/>
              <w:spacing w:line="276" w:lineRule="auto"/>
              <w:jc w:val="center"/>
              <w:rPr>
                <w:rFonts w:hint="eastAsia" w:hAnsi="宋体"/>
                <w:snapToGrid w:val="0"/>
                <w:kern w:val="0"/>
                <w:szCs w:val="21"/>
              </w:rPr>
            </w:pPr>
          </w:p>
        </w:tc>
        <w:tc>
          <w:tcPr>
            <w:tcW w:w="1209" w:type="dxa"/>
            <w:vAlign w:val="center"/>
          </w:tcPr>
          <w:p w14:paraId="7B9FFAC0">
            <w:pPr>
              <w:adjustRightInd w:val="0"/>
              <w:snapToGrid w:val="0"/>
              <w:spacing w:line="276" w:lineRule="auto"/>
              <w:jc w:val="center"/>
              <w:rPr>
                <w:rFonts w:hint="eastAsia" w:ascii="宋体" w:hAnsi="宋体"/>
                <w:snapToGrid w:val="0"/>
                <w:kern w:val="0"/>
                <w:sz w:val="21"/>
                <w:szCs w:val="21"/>
              </w:rPr>
            </w:pPr>
            <w:r>
              <w:rPr>
                <w:rFonts w:hint="eastAsia" w:ascii="宋体" w:hAnsi="宋体" w:cs="宋体"/>
                <w:snapToGrid w:val="0"/>
                <w:kern w:val="0"/>
                <w:sz w:val="21"/>
                <w:szCs w:val="21"/>
              </w:rPr>
              <w:t>服务质量及保证措施</w:t>
            </w:r>
          </w:p>
        </w:tc>
        <w:tc>
          <w:tcPr>
            <w:tcW w:w="634" w:type="dxa"/>
            <w:vAlign w:val="center"/>
          </w:tcPr>
          <w:p w14:paraId="43639F4C">
            <w:pPr>
              <w:pStyle w:val="5"/>
              <w:spacing w:line="276" w:lineRule="auto"/>
              <w:rPr>
                <w:rFonts w:hint="eastAsia" w:hAnsi="宋体"/>
                <w:snapToGrid w:val="0"/>
                <w:kern w:val="0"/>
                <w:szCs w:val="21"/>
              </w:rPr>
            </w:pPr>
            <w:r>
              <w:rPr>
                <w:rFonts w:hint="eastAsia" w:hAnsi="宋体"/>
                <w:snapToGrid w:val="0"/>
                <w:kern w:val="0"/>
                <w:szCs w:val="21"/>
              </w:rPr>
              <w:t>10</w:t>
            </w:r>
          </w:p>
        </w:tc>
        <w:tc>
          <w:tcPr>
            <w:tcW w:w="5410" w:type="dxa"/>
            <w:vAlign w:val="center"/>
          </w:tcPr>
          <w:p w14:paraId="5FE2F0B6">
            <w:pPr>
              <w:snapToGrid w:val="0"/>
              <w:spacing w:line="276" w:lineRule="auto"/>
              <w:rPr>
                <w:rFonts w:hint="eastAsia" w:ascii="宋体" w:hAnsi="宋体" w:cs="宋体"/>
                <w:snapToGrid w:val="0"/>
                <w:kern w:val="0"/>
                <w:sz w:val="21"/>
                <w:szCs w:val="24"/>
              </w:rPr>
            </w:pPr>
            <w:r>
              <w:rPr>
                <w:rFonts w:hint="eastAsia" w:ascii="宋体" w:hAnsi="宋体" w:cs="宋体"/>
                <w:snapToGrid w:val="0"/>
                <w:kern w:val="0"/>
                <w:sz w:val="21"/>
                <w:szCs w:val="24"/>
              </w:rPr>
              <w:t>服务质量保证措施完善得</w:t>
            </w:r>
            <w:r>
              <w:rPr>
                <w:rFonts w:hint="eastAsia" w:ascii="宋体" w:hAnsi="宋体" w:cs="宋体"/>
                <w:snapToGrid w:val="0"/>
                <w:kern w:val="0"/>
                <w:sz w:val="21"/>
                <w:szCs w:val="21"/>
              </w:rPr>
              <w:t>8－10分</w:t>
            </w:r>
            <w:r>
              <w:rPr>
                <w:rFonts w:hint="eastAsia" w:ascii="宋体" w:hAnsi="宋体" w:cs="宋体"/>
                <w:snapToGrid w:val="0"/>
                <w:kern w:val="0"/>
                <w:sz w:val="21"/>
                <w:szCs w:val="24"/>
              </w:rPr>
              <w:t>；</w:t>
            </w:r>
          </w:p>
          <w:p w14:paraId="2039689C">
            <w:pPr>
              <w:snapToGrid w:val="0"/>
              <w:spacing w:line="276" w:lineRule="auto"/>
              <w:rPr>
                <w:rFonts w:hint="eastAsia" w:ascii="宋体" w:hAnsi="宋体" w:cs="宋体"/>
                <w:snapToGrid w:val="0"/>
                <w:kern w:val="0"/>
                <w:sz w:val="21"/>
                <w:szCs w:val="24"/>
              </w:rPr>
            </w:pPr>
            <w:r>
              <w:rPr>
                <w:rFonts w:hint="eastAsia" w:ascii="宋体" w:hAnsi="宋体" w:cs="宋体"/>
                <w:snapToGrid w:val="0"/>
                <w:kern w:val="0"/>
                <w:sz w:val="21"/>
                <w:szCs w:val="24"/>
              </w:rPr>
              <w:t>服务质量保证措施较完善得</w:t>
            </w:r>
            <w:r>
              <w:rPr>
                <w:rFonts w:hint="eastAsia" w:ascii="宋体" w:hAnsi="宋体" w:cs="宋体"/>
                <w:snapToGrid w:val="0"/>
                <w:kern w:val="0"/>
                <w:sz w:val="21"/>
                <w:szCs w:val="21"/>
              </w:rPr>
              <w:t>6－8分</w:t>
            </w:r>
            <w:r>
              <w:rPr>
                <w:rFonts w:hint="eastAsia" w:ascii="宋体" w:hAnsi="宋体" w:cs="宋体"/>
                <w:snapToGrid w:val="0"/>
                <w:kern w:val="0"/>
                <w:sz w:val="21"/>
                <w:szCs w:val="24"/>
              </w:rPr>
              <w:t>；</w:t>
            </w:r>
          </w:p>
          <w:p w14:paraId="556EF120">
            <w:pPr>
              <w:adjustRightInd w:val="0"/>
              <w:snapToGrid w:val="0"/>
              <w:spacing w:line="276" w:lineRule="auto"/>
              <w:rPr>
                <w:rFonts w:hint="eastAsia" w:ascii="宋体" w:hAnsi="宋体"/>
                <w:snapToGrid w:val="0"/>
                <w:kern w:val="0"/>
                <w:sz w:val="21"/>
                <w:szCs w:val="21"/>
              </w:rPr>
            </w:pPr>
            <w:r>
              <w:rPr>
                <w:rFonts w:hint="eastAsia" w:ascii="宋体" w:hAnsi="宋体" w:cs="宋体"/>
                <w:snapToGrid w:val="0"/>
                <w:kern w:val="0"/>
                <w:sz w:val="21"/>
                <w:szCs w:val="24"/>
              </w:rPr>
              <w:t>服务质量保证措施基本满足要求得</w:t>
            </w:r>
            <w:r>
              <w:rPr>
                <w:rFonts w:hint="eastAsia" w:ascii="宋体" w:hAnsi="宋体" w:cs="宋体"/>
                <w:snapToGrid w:val="0"/>
                <w:kern w:val="0"/>
                <w:sz w:val="21"/>
                <w:szCs w:val="21"/>
              </w:rPr>
              <w:t>6分</w:t>
            </w:r>
            <w:r>
              <w:rPr>
                <w:rFonts w:hint="eastAsia" w:ascii="宋体" w:hAnsi="宋体" w:cs="宋体"/>
                <w:snapToGrid w:val="0"/>
                <w:kern w:val="0"/>
                <w:sz w:val="21"/>
                <w:szCs w:val="24"/>
              </w:rPr>
              <w:t>。</w:t>
            </w:r>
          </w:p>
        </w:tc>
      </w:tr>
      <w:tr w14:paraId="2B33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741" w:type="dxa"/>
            <w:vMerge w:val="continue"/>
            <w:vAlign w:val="center"/>
          </w:tcPr>
          <w:p w14:paraId="5DC54618">
            <w:pPr>
              <w:pStyle w:val="5"/>
              <w:spacing w:line="276" w:lineRule="auto"/>
              <w:jc w:val="center"/>
              <w:rPr>
                <w:rFonts w:hint="eastAsia" w:hAnsi="宋体"/>
                <w:snapToGrid w:val="0"/>
                <w:kern w:val="0"/>
                <w:szCs w:val="21"/>
              </w:rPr>
            </w:pPr>
          </w:p>
        </w:tc>
        <w:tc>
          <w:tcPr>
            <w:tcW w:w="741" w:type="dxa"/>
            <w:vMerge w:val="continue"/>
          </w:tcPr>
          <w:p w14:paraId="741EF11D">
            <w:pPr>
              <w:pStyle w:val="5"/>
              <w:spacing w:line="276" w:lineRule="auto"/>
              <w:jc w:val="center"/>
              <w:rPr>
                <w:rFonts w:hint="eastAsia" w:hAnsi="宋体"/>
                <w:snapToGrid w:val="0"/>
                <w:kern w:val="0"/>
                <w:szCs w:val="21"/>
              </w:rPr>
            </w:pPr>
          </w:p>
        </w:tc>
        <w:tc>
          <w:tcPr>
            <w:tcW w:w="831" w:type="dxa"/>
            <w:vMerge w:val="continue"/>
            <w:vAlign w:val="center"/>
          </w:tcPr>
          <w:p w14:paraId="6214E30A">
            <w:pPr>
              <w:pStyle w:val="5"/>
              <w:spacing w:line="276" w:lineRule="auto"/>
              <w:jc w:val="center"/>
              <w:rPr>
                <w:rFonts w:hint="eastAsia" w:hAnsi="宋体"/>
                <w:snapToGrid w:val="0"/>
                <w:kern w:val="0"/>
                <w:szCs w:val="21"/>
              </w:rPr>
            </w:pPr>
          </w:p>
        </w:tc>
        <w:tc>
          <w:tcPr>
            <w:tcW w:w="1209" w:type="dxa"/>
            <w:vAlign w:val="center"/>
          </w:tcPr>
          <w:p w14:paraId="5656DA10">
            <w:pPr>
              <w:adjustRightInd w:val="0"/>
              <w:snapToGrid w:val="0"/>
              <w:spacing w:line="276" w:lineRule="auto"/>
              <w:jc w:val="center"/>
              <w:rPr>
                <w:rFonts w:hint="eastAsia" w:ascii="宋体" w:hAnsi="宋体"/>
                <w:snapToGrid w:val="0"/>
                <w:kern w:val="0"/>
                <w:sz w:val="21"/>
                <w:szCs w:val="21"/>
              </w:rPr>
            </w:pPr>
            <w:r>
              <w:rPr>
                <w:rFonts w:hint="eastAsia" w:ascii="宋体" w:hAnsi="宋体" w:cs="宋体"/>
                <w:snapToGrid w:val="0"/>
                <w:kern w:val="0"/>
                <w:sz w:val="21"/>
                <w:szCs w:val="21"/>
              </w:rPr>
              <w:t>项目进度及保证措施</w:t>
            </w:r>
          </w:p>
        </w:tc>
        <w:tc>
          <w:tcPr>
            <w:tcW w:w="634" w:type="dxa"/>
            <w:vAlign w:val="center"/>
          </w:tcPr>
          <w:p w14:paraId="5CF87313">
            <w:pPr>
              <w:pStyle w:val="5"/>
              <w:spacing w:line="276" w:lineRule="auto"/>
              <w:rPr>
                <w:rFonts w:hint="eastAsia" w:hAnsi="宋体"/>
                <w:snapToGrid w:val="0"/>
                <w:kern w:val="0"/>
                <w:szCs w:val="21"/>
              </w:rPr>
            </w:pPr>
            <w:r>
              <w:rPr>
                <w:rFonts w:hint="eastAsia" w:hAnsi="宋体"/>
                <w:snapToGrid w:val="0"/>
                <w:kern w:val="0"/>
                <w:szCs w:val="21"/>
              </w:rPr>
              <w:t>10</w:t>
            </w:r>
          </w:p>
        </w:tc>
        <w:tc>
          <w:tcPr>
            <w:tcW w:w="5410" w:type="dxa"/>
            <w:vAlign w:val="center"/>
          </w:tcPr>
          <w:p w14:paraId="426382E2">
            <w:pPr>
              <w:snapToGrid w:val="0"/>
              <w:spacing w:line="276" w:lineRule="auto"/>
              <w:rPr>
                <w:rFonts w:hint="eastAsia" w:ascii="宋体" w:hAnsi="宋体" w:cs="宋体"/>
                <w:snapToGrid w:val="0"/>
                <w:kern w:val="0"/>
                <w:sz w:val="21"/>
                <w:szCs w:val="24"/>
              </w:rPr>
            </w:pPr>
            <w:r>
              <w:rPr>
                <w:rFonts w:hint="eastAsia" w:ascii="宋体" w:hAnsi="宋体" w:cs="宋体"/>
                <w:snapToGrid w:val="0"/>
                <w:kern w:val="0"/>
                <w:sz w:val="21"/>
                <w:szCs w:val="24"/>
              </w:rPr>
              <w:t>项目进度保证措施完善得</w:t>
            </w:r>
            <w:r>
              <w:rPr>
                <w:rFonts w:hint="eastAsia" w:ascii="宋体" w:hAnsi="宋体" w:cs="宋体"/>
                <w:snapToGrid w:val="0"/>
                <w:kern w:val="0"/>
                <w:sz w:val="21"/>
                <w:szCs w:val="21"/>
              </w:rPr>
              <w:t>8－10分</w:t>
            </w:r>
            <w:r>
              <w:rPr>
                <w:rFonts w:hint="eastAsia" w:ascii="宋体" w:hAnsi="宋体" w:cs="宋体"/>
                <w:snapToGrid w:val="0"/>
                <w:kern w:val="0"/>
                <w:sz w:val="21"/>
                <w:szCs w:val="24"/>
              </w:rPr>
              <w:t>；</w:t>
            </w:r>
          </w:p>
          <w:p w14:paraId="7EA0EFEA">
            <w:pPr>
              <w:snapToGrid w:val="0"/>
              <w:spacing w:line="276" w:lineRule="auto"/>
              <w:rPr>
                <w:rFonts w:hint="eastAsia" w:ascii="宋体" w:hAnsi="宋体" w:cs="宋体"/>
                <w:snapToGrid w:val="0"/>
                <w:kern w:val="0"/>
                <w:sz w:val="21"/>
                <w:szCs w:val="24"/>
              </w:rPr>
            </w:pPr>
            <w:r>
              <w:rPr>
                <w:rFonts w:hint="eastAsia" w:ascii="宋体" w:hAnsi="宋体" w:cs="宋体"/>
                <w:snapToGrid w:val="0"/>
                <w:kern w:val="0"/>
                <w:sz w:val="21"/>
                <w:szCs w:val="24"/>
              </w:rPr>
              <w:t>项目进度保证措施较完善得</w:t>
            </w:r>
            <w:r>
              <w:rPr>
                <w:rFonts w:hint="eastAsia" w:ascii="宋体" w:hAnsi="宋体" w:cs="宋体"/>
                <w:snapToGrid w:val="0"/>
                <w:kern w:val="0"/>
                <w:sz w:val="21"/>
                <w:szCs w:val="21"/>
              </w:rPr>
              <w:t>6－8分</w:t>
            </w:r>
            <w:r>
              <w:rPr>
                <w:rFonts w:hint="eastAsia" w:ascii="宋体" w:hAnsi="宋体" w:cs="宋体"/>
                <w:snapToGrid w:val="0"/>
                <w:kern w:val="0"/>
                <w:sz w:val="21"/>
                <w:szCs w:val="24"/>
              </w:rPr>
              <w:t>；</w:t>
            </w:r>
          </w:p>
          <w:p w14:paraId="7F20DFB6">
            <w:pPr>
              <w:adjustRightInd w:val="0"/>
              <w:snapToGrid w:val="0"/>
              <w:spacing w:line="276" w:lineRule="auto"/>
              <w:rPr>
                <w:rFonts w:hint="eastAsia" w:ascii="宋体" w:hAnsi="宋体"/>
                <w:snapToGrid w:val="0"/>
                <w:kern w:val="0"/>
                <w:sz w:val="21"/>
                <w:szCs w:val="21"/>
              </w:rPr>
            </w:pPr>
            <w:r>
              <w:rPr>
                <w:rFonts w:hint="eastAsia" w:ascii="宋体" w:hAnsi="宋体" w:cs="宋体"/>
                <w:snapToGrid w:val="0"/>
                <w:kern w:val="0"/>
                <w:sz w:val="21"/>
                <w:szCs w:val="24"/>
              </w:rPr>
              <w:t>项目进度保证措施基本满足要求得</w:t>
            </w:r>
            <w:r>
              <w:rPr>
                <w:rFonts w:hint="eastAsia" w:ascii="宋体" w:hAnsi="宋体" w:cs="宋体"/>
                <w:snapToGrid w:val="0"/>
                <w:kern w:val="0"/>
                <w:sz w:val="21"/>
                <w:szCs w:val="21"/>
              </w:rPr>
              <w:t>6分</w:t>
            </w:r>
            <w:r>
              <w:rPr>
                <w:rFonts w:hint="eastAsia" w:ascii="宋体" w:hAnsi="宋体" w:cs="宋体"/>
                <w:snapToGrid w:val="0"/>
                <w:kern w:val="0"/>
                <w:sz w:val="21"/>
                <w:szCs w:val="24"/>
              </w:rPr>
              <w:t>。</w:t>
            </w:r>
          </w:p>
        </w:tc>
      </w:tr>
      <w:tr w14:paraId="5FFF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741" w:type="dxa"/>
            <w:vMerge w:val="continue"/>
            <w:vAlign w:val="center"/>
          </w:tcPr>
          <w:p w14:paraId="68EFA7C7">
            <w:pPr>
              <w:pStyle w:val="5"/>
              <w:spacing w:line="276" w:lineRule="auto"/>
              <w:jc w:val="center"/>
              <w:rPr>
                <w:rFonts w:hint="eastAsia" w:hAnsi="宋体"/>
                <w:snapToGrid w:val="0"/>
                <w:kern w:val="0"/>
                <w:szCs w:val="21"/>
              </w:rPr>
            </w:pPr>
          </w:p>
        </w:tc>
        <w:tc>
          <w:tcPr>
            <w:tcW w:w="741" w:type="dxa"/>
            <w:vMerge w:val="continue"/>
            <w:vAlign w:val="center"/>
          </w:tcPr>
          <w:p w14:paraId="4D045E40">
            <w:pPr>
              <w:pStyle w:val="5"/>
              <w:spacing w:line="276" w:lineRule="auto"/>
              <w:jc w:val="center"/>
              <w:rPr>
                <w:rFonts w:hint="eastAsia" w:hAnsi="宋体"/>
                <w:snapToGrid w:val="0"/>
                <w:kern w:val="0"/>
                <w:szCs w:val="21"/>
              </w:rPr>
            </w:pPr>
          </w:p>
        </w:tc>
        <w:tc>
          <w:tcPr>
            <w:tcW w:w="831" w:type="dxa"/>
            <w:vMerge w:val="continue"/>
            <w:vAlign w:val="center"/>
          </w:tcPr>
          <w:p w14:paraId="3BA098BD">
            <w:pPr>
              <w:pStyle w:val="5"/>
              <w:spacing w:line="276" w:lineRule="auto"/>
              <w:jc w:val="center"/>
              <w:rPr>
                <w:rFonts w:hint="eastAsia" w:hAnsi="宋体"/>
                <w:snapToGrid w:val="0"/>
                <w:kern w:val="0"/>
                <w:szCs w:val="21"/>
              </w:rPr>
            </w:pPr>
          </w:p>
        </w:tc>
        <w:tc>
          <w:tcPr>
            <w:tcW w:w="1209" w:type="dxa"/>
            <w:vAlign w:val="center"/>
          </w:tcPr>
          <w:p w14:paraId="1B105C2F">
            <w:pPr>
              <w:pStyle w:val="5"/>
              <w:spacing w:line="276" w:lineRule="auto"/>
              <w:jc w:val="center"/>
              <w:rPr>
                <w:rFonts w:hint="eastAsia" w:hAnsi="宋体"/>
                <w:snapToGrid w:val="0"/>
                <w:kern w:val="0"/>
                <w:szCs w:val="21"/>
              </w:rPr>
            </w:pPr>
            <w:r>
              <w:rPr>
                <w:rFonts w:hint="eastAsia" w:hAnsi="宋体" w:cs="宋体"/>
                <w:snapToGrid w:val="0"/>
                <w:kern w:val="0"/>
                <w:szCs w:val="21"/>
              </w:rPr>
              <w:t>服务承诺</w:t>
            </w:r>
          </w:p>
        </w:tc>
        <w:tc>
          <w:tcPr>
            <w:tcW w:w="634" w:type="dxa"/>
            <w:vAlign w:val="center"/>
          </w:tcPr>
          <w:p w14:paraId="5DAD4287">
            <w:pPr>
              <w:pStyle w:val="5"/>
              <w:spacing w:line="276" w:lineRule="auto"/>
              <w:rPr>
                <w:rFonts w:hint="eastAsia" w:hAnsi="宋体"/>
                <w:snapToGrid w:val="0"/>
                <w:kern w:val="0"/>
                <w:szCs w:val="21"/>
              </w:rPr>
            </w:pPr>
            <w:r>
              <w:rPr>
                <w:rFonts w:hint="eastAsia" w:hAnsi="宋体"/>
                <w:snapToGrid w:val="0"/>
                <w:kern w:val="0"/>
                <w:szCs w:val="21"/>
              </w:rPr>
              <w:t>5</w:t>
            </w:r>
          </w:p>
        </w:tc>
        <w:tc>
          <w:tcPr>
            <w:tcW w:w="5410" w:type="dxa"/>
            <w:vAlign w:val="center"/>
          </w:tcPr>
          <w:p w14:paraId="5ADE0B82">
            <w:pPr>
              <w:snapToGrid w:val="0"/>
              <w:spacing w:line="276" w:lineRule="auto"/>
              <w:rPr>
                <w:rFonts w:hint="eastAsia" w:ascii="宋体" w:hAnsi="宋体" w:cs="宋体"/>
                <w:snapToGrid w:val="0"/>
                <w:kern w:val="0"/>
                <w:sz w:val="21"/>
                <w:szCs w:val="24"/>
              </w:rPr>
            </w:pPr>
            <w:r>
              <w:rPr>
                <w:rFonts w:hint="eastAsia" w:ascii="宋体" w:hAnsi="宋体" w:cs="宋体"/>
                <w:snapToGrid w:val="0"/>
                <w:kern w:val="0"/>
                <w:sz w:val="21"/>
                <w:szCs w:val="24"/>
              </w:rPr>
              <w:t>服务承诺合理</w:t>
            </w:r>
            <w:r>
              <w:rPr>
                <w:rFonts w:hint="eastAsia" w:ascii="宋体" w:hAnsi="宋体" w:cs="宋体"/>
                <w:snapToGrid w:val="0"/>
                <w:kern w:val="0"/>
                <w:sz w:val="21"/>
                <w:szCs w:val="21"/>
              </w:rPr>
              <w:t>4－5</w:t>
            </w:r>
            <w:r>
              <w:rPr>
                <w:rFonts w:hint="eastAsia" w:ascii="宋体" w:hAnsi="宋体" w:cs="宋体"/>
                <w:snapToGrid w:val="0"/>
                <w:kern w:val="0"/>
                <w:sz w:val="21"/>
                <w:szCs w:val="24"/>
              </w:rPr>
              <w:t>分；</w:t>
            </w:r>
          </w:p>
          <w:p w14:paraId="136C6B99">
            <w:pPr>
              <w:snapToGrid w:val="0"/>
              <w:spacing w:line="276" w:lineRule="auto"/>
              <w:rPr>
                <w:rFonts w:hint="eastAsia" w:ascii="宋体" w:hAnsi="宋体" w:cs="宋体"/>
                <w:snapToGrid w:val="0"/>
                <w:kern w:val="0"/>
                <w:sz w:val="21"/>
                <w:szCs w:val="24"/>
              </w:rPr>
            </w:pPr>
            <w:r>
              <w:rPr>
                <w:rFonts w:hint="eastAsia" w:ascii="宋体" w:hAnsi="宋体" w:cs="宋体"/>
                <w:snapToGrid w:val="0"/>
                <w:kern w:val="0"/>
                <w:sz w:val="21"/>
                <w:szCs w:val="24"/>
              </w:rPr>
              <w:t>服务承诺较合理</w:t>
            </w:r>
            <w:r>
              <w:rPr>
                <w:rFonts w:hint="eastAsia" w:ascii="宋体" w:hAnsi="宋体" w:cs="宋体"/>
                <w:snapToGrid w:val="0"/>
                <w:kern w:val="0"/>
                <w:sz w:val="21"/>
                <w:szCs w:val="21"/>
              </w:rPr>
              <w:t>3－4</w:t>
            </w:r>
            <w:r>
              <w:rPr>
                <w:rFonts w:hint="eastAsia" w:ascii="宋体" w:hAnsi="宋体" w:cs="宋体"/>
                <w:snapToGrid w:val="0"/>
                <w:kern w:val="0"/>
                <w:sz w:val="21"/>
                <w:szCs w:val="24"/>
              </w:rPr>
              <w:t>分；</w:t>
            </w:r>
          </w:p>
          <w:p w14:paraId="4168793D">
            <w:pPr>
              <w:adjustRightInd w:val="0"/>
              <w:snapToGrid w:val="0"/>
              <w:spacing w:line="276" w:lineRule="auto"/>
              <w:rPr>
                <w:rFonts w:hint="eastAsia" w:ascii="宋体" w:hAnsi="宋体"/>
                <w:snapToGrid w:val="0"/>
                <w:kern w:val="0"/>
                <w:sz w:val="21"/>
                <w:szCs w:val="21"/>
              </w:rPr>
            </w:pPr>
            <w:r>
              <w:rPr>
                <w:rFonts w:hint="eastAsia" w:ascii="宋体" w:hAnsi="宋体" w:cs="宋体"/>
                <w:snapToGrid w:val="0"/>
                <w:kern w:val="0"/>
                <w:sz w:val="21"/>
                <w:szCs w:val="24"/>
              </w:rPr>
              <w:t>服务承诺一般</w:t>
            </w:r>
            <w:r>
              <w:rPr>
                <w:rFonts w:hint="eastAsia" w:ascii="宋体" w:hAnsi="宋体" w:cs="宋体"/>
                <w:snapToGrid w:val="0"/>
                <w:kern w:val="0"/>
                <w:sz w:val="21"/>
                <w:szCs w:val="21"/>
              </w:rPr>
              <w:t>3分</w:t>
            </w:r>
            <w:r>
              <w:rPr>
                <w:rFonts w:hint="eastAsia" w:ascii="宋体" w:hAnsi="宋体" w:cs="宋体"/>
                <w:snapToGrid w:val="0"/>
                <w:kern w:val="0"/>
                <w:sz w:val="21"/>
                <w:szCs w:val="24"/>
              </w:rPr>
              <w:t>。</w:t>
            </w:r>
          </w:p>
        </w:tc>
      </w:tr>
      <w:tr w14:paraId="70A2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41" w:type="dxa"/>
            <w:tcBorders>
              <w:top w:val="nil"/>
            </w:tcBorders>
            <w:vAlign w:val="center"/>
          </w:tcPr>
          <w:p w14:paraId="7A958799">
            <w:pPr>
              <w:pStyle w:val="5"/>
              <w:spacing w:line="276" w:lineRule="auto"/>
              <w:jc w:val="center"/>
              <w:rPr>
                <w:rFonts w:hint="eastAsia" w:hAnsi="宋体"/>
                <w:snapToGrid w:val="0"/>
                <w:kern w:val="0"/>
                <w:szCs w:val="21"/>
              </w:rPr>
            </w:pPr>
            <w:r>
              <w:rPr>
                <w:rFonts w:hAnsi="宋体"/>
                <w:snapToGrid w:val="0"/>
                <w:kern w:val="0"/>
                <w:szCs w:val="21"/>
              </w:rPr>
              <w:t>2.2.4（2）</w:t>
            </w:r>
          </w:p>
        </w:tc>
        <w:tc>
          <w:tcPr>
            <w:tcW w:w="741" w:type="dxa"/>
            <w:tcBorders>
              <w:top w:val="nil"/>
            </w:tcBorders>
            <w:vAlign w:val="center"/>
          </w:tcPr>
          <w:p w14:paraId="557FF171">
            <w:pPr>
              <w:pStyle w:val="5"/>
              <w:spacing w:line="276" w:lineRule="auto"/>
              <w:rPr>
                <w:rFonts w:hint="eastAsia" w:hAnsi="宋体"/>
                <w:snapToGrid w:val="0"/>
                <w:kern w:val="0"/>
                <w:szCs w:val="21"/>
              </w:rPr>
            </w:pPr>
            <w:r>
              <w:rPr>
                <w:rFonts w:hint="eastAsia" w:hAnsi="宋体"/>
                <w:snapToGrid w:val="0"/>
                <w:kern w:val="0"/>
                <w:szCs w:val="21"/>
              </w:rPr>
              <w:t>主要人员</w:t>
            </w:r>
          </w:p>
        </w:tc>
        <w:tc>
          <w:tcPr>
            <w:tcW w:w="831" w:type="dxa"/>
            <w:tcBorders>
              <w:top w:val="nil"/>
            </w:tcBorders>
            <w:vAlign w:val="center"/>
          </w:tcPr>
          <w:p w14:paraId="285E5571">
            <w:pPr>
              <w:pStyle w:val="5"/>
              <w:spacing w:line="276" w:lineRule="auto"/>
              <w:rPr>
                <w:rFonts w:hint="eastAsia" w:hAnsi="宋体"/>
                <w:snapToGrid w:val="0"/>
                <w:kern w:val="0"/>
                <w:szCs w:val="21"/>
              </w:rPr>
            </w:pPr>
            <w:r>
              <w:rPr>
                <w:rFonts w:hint="eastAsia" w:hAnsi="宋体"/>
                <w:snapToGrid w:val="0"/>
                <w:kern w:val="0"/>
                <w:szCs w:val="21"/>
              </w:rPr>
              <w:t>25分</w:t>
            </w:r>
          </w:p>
        </w:tc>
        <w:tc>
          <w:tcPr>
            <w:tcW w:w="1209" w:type="dxa"/>
            <w:vAlign w:val="center"/>
          </w:tcPr>
          <w:p w14:paraId="46009E47">
            <w:pPr>
              <w:pStyle w:val="5"/>
              <w:spacing w:line="276" w:lineRule="auto"/>
              <w:rPr>
                <w:rFonts w:hint="eastAsia" w:hAnsi="宋体"/>
                <w:snapToGrid w:val="0"/>
                <w:kern w:val="0"/>
                <w:szCs w:val="21"/>
              </w:rPr>
            </w:pPr>
            <w:r>
              <w:rPr>
                <w:snapToGrid w:val="0"/>
                <w:kern w:val="0"/>
                <w:szCs w:val="21"/>
              </w:rPr>
              <w:t>项目负责人任职资格</w:t>
            </w:r>
          </w:p>
        </w:tc>
        <w:tc>
          <w:tcPr>
            <w:tcW w:w="634" w:type="dxa"/>
            <w:vAlign w:val="center"/>
          </w:tcPr>
          <w:p w14:paraId="20C4D58C">
            <w:pPr>
              <w:pStyle w:val="5"/>
              <w:spacing w:line="276" w:lineRule="auto"/>
              <w:rPr>
                <w:rFonts w:hint="eastAsia" w:hAnsi="宋体"/>
                <w:snapToGrid w:val="0"/>
                <w:kern w:val="0"/>
                <w:szCs w:val="21"/>
              </w:rPr>
            </w:pPr>
            <w:r>
              <w:rPr>
                <w:rFonts w:hint="eastAsia" w:hAnsi="宋体"/>
                <w:snapToGrid w:val="0"/>
                <w:kern w:val="0"/>
                <w:szCs w:val="21"/>
              </w:rPr>
              <w:t>25分</w:t>
            </w:r>
          </w:p>
        </w:tc>
        <w:tc>
          <w:tcPr>
            <w:tcW w:w="5410" w:type="dxa"/>
            <w:tcBorders>
              <w:bottom w:val="single" w:color="auto" w:sz="4" w:space="0"/>
            </w:tcBorders>
            <w:vAlign w:val="center"/>
          </w:tcPr>
          <w:p w14:paraId="3A4127D6">
            <w:pPr>
              <w:spacing w:line="276" w:lineRule="auto"/>
              <w:rPr>
                <w:rFonts w:hint="eastAsia" w:ascii="宋体" w:hAnsi="宋体"/>
                <w:snapToGrid w:val="0"/>
                <w:kern w:val="0"/>
                <w:sz w:val="21"/>
                <w:szCs w:val="21"/>
              </w:rPr>
            </w:pPr>
            <w:r>
              <w:rPr>
                <w:rFonts w:hint="eastAsia" w:ascii="宋体" w:hAnsi="宋体"/>
                <w:snapToGrid w:val="0"/>
                <w:kern w:val="0"/>
                <w:sz w:val="21"/>
                <w:szCs w:val="21"/>
              </w:rPr>
              <w:t>投标人满足附录4 资格审查条件（项目负责人最低要求）得15分，每增加1项满足附录4 资格审查条件（项目负责人最低要求）的业绩</w:t>
            </w:r>
            <w:bookmarkStart w:id="15" w:name="_Hlk175584483"/>
            <w:r>
              <w:rPr>
                <w:rFonts w:hint="eastAsia" w:ascii="宋体" w:hAnsi="宋体"/>
                <w:snapToGrid w:val="0"/>
                <w:kern w:val="0"/>
                <w:sz w:val="21"/>
                <w:szCs w:val="21"/>
              </w:rPr>
              <w:t>加5分，最多加10分。</w:t>
            </w:r>
            <w:bookmarkEnd w:id="15"/>
          </w:p>
        </w:tc>
      </w:tr>
      <w:tr w14:paraId="613E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41" w:type="dxa"/>
            <w:tcBorders>
              <w:top w:val="nil"/>
            </w:tcBorders>
            <w:vAlign w:val="center"/>
          </w:tcPr>
          <w:p w14:paraId="165757A6">
            <w:pPr>
              <w:pStyle w:val="5"/>
              <w:spacing w:line="276" w:lineRule="auto"/>
              <w:jc w:val="center"/>
              <w:rPr>
                <w:rFonts w:hint="eastAsia" w:hAnsi="宋体"/>
                <w:snapToGrid w:val="0"/>
                <w:kern w:val="0"/>
                <w:szCs w:val="21"/>
              </w:rPr>
            </w:pPr>
            <w:r>
              <w:rPr>
                <w:rFonts w:hAnsi="宋体"/>
                <w:snapToGrid w:val="0"/>
                <w:kern w:val="0"/>
                <w:szCs w:val="21"/>
              </w:rPr>
              <w:t>2.2.4（3）</w:t>
            </w:r>
          </w:p>
        </w:tc>
        <w:tc>
          <w:tcPr>
            <w:tcW w:w="741" w:type="dxa"/>
            <w:tcBorders>
              <w:top w:val="nil"/>
            </w:tcBorders>
            <w:vAlign w:val="center"/>
          </w:tcPr>
          <w:p w14:paraId="2FCA2A96">
            <w:pPr>
              <w:pStyle w:val="5"/>
              <w:spacing w:line="276" w:lineRule="auto"/>
              <w:jc w:val="center"/>
              <w:rPr>
                <w:rFonts w:hint="eastAsia" w:hAnsi="宋体"/>
                <w:snapToGrid w:val="0"/>
                <w:kern w:val="0"/>
                <w:szCs w:val="21"/>
              </w:rPr>
            </w:pPr>
            <w:r>
              <w:rPr>
                <w:rFonts w:hint="eastAsia" w:hAnsi="宋体"/>
                <w:snapToGrid w:val="0"/>
                <w:kern w:val="0"/>
                <w:szCs w:val="21"/>
              </w:rPr>
              <w:t>评标价</w:t>
            </w:r>
          </w:p>
        </w:tc>
        <w:tc>
          <w:tcPr>
            <w:tcW w:w="831" w:type="dxa"/>
            <w:tcBorders>
              <w:top w:val="nil"/>
              <w:bottom w:val="single" w:color="auto" w:sz="4" w:space="0"/>
            </w:tcBorders>
            <w:vAlign w:val="center"/>
          </w:tcPr>
          <w:p w14:paraId="79D08791">
            <w:pPr>
              <w:pStyle w:val="5"/>
              <w:spacing w:line="276" w:lineRule="auto"/>
              <w:jc w:val="center"/>
              <w:rPr>
                <w:rFonts w:hint="eastAsia" w:hAnsi="宋体"/>
                <w:snapToGrid w:val="0"/>
                <w:kern w:val="0"/>
                <w:szCs w:val="21"/>
              </w:rPr>
            </w:pPr>
            <w:r>
              <w:rPr>
                <w:rFonts w:hint="eastAsia" w:hAnsi="宋体"/>
                <w:snapToGrid w:val="0"/>
                <w:kern w:val="0"/>
                <w:szCs w:val="21"/>
              </w:rPr>
              <w:t>10</w:t>
            </w:r>
            <w:r>
              <w:rPr>
                <w:rFonts w:hAnsi="宋体"/>
                <w:snapToGrid w:val="0"/>
                <w:kern w:val="0"/>
                <w:szCs w:val="21"/>
              </w:rPr>
              <w:t>分</w:t>
            </w:r>
          </w:p>
        </w:tc>
        <w:tc>
          <w:tcPr>
            <w:tcW w:w="7253" w:type="dxa"/>
            <w:gridSpan w:val="3"/>
            <w:tcBorders>
              <w:bottom w:val="single" w:color="auto" w:sz="4" w:space="0"/>
            </w:tcBorders>
            <w:vAlign w:val="center"/>
          </w:tcPr>
          <w:p w14:paraId="4FEDC607">
            <w:pPr>
              <w:spacing w:line="276" w:lineRule="auto"/>
              <w:rPr>
                <w:rFonts w:hint="eastAsia" w:ascii="宋体" w:hAnsi="宋体"/>
                <w:snapToGrid w:val="0"/>
                <w:kern w:val="0"/>
                <w:sz w:val="21"/>
                <w:szCs w:val="21"/>
              </w:rPr>
            </w:pPr>
            <w:r>
              <w:rPr>
                <w:rFonts w:hint="eastAsia" w:ascii="宋体" w:hAnsi="宋体"/>
                <w:snapToGrid w:val="0"/>
                <w:kern w:val="0"/>
                <w:sz w:val="21"/>
                <w:szCs w:val="21"/>
              </w:rPr>
              <w:t>评标价得分计算公式示例：</w:t>
            </w:r>
          </w:p>
          <w:p w14:paraId="6FD2DA39">
            <w:pPr>
              <w:spacing w:line="276" w:lineRule="auto"/>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1）如果投标人的评标价＞评标基准价，则评标价得分=F-（投标人评标价-评标基准价）/评标基准价×100×E1；</w:t>
            </w:r>
          </w:p>
          <w:p w14:paraId="070ABB31">
            <w:pPr>
              <w:spacing w:line="276" w:lineRule="auto"/>
              <w:rPr>
                <w:rFonts w:hint="eastAsia" w:ascii="宋体" w:hAnsi="宋体"/>
                <w:snapToGrid w:val="0"/>
                <w:kern w:val="0"/>
                <w:sz w:val="21"/>
                <w:szCs w:val="21"/>
              </w:rPr>
            </w:pPr>
            <w:r>
              <w:rPr>
                <w:rFonts w:hint="eastAsia" w:ascii="宋体" w:hAnsi="宋体"/>
                <w:snapToGrid w:val="0"/>
                <w:kern w:val="0"/>
                <w:sz w:val="21"/>
                <w:szCs w:val="21"/>
              </w:rPr>
              <w:t>（</w:t>
            </w:r>
            <w:r>
              <w:rPr>
                <w:rFonts w:ascii="宋体" w:hAnsi="宋体"/>
                <w:snapToGrid w:val="0"/>
                <w:kern w:val="0"/>
                <w:sz w:val="21"/>
                <w:szCs w:val="21"/>
              </w:rPr>
              <w:t>2）如果投标人的评标价≤评标基准价，则评标价得分=F+(投标人评标价-评标基准价)/评标基准价×100×E2。</w:t>
            </w:r>
          </w:p>
          <w:p w14:paraId="41BBEB4B">
            <w:pPr>
              <w:spacing w:line="276" w:lineRule="auto"/>
              <w:jc w:val="left"/>
              <w:rPr>
                <w:rFonts w:hint="eastAsia" w:ascii="宋体" w:hAnsi="宋体"/>
                <w:snapToGrid w:val="0"/>
                <w:kern w:val="0"/>
                <w:sz w:val="21"/>
                <w:szCs w:val="21"/>
              </w:rPr>
            </w:pPr>
            <w:r>
              <w:rPr>
                <w:rFonts w:hint="eastAsia" w:ascii="宋体" w:hAnsi="宋体"/>
                <w:snapToGrid w:val="0"/>
                <w:kern w:val="0"/>
                <w:sz w:val="21"/>
                <w:szCs w:val="21"/>
              </w:rPr>
              <w:t>其中，</w:t>
            </w:r>
            <w:r>
              <w:rPr>
                <w:rFonts w:ascii="宋体" w:hAnsi="宋体"/>
                <w:snapToGrid w:val="0"/>
                <w:kern w:val="0"/>
                <w:sz w:val="21"/>
                <w:szCs w:val="21"/>
              </w:rPr>
              <w:t>F=10；E1=0.2；E2=0.1；评标价最低得分为0分</w:t>
            </w:r>
            <w:r>
              <w:rPr>
                <w:rFonts w:hint="eastAsia" w:ascii="宋体" w:hAnsi="宋体"/>
                <w:snapToGrid w:val="0"/>
                <w:kern w:val="0"/>
                <w:sz w:val="21"/>
                <w:szCs w:val="21"/>
              </w:rPr>
              <w:t>，评标价得分保留两位小数，第三位四舍五入。</w:t>
            </w:r>
          </w:p>
        </w:tc>
      </w:tr>
      <w:tr w14:paraId="31FB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741" w:type="dxa"/>
            <w:vAlign w:val="center"/>
          </w:tcPr>
          <w:p w14:paraId="3128BF7D">
            <w:pPr>
              <w:pStyle w:val="5"/>
              <w:spacing w:line="276" w:lineRule="auto"/>
              <w:jc w:val="center"/>
              <w:rPr>
                <w:rFonts w:hint="eastAsia" w:hAnsi="宋体"/>
                <w:snapToGrid w:val="0"/>
                <w:kern w:val="0"/>
                <w:szCs w:val="21"/>
              </w:rPr>
            </w:pPr>
            <w:r>
              <w:rPr>
                <w:rFonts w:hAnsi="宋体"/>
                <w:snapToGrid w:val="0"/>
                <w:kern w:val="0"/>
                <w:szCs w:val="21"/>
              </w:rPr>
              <w:t>2.2.4（4）</w:t>
            </w:r>
          </w:p>
        </w:tc>
        <w:tc>
          <w:tcPr>
            <w:tcW w:w="741" w:type="dxa"/>
            <w:vAlign w:val="center"/>
          </w:tcPr>
          <w:p w14:paraId="0346EE70">
            <w:pPr>
              <w:pStyle w:val="5"/>
              <w:spacing w:line="276" w:lineRule="auto"/>
              <w:rPr>
                <w:rFonts w:hint="eastAsia" w:hAnsi="宋体"/>
                <w:snapToGrid w:val="0"/>
                <w:kern w:val="0"/>
                <w:szCs w:val="21"/>
              </w:rPr>
            </w:pPr>
            <w:r>
              <w:rPr>
                <w:rFonts w:hint="eastAsia" w:hAnsi="宋体"/>
                <w:snapToGrid w:val="0"/>
                <w:kern w:val="0"/>
                <w:szCs w:val="21"/>
              </w:rPr>
              <w:t>其他因素</w:t>
            </w:r>
          </w:p>
        </w:tc>
        <w:tc>
          <w:tcPr>
            <w:tcW w:w="831" w:type="dxa"/>
            <w:tcBorders>
              <w:top w:val="single" w:color="auto" w:sz="4" w:space="0"/>
            </w:tcBorders>
            <w:vAlign w:val="center"/>
          </w:tcPr>
          <w:p w14:paraId="5335F1DD">
            <w:pPr>
              <w:pStyle w:val="5"/>
              <w:spacing w:line="276" w:lineRule="auto"/>
              <w:rPr>
                <w:rFonts w:hint="eastAsia" w:hAnsi="宋体"/>
                <w:snapToGrid w:val="0"/>
                <w:kern w:val="0"/>
                <w:szCs w:val="21"/>
              </w:rPr>
            </w:pPr>
            <w:r>
              <w:rPr>
                <w:rFonts w:hAnsi="宋体"/>
                <w:snapToGrid w:val="0"/>
                <w:kern w:val="0"/>
                <w:szCs w:val="21"/>
              </w:rPr>
              <w:t>2</w:t>
            </w:r>
            <w:r>
              <w:rPr>
                <w:rFonts w:hint="eastAsia" w:hAnsi="宋体"/>
                <w:snapToGrid w:val="0"/>
                <w:kern w:val="0"/>
                <w:szCs w:val="21"/>
              </w:rPr>
              <w:t>0</w:t>
            </w:r>
            <w:r>
              <w:rPr>
                <w:rFonts w:hAnsi="宋体"/>
                <w:snapToGrid w:val="0"/>
                <w:kern w:val="0"/>
                <w:szCs w:val="21"/>
              </w:rPr>
              <w:t>分</w:t>
            </w:r>
          </w:p>
        </w:tc>
        <w:tc>
          <w:tcPr>
            <w:tcW w:w="1209" w:type="dxa"/>
            <w:tcBorders>
              <w:top w:val="single" w:color="auto" w:sz="4" w:space="0"/>
            </w:tcBorders>
            <w:vAlign w:val="center"/>
          </w:tcPr>
          <w:p w14:paraId="578C8773">
            <w:pPr>
              <w:pStyle w:val="5"/>
              <w:spacing w:line="276" w:lineRule="auto"/>
              <w:jc w:val="center"/>
              <w:rPr>
                <w:rFonts w:hint="eastAsia" w:hAnsi="宋体"/>
                <w:snapToGrid w:val="0"/>
                <w:kern w:val="0"/>
                <w:szCs w:val="21"/>
              </w:rPr>
            </w:pPr>
            <w:r>
              <w:rPr>
                <w:rFonts w:hint="eastAsia" w:hAnsi="宋体"/>
                <w:snapToGrid w:val="0"/>
                <w:kern w:val="0"/>
                <w:szCs w:val="21"/>
              </w:rPr>
              <w:t>业绩</w:t>
            </w:r>
          </w:p>
        </w:tc>
        <w:tc>
          <w:tcPr>
            <w:tcW w:w="634" w:type="dxa"/>
            <w:tcBorders>
              <w:top w:val="single" w:color="auto" w:sz="4" w:space="0"/>
            </w:tcBorders>
            <w:vAlign w:val="center"/>
          </w:tcPr>
          <w:p w14:paraId="4535214A">
            <w:pPr>
              <w:pStyle w:val="5"/>
              <w:spacing w:line="276" w:lineRule="auto"/>
              <w:rPr>
                <w:rFonts w:hint="eastAsia" w:hAnsi="宋体"/>
                <w:snapToGrid w:val="0"/>
                <w:kern w:val="0"/>
                <w:szCs w:val="21"/>
              </w:rPr>
            </w:pPr>
            <w:r>
              <w:rPr>
                <w:rFonts w:hAnsi="宋体"/>
                <w:snapToGrid w:val="0"/>
                <w:kern w:val="0"/>
                <w:szCs w:val="21"/>
              </w:rPr>
              <w:t>2</w:t>
            </w:r>
            <w:r>
              <w:rPr>
                <w:rFonts w:hint="eastAsia" w:hAnsi="宋体"/>
                <w:snapToGrid w:val="0"/>
                <w:kern w:val="0"/>
                <w:szCs w:val="21"/>
              </w:rPr>
              <w:t>0分</w:t>
            </w:r>
          </w:p>
        </w:tc>
        <w:tc>
          <w:tcPr>
            <w:tcW w:w="5410" w:type="dxa"/>
            <w:tcBorders>
              <w:top w:val="single" w:color="auto" w:sz="4" w:space="0"/>
            </w:tcBorders>
            <w:vAlign w:val="center"/>
          </w:tcPr>
          <w:p w14:paraId="224AFDE9">
            <w:pPr>
              <w:spacing w:line="276" w:lineRule="auto"/>
              <w:jc w:val="left"/>
              <w:rPr>
                <w:rFonts w:hint="eastAsia" w:ascii="宋体" w:hAnsi="宋体"/>
                <w:snapToGrid w:val="0"/>
                <w:kern w:val="0"/>
                <w:sz w:val="21"/>
                <w:szCs w:val="21"/>
              </w:rPr>
            </w:pPr>
            <w:r>
              <w:rPr>
                <w:rFonts w:hint="eastAsia" w:ascii="宋体" w:hAnsi="宋体"/>
                <w:snapToGrid w:val="0"/>
                <w:kern w:val="0"/>
                <w:sz w:val="21"/>
                <w:szCs w:val="21"/>
              </w:rPr>
              <w:t>投标人满足附录2资格审查条件（业绩最低要求）得12分，每增加1项满足附录2资格审查条件（业绩最低要求）的业绩加4分，最多加8分。</w:t>
            </w:r>
          </w:p>
        </w:tc>
      </w:tr>
    </w:tbl>
    <w:p w14:paraId="00D3CD97">
      <w:pPr>
        <w:pStyle w:val="5"/>
        <w:ind w:firstLine="430" w:firstLineChars="204"/>
      </w:pPr>
      <w:r>
        <w:rPr>
          <w:rFonts w:hint="eastAsia" w:hAnsi="宋体"/>
          <w:b/>
          <w:bCs/>
          <w:snapToGrid w:val="0"/>
          <w:kern w:val="0"/>
          <w:szCs w:val="21"/>
        </w:rPr>
        <w:t>注：1、各评委打分保留1位小数，投标人该项得分以各评委打分平均值计算所得，保留两位小数，第三位小数四舍五入。</w:t>
      </w:r>
      <w:bookmarkStart w:id="16" w:name="_GoBack"/>
      <w:bookmarkEnd w:id="16"/>
      <w:r>
        <w:rPr>
          <w:rFonts w:hint="eastAsia" w:hAnsi="宋体"/>
          <w:b/>
          <w:bCs/>
          <w:snapToGrid w:val="0"/>
          <w:kern w:val="0"/>
          <w:szCs w:val="21"/>
        </w:rPr>
        <w:t>2、各评分因素细分项得分一般不应低于其权重分值的60%，评标委员会成员对某一项评分因素的评分低于权重分值 60%的，应在评标报告中作出说明。各评分因素细分项缺项则该项得0分。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
    <w:altName w:val="宋体"/>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923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8"/>
      <w:sz w:val="28"/>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kern w:val="2"/>
      <w:sz w:val="21"/>
    </w:rPr>
  </w:style>
  <w:style w:type="paragraph" w:styleId="6">
    <w:name w:val="Normal (Web)"/>
    <w:basedOn w:val="1"/>
    <w:qFormat/>
    <w:uiPriority w:val="0"/>
    <w:pPr>
      <w:widowControl/>
      <w:snapToGrid w:val="0"/>
      <w:spacing w:line="276" w:lineRule="auto"/>
      <w:jc w:val="center"/>
    </w:pPr>
    <w:rPr>
      <w:rFonts w:ascii="宋体" w:hAnsi="宋体"/>
      <w:kern w:val="0"/>
      <w:sz w:val="24"/>
      <w:szCs w:val="24"/>
    </w:rPr>
  </w:style>
  <w:style w:type="paragraph" w:customStyle="1" w:styleId="9">
    <w:name w:val="样式54"/>
    <w:basedOn w:val="2"/>
    <w:qFormat/>
    <w:uiPriority w:val="0"/>
    <w:pPr>
      <w:spacing w:before="0" w:after="0" w:line="360" w:lineRule="auto"/>
      <w:jc w:val="center"/>
    </w:pPr>
  </w:style>
  <w:style w:type="paragraph" w:customStyle="1" w:styleId="10">
    <w:name w:val="样式55"/>
    <w:basedOn w:val="3"/>
    <w:autoRedefine/>
    <w:qFormat/>
    <w:uiPriority w:val="0"/>
    <w:pPr>
      <w:spacing w:before="0" w:after="0" w:line="360" w:lineRule="auto"/>
    </w:pPr>
    <w:rPr>
      <w:sz w:val="28"/>
    </w:rPr>
  </w:style>
  <w:style w:type="character" w:customStyle="1" w:styleId="11">
    <w:name w:val="正文文本 (2) + 10.5 pt"/>
    <w:autoRedefine/>
    <w:qFormat/>
    <w:uiPriority w:val="0"/>
    <w:rPr>
      <w:rFonts w:ascii="宋体" w:hAnsi="宋体" w:eastAsia="宋体" w:cs="宋体"/>
      <w:color w:val="000000"/>
      <w:spacing w:val="0"/>
      <w:w w:val="100"/>
      <w:position w:val="0"/>
      <w:sz w:val="21"/>
      <w:szCs w:val="21"/>
      <w:u w:val="none"/>
      <w:shd w:val="clear" w:color="auto" w:fill="FFFFFF"/>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2026-10-16T01:26:23Z</dcterms:created>
  <dc:creator>Administrator</dc:creator>
  <cp:lastModifiedBy>李娜</cp:lastModifiedBy>
  <dcterms:modified xsi:type="dcterms:W3CDTF">2026-10-16T01:26:34Z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eyJoZGlkIjoiOWYyZDYxNTJjZmI2NmVkYTMyOWVjMGFiZjEzZGM5NjgiLCJ1c2VySWQiOiIxNTI1NDExOTAzIn0=</vt:lpwstr>
  </property>
  <property fmtid="{D5CDD505-2E9C-101B-9397-08002B2CF9AE}" pid="4" name="ICV">
    <vt:lpwstr>BE10DB057F0F49BDADAFE6A4BCC7A472_12</vt:lpwstr>
  </property>
</Properties>
</file>