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2279D8">
      <w:pPr>
        <w:pStyle w:val="2"/>
        <w:rPr>
          <w:rFonts w:hint="eastAsia"/>
          <w:color w:val="auto"/>
          <w:highlight w:val="none"/>
        </w:rPr>
      </w:pPr>
      <w:bookmarkStart w:id="0" w:name="_Toc7171"/>
      <w:bookmarkStart w:id="1" w:name="OLE_LINK3"/>
      <w:bookmarkStart w:id="2" w:name="OLE_LINK1"/>
      <w:r>
        <w:rPr>
          <w:rFonts w:hint="eastAsia"/>
          <w:color w:val="auto"/>
          <w:highlight w:val="none"/>
        </w:rPr>
        <w:t>附件</w:t>
      </w:r>
      <w:r>
        <w:rPr>
          <w:color w:val="auto"/>
          <w:highlight w:val="none"/>
        </w:rPr>
        <w:t>1</w:t>
      </w:r>
      <w:r>
        <w:rPr>
          <w:rFonts w:hint="eastAsia"/>
          <w:color w:val="auto"/>
          <w:highlight w:val="none"/>
        </w:rPr>
        <w:t>：资格审查条件</w:t>
      </w:r>
      <w:bookmarkEnd w:id="0"/>
    </w:p>
    <w:p w14:paraId="3E46FF89">
      <w:pPr>
        <w:jc w:val="center"/>
        <w:rPr>
          <w:rFonts w:hint="eastAsia" w:ascii="宋体" w:hAnsi="宋体"/>
          <w:b/>
          <w:color w:val="auto"/>
          <w:sz w:val="24"/>
          <w:szCs w:val="24"/>
          <w:highlight w:val="none"/>
        </w:rPr>
      </w:pPr>
    </w:p>
    <w:p w14:paraId="2101B911">
      <w:pPr>
        <w:jc w:val="center"/>
        <w:rPr>
          <w:rFonts w:hint="eastAsia" w:ascii="宋体" w:hAnsi="宋体"/>
          <w:b/>
          <w:color w:val="auto"/>
          <w:sz w:val="24"/>
          <w:szCs w:val="24"/>
          <w:highlight w:val="none"/>
          <w:lang w:eastAsia="zh-CN"/>
        </w:rPr>
      </w:pPr>
      <w:r>
        <w:rPr>
          <w:rFonts w:hint="eastAsia" w:ascii="宋体" w:hAnsi="宋体"/>
          <w:b/>
          <w:color w:val="auto"/>
          <w:sz w:val="24"/>
          <w:szCs w:val="24"/>
          <w:highlight w:val="none"/>
          <w:lang w:eastAsia="zh-CN"/>
        </w:rPr>
        <w:t>附录1资格审查条件（资质最低要求）</w:t>
      </w:r>
    </w:p>
    <w:tbl>
      <w:tblPr>
        <w:tblStyle w:val="6"/>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2"/>
      </w:tblGrid>
      <w:tr w14:paraId="483AC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642" w:type="dxa"/>
            <w:vAlign w:val="center"/>
          </w:tcPr>
          <w:p w14:paraId="48D34B15">
            <w:pPr>
              <w:jc w:val="center"/>
              <w:rPr>
                <w:rFonts w:hint="eastAsia" w:ascii="宋体" w:hAnsi="宋体"/>
                <w:color w:val="auto"/>
                <w:sz w:val="21"/>
                <w:szCs w:val="24"/>
                <w:highlight w:val="none"/>
              </w:rPr>
            </w:pPr>
            <w:r>
              <w:rPr>
                <w:rFonts w:hint="eastAsia" w:ascii="宋体" w:hAnsi="宋体"/>
                <w:color w:val="auto"/>
                <w:sz w:val="21"/>
                <w:szCs w:val="24"/>
                <w:highlight w:val="none"/>
              </w:rPr>
              <w:t>资质等级要求</w:t>
            </w:r>
          </w:p>
        </w:tc>
      </w:tr>
      <w:tr w14:paraId="07C2E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92" w:hRule="atLeast"/>
        </w:trPr>
        <w:tc>
          <w:tcPr>
            <w:tcW w:w="8642" w:type="dxa"/>
            <w:vAlign w:val="center"/>
          </w:tcPr>
          <w:p w14:paraId="111B356E">
            <w:pPr>
              <w:keepNext w:val="0"/>
              <w:keepLines w:val="0"/>
              <w:pageBreakBefore w:val="0"/>
              <w:widowControl w:val="0"/>
              <w:kinsoku/>
              <w:wordWrap/>
              <w:overflowPunct/>
              <w:topLinePunct w:val="0"/>
              <w:autoSpaceDE/>
              <w:autoSpaceDN/>
              <w:bidi w:val="0"/>
              <w:adjustRightInd/>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val="en-US" w:eastAsia="zh-CN"/>
              </w:rPr>
              <w:t>1.</w:t>
            </w:r>
            <w:r>
              <w:rPr>
                <w:rFonts w:hint="eastAsia" w:ascii="宋体" w:hAnsi="宋体"/>
                <w:color w:val="auto"/>
                <w:sz w:val="21"/>
                <w:szCs w:val="21"/>
                <w:highlight w:val="none"/>
                <w:lang w:eastAsia="zh-CN"/>
              </w:rPr>
              <w:t>投标人应是中华人民共和国境内的法人或其他组织。</w:t>
            </w:r>
          </w:p>
          <w:p w14:paraId="2C54BDD8">
            <w:pPr>
              <w:pStyle w:val="3"/>
              <w:keepNext w:val="0"/>
              <w:keepLines w:val="0"/>
              <w:pageBreakBefore w:val="0"/>
              <w:widowControl w:val="0"/>
              <w:kinsoku/>
              <w:wordWrap/>
              <w:overflowPunct/>
              <w:topLinePunct w:val="0"/>
              <w:autoSpaceDE/>
              <w:autoSpaceDN/>
              <w:bidi w:val="0"/>
              <w:adjustRightInd/>
              <w:snapToGrid w:val="0"/>
              <w:spacing w:after="0" w:line="320" w:lineRule="exact"/>
              <w:ind w:firstLine="420" w:firstLineChars="200"/>
              <w:textAlignment w:val="auto"/>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2.投标人应满足以下条件之一：</w:t>
            </w:r>
          </w:p>
          <w:p w14:paraId="4E5002FD">
            <w:pPr>
              <w:pStyle w:val="3"/>
              <w:keepNext w:val="0"/>
              <w:keepLines w:val="0"/>
              <w:pageBreakBefore w:val="0"/>
              <w:widowControl w:val="0"/>
              <w:kinsoku/>
              <w:wordWrap/>
              <w:overflowPunct/>
              <w:topLinePunct w:val="0"/>
              <w:autoSpaceDE/>
              <w:autoSpaceDN/>
              <w:bidi w:val="0"/>
              <w:adjustRightInd/>
              <w:snapToGrid w:val="0"/>
              <w:spacing w:after="0" w:line="320" w:lineRule="exact"/>
              <w:ind w:firstLine="420" w:firstLineChars="200"/>
              <w:textAlignment w:val="auto"/>
              <w:rPr>
                <w:rFonts w:hint="eastAsia" w:ascii="宋体" w:hAnsi="宋体" w:eastAsia="宋体" w:cs="宋体"/>
                <w:color w:val="auto"/>
                <w:sz w:val="21"/>
                <w:szCs w:val="21"/>
                <w:highlight w:val="none"/>
                <w:lang w:val="en-US" w:eastAsia="zh-CN" w:bidi="ar-SA"/>
              </w:rPr>
            </w:pPr>
            <w:r>
              <w:rPr>
                <w:rFonts w:hint="eastAsia" w:ascii="宋体" w:hAnsi="宋体" w:cs="宋体"/>
                <w:color w:val="auto"/>
                <w:sz w:val="21"/>
                <w:szCs w:val="21"/>
                <w:highlight w:val="none"/>
                <w:lang w:val="en-US" w:eastAsia="zh-CN" w:bidi="ar-SA"/>
              </w:rPr>
              <w:t>（1）</w:t>
            </w:r>
            <w:r>
              <w:rPr>
                <w:rFonts w:hint="eastAsia" w:ascii="宋体" w:hAnsi="宋体" w:eastAsia="宋体" w:cs="宋体"/>
                <w:color w:val="auto"/>
                <w:sz w:val="21"/>
                <w:szCs w:val="21"/>
                <w:highlight w:val="none"/>
                <w:lang w:val="en-US" w:eastAsia="zh-CN" w:bidi="ar-SA"/>
              </w:rPr>
              <w:t>持有交通运输主管部门颁发的</w:t>
            </w:r>
            <w:r>
              <w:rPr>
                <w:rFonts w:hint="eastAsia" w:ascii="宋体" w:hAnsi="宋体" w:cs="宋体"/>
                <w:color w:val="auto"/>
                <w:sz w:val="21"/>
                <w:szCs w:val="21"/>
                <w:highlight w:val="none"/>
                <w:lang w:val="en-US" w:eastAsia="zh-CN" w:bidi="ar-SA"/>
              </w:rPr>
              <w:t>有效的公路水运工程质量检测机构</w:t>
            </w:r>
            <w:r>
              <w:rPr>
                <w:rFonts w:hint="eastAsia" w:ascii="宋体" w:hAnsi="宋体" w:eastAsia="宋体" w:cs="宋体"/>
                <w:color w:val="auto"/>
                <w:sz w:val="21"/>
                <w:szCs w:val="21"/>
                <w:highlight w:val="none"/>
                <w:lang w:val="en-US" w:eastAsia="zh-CN" w:bidi="ar-SA"/>
              </w:rPr>
              <w:t>公路工程甲级</w:t>
            </w:r>
            <w:r>
              <w:rPr>
                <w:rFonts w:hint="eastAsia" w:ascii="宋体" w:hAnsi="宋体" w:cs="宋体"/>
                <w:color w:val="auto"/>
                <w:sz w:val="21"/>
                <w:szCs w:val="21"/>
                <w:highlight w:val="none"/>
                <w:lang w:val="en-US" w:eastAsia="zh-CN" w:bidi="ar-SA"/>
              </w:rPr>
              <w:t>资质证书</w:t>
            </w:r>
            <w:r>
              <w:rPr>
                <w:rFonts w:hint="eastAsia" w:ascii="宋体" w:hAnsi="宋体" w:eastAsia="宋体" w:cs="宋体"/>
                <w:color w:val="auto"/>
                <w:sz w:val="21"/>
                <w:szCs w:val="21"/>
                <w:highlight w:val="none"/>
                <w:lang w:val="en-US" w:eastAsia="zh-CN" w:bidi="ar-SA"/>
              </w:rPr>
              <w:t>或</w:t>
            </w:r>
            <w:r>
              <w:rPr>
                <w:rFonts w:hint="eastAsia" w:ascii="宋体" w:hAnsi="宋体" w:cs="宋体"/>
                <w:color w:val="auto"/>
                <w:sz w:val="21"/>
                <w:szCs w:val="21"/>
                <w:highlight w:val="none"/>
                <w:lang w:val="en-US" w:eastAsia="zh-CN" w:bidi="ar-SA"/>
              </w:rPr>
              <w:t>公路水运工程</w:t>
            </w:r>
            <w:r>
              <w:rPr>
                <w:rFonts w:hint="eastAsia" w:ascii="宋体" w:hAnsi="宋体" w:eastAsia="宋体" w:cs="宋体"/>
                <w:color w:val="auto"/>
                <w:sz w:val="21"/>
                <w:szCs w:val="21"/>
                <w:highlight w:val="none"/>
                <w:lang w:val="en-US" w:eastAsia="zh-CN" w:bidi="ar-SA"/>
              </w:rPr>
              <w:t>试验检测机构公路工程综合甲级等级证书。</w:t>
            </w:r>
          </w:p>
          <w:p w14:paraId="29117A84">
            <w:pPr>
              <w:pStyle w:val="3"/>
              <w:keepNext w:val="0"/>
              <w:keepLines w:val="0"/>
              <w:pageBreakBefore w:val="0"/>
              <w:widowControl w:val="0"/>
              <w:kinsoku/>
              <w:wordWrap/>
              <w:overflowPunct/>
              <w:topLinePunct w:val="0"/>
              <w:autoSpaceDE/>
              <w:autoSpaceDN/>
              <w:bidi w:val="0"/>
              <w:adjustRightInd/>
              <w:snapToGrid w:val="0"/>
              <w:spacing w:after="0" w:line="320" w:lineRule="exact"/>
              <w:ind w:firstLine="420" w:firstLineChars="200"/>
              <w:textAlignment w:val="auto"/>
              <w:rPr>
                <w:color w:val="auto"/>
                <w:highlight w:val="none"/>
                <w:lang w:eastAsia="zh-CN"/>
              </w:rPr>
            </w:pPr>
            <w:r>
              <w:rPr>
                <w:rFonts w:hint="eastAsia" w:ascii="宋体" w:hAnsi="宋体" w:cs="宋体"/>
                <w:color w:val="auto"/>
                <w:sz w:val="21"/>
                <w:szCs w:val="21"/>
                <w:highlight w:val="none"/>
                <w:lang w:val="en-US" w:eastAsia="zh-CN" w:bidi="ar-SA"/>
              </w:rPr>
              <w:t>（2）</w:t>
            </w:r>
            <w:r>
              <w:rPr>
                <w:rFonts w:hint="eastAsia" w:ascii="宋体" w:hAnsi="宋体" w:eastAsia="宋体" w:cs="宋体"/>
                <w:color w:val="auto"/>
                <w:sz w:val="21"/>
                <w:szCs w:val="21"/>
                <w:highlight w:val="none"/>
                <w:lang w:val="en-US" w:eastAsia="zh-CN" w:bidi="ar-SA"/>
              </w:rPr>
              <w:t>持有交通运输主管部门颁发的</w:t>
            </w:r>
            <w:r>
              <w:rPr>
                <w:rFonts w:hint="eastAsia" w:ascii="宋体" w:hAnsi="宋体" w:cs="宋体"/>
                <w:color w:val="auto"/>
                <w:sz w:val="21"/>
                <w:szCs w:val="21"/>
                <w:highlight w:val="none"/>
                <w:lang w:val="en-US" w:eastAsia="zh-CN" w:bidi="ar-SA"/>
              </w:rPr>
              <w:t>有效的公路水运工程质量检测机构</w:t>
            </w:r>
            <w:r>
              <w:rPr>
                <w:rFonts w:hint="eastAsia" w:ascii="宋体" w:hAnsi="宋体" w:eastAsia="宋体" w:cs="宋体"/>
                <w:color w:val="auto"/>
                <w:sz w:val="21"/>
                <w:szCs w:val="21"/>
                <w:highlight w:val="none"/>
                <w:lang w:val="en-US" w:eastAsia="zh-CN" w:bidi="ar-SA"/>
              </w:rPr>
              <w:t>公路工程桥梁隧道工程专项</w:t>
            </w:r>
            <w:r>
              <w:rPr>
                <w:rFonts w:hint="eastAsia" w:ascii="宋体" w:hAnsi="宋体" w:cs="宋体"/>
                <w:color w:val="auto"/>
                <w:sz w:val="21"/>
                <w:szCs w:val="21"/>
                <w:highlight w:val="none"/>
                <w:lang w:val="en-US" w:eastAsia="zh-CN" w:bidi="ar-SA"/>
              </w:rPr>
              <w:t>资质证书或公路水运工程</w:t>
            </w:r>
            <w:r>
              <w:rPr>
                <w:rFonts w:hint="eastAsia" w:ascii="宋体" w:hAnsi="宋体" w:eastAsia="宋体" w:cs="宋体"/>
                <w:color w:val="auto"/>
                <w:sz w:val="21"/>
                <w:szCs w:val="21"/>
                <w:highlight w:val="none"/>
                <w:lang w:val="en-US" w:eastAsia="zh-CN" w:bidi="ar-SA"/>
              </w:rPr>
              <w:t>试验检测机构桥梁隧道工程专项等级证书。</w:t>
            </w:r>
          </w:p>
        </w:tc>
      </w:tr>
    </w:tbl>
    <w:p w14:paraId="1322F6AF">
      <w:pPr>
        <w:snapToGrid w:val="0"/>
        <w:rPr>
          <w:rFonts w:hint="eastAsia" w:ascii="宋体" w:hAnsi="宋体"/>
          <w:color w:val="auto"/>
          <w:sz w:val="24"/>
          <w:szCs w:val="24"/>
          <w:highlight w:val="none"/>
          <w:lang w:eastAsia="zh-CN"/>
        </w:rPr>
      </w:pPr>
    </w:p>
    <w:p w14:paraId="28315219">
      <w:pPr>
        <w:pStyle w:val="8"/>
        <w:snapToGrid w:val="0"/>
        <w:spacing w:line="240" w:lineRule="auto"/>
        <w:ind w:firstLine="640"/>
        <w:rPr>
          <w:color w:val="auto"/>
          <w:highlight w:val="none"/>
          <w:lang w:eastAsia="zh-CN"/>
        </w:rPr>
      </w:pPr>
    </w:p>
    <w:p w14:paraId="7C5523E3">
      <w:pPr>
        <w:jc w:val="center"/>
        <w:rPr>
          <w:rFonts w:hint="eastAsia" w:ascii="宋体" w:hAnsi="宋体"/>
          <w:b/>
          <w:color w:val="auto"/>
          <w:sz w:val="24"/>
          <w:szCs w:val="24"/>
          <w:highlight w:val="none"/>
          <w:lang w:eastAsia="zh-CN"/>
        </w:rPr>
      </w:pPr>
      <w:r>
        <w:rPr>
          <w:rFonts w:hint="eastAsia" w:ascii="宋体" w:hAnsi="宋体"/>
          <w:b/>
          <w:color w:val="auto"/>
          <w:sz w:val="24"/>
          <w:szCs w:val="24"/>
          <w:highlight w:val="none"/>
          <w:lang w:eastAsia="zh-CN"/>
        </w:rPr>
        <w:t>附录2资格审查条件（业绩最低要求）</w:t>
      </w:r>
    </w:p>
    <w:tbl>
      <w:tblPr>
        <w:tblStyle w:val="6"/>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2"/>
      </w:tblGrid>
      <w:tr w14:paraId="356EAD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642" w:type="dxa"/>
            <w:vAlign w:val="center"/>
          </w:tcPr>
          <w:p w14:paraId="2C5FE6D9">
            <w:pPr>
              <w:jc w:val="center"/>
              <w:rPr>
                <w:rFonts w:hint="eastAsia" w:ascii="宋体" w:hAnsi="宋体"/>
                <w:color w:val="auto"/>
                <w:sz w:val="21"/>
                <w:szCs w:val="21"/>
                <w:highlight w:val="none"/>
              </w:rPr>
            </w:pPr>
            <w:r>
              <w:rPr>
                <w:rFonts w:hint="eastAsia" w:ascii="宋体" w:hAnsi="宋体"/>
                <w:color w:val="auto"/>
                <w:sz w:val="21"/>
                <w:szCs w:val="21"/>
                <w:highlight w:val="none"/>
              </w:rPr>
              <w:t>业绩要求</w:t>
            </w:r>
          </w:p>
        </w:tc>
      </w:tr>
      <w:tr w14:paraId="3F6AE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8642" w:type="dxa"/>
            <w:vAlign w:val="center"/>
          </w:tcPr>
          <w:p w14:paraId="1D14C886">
            <w:pPr>
              <w:snapToGrid w:val="0"/>
              <w:spacing w:line="360" w:lineRule="exact"/>
              <w:ind w:firstLine="420" w:firstLineChars="200"/>
              <w:rPr>
                <w:rFonts w:hint="eastAsia" w:ascii="宋体" w:hAnsi="宋体"/>
                <w:strike/>
                <w:color w:val="auto"/>
                <w:sz w:val="21"/>
                <w:szCs w:val="21"/>
                <w:highlight w:val="none"/>
                <w:lang w:eastAsia="zh-CN"/>
              </w:rPr>
            </w:pPr>
            <w:r>
              <w:rPr>
                <w:rFonts w:hint="eastAsia" w:ascii="宋体" w:hAnsi="宋体"/>
                <w:color w:val="auto"/>
                <w:sz w:val="21"/>
                <w:szCs w:val="21"/>
                <w:highlight w:val="none"/>
                <w:lang w:eastAsia="zh-CN"/>
              </w:rPr>
              <w:t>近3年（2023年</w:t>
            </w:r>
            <w:r>
              <w:rPr>
                <w:rFonts w:hint="eastAsia" w:ascii="宋体" w:hAnsi="宋体"/>
                <w:color w:val="auto"/>
                <w:sz w:val="21"/>
                <w:szCs w:val="21"/>
                <w:highlight w:val="none"/>
                <w:lang w:val="en-US" w:eastAsia="zh-CN"/>
              </w:rPr>
              <w:t>10月</w:t>
            </w:r>
            <w:r>
              <w:rPr>
                <w:rFonts w:hint="eastAsia" w:ascii="宋体" w:hAnsi="宋体"/>
                <w:color w:val="auto"/>
                <w:sz w:val="21"/>
                <w:szCs w:val="21"/>
                <w:highlight w:val="none"/>
                <w:lang w:eastAsia="zh-CN"/>
              </w:rPr>
              <w:t>1日至投标截止时间，以合同签订时间为准），</w:t>
            </w:r>
            <w:r>
              <w:rPr>
                <w:color w:val="auto"/>
                <w:spacing w:val="-4"/>
                <w:sz w:val="21"/>
                <w:szCs w:val="21"/>
                <w:highlight w:val="none"/>
              </w:rPr>
              <w:t>至少</w:t>
            </w:r>
            <w:r>
              <w:rPr>
                <w:rFonts w:hint="eastAsia" w:ascii="Times New Roman"/>
                <w:color w:val="auto"/>
                <w:spacing w:val="-4"/>
                <w:sz w:val="21"/>
                <w:szCs w:val="21"/>
                <w:highlight w:val="none"/>
                <w:lang w:val="en-US" w:eastAsia="zh-CN"/>
              </w:rPr>
              <w:t>具有1项高速公路特长隧道检测项目（含土建）业绩。</w:t>
            </w:r>
          </w:p>
        </w:tc>
      </w:tr>
    </w:tbl>
    <w:p w14:paraId="28A3415E">
      <w:pPr>
        <w:snapToGrid w:val="0"/>
        <w:rPr>
          <w:rFonts w:hint="eastAsia" w:ascii="宋体" w:hAnsi="宋体"/>
          <w:color w:val="auto"/>
          <w:sz w:val="24"/>
          <w:szCs w:val="24"/>
          <w:highlight w:val="none"/>
          <w:lang w:eastAsia="zh-CN"/>
        </w:rPr>
      </w:pPr>
    </w:p>
    <w:p w14:paraId="79410050">
      <w:pPr>
        <w:pStyle w:val="8"/>
        <w:snapToGrid w:val="0"/>
        <w:spacing w:line="240" w:lineRule="auto"/>
        <w:ind w:firstLine="640"/>
        <w:rPr>
          <w:color w:val="auto"/>
          <w:highlight w:val="none"/>
          <w:lang w:eastAsia="zh-CN"/>
        </w:rPr>
      </w:pPr>
    </w:p>
    <w:p w14:paraId="70EE5A08">
      <w:pPr>
        <w:jc w:val="center"/>
        <w:rPr>
          <w:rFonts w:hint="eastAsia" w:ascii="宋体" w:hAnsi="宋体"/>
          <w:b/>
          <w:color w:val="auto"/>
          <w:sz w:val="24"/>
          <w:szCs w:val="24"/>
          <w:highlight w:val="none"/>
          <w:lang w:eastAsia="zh-CN"/>
        </w:rPr>
      </w:pPr>
      <w:r>
        <w:rPr>
          <w:rFonts w:hint="eastAsia" w:ascii="宋体" w:hAnsi="宋体"/>
          <w:b/>
          <w:color w:val="auto"/>
          <w:sz w:val="24"/>
          <w:szCs w:val="24"/>
          <w:highlight w:val="none"/>
          <w:lang w:eastAsia="zh-CN"/>
        </w:rPr>
        <w:t>附录3资格审查条件（信誉最低要求）</w:t>
      </w:r>
    </w:p>
    <w:tbl>
      <w:tblPr>
        <w:tblStyle w:val="6"/>
        <w:tblW w:w="8642"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2"/>
      </w:tblGrid>
      <w:tr w14:paraId="6141C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8642" w:type="dxa"/>
            <w:vAlign w:val="center"/>
          </w:tcPr>
          <w:p w14:paraId="55571137">
            <w:pPr>
              <w:jc w:val="center"/>
              <w:rPr>
                <w:rFonts w:hint="eastAsia" w:ascii="宋体" w:hAnsi="宋体"/>
                <w:color w:val="auto"/>
                <w:sz w:val="21"/>
                <w:szCs w:val="21"/>
                <w:highlight w:val="none"/>
              </w:rPr>
            </w:pPr>
            <w:r>
              <w:rPr>
                <w:rFonts w:hint="eastAsia" w:ascii="宋体" w:hAnsi="宋体"/>
                <w:color w:val="auto"/>
                <w:sz w:val="21"/>
                <w:szCs w:val="21"/>
                <w:highlight w:val="none"/>
              </w:rPr>
              <w:t>信誉要求</w:t>
            </w:r>
          </w:p>
        </w:tc>
      </w:tr>
      <w:tr w14:paraId="3C32DC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trPr>
        <w:tc>
          <w:tcPr>
            <w:tcW w:w="8642" w:type="dxa"/>
            <w:vAlign w:val="center"/>
          </w:tcPr>
          <w:p w14:paraId="1916FECF">
            <w:pPr>
              <w:snapToGrid w:val="0"/>
              <w:spacing w:line="360" w:lineRule="exact"/>
              <w:ind w:firstLine="420" w:firstLineChars="200"/>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投标人在过去1年中（2025年</w:t>
            </w:r>
            <w:r>
              <w:rPr>
                <w:rFonts w:hint="eastAsia" w:ascii="宋体" w:hAnsi="宋体"/>
                <w:color w:val="auto"/>
                <w:sz w:val="21"/>
                <w:szCs w:val="21"/>
                <w:highlight w:val="none"/>
                <w:lang w:val="en-US" w:eastAsia="zh-CN"/>
              </w:rPr>
              <w:t>10月</w:t>
            </w:r>
            <w:r>
              <w:rPr>
                <w:rFonts w:hint="eastAsia" w:ascii="宋体" w:hAnsi="宋体"/>
                <w:color w:val="auto"/>
                <w:sz w:val="21"/>
                <w:szCs w:val="21"/>
                <w:highlight w:val="none"/>
                <w:lang w:eastAsia="zh-CN"/>
              </w:rPr>
              <w:t>1日至投标截止时间）不曾在高速公路隧道检测合同中违约被逐或因投标人自身的原因而使合同被解除。</w:t>
            </w:r>
          </w:p>
        </w:tc>
      </w:tr>
    </w:tbl>
    <w:p w14:paraId="2908F4E4">
      <w:pPr>
        <w:snapToGrid w:val="0"/>
        <w:rPr>
          <w:rFonts w:hint="eastAsia" w:ascii="宋体" w:hAnsi="宋体"/>
          <w:color w:val="auto"/>
          <w:sz w:val="24"/>
          <w:szCs w:val="24"/>
          <w:highlight w:val="none"/>
          <w:lang w:eastAsia="zh-CN"/>
        </w:rPr>
      </w:pPr>
    </w:p>
    <w:p w14:paraId="1A62FB0B">
      <w:pPr>
        <w:pStyle w:val="8"/>
        <w:snapToGrid w:val="0"/>
        <w:spacing w:line="240" w:lineRule="auto"/>
        <w:ind w:firstLine="640"/>
        <w:rPr>
          <w:color w:val="auto"/>
          <w:highlight w:val="none"/>
          <w:lang w:eastAsia="zh-CN"/>
        </w:rPr>
      </w:pPr>
    </w:p>
    <w:p w14:paraId="545C1352">
      <w:pPr>
        <w:jc w:val="center"/>
        <w:rPr>
          <w:rFonts w:hint="eastAsia" w:ascii="宋体" w:hAnsi="宋体"/>
          <w:b/>
          <w:color w:val="auto"/>
          <w:sz w:val="24"/>
          <w:szCs w:val="24"/>
          <w:highlight w:val="none"/>
          <w:lang w:eastAsia="zh-CN"/>
        </w:rPr>
      </w:pPr>
      <w:r>
        <w:rPr>
          <w:rFonts w:hint="eastAsia" w:ascii="宋体" w:hAnsi="宋体"/>
          <w:b/>
          <w:color w:val="auto"/>
          <w:sz w:val="24"/>
          <w:szCs w:val="24"/>
          <w:highlight w:val="none"/>
          <w:lang w:eastAsia="zh-CN"/>
        </w:rPr>
        <w:t>附录4资格审查条件（</w:t>
      </w:r>
      <w:r>
        <w:rPr>
          <w:rFonts w:hint="eastAsia" w:ascii="宋体" w:hAnsi="宋体" w:cs="Arial"/>
          <w:b/>
          <w:bCs/>
          <w:color w:val="auto"/>
          <w:spacing w:val="15"/>
          <w:sz w:val="24"/>
          <w:highlight w:val="none"/>
          <w:lang w:eastAsia="zh-CN"/>
        </w:rPr>
        <w:t>项目负责人</w:t>
      </w:r>
      <w:r>
        <w:rPr>
          <w:rFonts w:hint="eastAsia" w:ascii="宋体" w:hAnsi="宋体"/>
          <w:b/>
          <w:color w:val="auto"/>
          <w:sz w:val="24"/>
          <w:szCs w:val="24"/>
          <w:highlight w:val="none"/>
          <w:lang w:eastAsia="zh-CN"/>
        </w:rPr>
        <w:t>最低要求）</w:t>
      </w:r>
    </w:p>
    <w:tbl>
      <w:tblPr>
        <w:tblStyle w:val="6"/>
        <w:tblW w:w="8671"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40"/>
        <w:gridCol w:w="810"/>
        <w:gridCol w:w="6521"/>
      </w:tblGrid>
      <w:tr w14:paraId="7348A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340" w:type="dxa"/>
            <w:vAlign w:val="center"/>
          </w:tcPr>
          <w:p w14:paraId="626C0AA5">
            <w:pPr>
              <w:jc w:val="center"/>
              <w:rPr>
                <w:rFonts w:hint="eastAsia" w:ascii="宋体" w:hAnsi="宋体"/>
                <w:color w:val="auto"/>
                <w:sz w:val="21"/>
                <w:szCs w:val="21"/>
                <w:highlight w:val="none"/>
              </w:rPr>
            </w:pPr>
            <w:r>
              <w:rPr>
                <w:rFonts w:hint="eastAsia" w:ascii="宋体" w:hAnsi="宋体"/>
                <w:color w:val="auto"/>
                <w:sz w:val="21"/>
                <w:szCs w:val="21"/>
                <w:highlight w:val="none"/>
              </w:rPr>
              <w:t>人员</w:t>
            </w:r>
          </w:p>
        </w:tc>
        <w:tc>
          <w:tcPr>
            <w:tcW w:w="810" w:type="dxa"/>
            <w:vAlign w:val="center"/>
          </w:tcPr>
          <w:p w14:paraId="0E92A795">
            <w:pPr>
              <w:jc w:val="center"/>
              <w:rPr>
                <w:rFonts w:hint="eastAsia" w:ascii="宋体" w:hAnsi="宋体"/>
                <w:color w:val="auto"/>
                <w:sz w:val="21"/>
                <w:szCs w:val="21"/>
                <w:highlight w:val="none"/>
              </w:rPr>
            </w:pPr>
            <w:r>
              <w:rPr>
                <w:rFonts w:hint="eastAsia" w:ascii="宋体" w:hAnsi="宋体"/>
                <w:color w:val="auto"/>
                <w:sz w:val="21"/>
                <w:szCs w:val="21"/>
                <w:highlight w:val="none"/>
              </w:rPr>
              <w:t>数量</w:t>
            </w:r>
          </w:p>
        </w:tc>
        <w:tc>
          <w:tcPr>
            <w:tcW w:w="6521" w:type="dxa"/>
            <w:vAlign w:val="center"/>
          </w:tcPr>
          <w:p w14:paraId="75FA7F9E">
            <w:pPr>
              <w:jc w:val="center"/>
              <w:rPr>
                <w:rFonts w:hint="eastAsia" w:ascii="宋体" w:hAnsi="宋体"/>
                <w:color w:val="auto"/>
                <w:sz w:val="21"/>
                <w:szCs w:val="21"/>
                <w:highlight w:val="none"/>
              </w:rPr>
            </w:pPr>
            <w:r>
              <w:rPr>
                <w:rFonts w:hint="eastAsia" w:ascii="宋体" w:hAnsi="宋体"/>
                <w:color w:val="auto"/>
                <w:sz w:val="21"/>
                <w:szCs w:val="21"/>
                <w:highlight w:val="none"/>
              </w:rPr>
              <w:t>资格要求</w:t>
            </w:r>
          </w:p>
        </w:tc>
      </w:tr>
      <w:tr w14:paraId="4B5F2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6" w:hRule="atLeast"/>
        </w:trPr>
        <w:tc>
          <w:tcPr>
            <w:tcW w:w="1340" w:type="dxa"/>
            <w:vAlign w:val="center"/>
          </w:tcPr>
          <w:p w14:paraId="4086726E">
            <w:pPr>
              <w:jc w:val="center"/>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项目负责人</w:t>
            </w:r>
          </w:p>
        </w:tc>
        <w:tc>
          <w:tcPr>
            <w:tcW w:w="810" w:type="dxa"/>
            <w:vAlign w:val="center"/>
          </w:tcPr>
          <w:p w14:paraId="27C1F11A">
            <w:pPr>
              <w:jc w:val="center"/>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1</w:t>
            </w:r>
          </w:p>
        </w:tc>
        <w:tc>
          <w:tcPr>
            <w:tcW w:w="6521" w:type="dxa"/>
            <w:vAlign w:val="center"/>
          </w:tcPr>
          <w:p w14:paraId="0ED029AF">
            <w:pPr>
              <w:ind w:firstLine="420" w:firstLineChars="200"/>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高级及以上职称；</w:t>
            </w:r>
          </w:p>
          <w:p w14:paraId="4C24ED86">
            <w:pPr>
              <w:ind w:firstLine="420" w:firstLineChars="200"/>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具有</w:t>
            </w:r>
            <w:r>
              <w:rPr>
                <w:rFonts w:hint="eastAsia" w:ascii="宋体" w:hAnsi="宋体"/>
                <w:color w:val="auto"/>
                <w:sz w:val="21"/>
                <w:szCs w:val="21"/>
                <w:highlight w:val="none"/>
              </w:rPr>
              <w:t>公路工程试验检测工程师</w:t>
            </w:r>
            <w:r>
              <w:rPr>
                <w:rFonts w:hint="eastAsia" w:ascii="宋体" w:hAnsi="宋体"/>
                <w:color w:val="auto"/>
                <w:sz w:val="21"/>
                <w:szCs w:val="21"/>
                <w:highlight w:val="none"/>
                <w:lang w:eastAsia="zh-CN"/>
              </w:rPr>
              <w:t>资格</w:t>
            </w:r>
            <w:r>
              <w:rPr>
                <w:rFonts w:hint="eastAsia" w:ascii="宋体" w:hAnsi="宋体"/>
                <w:color w:val="auto"/>
                <w:sz w:val="21"/>
                <w:szCs w:val="21"/>
                <w:highlight w:val="none"/>
              </w:rPr>
              <w:t>证书</w:t>
            </w:r>
            <w:r>
              <w:rPr>
                <w:rFonts w:hint="eastAsia" w:ascii="宋体" w:hAnsi="宋体"/>
                <w:color w:val="auto"/>
                <w:sz w:val="21"/>
                <w:szCs w:val="21"/>
                <w:highlight w:val="none"/>
                <w:lang w:eastAsia="zh-CN"/>
              </w:rPr>
              <w:t>（隧道）或公路水运工程试验检测师资格证书（桥梁隧道工程），且在“公路水运工程质量检测管理信息系统（https://www.ttiis.cn）”中进行登记，登记单位须与投标人名称一致；</w:t>
            </w:r>
          </w:p>
          <w:p w14:paraId="5314CEE2">
            <w:pPr>
              <w:ind w:firstLine="420" w:firstLineChars="200"/>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近</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lang w:eastAsia="zh-CN"/>
              </w:rPr>
              <w:t>年（202</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lang w:eastAsia="zh-CN"/>
              </w:rPr>
              <w:t>年</w:t>
            </w:r>
            <w:r>
              <w:rPr>
                <w:rFonts w:hint="eastAsia" w:ascii="宋体" w:hAnsi="宋体"/>
                <w:color w:val="auto"/>
                <w:sz w:val="21"/>
                <w:szCs w:val="21"/>
                <w:highlight w:val="none"/>
                <w:lang w:val="en-US" w:eastAsia="zh-CN"/>
              </w:rPr>
              <w:t>10月</w:t>
            </w:r>
            <w:r>
              <w:rPr>
                <w:rFonts w:hint="eastAsia" w:ascii="宋体" w:hAnsi="宋体"/>
                <w:color w:val="auto"/>
                <w:sz w:val="21"/>
                <w:szCs w:val="21"/>
                <w:highlight w:val="none"/>
                <w:lang w:eastAsia="zh-CN"/>
              </w:rPr>
              <w:t>1日至投标截止时间，以合同签订时间为</w:t>
            </w:r>
          </w:p>
          <w:p w14:paraId="71E6A52C">
            <w:pPr>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准）至少担任过1项</w:t>
            </w:r>
            <w:r>
              <w:rPr>
                <w:rFonts w:hint="eastAsia" w:ascii="Times New Roman"/>
                <w:color w:val="auto"/>
                <w:spacing w:val="-4"/>
                <w:sz w:val="21"/>
                <w:szCs w:val="21"/>
                <w:highlight w:val="none"/>
                <w:lang w:val="en-US" w:eastAsia="zh-CN"/>
              </w:rPr>
              <w:t>高速公路特长隧道检测项目（含土建）</w:t>
            </w:r>
            <w:r>
              <w:rPr>
                <w:rFonts w:hint="eastAsia" w:ascii="宋体" w:hAnsi="宋体"/>
                <w:color w:val="auto"/>
                <w:sz w:val="21"/>
                <w:szCs w:val="21"/>
                <w:highlight w:val="none"/>
                <w:lang w:eastAsia="zh-CN"/>
              </w:rPr>
              <w:t>的项目负责人。</w:t>
            </w:r>
          </w:p>
        </w:tc>
      </w:tr>
    </w:tbl>
    <w:p w14:paraId="40DB9AD7">
      <w:pPr>
        <w:pStyle w:val="2"/>
        <w:snapToGrid w:val="0"/>
        <w:spacing w:before="156" w:beforeLines="50" w:after="156" w:afterLines="50" w:line="240" w:lineRule="auto"/>
        <w:rPr>
          <w:rFonts w:hint="eastAsia" w:ascii="黑体" w:eastAsia="黑体"/>
          <w:color w:val="auto"/>
          <w:spacing w:val="-8"/>
          <w:highlight w:val="none"/>
          <w:lang w:eastAsia="zh-CN"/>
        </w:rPr>
        <w:sectPr>
          <w:footerReference r:id="rId4" w:type="first"/>
          <w:footerReference r:id="rId3" w:type="default"/>
          <w:pgSz w:w="11906" w:h="16838"/>
          <w:pgMar w:top="1440" w:right="1406" w:bottom="1440" w:left="1406" w:header="851" w:footer="992" w:gutter="0"/>
          <w:pgNumType w:fmt="numberInDash" w:start="1"/>
          <w:cols w:space="0" w:num="1"/>
          <w:rtlGutter w:val="0"/>
          <w:docGrid w:type="lines" w:linePitch="312" w:charSpace="0"/>
        </w:sectPr>
      </w:pPr>
      <w:r>
        <w:rPr>
          <w:rFonts w:ascii="黑体" w:eastAsia="黑体"/>
          <w:color w:val="auto"/>
          <w:spacing w:val="-8"/>
          <w:highlight w:val="none"/>
          <w:lang w:eastAsia="zh-CN"/>
        </w:rPr>
        <w:br w:type="page"/>
      </w:r>
      <w:bookmarkStart w:id="3" w:name="_Toc24234"/>
    </w:p>
    <w:bookmarkEnd w:id="1"/>
    <w:bookmarkEnd w:id="2"/>
    <w:bookmarkEnd w:id="3"/>
    <w:p w14:paraId="3D4EDBF7">
      <w:pPr>
        <w:pStyle w:val="2"/>
        <w:snapToGrid w:val="0"/>
        <w:spacing w:before="156" w:beforeLines="50" w:after="156" w:afterLines="50" w:line="240" w:lineRule="auto"/>
        <w:ind w:left="138"/>
        <w:rPr>
          <w:rFonts w:hint="eastAsia"/>
          <w:color w:val="auto"/>
          <w:sz w:val="28"/>
          <w:szCs w:val="28"/>
          <w:highlight w:val="none"/>
          <w:lang w:eastAsia="zh-CN"/>
        </w:rPr>
      </w:pPr>
      <w:r>
        <w:rPr>
          <w:color w:val="auto"/>
          <w:spacing w:val="-6"/>
          <w:sz w:val="28"/>
          <w:szCs w:val="28"/>
          <w:highlight w:val="none"/>
          <w:lang w:eastAsia="zh-CN"/>
        </w:rPr>
        <w:t>附件</w:t>
      </w:r>
      <w:r>
        <w:rPr>
          <w:rFonts w:hint="eastAsia" w:ascii="Times New Roman" w:hAnsi="Times New Roman" w:cs="Times New Roman"/>
          <w:color w:val="auto"/>
          <w:spacing w:val="-6"/>
          <w:sz w:val="28"/>
          <w:szCs w:val="28"/>
          <w:highlight w:val="none"/>
          <w:lang w:eastAsia="zh-CN"/>
        </w:rPr>
        <w:t>2</w:t>
      </w:r>
      <w:r>
        <w:rPr>
          <w:color w:val="auto"/>
          <w:spacing w:val="-6"/>
          <w:sz w:val="28"/>
          <w:szCs w:val="28"/>
          <w:highlight w:val="none"/>
          <w:lang w:eastAsia="zh-CN"/>
        </w:rPr>
        <w:t>：评标办法</w:t>
      </w:r>
    </w:p>
    <w:p w14:paraId="4ABF7143">
      <w:pPr>
        <w:spacing w:before="203" w:line="218" w:lineRule="auto"/>
        <w:jc w:val="center"/>
        <w:rPr>
          <w:rFonts w:hint="eastAsia" w:ascii="宋体" w:hAnsi="宋体"/>
          <w:color w:val="auto"/>
          <w:sz w:val="24"/>
          <w:szCs w:val="24"/>
          <w:highlight w:val="none"/>
          <w:lang w:eastAsia="zh-CN"/>
        </w:rPr>
      </w:pPr>
      <w:bookmarkStart w:id="5" w:name="_GoBack"/>
      <w:bookmarkEnd w:id="5"/>
      <w:r>
        <w:rPr>
          <w:rFonts w:ascii="宋体" w:hAnsi="宋体"/>
          <w:b/>
          <w:bCs/>
          <w:color w:val="auto"/>
          <w:spacing w:val="-3"/>
          <w:sz w:val="24"/>
          <w:szCs w:val="24"/>
          <w:highlight w:val="none"/>
          <w:lang w:eastAsia="zh-CN"/>
        </w:rPr>
        <w:t>评标办法（</w:t>
      </w:r>
      <w:r>
        <w:rPr>
          <w:rFonts w:hint="eastAsia" w:ascii="宋体" w:hAnsi="宋体"/>
          <w:b/>
          <w:bCs/>
          <w:color w:val="auto"/>
          <w:spacing w:val="-3"/>
          <w:sz w:val="24"/>
          <w:szCs w:val="24"/>
          <w:highlight w:val="none"/>
          <w:lang w:eastAsia="zh-CN"/>
        </w:rPr>
        <w:t>综合评估法</w:t>
      </w:r>
      <w:r>
        <w:rPr>
          <w:rFonts w:ascii="宋体" w:hAnsi="宋体"/>
          <w:b/>
          <w:bCs/>
          <w:color w:val="auto"/>
          <w:spacing w:val="-3"/>
          <w:sz w:val="24"/>
          <w:szCs w:val="24"/>
          <w:highlight w:val="none"/>
          <w:lang w:eastAsia="zh-CN"/>
        </w:rPr>
        <w:t>）</w:t>
      </w:r>
    </w:p>
    <w:p w14:paraId="6048CE52">
      <w:pPr>
        <w:spacing w:before="181" w:line="219" w:lineRule="auto"/>
        <w:ind w:left="113"/>
        <w:jc w:val="center"/>
        <w:rPr>
          <w:rFonts w:hint="eastAsia" w:ascii="宋体" w:hAnsi="宋体"/>
          <w:color w:val="auto"/>
          <w:sz w:val="24"/>
          <w:szCs w:val="24"/>
          <w:highlight w:val="none"/>
        </w:rPr>
      </w:pPr>
      <w:r>
        <w:rPr>
          <w:rFonts w:ascii="宋体" w:hAnsi="宋体"/>
          <w:b/>
          <w:bCs/>
          <w:color w:val="auto"/>
          <w:spacing w:val="-4"/>
          <w:sz w:val="24"/>
          <w:szCs w:val="24"/>
          <w:highlight w:val="none"/>
        </w:rPr>
        <w:t>评标办法前附表</w:t>
      </w:r>
    </w:p>
    <w:tbl>
      <w:tblPr>
        <w:tblStyle w:val="6"/>
        <w:tblW w:w="498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
        <w:gridCol w:w="1327"/>
        <w:gridCol w:w="6434"/>
      </w:tblGrid>
      <w:tr w14:paraId="53010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blHeader/>
        </w:trPr>
        <w:tc>
          <w:tcPr>
            <w:tcW w:w="1210" w:type="pct"/>
            <w:gridSpan w:val="2"/>
            <w:vAlign w:val="center"/>
          </w:tcPr>
          <w:p w14:paraId="641605DB">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条款号</w:t>
            </w:r>
          </w:p>
        </w:tc>
        <w:tc>
          <w:tcPr>
            <w:tcW w:w="3789" w:type="pct"/>
            <w:vAlign w:val="center"/>
          </w:tcPr>
          <w:p w14:paraId="4293A982">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评审因素与评审标准</w:t>
            </w:r>
          </w:p>
        </w:tc>
      </w:tr>
      <w:tr w14:paraId="552A4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3" w:type="pct"/>
            <w:vAlign w:val="center"/>
          </w:tcPr>
          <w:p w14:paraId="26394876">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1</w:t>
            </w:r>
          </w:p>
        </w:tc>
        <w:tc>
          <w:tcPr>
            <w:tcW w:w="787" w:type="pct"/>
            <w:vAlign w:val="center"/>
          </w:tcPr>
          <w:p w14:paraId="08FAF021">
            <w:pPr>
              <w:jc w:val="center"/>
              <w:rPr>
                <w:rFonts w:hint="eastAsia" w:ascii="宋体" w:hAnsi="宋体"/>
                <w:color w:val="auto"/>
                <w:sz w:val="21"/>
                <w:szCs w:val="21"/>
                <w:highlight w:val="none"/>
              </w:rPr>
            </w:pPr>
            <w:r>
              <w:rPr>
                <w:rFonts w:ascii="Times New Roman" w:hAnsi="Times New Roman"/>
                <w:color w:val="auto"/>
                <w:sz w:val="21"/>
                <w:szCs w:val="21"/>
                <w:highlight w:val="none"/>
              </w:rPr>
              <w:t>评标方法</w:t>
            </w:r>
          </w:p>
        </w:tc>
        <w:tc>
          <w:tcPr>
            <w:tcW w:w="3789" w:type="pct"/>
            <w:vAlign w:val="center"/>
          </w:tcPr>
          <w:p w14:paraId="17DE500C">
            <w:pPr>
              <w:ind w:firstLine="315" w:firstLineChars="150"/>
              <w:jc w:val="left"/>
              <w:rPr>
                <w:rFonts w:ascii="Times New Roman" w:hAnsi="Times New Roman"/>
                <w:color w:val="auto"/>
                <w:sz w:val="21"/>
                <w:szCs w:val="21"/>
                <w:highlight w:val="none"/>
              </w:rPr>
            </w:pPr>
            <w:r>
              <w:rPr>
                <w:rFonts w:ascii="Times New Roman" w:hAnsi="Times New Roman"/>
                <w:color w:val="auto"/>
                <w:sz w:val="21"/>
                <w:szCs w:val="21"/>
                <w:highlight w:val="none"/>
              </w:rPr>
              <w:t>本次评标采用综合评估法。评标委员会对满足招标文件实质性要求的投标文件，按照本章第2.2款规定的评分标准进行打分，并按得分由高到低顺序推荐1-3名中标候选人。综合评分相等时，评标委员会依次按照以下优先顺序推荐中标候选人：</w:t>
            </w:r>
          </w:p>
          <w:p w14:paraId="4D23B7D9">
            <w:pPr>
              <w:ind w:firstLine="315" w:firstLineChars="150"/>
              <w:jc w:val="left"/>
              <w:rPr>
                <w:rFonts w:ascii="Times New Roman" w:hAnsi="Times New Roman"/>
                <w:color w:val="auto"/>
                <w:sz w:val="21"/>
                <w:szCs w:val="21"/>
                <w:highlight w:val="none"/>
              </w:rPr>
            </w:pPr>
            <w:r>
              <w:rPr>
                <w:rFonts w:ascii="Times New Roman" w:hAnsi="Times New Roman"/>
                <w:color w:val="auto"/>
                <w:sz w:val="21"/>
                <w:szCs w:val="21"/>
                <w:highlight w:val="none"/>
              </w:rPr>
              <w:t>（1）评标价低的投标人优先；</w:t>
            </w:r>
          </w:p>
          <w:p w14:paraId="7D8F3969">
            <w:pPr>
              <w:ind w:firstLine="315" w:firstLineChars="150"/>
              <w:jc w:val="left"/>
              <w:rPr>
                <w:rFonts w:ascii="Times New Roman" w:hAnsi="Times New Roman"/>
                <w:color w:val="auto"/>
                <w:sz w:val="21"/>
                <w:szCs w:val="21"/>
                <w:highlight w:val="none"/>
              </w:rPr>
            </w:pPr>
            <w:r>
              <w:rPr>
                <w:rFonts w:ascii="Times New Roman" w:hAnsi="Times New Roman"/>
                <w:color w:val="auto"/>
                <w:sz w:val="21"/>
                <w:szCs w:val="21"/>
                <w:highlight w:val="none"/>
              </w:rPr>
              <w:t>（2）技术建议书得分较高的投标人优先；</w:t>
            </w:r>
          </w:p>
          <w:p w14:paraId="5C619E51">
            <w:pPr>
              <w:ind w:firstLine="315" w:firstLineChars="150"/>
              <w:jc w:val="left"/>
              <w:rPr>
                <w:rFonts w:hint="default" w:ascii="宋体" w:hAnsi="宋体"/>
                <w:color w:val="auto"/>
                <w:sz w:val="21"/>
                <w:szCs w:val="21"/>
                <w:highlight w:val="none"/>
                <w:lang w:val="en-US" w:eastAsia="zh-CN"/>
              </w:rPr>
            </w:pPr>
            <w:r>
              <w:rPr>
                <w:rFonts w:ascii="Times New Roman" w:hAnsi="Times New Roman"/>
                <w:color w:val="auto"/>
                <w:sz w:val="21"/>
                <w:szCs w:val="21"/>
                <w:highlight w:val="none"/>
              </w:rPr>
              <w:t>（3）投标文件中满足附录2资格审查条件（业绩最低要求）的业绩</w:t>
            </w:r>
            <w:r>
              <w:rPr>
                <w:rFonts w:hint="eastAsia" w:ascii="Times New Roman" w:hAnsi="Times New Roman"/>
                <w:color w:val="auto"/>
                <w:sz w:val="21"/>
                <w:szCs w:val="21"/>
                <w:highlight w:val="none"/>
                <w:lang w:eastAsia="zh-CN"/>
              </w:rPr>
              <w:t>中</w:t>
            </w:r>
            <w:r>
              <w:rPr>
                <w:rFonts w:hint="eastAsia" w:ascii="Times New Roman" w:hAnsi="Times New Roman"/>
                <w:color w:val="auto"/>
                <w:sz w:val="21"/>
                <w:szCs w:val="21"/>
                <w:highlight w:val="none"/>
                <w:lang w:val="en-US" w:eastAsia="zh-CN"/>
              </w:rPr>
              <w:t>合同累计</w:t>
            </w:r>
            <w:r>
              <w:rPr>
                <w:rFonts w:ascii="Times New Roman" w:hAnsi="Times New Roman"/>
                <w:color w:val="auto"/>
                <w:sz w:val="21"/>
                <w:szCs w:val="21"/>
                <w:highlight w:val="none"/>
              </w:rPr>
              <w:t>金额高的优先。</w:t>
            </w:r>
          </w:p>
        </w:tc>
      </w:tr>
      <w:tr w14:paraId="48B98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23" w:type="pct"/>
            <w:vAlign w:val="center"/>
          </w:tcPr>
          <w:p w14:paraId="0782836C">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2.1.1</w:t>
            </w:r>
          </w:p>
          <w:p w14:paraId="004D1222">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2.1.3</w:t>
            </w:r>
          </w:p>
        </w:tc>
        <w:tc>
          <w:tcPr>
            <w:tcW w:w="787" w:type="pct"/>
            <w:vAlign w:val="center"/>
          </w:tcPr>
          <w:p w14:paraId="7743E313">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形式评审与响应性评审标准</w:t>
            </w:r>
          </w:p>
        </w:tc>
        <w:tc>
          <w:tcPr>
            <w:tcW w:w="3789" w:type="pct"/>
          </w:tcPr>
          <w:p w14:paraId="0E84FC2F">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第一个信封（商务文件）评审标准：</w:t>
            </w:r>
          </w:p>
          <w:p w14:paraId="41D03B3F">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（1）投标文件按照招标文件规定的格式、内容填写，字迹清晰可辨：</w:t>
            </w:r>
          </w:p>
          <w:p w14:paraId="3489294E">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a.投标函按招标文件规定填报了</w:t>
            </w:r>
            <w:r>
              <w:rPr>
                <w:rFonts w:hint="eastAsia" w:ascii="宋体" w:hAnsi="宋体"/>
                <w:bCs/>
                <w:color w:val="auto"/>
                <w:sz w:val="21"/>
                <w:szCs w:val="21"/>
                <w:highlight w:val="none"/>
                <w:lang w:val="en-US" w:eastAsia="zh-CN"/>
              </w:rPr>
              <w:t>招标人名称、</w:t>
            </w:r>
            <w:r>
              <w:rPr>
                <w:rFonts w:hint="eastAsia" w:ascii="宋体" w:hAnsi="宋体"/>
                <w:bCs/>
                <w:color w:val="auto"/>
                <w:sz w:val="21"/>
                <w:szCs w:val="21"/>
                <w:highlight w:val="none"/>
                <w:lang w:eastAsia="zh-CN"/>
              </w:rPr>
              <w:t>项目名称、补遗书编号（如有）、</w:t>
            </w:r>
            <w:r>
              <w:rPr>
                <w:rFonts w:hint="eastAsia" w:ascii="宋体" w:hAnsi="宋体"/>
                <w:color w:val="auto"/>
                <w:sz w:val="21"/>
                <w:szCs w:val="21"/>
                <w:highlight w:val="none"/>
                <w:lang w:eastAsia="zh-CN"/>
              </w:rPr>
              <w:t>项目负责人</w:t>
            </w:r>
            <w:r>
              <w:rPr>
                <w:rFonts w:hint="eastAsia" w:ascii="宋体" w:hAnsi="宋体"/>
                <w:color w:val="auto"/>
                <w:sz w:val="21"/>
                <w:szCs w:val="21"/>
                <w:highlight w:val="none"/>
                <w:lang w:val="en-US" w:eastAsia="zh-CN"/>
              </w:rPr>
              <w:t>信息</w:t>
            </w:r>
            <w:r>
              <w:rPr>
                <w:rFonts w:hint="eastAsia" w:ascii="宋体" w:hAnsi="宋体"/>
                <w:bCs/>
                <w:color w:val="auto"/>
                <w:sz w:val="21"/>
                <w:szCs w:val="21"/>
                <w:highlight w:val="none"/>
                <w:lang w:eastAsia="zh-CN"/>
              </w:rPr>
              <w:t>、服务期限、质量要求、</w:t>
            </w:r>
            <w:r>
              <w:rPr>
                <w:rFonts w:hint="eastAsia" w:ascii="宋体" w:hAnsi="宋体"/>
                <w:bCs/>
                <w:color w:val="auto"/>
                <w:sz w:val="21"/>
                <w:szCs w:val="21"/>
                <w:highlight w:val="none"/>
                <w:lang w:val="en-US" w:eastAsia="zh-CN"/>
              </w:rPr>
              <w:t>安全目标等内容</w:t>
            </w:r>
            <w:r>
              <w:rPr>
                <w:rFonts w:hint="eastAsia" w:ascii="宋体" w:hAnsi="宋体"/>
                <w:bCs/>
                <w:color w:val="auto"/>
                <w:sz w:val="21"/>
                <w:szCs w:val="21"/>
                <w:highlight w:val="none"/>
                <w:lang w:eastAsia="zh-CN"/>
              </w:rPr>
              <w:t>；</w:t>
            </w:r>
          </w:p>
          <w:p w14:paraId="4DBF5D27">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b.投标文件组成齐全完整，内容均按规定填写。</w:t>
            </w:r>
          </w:p>
          <w:p w14:paraId="756FA723">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（2）投标文件上法定代表人或其授权代理人的签字、投标人的单位章盖章齐全，符合招标文件规定。</w:t>
            </w:r>
          </w:p>
          <w:p w14:paraId="0FD55F8D">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（3）投标人按照招标文件的规定提供了投标保证金，并符合投标人须知前附表3.4.1项的相关规定。</w:t>
            </w:r>
          </w:p>
          <w:p w14:paraId="2A097E4D">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（4）投标人法定代表人授权委托代理人签署投标文件的，须提交授权委托书，授权委托书的签字盖章符合招标文件规定。</w:t>
            </w:r>
          </w:p>
          <w:p w14:paraId="648B1877">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（5）投标人法定代表人亲自签署投标文件的，提供了法定代表人身份证明，并符合招标文件的规定。</w:t>
            </w:r>
          </w:p>
          <w:p w14:paraId="21E4FDCC">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（6）投标人未以联合体形式投标。</w:t>
            </w:r>
          </w:p>
          <w:p w14:paraId="7EB5A7FC">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（7）投标人未对本项目进行分包。</w:t>
            </w:r>
          </w:p>
          <w:p w14:paraId="1CF885AB">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（8）同一投标人未提交两个以上不同的投标文件。</w:t>
            </w:r>
          </w:p>
          <w:p w14:paraId="49F0A2B3">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（9）投标文件第一信封中未出现有关投标报价的内容。</w:t>
            </w:r>
          </w:p>
          <w:p w14:paraId="3016E275">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（10）投标文件载明的招标项目完成期限符合招标文件规定。</w:t>
            </w:r>
          </w:p>
          <w:p w14:paraId="0B25A993">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（11）投标文件对招标文件的实质性要求和条件作出响应。</w:t>
            </w:r>
          </w:p>
          <w:p w14:paraId="3CE0519A">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（12）权利义务符合招标文件规定：</w:t>
            </w:r>
          </w:p>
          <w:p w14:paraId="70E0B9B5">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a.投标人应接受招标文件规定的风险划分原则，未提出新的风险划分办法；</w:t>
            </w:r>
          </w:p>
          <w:p w14:paraId="4BA6048D">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b.投标人未增加发包人的责任范围，或减少投标人义务；</w:t>
            </w:r>
          </w:p>
          <w:p w14:paraId="6629D3A8">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c.投标人未提出不同的支付办法；</w:t>
            </w:r>
          </w:p>
          <w:p w14:paraId="6A3B41A8">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d.投标人对合同纠纷、事故处理办法未提出异议；</w:t>
            </w:r>
          </w:p>
          <w:p w14:paraId="4306B2C7">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e.投标人在投标活动中无欺诈行为；</w:t>
            </w:r>
          </w:p>
          <w:p w14:paraId="1268FCFE">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f.投标人未对合同条款有重要保留。</w:t>
            </w:r>
          </w:p>
          <w:p w14:paraId="221FE35F">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lang w:eastAsia="zh-CN"/>
              </w:rPr>
              <w:t>第一个信封（技术文件）评审标准：</w:t>
            </w:r>
          </w:p>
          <w:p w14:paraId="3298D0CD">
            <w:pPr>
              <w:keepNext w:val="0"/>
              <w:keepLines w:val="0"/>
              <w:pageBreakBefore w:val="0"/>
              <w:widowControl w:val="0"/>
              <w:tabs>
                <w:tab w:val="left" w:pos="3060"/>
              </w:tabs>
              <w:kinsoku/>
              <w:wordWrap/>
              <w:overflowPunct/>
              <w:topLinePunct w:val="0"/>
              <w:bidi w:val="0"/>
              <w:snapToGrid w:val="0"/>
              <w:spacing w:line="320" w:lineRule="exact"/>
              <w:ind w:firstLine="210" w:firstLineChars="1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（1）技术建议书（暗标）的编制符合招标文件第二章“投标人须知”第10.</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lang w:eastAsia="zh-CN"/>
              </w:rPr>
              <w:t>款的规定。</w:t>
            </w:r>
          </w:p>
          <w:p w14:paraId="327B5C26">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第二个信封（报价文件）评审标准：</w:t>
            </w:r>
          </w:p>
          <w:p w14:paraId="45379564">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（1）投标文件按照招标文件规定的格式、内容填写，字迹清晰可辨，内容齐全完整。</w:t>
            </w:r>
          </w:p>
          <w:p w14:paraId="5CF08D42">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a.投标函按招标文件规定填报了</w:t>
            </w:r>
            <w:r>
              <w:rPr>
                <w:rFonts w:hint="eastAsia" w:ascii="宋体" w:hAnsi="宋体"/>
                <w:bCs/>
                <w:color w:val="auto"/>
                <w:sz w:val="21"/>
                <w:szCs w:val="21"/>
                <w:highlight w:val="none"/>
                <w:lang w:val="en-US" w:eastAsia="zh-CN"/>
              </w:rPr>
              <w:t>招标人名称、</w:t>
            </w:r>
            <w:r>
              <w:rPr>
                <w:rFonts w:hint="eastAsia" w:ascii="宋体" w:hAnsi="宋体"/>
                <w:bCs/>
                <w:color w:val="auto"/>
                <w:sz w:val="21"/>
                <w:szCs w:val="21"/>
                <w:highlight w:val="none"/>
                <w:lang w:eastAsia="zh-CN"/>
              </w:rPr>
              <w:t>项目名称、补遗书编号（如有）、投标报价（包括大写金额和小写金额）；</w:t>
            </w:r>
          </w:p>
          <w:p w14:paraId="2DA72A49">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b.投标文件组成齐全完整，内容均按规定填写。</w:t>
            </w:r>
          </w:p>
          <w:p w14:paraId="0357158F">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（2）投标文件上法定代表人或其授权代理人的签字、投标人的单位章盖章齐全，符合招标文件规定。</w:t>
            </w:r>
          </w:p>
          <w:p w14:paraId="471E89B0">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（3）</w:t>
            </w:r>
            <w:r>
              <w:rPr>
                <w:rFonts w:hint="eastAsia" w:ascii="宋体" w:hAnsi="宋体"/>
                <w:color w:val="auto"/>
                <w:sz w:val="21"/>
                <w:szCs w:val="21"/>
                <w:highlight w:val="none"/>
                <w:lang w:eastAsia="zh-CN"/>
              </w:rPr>
              <w:t>投标报价未超过招标文件设定的最高投标限价</w:t>
            </w:r>
            <w:r>
              <w:rPr>
                <w:rFonts w:hint="eastAsia" w:ascii="宋体" w:hAnsi="宋体"/>
                <w:bCs/>
                <w:color w:val="auto"/>
                <w:sz w:val="21"/>
                <w:szCs w:val="21"/>
                <w:highlight w:val="none"/>
                <w:lang w:eastAsia="zh-CN"/>
              </w:rPr>
              <w:t>。</w:t>
            </w:r>
          </w:p>
          <w:p w14:paraId="70243A8F">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（4）投标报价大写金额能够确定具体数值。</w:t>
            </w:r>
          </w:p>
          <w:p w14:paraId="3059F757">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（5）同一投标人未提交两个以上不同的投标报价。</w:t>
            </w:r>
          </w:p>
          <w:p w14:paraId="172D4D1B">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eastAsia" w:ascii="宋体" w:hAnsi="宋体"/>
                <w:bCs/>
                <w:color w:val="auto"/>
                <w:sz w:val="21"/>
                <w:szCs w:val="21"/>
                <w:highlight w:val="none"/>
                <w:lang w:eastAsia="zh-CN"/>
              </w:rPr>
            </w:pPr>
            <w:r>
              <w:rPr>
                <w:rFonts w:hint="eastAsia" w:ascii="宋体" w:hAnsi="宋体"/>
                <w:bCs/>
                <w:color w:val="auto"/>
                <w:sz w:val="21"/>
                <w:szCs w:val="21"/>
                <w:highlight w:val="none"/>
                <w:lang w:eastAsia="zh-CN"/>
              </w:rPr>
              <w:t>（6）检测服务费用清单表中投标报价与投标函中投标报价大写金额一致。</w:t>
            </w:r>
          </w:p>
          <w:p w14:paraId="75FC1A58">
            <w:pPr>
              <w:keepNext w:val="0"/>
              <w:keepLines w:val="0"/>
              <w:pageBreakBefore w:val="0"/>
              <w:widowControl w:val="0"/>
              <w:tabs>
                <w:tab w:val="left" w:pos="3060"/>
              </w:tabs>
              <w:kinsoku/>
              <w:wordWrap/>
              <w:overflowPunct/>
              <w:topLinePunct w:val="0"/>
              <w:bidi w:val="0"/>
              <w:snapToGrid w:val="0"/>
              <w:spacing w:line="320" w:lineRule="exact"/>
              <w:ind w:firstLine="205" w:firstLineChars="98"/>
              <w:textAlignment w:val="auto"/>
              <w:rPr>
                <w:rFonts w:hint="default" w:ascii="宋体" w:hAnsi="宋体"/>
                <w:bCs/>
                <w:color w:val="auto"/>
                <w:sz w:val="21"/>
                <w:szCs w:val="21"/>
                <w:highlight w:val="none"/>
                <w:lang w:val="en-US" w:eastAsia="zh-CN"/>
              </w:rPr>
            </w:pPr>
            <w:r>
              <w:rPr>
                <w:rFonts w:hint="eastAsia" w:ascii="宋体" w:hAnsi="宋体"/>
                <w:bCs/>
                <w:color w:val="auto"/>
                <w:sz w:val="21"/>
                <w:szCs w:val="21"/>
                <w:highlight w:val="none"/>
                <w:lang w:val="en-US" w:eastAsia="zh-CN"/>
              </w:rPr>
              <w:t>（7）投标人未提交调价函。</w:t>
            </w:r>
          </w:p>
        </w:tc>
      </w:tr>
      <w:tr w14:paraId="099FA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4" w:hRule="atLeast"/>
        </w:trPr>
        <w:tc>
          <w:tcPr>
            <w:tcW w:w="423" w:type="pct"/>
            <w:vAlign w:val="center"/>
          </w:tcPr>
          <w:p w14:paraId="3738DFBF">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2.1.2</w:t>
            </w:r>
          </w:p>
        </w:tc>
        <w:tc>
          <w:tcPr>
            <w:tcW w:w="787" w:type="pct"/>
            <w:vAlign w:val="center"/>
          </w:tcPr>
          <w:p w14:paraId="7A8CF66B">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资格评审标准</w:t>
            </w:r>
          </w:p>
        </w:tc>
        <w:tc>
          <w:tcPr>
            <w:tcW w:w="3789" w:type="pct"/>
          </w:tcPr>
          <w:p w14:paraId="71D49C5E">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（1）投标人具备有效的营业执照副本（或事业单位法人证书）、</w:t>
            </w:r>
            <w:r>
              <w:rPr>
                <w:rFonts w:hint="eastAsia" w:ascii="宋体" w:hAnsi="宋体"/>
                <w:color w:val="auto"/>
                <w:sz w:val="21"/>
                <w:szCs w:val="21"/>
                <w:highlight w:val="none"/>
                <w:lang w:val="en-US" w:eastAsia="zh-CN"/>
              </w:rPr>
              <w:t>资质证书</w:t>
            </w:r>
            <w:r>
              <w:rPr>
                <w:rFonts w:hint="eastAsia" w:ascii="宋体" w:hAnsi="宋体"/>
                <w:color w:val="auto"/>
                <w:sz w:val="21"/>
                <w:szCs w:val="21"/>
                <w:highlight w:val="none"/>
                <w:lang w:eastAsia="zh-CN"/>
              </w:rPr>
              <w:t>和基本账户开户许可证（或基本存款账户信息）；</w:t>
            </w:r>
          </w:p>
          <w:p w14:paraId="72B61643">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2</w:t>
            </w:r>
            <w:r>
              <w:rPr>
                <w:rFonts w:hint="eastAsia" w:ascii="宋体" w:hAnsi="宋体"/>
                <w:color w:val="auto"/>
                <w:sz w:val="21"/>
                <w:szCs w:val="21"/>
                <w:highlight w:val="none"/>
                <w:lang w:eastAsia="zh-CN"/>
              </w:rPr>
              <w:t>）投标人的</w:t>
            </w:r>
            <w:r>
              <w:rPr>
                <w:rFonts w:hint="eastAsia" w:ascii="宋体" w:hAnsi="宋体"/>
                <w:color w:val="auto"/>
                <w:sz w:val="21"/>
                <w:szCs w:val="21"/>
                <w:highlight w:val="none"/>
                <w:lang w:val="en-US" w:eastAsia="zh-CN"/>
              </w:rPr>
              <w:t>资质</w:t>
            </w:r>
            <w:r>
              <w:rPr>
                <w:rFonts w:hint="eastAsia" w:ascii="宋体" w:hAnsi="宋体"/>
                <w:color w:val="auto"/>
                <w:sz w:val="21"/>
                <w:szCs w:val="21"/>
                <w:highlight w:val="none"/>
                <w:lang w:eastAsia="zh-CN"/>
              </w:rPr>
              <w:t>符合招标文件规定；</w:t>
            </w:r>
          </w:p>
          <w:p w14:paraId="0C3A74E2">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3）</w:t>
            </w:r>
            <w:r>
              <w:rPr>
                <w:rFonts w:hint="eastAsia" w:ascii="宋体" w:hAnsi="宋体"/>
                <w:color w:val="auto"/>
                <w:sz w:val="21"/>
                <w:szCs w:val="21"/>
                <w:highlight w:val="none"/>
                <w:lang w:eastAsia="zh-CN"/>
              </w:rPr>
              <w:t>投标人的类似项目业绩符合招标文件规定；</w:t>
            </w:r>
          </w:p>
          <w:p w14:paraId="28A96F4C">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4</w:t>
            </w:r>
            <w:r>
              <w:rPr>
                <w:rFonts w:hint="eastAsia" w:ascii="宋体" w:hAnsi="宋体"/>
                <w:color w:val="auto"/>
                <w:sz w:val="21"/>
                <w:szCs w:val="21"/>
                <w:highlight w:val="none"/>
                <w:lang w:eastAsia="zh-CN"/>
              </w:rPr>
              <w:t>）投标人的信誉符合招标文件规定；</w:t>
            </w:r>
          </w:p>
          <w:p w14:paraId="25AB45B6">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5</w:t>
            </w:r>
            <w:r>
              <w:rPr>
                <w:rFonts w:hint="eastAsia" w:ascii="宋体" w:hAnsi="宋体"/>
                <w:color w:val="auto"/>
                <w:sz w:val="21"/>
                <w:szCs w:val="21"/>
                <w:highlight w:val="none"/>
                <w:lang w:eastAsia="zh-CN"/>
              </w:rPr>
              <w:t>）投标人的项目负责人资格符合招标文件规定；</w:t>
            </w:r>
          </w:p>
          <w:p w14:paraId="1A5037A9">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r>
              <w:rPr>
                <w:rFonts w:hint="eastAsia" w:ascii="宋体" w:hAnsi="宋体"/>
                <w:color w:val="auto"/>
                <w:sz w:val="21"/>
                <w:szCs w:val="21"/>
                <w:highlight w:val="none"/>
                <w:lang w:val="en-US" w:eastAsia="zh-CN"/>
              </w:rPr>
              <w:t>6</w:t>
            </w:r>
            <w:r>
              <w:rPr>
                <w:rFonts w:hint="eastAsia" w:ascii="宋体" w:hAnsi="宋体"/>
                <w:color w:val="auto"/>
                <w:sz w:val="21"/>
                <w:szCs w:val="21"/>
                <w:highlight w:val="none"/>
                <w:lang w:eastAsia="zh-CN"/>
              </w:rPr>
              <w:t>）投标人不存在第二章“投标人须知”1.4.3项或第1.4.4项规定的任何一种情形。</w:t>
            </w:r>
          </w:p>
          <w:p w14:paraId="562F8155">
            <w:pPr>
              <w:keepNext w:val="0"/>
              <w:keepLines w:val="0"/>
              <w:pageBreakBefore w:val="0"/>
              <w:widowControl w:val="0"/>
              <w:tabs>
                <w:tab w:val="left" w:pos="3060"/>
              </w:tabs>
              <w:kinsoku/>
              <w:wordWrap/>
              <w:overflowPunct/>
              <w:topLinePunct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（7）投标人符合第二章“投标人须知”第 1.4.5 项规定。</w:t>
            </w:r>
          </w:p>
        </w:tc>
      </w:tr>
      <w:tr w14:paraId="6A300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22B8B914">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2.2.1</w:t>
            </w:r>
          </w:p>
        </w:tc>
        <w:tc>
          <w:tcPr>
            <w:tcW w:w="787" w:type="pct"/>
            <w:vAlign w:val="center"/>
          </w:tcPr>
          <w:p w14:paraId="1E16AA65">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分值构成（总分100分）</w:t>
            </w:r>
          </w:p>
        </w:tc>
        <w:tc>
          <w:tcPr>
            <w:tcW w:w="3789" w:type="pct"/>
            <w:vAlign w:val="center"/>
          </w:tcPr>
          <w:p w14:paraId="00226138">
            <w:pPr>
              <w:keepNext w:val="0"/>
              <w:keepLines w:val="0"/>
              <w:pageBreakBefore w:val="0"/>
              <w:widowControl w:val="0"/>
              <w:kinsoku/>
              <w:wordWrap/>
              <w:overflowPunct/>
              <w:topLinePunct w:val="0"/>
              <w:bidi w:val="0"/>
              <w:snapToGrid w:val="0"/>
              <w:spacing w:line="320" w:lineRule="exact"/>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第一个信封（商务及技术文件）评分分值构成：</w:t>
            </w:r>
          </w:p>
          <w:p w14:paraId="7CDDFB6D">
            <w:pPr>
              <w:keepNext w:val="0"/>
              <w:keepLines w:val="0"/>
              <w:pageBreakBefore w:val="0"/>
              <w:widowControl w:val="0"/>
              <w:kinsoku/>
              <w:wordWrap/>
              <w:overflowPunct/>
              <w:topLinePunct w:val="0"/>
              <w:bidi w:val="0"/>
              <w:snapToGrid w:val="0"/>
              <w:spacing w:line="320" w:lineRule="exact"/>
              <w:textAlignment w:val="auto"/>
              <w:rPr>
                <w:rFonts w:hint="default" w:ascii="宋体" w:hAnsi="宋体"/>
                <w:b/>
                <w:color w:val="auto"/>
                <w:sz w:val="21"/>
                <w:szCs w:val="21"/>
                <w:highlight w:val="none"/>
                <w:lang w:val="en-US" w:eastAsia="zh-CN"/>
              </w:rPr>
            </w:pPr>
            <w:r>
              <w:rPr>
                <w:rFonts w:hint="eastAsia" w:ascii="宋体" w:hAnsi="宋体"/>
                <w:b/>
                <w:color w:val="auto"/>
                <w:sz w:val="21"/>
                <w:szCs w:val="21"/>
                <w:highlight w:val="none"/>
                <w:lang w:eastAsia="zh-CN"/>
              </w:rPr>
              <w:t>技术建议书（暗标）：</w:t>
            </w:r>
            <w:r>
              <w:rPr>
                <w:rFonts w:hint="eastAsia" w:ascii="宋体" w:hAnsi="宋体"/>
                <w:b/>
                <w:color w:val="auto"/>
                <w:sz w:val="21"/>
                <w:szCs w:val="21"/>
                <w:highlight w:val="none"/>
                <w:u w:val="single"/>
                <w:lang w:val="en-US" w:eastAsia="zh-CN"/>
              </w:rPr>
              <w:t>5</w:t>
            </w:r>
            <w:r>
              <w:rPr>
                <w:rFonts w:hint="eastAsia" w:ascii="宋体" w:hAnsi="宋体"/>
                <w:b/>
                <w:color w:val="auto"/>
                <w:sz w:val="21"/>
                <w:szCs w:val="21"/>
                <w:highlight w:val="none"/>
                <w:u w:val="single"/>
                <w:lang w:eastAsia="zh-CN"/>
              </w:rPr>
              <w:t>0</w:t>
            </w:r>
            <w:r>
              <w:rPr>
                <w:rFonts w:hint="eastAsia" w:ascii="宋体" w:hAnsi="宋体"/>
                <w:b/>
                <w:color w:val="auto"/>
                <w:sz w:val="21"/>
                <w:szCs w:val="21"/>
                <w:highlight w:val="none"/>
                <w:lang w:eastAsia="zh-CN"/>
              </w:rPr>
              <w:t>分</w:t>
            </w:r>
          </w:p>
          <w:p w14:paraId="2BAD4B04">
            <w:pPr>
              <w:keepNext w:val="0"/>
              <w:keepLines w:val="0"/>
              <w:pageBreakBefore w:val="0"/>
              <w:widowControl w:val="0"/>
              <w:kinsoku/>
              <w:wordWrap/>
              <w:overflowPunct/>
              <w:topLinePunct w:val="0"/>
              <w:bidi w:val="0"/>
              <w:snapToGrid w:val="0"/>
              <w:spacing w:line="320" w:lineRule="exact"/>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主要人员：</w:t>
            </w:r>
            <w:r>
              <w:rPr>
                <w:rFonts w:hint="eastAsia" w:ascii="宋体" w:hAnsi="宋体"/>
                <w:b/>
                <w:color w:val="auto"/>
                <w:sz w:val="21"/>
                <w:szCs w:val="21"/>
                <w:highlight w:val="none"/>
                <w:u w:val="single"/>
                <w:lang w:val="en-US" w:eastAsia="zh-CN"/>
              </w:rPr>
              <w:t>2</w:t>
            </w:r>
            <w:r>
              <w:rPr>
                <w:rFonts w:hint="eastAsia" w:ascii="宋体" w:hAnsi="宋体"/>
                <w:b/>
                <w:color w:val="auto"/>
                <w:sz w:val="21"/>
                <w:szCs w:val="21"/>
                <w:highlight w:val="none"/>
                <w:u w:val="single"/>
                <w:lang w:eastAsia="zh-CN"/>
              </w:rPr>
              <w:t>0</w:t>
            </w:r>
            <w:r>
              <w:rPr>
                <w:rFonts w:hint="eastAsia" w:ascii="宋体" w:hAnsi="宋体"/>
                <w:b/>
                <w:color w:val="auto"/>
                <w:sz w:val="21"/>
                <w:szCs w:val="21"/>
                <w:highlight w:val="none"/>
                <w:lang w:eastAsia="zh-CN"/>
              </w:rPr>
              <w:t>分</w:t>
            </w:r>
          </w:p>
          <w:p w14:paraId="5DB913FD">
            <w:pPr>
              <w:keepNext w:val="0"/>
              <w:keepLines w:val="0"/>
              <w:pageBreakBefore w:val="0"/>
              <w:widowControl w:val="0"/>
              <w:kinsoku/>
              <w:wordWrap/>
              <w:overflowPunct/>
              <w:topLinePunct w:val="0"/>
              <w:bidi w:val="0"/>
              <w:snapToGrid w:val="0"/>
              <w:spacing w:line="320" w:lineRule="exact"/>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其他因素：</w:t>
            </w:r>
            <w:r>
              <w:rPr>
                <w:rFonts w:hint="eastAsia" w:ascii="宋体" w:hAnsi="宋体"/>
                <w:b/>
                <w:color w:val="auto"/>
                <w:sz w:val="21"/>
                <w:szCs w:val="21"/>
                <w:highlight w:val="none"/>
                <w:u w:val="single"/>
                <w:lang w:eastAsia="zh-CN"/>
              </w:rPr>
              <w:t>20</w:t>
            </w:r>
            <w:r>
              <w:rPr>
                <w:rFonts w:hint="eastAsia" w:ascii="宋体" w:hAnsi="宋体"/>
                <w:b/>
                <w:color w:val="auto"/>
                <w:sz w:val="21"/>
                <w:szCs w:val="21"/>
                <w:highlight w:val="none"/>
                <w:lang w:eastAsia="zh-CN"/>
              </w:rPr>
              <w:t>分</w:t>
            </w:r>
          </w:p>
          <w:p w14:paraId="71184B3F">
            <w:pPr>
              <w:keepNext w:val="0"/>
              <w:keepLines w:val="0"/>
              <w:pageBreakBefore w:val="0"/>
              <w:widowControl w:val="0"/>
              <w:kinsoku/>
              <w:wordWrap/>
              <w:overflowPunct/>
              <w:topLinePunct w:val="0"/>
              <w:bidi w:val="0"/>
              <w:snapToGrid w:val="0"/>
              <w:spacing w:line="320" w:lineRule="exact"/>
              <w:textAlignment w:val="auto"/>
              <w:rPr>
                <w:rFonts w:hint="eastAsia" w:ascii="宋体" w:hAnsi="宋体"/>
                <w:b/>
                <w:color w:val="auto"/>
                <w:sz w:val="21"/>
                <w:szCs w:val="21"/>
                <w:highlight w:val="none"/>
                <w:lang w:eastAsia="zh-CN"/>
              </w:rPr>
            </w:pPr>
            <w:r>
              <w:rPr>
                <w:rFonts w:hint="eastAsia" w:ascii="宋体" w:hAnsi="宋体"/>
                <w:b/>
                <w:color w:val="auto"/>
                <w:sz w:val="21"/>
                <w:szCs w:val="21"/>
                <w:highlight w:val="none"/>
                <w:lang w:eastAsia="zh-CN"/>
              </w:rPr>
              <w:t>第二个信封（报价文件）评分分值构成：</w:t>
            </w:r>
          </w:p>
          <w:p w14:paraId="0FD68239">
            <w:pPr>
              <w:keepNext w:val="0"/>
              <w:keepLines w:val="0"/>
              <w:pageBreakBefore w:val="0"/>
              <w:widowControl w:val="0"/>
              <w:kinsoku/>
              <w:wordWrap/>
              <w:overflowPunct/>
              <w:topLinePunct w:val="0"/>
              <w:bidi w:val="0"/>
              <w:snapToGrid w:val="0"/>
              <w:spacing w:line="320" w:lineRule="exact"/>
              <w:textAlignment w:val="auto"/>
              <w:rPr>
                <w:rFonts w:hint="eastAsia" w:ascii="宋体" w:hAnsi="宋体"/>
                <w:b/>
                <w:color w:val="auto"/>
                <w:sz w:val="21"/>
                <w:szCs w:val="21"/>
                <w:highlight w:val="none"/>
              </w:rPr>
            </w:pPr>
            <w:r>
              <w:rPr>
                <w:rFonts w:hint="eastAsia" w:ascii="宋体" w:hAnsi="宋体"/>
                <w:b/>
                <w:color w:val="auto"/>
                <w:sz w:val="21"/>
                <w:szCs w:val="21"/>
                <w:highlight w:val="none"/>
              </w:rPr>
              <w:t>评标价：</w:t>
            </w:r>
            <w:r>
              <w:rPr>
                <w:rFonts w:hint="eastAsia" w:ascii="宋体" w:hAnsi="宋体"/>
                <w:b/>
                <w:color w:val="auto"/>
                <w:sz w:val="21"/>
                <w:szCs w:val="21"/>
                <w:highlight w:val="none"/>
                <w:u w:val="single"/>
                <w:lang w:val="en-US" w:eastAsia="zh-CN"/>
              </w:rPr>
              <w:t>1</w:t>
            </w:r>
            <w:r>
              <w:rPr>
                <w:rFonts w:hint="eastAsia" w:ascii="宋体" w:hAnsi="宋体"/>
                <w:b/>
                <w:color w:val="auto"/>
                <w:sz w:val="21"/>
                <w:szCs w:val="21"/>
                <w:highlight w:val="none"/>
                <w:u w:val="single"/>
              </w:rPr>
              <w:t>0</w:t>
            </w:r>
            <w:r>
              <w:rPr>
                <w:rFonts w:hint="eastAsia" w:ascii="宋体" w:hAnsi="宋体"/>
                <w:b/>
                <w:color w:val="auto"/>
                <w:sz w:val="21"/>
                <w:szCs w:val="21"/>
                <w:highlight w:val="none"/>
              </w:rPr>
              <w:t>分</w:t>
            </w:r>
          </w:p>
        </w:tc>
      </w:tr>
      <w:tr w14:paraId="1727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 w:hRule="atLeast"/>
        </w:trPr>
        <w:tc>
          <w:tcPr>
            <w:tcW w:w="423" w:type="pct"/>
            <w:vAlign w:val="center"/>
          </w:tcPr>
          <w:p w14:paraId="3AAAB0E0">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2.2.2</w:t>
            </w:r>
          </w:p>
        </w:tc>
        <w:tc>
          <w:tcPr>
            <w:tcW w:w="787" w:type="pct"/>
            <w:vAlign w:val="center"/>
          </w:tcPr>
          <w:p w14:paraId="6B4CF760">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评标基准价计算方法</w:t>
            </w:r>
          </w:p>
        </w:tc>
        <w:tc>
          <w:tcPr>
            <w:tcW w:w="3789" w:type="pct"/>
            <w:vAlign w:val="center"/>
          </w:tcPr>
          <w:p w14:paraId="7098074C">
            <w:pPr>
              <w:keepNext w:val="0"/>
              <w:keepLines w:val="0"/>
              <w:pageBreakBefore w:val="0"/>
              <w:widowControl w:val="0"/>
              <w:kinsoku/>
              <w:wordWrap/>
              <w:overflowPunct/>
              <w:topLinePunct w:val="0"/>
              <w:bidi w:val="0"/>
              <w:snapToGrid w:val="0"/>
              <w:spacing w:line="320" w:lineRule="exact"/>
              <w:ind w:right="113"/>
              <w:textAlignment w:val="auto"/>
              <w:rPr>
                <w:rFonts w:hint="eastAsia" w:ascii="宋体" w:hAnsi="宋体"/>
                <w:color w:val="auto"/>
                <w:sz w:val="21"/>
                <w:szCs w:val="21"/>
                <w:highlight w:val="none"/>
                <w:lang w:eastAsia="zh-CN"/>
              </w:rPr>
            </w:pPr>
            <w:r>
              <w:rPr>
                <w:rFonts w:hint="eastAsia" w:ascii="宋体" w:hAnsi="宋体"/>
                <w:b/>
                <w:bCs/>
                <w:color w:val="auto"/>
                <w:sz w:val="21"/>
                <w:szCs w:val="21"/>
                <w:highlight w:val="none"/>
                <w:lang w:eastAsia="zh-CN"/>
              </w:rPr>
              <w:t>评标基准价的计算</w:t>
            </w:r>
            <w:r>
              <w:rPr>
                <w:rFonts w:hint="eastAsia" w:ascii="宋体" w:hAnsi="宋体"/>
                <w:color w:val="auto"/>
                <w:sz w:val="21"/>
                <w:szCs w:val="21"/>
                <w:highlight w:val="none"/>
                <w:lang w:eastAsia="zh-CN"/>
              </w:rPr>
              <w:t>：</w:t>
            </w:r>
          </w:p>
          <w:p w14:paraId="3CD21589">
            <w:pPr>
              <w:keepNext w:val="0"/>
              <w:keepLines w:val="0"/>
              <w:pageBreakBefore w:val="0"/>
              <w:widowControl w:val="0"/>
              <w:kinsoku/>
              <w:wordWrap/>
              <w:overflowPunct/>
              <w:topLinePunct w:val="0"/>
              <w:bidi w:val="0"/>
              <w:snapToGrid w:val="0"/>
              <w:spacing w:line="320" w:lineRule="exact"/>
              <w:ind w:right="113" w:firstLine="426" w:firstLineChars="203"/>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在第二个信封开标现场，招标人当场计算并宣布评标基准价。</w:t>
            </w:r>
          </w:p>
          <w:p w14:paraId="7967F2CB">
            <w:pPr>
              <w:keepNext w:val="0"/>
              <w:keepLines w:val="0"/>
              <w:pageBreakBefore w:val="0"/>
              <w:widowControl w:val="0"/>
              <w:kinsoku/>
              <w:wordWrap/>
              <w:overflowPunct/>
              <w:topLinePunct w:val="0"/>
              <w:bidi w:val="0"/>
              <w:snapToGrid w:val="0"/>
              <w:spacing w:line="320" w:lineRule="exact"/>
              <w:ind w:right="113" w:firstLine="426" w:firstLineChars="203"/>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(1)评标价的确定：</w:t>
            </w:r>
          </w:p>
          <w:p w14:paraId="57EF906D">
            <w:pPr>
              <w:keepNext w:val="0"/>
              <w:keepLines w:val="0"/>
              <w:pageBreakBefore w:val="0"/>
              <w:widowControl w:val="0"/>
              <w:kinsoku/>
              <w:wordWrap/>
              <w:overflowPunct/>
              <w:topLinePunct w:val="0"/>
              <w:bidi w:val="0"/>
              <w:snapToGrid w:val="0"/>
              <w:spacing w:line="320" w:lineRule="exact"/>
              <w:ind w:right="113" w:firstLine="426" w:firstLineChars="203"/>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评标价=投标函文字报价</w:t>
            </w:r>
          </w:p>
          <w:p w14:paraId="5CC6B64F">
            <w:pPr>
              <w:keepNext w:val="0"/>
              <w:keepLines w:val="0"/>
              <w:pageBreakBefore w:val="0"/>
              <w:widowControl w:val="0"/>
              <w:kinsoku/>
              <w:wordWrap/>
              <w:overflowPunct/>
              <w:topLinePunct w:val="0"/>
              <w:bidi w:val="0"/>
              <w:snapToGrid w:val="0"/>
              <w:spacing w:line="320" w:lineRule="exact"/>
              <w:ind w:right="113" w:firstLine="426" w:firstLineChars="203"/>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(2)评标价平均值的计算：</w:t>
            </w:r>
          </w:p>
          <w:p w14:paraId="32E08480">
            <w:pPr>
              <w:keepNext w:val="0"/>
              <w:keepLines w:val="0"/>
              <w:pageBreakBefore w:val="0"/>
              <w:widowControl w:val="0"/>
              <w:kinsoku/>
              <w:wordWrap/>
              <w:overflowPunct/>
              <w:topLinePunct w:val="0"/>
              <w:bidi w:val="0"/>
              <w:snapToGrid w:val="0"/>
              <w:spacing w:line="320" w:lineRule="exact"/>
              <w:ind w:right="113" w:firstLine="426" w:firstLineChars="203"/>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除按第二章“投标人须知”第5.2.4项规定开标现场被宣布为不进入评标基准价计算的投标报价之外，所有投标人评标价去掉一个最高值和一个最低值后的算术平均值即为评标价平均值（如果参与评标价平均值计算的有效投标人少于</w:t>
            </w:r>
            <w:r>
              <w:rPr>
                <w:rFonts w:hint="eastAsia" w:ascii="宋体" w:hAnsi="宋体"/>
                <w:color w:val="auto"/>
                <w:sz w:val="21"/>
                <w:szCs w:val="21"/>
                <w:highlight w:val="none"/>
                <w:lang w:val="en-US" w:eastAsia="zh-CN"/>
              </w:rPr>
              <w:t>等于</w:t>
            </w:r>
            <w:r>
              <w:rPr>
                <w:rFonts w:hint="eastAsia" w:ascii="宋体" w:hAnsi="宋体"/>
                <w:color w:val="auto"/>
                <w:sz w:val="21"/>
                <w:szCs w:val="21"/>
                <w:highlight w:val="none"/>
                <w:lang w:eastAsia="zh-CN"/>
              </w:rPr>
              <w:t>5家时，则计算评标价平均值时不去掉最高值和最低值）。</w:t>
            </w:r>
          </w:p>
          <w:p w14:paraId="1D77E474">
            <w:pPr>
              <w:keepNext w:val="0"/>
              <w:keepLines w:val="0"/>
              <w:pageBreakBefore w:val="0"/>
              <w:widowControl w:val="0"/>
              <w:kinsoku/>
              <w:wordWrap/>
              <w:overflowPunct/>
              <w:topLinePunct w:val="0"/>
              <w:bidi w:val="0"/>
              <w:snapToGrid w:val="0"/>
              <w:spacing w:line="320" w:lineRule="exact"/>
              <w:ind w:right="113" w:firstLine="426" w:firstLineChars="203"/>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(3)评标基准价的确定：</w:t>
            </w:r>
          </w:p>
          <w:p w14:paraId="541AEE87">
            <w:pPr>
              <w:keepNext w:val="0"/>
              <w:keepLines w:val="0"/>
              <w:pageBreakBefore w:val="0"/>
              <w:widowControl w:val="0"/>
              <w:kinsoku/>
              <w:wordWrap/>
              <w:overflowPunct/>
              <w:topLinePunct w:val="0"/>
              <w:bidi w:val="0"/>
              <w:snapToGrid w:val="0"/>
              <w:spacing w:line="320" w:lineRule="exact"/>
              <w:ind w:right="113" w:firstLine="426" w:firstLineChars="203"/>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评标价平均值直接作为评标基准价（评标基准价保留小数点后两位，小数点后第三位四舍五入）。</w:t>
            </w:r>
          </w:p>
          <w:p w14:paraId="04A96006">
            <w:pPr>
              <w:keepNext w:val="0"/>
              <w:keepLines w:val="0"/>
              <w:pageBreakBefore w:val="0"/>
              <w:widowControl w:val="0"/>
              <w:kinsoku/>
              <w:wordWrap/>
              <w:overflowPunct/>
              <w:topLinePunct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在评标过程中，评标委员会应对招标人计算的评标基准价进行复核，存在计算错误的应予以修正并在评标报告中作出说明。除此之外，评标基准价在整个评标期间保持不变，不随任何因素发生变化。</w:t>
            </w:r>
          </w:p>
        </w:tc>
      </w:tr>
      <w:tr w14:paraId="62B2C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vAlign w:val="center"/>
          </w:tcPr>
          <w:p w14:paraId="5237C426">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2.2.3</w:t>
            </w:r>
          </w:p>
        </w:tc>
        <w:tc>
          <w:tcPr>
            <w:tcW w:w="787" w:type="pct"/>
            <w:vAlign w:val="center"/>
          </w:tcPr>
          <w:p w14:paraId="1928BF4D">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评标价的偏差率计算公式</w:t>
            </w:r>
          </w:p>
        </w:tc>
        <w:tc>
          <w:tcPr>
            <w:tcW w:w="3789" w:type="pct"/>
            <w:vAlign w:val="center"/>
          </w:tcPr>
          <w:p w14:paraId="537C1764">
            <w:pPr>
              <w:keepNext w:val="0"/>
              <w:keepLines w:val="0"/>
              <w:pageBreakBefore w:val="0"/>
              <w:widowControl w:val="0"/>
              <w:kinsoku/>
              <w:wordWrap/>
              <w:overflowPunct/>
              <w:topLinePunct w:val="0"/>
              <w:bidi w:val="0"/>
              <w:snapToGrid w:val="0"/>
              <w:spacing w:line="320" w:lineRule="exact"/>
              <w:jc w:val="both"/>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w:t>
            </w:r>
          </w:p>
        </w:tc>
      </w:tr>
      <w:tr w14:paraId="53712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8" w:hRule="atLeast"/>
        </w:trPr>
        <w:tc>
          <w:tcPr>
            <w:tcW w:w="423" w:type="pct"/>
            <w:vAlign w:val="center"/>
          </w:tcPr>
          <w:p w14:paraId="7FC41E57">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3.5.3</w:t>
            </w:r>
          </w:p>
        </w:tc>
        <w:tc>
          <w:tcPr>
            <w:tcW w:w="787" w:type="pct"/>
            <w:vAlign w:val="center"/>
          </w:tcPr>
          <w:p w14:paraId="3390DDF1">
            <w:pPr>
              <w:keepNext w:val="0"/>
              <w:keepLines w:val="0"/>
              <w:pageBreakBefore w:val="0"/>
              <w:widowControl w:val="0"/>
              <w:kinsoku/>
              <w:wordWrap/>
              <w:overflowPunct/>
              <w:topLinePunct w:val="0"/>
              <w:bidi w:val="0"/>
              <w:snapToGrid w:val="0"/>
              <w:spacing w:line="320" w:lineRule="exact"/>
              <w:ind w:left="113" w:leftChars="0" w:right="113" w:rightChars="0"/>
              <w:jc w:val="center"/>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rPr>
              <w:t>异常低价评审</w:t>
            </w:r>
          </w:p>
        </w:tc>
        <w:tc>
          <w:tcPr>
            <w:tcW w:w="3789" w:type="pct"/>
            <w:vAlign w:val="center"/>
          </w:tcPr>
          <w:p w14:paraId="7BEF73DA">
            <w:pPr>
              <w:keepNext w:val="0"/>
              <w:keepLines w:val="0"/>
              <w:pageBreakBefore w:val="0"/>
              <w:widowControl w:val="0"/>
              <w:kinsoku/>
              <w:wordWrap/>
              <w:overflowPunct/>
              <w:topLinePunct w:val="0"/>
              <w:bidi w:val="0"/>
              <w:snapToGrid w:val="0"/>
              <w:spacing w:line="320" w:lineRule="exact"/>
              <w:ind w:right="113"/>
              <w:textAlignment w:val="auto"/>
              <w:rPr>
                <w:rFonts w:hint="eastAsia" w:ascii="宋体" w:hAnsi="宋体" w:eastAsia="宋体"/>
                <w:color w:val="auto"/>
                <w:sz w:val="21"/>
                <w:szCs w:val="21"/>
                <w:highlight w:val="none"/>
                <w:lang w:eastAsia="zh-CN"/>
              </w:rPr>
            </w:pPr>
            <w:r>
              <w:rPr>
                <w:rFonts w:hint="eastAsia" w:ascii="宋体" w:hAnsi="宋体"/>
                <w:color w:val="auto"/>
                <w:sz w:val="21"/>
                <w:szCs w:val="21"/>
                <w:highlight w:val="none"/>
              </w:rPr>
              <w:t>本款修改为</w:t>
            </w:r>
            <w:r>
              <w:rPr>
                <w:rFonts w:hint="eastAsia" w:ascii="宋体" w:hAnsi="宋体"/>
                <w:color w:val="auto"/>
                <w:sz w:val="21"/>
                <w:szCs w:val="21"/>
                <w:highlight w:val="none"/>
                <w:lang w:eastAsia="zh-CN"/>
              </w:rPr>
              <w:t>：</w:t>
            </w:r>
          </w:p>
          <w:p w14:paraId="58E90A7E">
            <w:pPr>
              <w:keepNext w:val="0"/>
              <w:keepLines w:val="0"/>
              <w:pageBreakBefore w:val="0"/>
              <w:widowControl w:val="0"/>
              <w:kinsoku/>
              <w:wordWrap/>
              <w:overflowPunct/>
              <w:topLinePunct w:val="0"/>
              <w:bidi w:val="0"/>
              <w:snapToGrid w:val="0"/>
              <w:spacing w:line="320" w:lineRule="exact"/>
              <w:ind w:right="113" w:rightChars="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rPr>
              <w:t>评标委员会发现投标人的投标报价低于最高投标限价的</w:t>
            </w:r>
            <w:r>
              <w:rPr>
                <w:rFonts w:hint="eastAsia" w:ascii="宋体" w:hAnsi="宋体"/>
                <w:color w:val="auto"/>
                <w:sz w:val="21"/>
                <w:szCs w:val="21"/>
                <w:highlight w:val="none"/>
                <w:lang w:val="en-US" w:eastAsia="zh-CN"/>
              </w:rPr>
              <w:t>65</w:t>
            </w:r>
            <w:r>
              <w:rPr>
                <w:rFonts w:hint="eastAsia" w:ascii="宋体" w:hAnsi="宋体"/>
                <w:color w:val="auto"/>
                <w:sz w:val="21"/>
                <w:szCs w:val="21"/>
                <w:highlight w:val="none"/>
              </w:rPr>
              <w:t>%</w:t>
            </w:r>
            <w:r>
              <w:rPr>
                <w:rFonts w:hint="eastAsia" w:ascii="宋体" w:hAnsi="宋体"/>
                <w:color w:val="auto"/>
                <w:sz w:val="21"/>
                <w:szCs w:val="21"/>
                <w:highlight w:val="none"/>
                <w:lang w:eastAsia="zh-CN"/>
              </w:rPr>
              <w:t>（含）</w:t>
            </w:r>
            <w:r>
              <w:rPr>
                <w:rFonts w:hint="eastAsia" w:ascii="宋体" w:hAnsi="宋体"/>
                <w:color w:val="auto"/>
                <w:sz w:val="21"/>
                <w:szCs w:val="21"/>
                <w:highlight w:val="none"/>
              </w:rPr>
              <w:t>时，应当要求该投标人在规定时间内作出书面说明并提供相应的证明材料。投标人不能合理说明或者不能提供相应证明材料的，评标委员会应当认定该投标人以低于成本或者影响履约的异常低价竞标，并否决其投标。</w:t>
            </w:r>
          </w:p>
        </w:tc>
      </w:tr>
      <w:tr w14:paraId="3BC00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423" w:type="pct"/>
            <w:vAlign w:val="center"/>
          </w:tcPr>
          <w:p w14:paraId="40CC1C5C">
            <w:pPr>
              <w:keepNext w:val="0"/>
              <w:keepLines w:val="0"/>
              <w:pageBreakBefore w:val="0"/>
              <w:widowControl w:val="0"/>
              <w:kinsoku/>
              <w:wordWrap/>
              <w:overflowPunct/>
              <w:topLinePunct w:val="0"/>
              <w:bidi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3.6.1</w:t>
            </w:r>
          </w:p>
        </w:tc>
        <w:tc>
          <w:tcPr>
            <w:tcW w:w="787" w:type="pct"/>
            <w:vAlign w:val="center"/>
          </w:tcPr>
          <w:p w14:paraId="140D6196">
            <w:pPr>
              <w:keepNext w:val="0"/>
              <w:keepLines w:val="0"/>
              <w:pageBreakBefore w:val="0"/>
              <w:widowControl w:val="0"/>
              <w:kinsoku/>
              <w:wordWrap/>
              <w:overflowPunct/>
              <w:topLinePunct w:val="0"/>
              <w:bidi w:val="0"/>
              <w:adjustRightInd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信息</w:t>
            </w:r>
          </w:p>
          <w:p w14:paraId="7654AE1E">
            <w:pPr>
              <w:keepNext w:val="0"/>
              <w:keepLines w:val="0"/>
              <w:pageBreakBefore w:val="0"/>
              <w:widowControl w:val="0"/>
              <w:kinsoku/>
              <w:wordWrap/>
              <w:overflowPunct/>
              <w:topLinePunct w:val="0"/>
              <w:bidi w:val="0"/>
              <w:adjustRightInd w:val="0"/>
              <w:snapToGrid w:val="0"/>
              <w:spacing w:line="320" w:lineRule="exact"/>
              <w:jc w:val="center"/>
              <w:textAlignment w:val="auto"/>
              <w:rPr>
                <w:rFonts w:hint="eastAsia" w:ascii="宋体" w:hAnsi="宋体"/>
                <w:color w:val="auto"/>
                <w:sz w:val="21"/>
                <w:szCs w:val="21"/>
                <w:highlight w:val="none"/>
              </w:rPr>
            </w:pPr>
            <w:r>
              <w:rPr>
                <w:rFonts w:hint="eastAsia" w:ascii="宋体" w:hAnsi="宋体"/>
                <w:color w:val="auto"/>
                <w:sz w:val="21"/>
                <w:szCs w:val="21"/>
                <w:highlight w:val="none"/>
              </w:rPr>
              <w:t>查询</w:t>
            </w:r>
          </w:p>
        </w:tc>
        <w:tc>
          <w:tcPr>
            <w:tcW w:w="3789" w:type="pct"/>
            <w:vAlign w:val="center"/>
          </w:tcPr>
          <w:p w14:paraId="708153FE">
            <w:pPr>
              <w:keepNext w:val="0"/>
              <w:keepLines w:val="0"/>
              <w:pageBreakBefore w:val="0"/>
              <w:widowControl w:val="0"/>
              <w:kinsoku/>
              <w:wordWrap/>
              <w:overflowPunct/>
              <w:topLinePunct w:val="0"/>
              <w:autoSpaceDE w:val="0"/>
              <w:autoSpaceDN w:val="0"/>
              <w:bidi w:val="0"/>
              <w:snapToGrid w:val="0"/>
              <w:spacing w:line="320" w:lineRule="exact"/>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本项修改为：</w:t>
            </w:r>
          </w:p>
          <w:p w14:paraId="7F7EDCA7">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（1）投标人名称和资质与“公路水运工程质量检测管理信息系统（https://www.ttiis.cn）”的复核结果一致；</w:t>
            </w:r>
          </w:p>
          <w:p w14:paraId="79E348EA">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（2）评标委员会在评标过程中将对投标人的信誉情况进行查询。如投标人存在下列情形之一的，评标委员会应否决其投标。</w:t>
            </w:r>
          </w:p>
          <w:p w14:paraId="2197A8D5">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val="en-US" w:eastAsia="zh-CN"/>
              </w:rPr>
              <w:t>a.</w:t>
            </w:r>
            <w:r>
              <w:rPr>
                <w:rFonts w:hint="eastAsia" w:ascii="宋体" w:hAnsi="宋体"/>
                <w:color w:val="auto"/>
                <w:sz w:val="21"/>
                <w:szCs w:val="21"/>
                <w:highlight w:val="none"/>
                <w:lang w:eastAsia="zh-CN"/>
              </w:rPr>
              <w:t>在国家企业信用信息公示系统(https://www.gsxt.gov.cn/)中被列入严重违法失信名单(黑名单)(不含分公司，事业单位不适用)；</w:t>
            </w:r>
          </w:p>
          <w:p w14:paraId="49615F6C">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val="en-US" w:eastAsia="zh-CN"/>
              </w:rPr>
              <w:t>b.</w:t>
            </w:r>
            <w:r>
              <w:rPr>
                <w:rFonts w:hint="eastAsia" w:ascii="宋体" w:hAnsi="宋体"/>
                <w:color w:val="auto"/>
                <w:sz w:val="21"/>
                <w:szCs w:val="21"/>
                <w:highlight w:val="none"/>
                <w:lang w:eastAsia="zh-CN"/>
              </w:rPr>
              <w:t>在中国执行信息公开网(zxgk.court.gov.cn)中被列入失信被执行人(不含分公司)；</w:t>
            </w:r>
          </w:p>
          <w:p w14:paraId="107DFC71">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val="en-US" w:eastAsia="zh-CN"/>
              </w:rPr>
              <w:t>c.</w:t>
            </w:r>
            <w:r>
              <w:rPr>
                <w:rFonts w:hint="eastAsia" w:ascii="宋体" w:hAnsi="宋体"/>
                <w:color w:val="auto"/>
                <w:sz w:val="21"/>
                <w:szCs w:val="21"/>
                <w:highlight w:val="none"/>
                <w:lang w:eastAsia="zh-CN"/>
              </w:rPr>
              <w:t>在“信用中国“网站(http://www.creditchina.gov.cn/)中被列入经营(活动)异常名录、重大税收违法失信主体名单、政府采购严重违法失信行为记录名单</w:t>
            </w:r>
            <w:r>
              <w:rPr>
                <w:rFonts w:hint="eastAsia" w:ascii="宋体" w:hAnsi="宋体"/>
                <w:color w:val="auto"/>
                <w:sz w:val="21"/>
                <w:szCs w:val="21"/>
                <w:highlight w:val="none"/>
                <w:lang w:val="en-US" w:eastAsia="zh-CN"/>
              </w:rPr>
              <w:t>和安全生产严重失信主体名单</w:t>
            </w:r>
            <w:r>
              <w:rPr>
                <w:rFonts w:hint="eastAsia" w:ascii="宋体" w:hAnsi="宋体"/>
                <w:color w:val="auto"/>
                <w:sz w:val="21"/>
                <w:szCs w:val="21"/>
                <w:highlight w:val="none"/>
                <w:lang w:eastAsia="zh-CN"/>
              </w:rPr>
              <w:t>(均不含分公司)。</w:t>
            </w:r>
          </w:p>
          <w:p w14:paraId="7A0F3245">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注：以上查询结果以评标委员会查询结果为准。</w:t>
            </w:r>
          </w:p>
          <w:p w14:paraId="77ED155E">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（3）投标人所附项目负责人试验检测师（或试验检测工程师）的网页截图复印件与“公路水运工程质量检测管理信息系统（https://www.ttiis.cn）”核查的结果一致。</w:t>
            </w:r>
          </w:p>
          <w:p w14:paraId="186AEC07">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上述（1）、（3）项如投标人未提供相关网页截图或所附截图与复核结果不一致导致不能满足资格要求的，评标委员会应否决其投标。</w:t>
            </w:r>
          </w:p>
          <w:p w14:paraId="6C4E9F3B">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（4）评标委员会在评标时按照投标人提供的验证方式对电子保函或电子保证保险进行验证。如投标人未提供电子保函或电子保证保险的验证方式，或根据提供的验证方式无法核实的，评标委员会应否决其投标。</w:t>
            </w:r>
          </w:p>
          <w:p w14:paraId="1ACA20F1">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投标人应当及时核查并更新政府网站公开的相关信息，并承担由于信息填报不完整或者不准确等原因导致投标可能被否决的后果。相关信息由投标人填报的，其真实性由投标人负责，经查证与事实不符的，视为投标过程中的弄虚作假行为，按相关规定处理。</w:t>
            </w:r>
          </w:p>
        </w:tc>
      </w:tr>
      <w:tr w14:paraId="640F1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3" w:hRule="atLeast"/>
        </w:trPr>
        <w:tc>
          <w:tcPr>
            <w:tcW w:w="423" w:type="pct"/>
            <w:shd w:val="clear" w:color="auto" w:fill="auto"/>
            <w:vAlign w:val="center"/>
          </w:tcPr>
          <w:p w14:paraId="32C952F8">
            <w:pPr>
              <w:keepNext w:val="0"/>
              <w:keepLines w:val="0"/>
              <w:pageBreakBefore w:val="0"/>
              <w:widowControl w:val="0"/>
              <w:kinsoku/>
              <w:wordWrap/>
              <w:overflowPunct/>
              <w:topLinePunct w:val="0"/>
              <w:autoSpaceDE w:val="0"/>
              <w:autoSpaceDN w:val="0"/>
              <w:bidi w:val="0"/>
              <w:snapToGrid w:val="0"/>
              <w:spacing w:line="320" w:lineRule="exact"/>
              <w:textAlignment w:val="auto"/>
              <w:rPr>
                <w:rFonts w:hint="eastAsia" w:ascii="宋体" w:hAnsi="宋体" w:eastAsia="宋体" w:cs="宋体"/>
                <w:color w:val="auto"/>
                <w:sz w:val="21"/>
                <w:szCs w:val="21"/>
                <w:highlight w:val="none"/>
                <w:lang w:val="en-US" w:eastAsia="en-US"/>
              </w:rPr>
            </w:pPr>
            <w:r>
              <w:rPr>
                <w:rFonts w:hint="default" w:ascii="宋体" w:hAnsi="宋体" w:eastAsia="宋体" w:cs="宋体"/>
                <w:color w:val="auto"/>
                <w:sz w:val="21"/>
                <w:szCs w:val="21"/>
                <w:highlight w:val="none"/>
                <w:lang w:val="en-US" w:eastAsia="zh-CN"/>
              </w:rPr>
              <w:t>3.6.3</w:t>
            </w:r>
          </w:p>
        </w:tc>
        <w:tc>
          <w:tcPr>
            <w:tcW w:w="787" w:type="pct"/>
            <w:shd w:val="clear" w:color="auto" w:fill="auto"/>
            <w:vAlign w:val="center"/>
          </w:tcPr>
          <w:p w14:paraId="243015BB">
            <w:pPr>
              <w:keepNext w:val="0"/>
              <w:keepLines w:val="0"/>
              <w:pageBreakBefore w:val="0"/>
              <w:widowControl w:val="0"/>
              <w:kinsoku/>
              <w:wordWrap/>
              <w:overflowPunct/>
              <w:topLinePunct w:val="0"/>
              <w:autoSpaceDE w:val="0"/>
              <w:autoSpaceDN w:val="0"/>
              <w:bidi w:val="0"/>
              <w:snapToGrid w:val="0"/>
              <w:spacing w:line="320" w:lineRule="exact"/>
              <w:jc w:val="center"/>
              <w:textAlignment w:val="auto"/>
              <w:rPr>
                <w:rFonts w:hint="eastAsia" w:ascii="宋体" w:hAnsi="宋体" w:eastAsia="宋体" w:cs="宋体"/>
                <w:color w:val="auto"/>
                <w:sz w:val="21"/>
                <w:szCs w:val="21"/>
                <w:highlight w:val="none"/>
                <w:lang w:val="en-US" w:eastAsia="en-US"/>
              </w:rPr>
            </w:pPr>
            <w:r>
              <w:rPr>
                <w:rFonts w:hint="default" w:ascii="宋体" w:hAnsi="宋体" w:eastAsia="宋体" w:cs="宋体"/>
                <w:color w:val="auto"/>
                <w:sz w:val="21"/>
                <w:szCs w:val="21"/>
                <w:highlight w:val="none"/>
                <w:lang w:val="en-US" w:eastAsia="zh-CN"/>
              </w:rPr>
              <w:t>投标人其他异常投标情形</w:t>
            </w:r>
          </w:p>
        </w:tc>
        <w:tc>
          <w:tcPr>
            <w:tcW w:w="3789" w:type="pct"/>
            <w:shd w:val="clear" w:color="auto" w:fill="auto"/>
            <w:vAlign w:val="center"/>
          </w:tcPr>
          <w:p w14:paraId="432B2C2A">
            <w:pPr>
              <w:keepNext w:val="0"/>
              <w:keepLines w:val="0"/>
              <w:pageBreakBefore w:val="0"/>
              <w:widowControl w:val="0"/>
              <w:kinsoku/>
              <w:wordWrap/>
              <w:overflowPunct/>
              <w:topLinePunct w:val="0"/>
              <w:autoSpaceDE w:val="0"/>
              <w:autoSpaceDN w:val="0"/>
              <w:bidi w:val="0"/>
              <w:snapToGrid w:val="0"/>
              <w:spacing w:line="320" w:lineRule="exact"/>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增加本项：</w:t>
            </w:r>
          </w:p>
          <w:p w14:paraId="132AD19E">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评标委员会在评标过程中发现存在投标文件异常一致或投标活动异常关联等异常投标情形的，应当要求投标人在规定时间内作出书面说明并提供相应的证明材料。投标人不能合理说明或者不能提供相应证明材料的，评标委员会应当认定投标人存在串通投标等违法行为，并否决其投标。</w:t>
            </w:r>
          </w:p>
          <w:p w14:paraId="095E021C">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有下列情形之一的，属于投标文件异常一致或投标活动异常关联等异常投标情形：</w:t>
            </w:r>
          </w:p>
          <w:p w14:paraId="0C1A9762">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（1）投标人投标文件制作机器码雷同；</w:t>
            </w:r>
          </w:p>
          <w:p w14:paraId="656CA538">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（2）投标文件创建标识码雷同；</w:t>
            </w:r>
          </w:p>
          <w:p w14:paraId="33552D7E">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（3）投标文件制作计算机MAC地址雷同；</w:t>
            </w:r>
          </w:p>
          <w:p w14:paraId="4CB19A16">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（4）投标文件制作计算机硬盘序列号雷同；</w:t>
            </w:r>
          </w:p>
          <w:p w14:paraId="44EBACDA">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（5）招标文件下载IP地址雷同；</w:t>
            </w:r>
          </w:p>
          <w:p w14:paraId="59982F34">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（6）投标文件上传IP地址雷同；</w:t>
            </w:r>
          </w:p>
          <w:p w14:paraId="5228EEE4">
            <w:pPr>
              <w:keepNext w:val="0"/>
              <w:keepLines w:val="0"/>
              <w:pageBreakBefore w:val="0"/>
              <w:widowControl w:val="0"/>
              <w:kinsoku/>
              <w:wordWrap/>
              <w:overflowPunct/>
              <w:topLinePunct w:val="0"/>
              <w:autoSpaceDE w:val="0"/>
              <w:autoSpaceDN w:val="0"/>
              <w:bidi w:val="0"/>
              <w:snapToGrid w:val="0"/>
              <w:spacing w:line="320" w:lineRule="exact"/>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（7）投标文件解密IP地址雷同。</w:t>
            </w:r>
          </w:p>
        </w:tc>
      </w:tr>
      <w:tr w14:paraId="42B62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5000" w:type="pct"/>
            <w:gridSpan w:val="3"/>
            <w:vAlign w:val="center"/>
          </w:tcPr>
          <w:p w14:paraId="3BF1D7FB">
            <w:pPr>
              <w:keepNext w:val="0"/>
              <w:keepLines w:val="0"/>
              <w:pageBreakBefore w:val="0"/>
              <w:widowControl w:val="0"/>
              <w:kinsoku/>
              <w:wordWrap/>
              <w:overflowPunct/>
              <w:topLinePunct w:val="0"/>
              <w:bidi w:val="0"/>
              <w:snapToGrid w:val="0"/>
              <w:spacing w:line="320" w:lineRule="exact"/>
              <w:ind w:right="113"/>
              <w:textAlignment w:val="auto"/>
              <w:rPr>
                <w:rFonts w:hint="eastAsia" w:ascii="宋体" w:hAnsi="宋体"/>
                <w:bCs/>
                <w:color w:val="auto"/>
                <w:sz w:val="21"/>
                <w:szCs w:val="21"/>
                <w:highlight w:val="none"/>
                <w:lang w:eastAsia="zh-CN"/>
              </w:rPr>
            </w:pPr>
            <w:r>
              <w:rPr>
                <w:rFonts w:hint="eastAsia" w:ascii="宋体" w:hAnsi="宋体"/>
                <w:color w:val="auto"/>
                <w:sz w:val="21"/>
                <w:szCs w:val="21"/>
                <w:highlight w:val="none"/>
                <w:lang w:eastAsia="zh-CN"/>
              </w:rPr>
              <w:t>需要补充的其他内容：</w:t>
            </w:r>
            <w:r>
              <w:rPr>
                <w:rFonts w:hint="eastAsia" w:ascii="宋体" w:hAnsi="宋体"/>
                <w:bCs/>
                <w:color w:val="auto"/>
                <w:sz w:val="21"/>
                <w:szCs w:val="21"/>
                <w:highlight w:val="none"/>
                <w:lang w:eastAsia="zh-CN"/>
              </w:rPr>
              <w:t>无</w:t>
            </w:r>
          </w:p>
        </w:tc>
      </w:tr>
    </w:tbl>
    <w:p w14:paraId="73AC9506">
      <w:pPr>
        <w:spacing w:before="46"/>
        <w:rPr>
          <w:color w:val="auto"/>
          <w:highlight w:val="none"/>
          <w:lang w:eastAsia="zh-CN"/>
        </w:rPr>
      </w:pPr>
    </w:p>
    <w:p w14:paraId="5B693977">
      <w:pPr>
        <w:jc w:val="right"/>
        <w:rPr>
          <w:rFonts w:hint="eastAsia" w:ascii="宋体" w:hAnsi="宋体"/>
          <w:color w:val="auto"/>
          <w:highlight w:val="none"/>
        </w:rPr>
      </w:pPr>
      <w:r>
        <w:rPr>
          <w:color w:val="auto"/>
          <w:highlight w:val="none"/>
          <w:lang w:eastAsia="zh-CN"/>
        </w:rPr>
        <w:br w:type="page"/>
      </w:r>
      <w:r>
        <w:rPr>
          <w:rFonts w:hint="eastAsia" w:ascii="宋体" w:hAnsi="宋体"/>
          <w:color w:val="auto"/>
          <w:highlight w:val="none"/>
        </w:rPr>
        <w:t>续上表</w:t>
      </w:r>
    </w:p>
    <w:tbl>
      <w:tblPr>
        <w:tblStyle w:val="6"/>
        <w:tblW w:w="9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979"/>
        <w:gridCol w:w="675"/>
        <w:gridCol w:w="1566"/>
        <w:gridCol w:w="910"/>
        <w:gridCol w:w="4781"/>
      </w:tblGrid>
      <w:tr w14:paraId="1499B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4871" w:type="dxa"/>
            <w:gridSpan w:val="5"/>
            <w:vAlign w:val="center"/>
          </w:tcPr>
          <w:p w14:paraId="18A1E9A2">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评分因素与权重分值</w:t>
            </w:r>
          </w:p>
        </w:tc>
        <w:tc>
          <w:tcPr>
            <w:tcW w:w="4781" w:type="dxa"/>
            <w:vMerge w:val="restart"/>
            <w:vAlign w:val="center"/>
          </w:tcPr>
          <w:p w14:paraId="2BBE04C1">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评分标准</w:t>
            </w:r>
          </w:p>
        </w:tc>
      </w:tr>
      <w:tr w14:paraId="65D62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741" w:type="dxa"/>
            <w:tcBorders>
              <w:top w:val="single" w:color="auto" w:sz="4" w:space="0"/>
              <w:left w:val="single" w:color="auto" w:sz="4" w:space="0"/>
              <w:bottom w:val="single" w:color="auto" w:sz="4" w:space="0"/>
              <w:right w:val="single" w:color="auto" w:sz="4" w:space="0"/>
            </w:tcBorders>
            <w:vAlign w:val="center"/>
          </w:tcPr>
          <w:p w14:paraId="20A538EB">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条款号</w:t>
            </w:r>
          </w:p>
        </w:tc>
        <w:tc>
          <w:tcPr>
            <w:tcW w:w="979" w:type="dxa"/>
            <w:tcBorders>
              <w:top w:val="single" w:color="auto" w:sz="4" w:space="0"/>
              <w:left w:val="single" w:color="auto" w:sz="4" w:space="0"/>
              <w:bottom w:val="single" w:color="auto" w:sz="4" w:space="0"/>
              <w:right w:val="single" w:color="auto" w:sz="4" w:space="0"/>
            </w:tcBorders>
            <w:vAlign w:val="center"/>
          </w:tcPr>
          <w:p w14:paraId="33BF948E">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评分因素</w:t>
            </w:r>
          </w:p>
        </w:tc>
        <w:tc>
          <w:tcPr>
            <w:tcW w:w="675" w:type="dxa"/>
            <w:tcBorders>
              <w:top w:val="single" w:color="auto" w:sz="4" w:space="0"/>
              <w:left w:val="single" w:color="auto" w:sz="4" w:space="0"/>
              <w:bottom w:val="single" w:color="auto" w:sz="4" w:space="0"/>
              <w:right w:val="single" w:color="auto" w:sz="4" w:space="0"/>
            </w:tcBorders>
            <w:vAlign w:val="center"/>
          </w:tcPr>
          <w:p w14:paraId="1796CE42">
            <w:pPr>
              <w:pStyle w:val="4"/>
              <w:snapToGrid w:val="0"/>
              <w:spacing w:line="320" w:lineRule="exact"/>
              <w:ind w:left="-34" w:leftChars="-19" w:right="-27" w:rightChars="-15" w:firstLine="1"/>
              <w:jc w:val="center"/>
              <w:rPr>
                <w:rFonts w:hint="eastAsia" w:hAnsi="宋体"/>
                <w:color w:val="auto"/>
                <w:sz w:val="21"/>
                <w:szCs w:val="21"/>
                <w:highlight w:val="none"/>
              </w:rPr>
            </w:pPr>
            <w:r>
              <w:rPr>
                <w:rFonts w:hint="eastAsia" w:hAnsi="宋体"/>
                <w:color w:val="auto"/>
                <w:sz w:val="21"/>
                <w:szCs w:val="21"/>
                <w:highlight w:val="none"/>
              </w:rPr>
              <w:t>评分因素 权重分值</w:t>
            </w:r>
          </w:p>
        </w:tc>
        <w:tc>
          <w:tcPr>
            <w:tcW w:w="1566" w:type="dxa"/>
            <w:tcBorders>
              <w:top w:val="single" w:color="auto" w:sz="4" w:space="0"/>
              <w:left w:val="single" w:color="auto" w:sz="4" w:space="0"/>
              <w:bottom w:val="single" w:color="auto" w:sz="4" w:space="0"/>
              <w:right w:val="single" w:color="auto" w:sz="4" w:space="0"/>
            </w:tcBorders>
            <w:vAlign w:val="center"/>
          </w:tcPr>
          <w:p w14:paraId="0030CFFE">
            <w:pPr>
              <w:pStyle w:val="4"/>
              <w:snapToGrid w:val="0"/>
              <w:spacing w:line="320" w:lineRule="exact"/>
              <w:jc w:val="center"/>
              <w:rPr>
                <w:rFonts w:hint="eastAsia" w:hAnsi="宋体"/>
                <w:color w:val="auto"/>
                <w:sz w:val="21"/>
                <w:szCs w:val="21"/>
                <w:highlight w:val="none"/>
              </w:rPr>
            </w:pPr>
            <w:r>
              <w:rPr>
                <w:rStyle w:val="9"/>
                <w:rFonts w:hint="eastAsia"/>
                <w:color w:val="auto"/>
                <w:highlight w:val="none"/>
              </w:rPr>
              <w:t>各评分因素细分项</w:t>
            </w:r>
          </w:p>
        </w:tc>
        <w:tc>
          <w:tcPr>
            <w:tcW w:w="910" w:type="dxa"/>
            <w:tcBorders>
              <w:left w:val="single" w:color="auto" w:sz="4" w:space="0"/>
            </w:tcBorders>
            <w:vAlign w:val="center"/>
          </w:tcPr>
          <w:p w14:paraId="0B35EC78">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分值</w:t>
            </w:r>
          </w:p>
        </w:tc>
        <w:tc>
          <w:tcPr>
            <w:tcW w:w="4781" w:type="dxa"/>
            <w:vMerge w:val="continue"/>
            <w:vAlign w:val="center"/>
          </w:tcPr>
          <w:p w14:paraId="5B6A38A2">
            <w:pPr>
              <w:pStyle w:val="4"/>
              <w:snapToGrid w:val="0"/>
              <w:spacing w:line="320" w:lineRule="exact"/>
              <w:jc w:val="center"/>
              <w:rPr>
                <w:rFonts w:hint="eastAsia" w:hAnsi="宋体"/>
                <w:color w:val="auto"/>
                <w:sz w:val="21"/>
                <w:szCs w:val="21"/>
                <w:highlight w:val="none"/>
              </w:rPr>
            </w:pPr>
          </w:p>
        </w:tc>
      </w:tr>
      <w:tr w14:paraId="4ED34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41" w:type="dxa"/>
            <w:vMerge w:val="restart"/>
            <w:tcBorders>
              <w:top w:val="single" w:color="auto" w:sz="4" w:space="0"/>
            </w:tcBorders>
            <w:vAlign w:val="center"/>
          </w:tcPr>
          <w:p w14:paraId="63E94132">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2.2.4（1）</w:t>
            </w:r>
          </w:p>
        </w:tc>
        <w:tc>
          <w:tcPr>
            <w:tcW w:w="979" w:type="dxa"/>
            <w:vMerge w:val="restart"/>
            <w:tcBorders>
              <w:top w:val="single" w:color="auto" w:sz="4" w:space="0"/>
            </w:tcBorders>
            <w:vAlign w:val="center"/>
          </w:tcPr>
          <w:p w14:paraId="48961B75">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技术建议书</w:t>
            </w:r>
          </w:p>
          <w:p w14:paraId="0D64CACE">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（暗标）</w:t>
            </w:r>
          </w:p>
        </w:tc>
        <w:tc>
          <w:tcPr>
            <w:tcW w:w="675" w:type="dxa"/>
            <w:vMerge w:val="restart"/>
            <w:tcBorders>
              <w:top w:val="single" w:color="auto" w:sz="4" w:space="0"/>
            </w:tcBorders>
            <w:vAlign w:val="center"/>
          </w:tcPr>
          <w:p w14:paraId="31976730">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lang w:val="en-US" w:eastAsia="zh-CN"/>
              </w:rPr>
              <w:t>5</w:t>
            </w:r>
            <w:r>
              <w:rPr>
                <w:rFonts w:hint="eastAsia" w:hAnsi="宋体"/>
                <w:color w:val="auto"/>
                <w:sz w:val="21"/>
                <w:szCs w:val="21"/>
                <w:highlight w:val="none"/>
                <w:lang w:eastAsia="zh-CN"/>
              </w:rPr>
              <w:t>0</w:t>
            </w:r>
            <w:r>
              <w:rPr>
                <w:rFonts w:hint="eastAsia" w:hAnsi="宋体"/>
                <w:color w:val="auto"/>
                <w:sz w:val="21"/>
                <w:szCs w:val="21"/>
                <w:highlight w:val="none"/>
              </w:rPr>
              <w:t>分</w:t>
            </w:r>
          </w:p>
        </w:tc>
        <w:tc>
          <w:tcPr>
            <w:tcW w:w="1566" w:type="dxa"/>
            <w:tcBorders>
              <w:top w:val="single" w:color="auto" w:sz="4" w:space="0"/>
            </w:tcBorders>
            <w:vAlign w:val="center"/>
          </w:tcPr>
          <w:p w14:paraId="135ACFD4">
            <w:pPr>
              <w:pStyle w:val="10"/>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ascii="宋体" w:hAnsi="宋体"/>
                <w:color w:val="auto"/>
                <w:sz w:val="21"/>
                <w:szCs w:val="21"/>
                <w:highlight w:val="none"/>
                <w:lang w:eastAsia="zh-CN"/>
              </w:rPr>
            </w:pPr>
            <w:r>
              <w:rPr>
                <w:color w:val="auto"/>
                <w:spacing w:val="6"/>
                <w:sz w:val="21"/>
                <w:szCs w:val="21"/>
                <w:highlight w:val="none"/>
              </w:rPr>
              <w:t>工作大纲</w:t>
            </w:r>
          </w:p>
        </w:tc>
        <w:tc>
          <w:tcPr>
            <w:tcW w:w="910" w:type="dxa"/>
            <w:vAlign w:val="center"/>
          </w:tcPr>
          <w:p w14:paraId="09331067">
            <w:pPr>
              <w:pStyle w:val="10"/>
              <w:spacing w:before="65" w:line="228" w:lineRule="auto"/>
              <w:jc w:val="center"/>
              <w:rPr>
                <w:rFonts w:hint="default" w:ascii="宋体" w:hAnsi="宋体"/>
                <w:color w:val="auto"/>
                <w:sz w:val="21"/>
                <w:szCs w:val="21"/>
                <w:highlight w:val="none"/>
                <w:lang w:val="en-US" w:eastAsia="zh-CN"/>
              </w:rPr>
            </w:pPr>
            <w:r>
              <w:rPr>
                <w:rFonts w:hint="eastAsia" w:ascii="Times New Roman" w:hAnsi="Times New Roman" w:eastAsia="宋体" w:cs="Times New Roman"/>
                <w:color w:val="auto"/>
                <w:spacing w:val="-5"/>
                <w:sz w:val="21"/>
                <w:szCs w:val="21"/>
                <w:highlight w:val="none"/>
                <w:lang w:val="en-US" w:eastAsia="zh-CN"/>
              </w:rPr>
              <w:t>5</w:t>
            </w:r>
            <w:r>
              <w:rPr>
                <w:color w:val="auto"/>
                <w:spacing w:val="-5"/>
                <w:sz w:val="21"/>
                <w:szCs w:val="21"/>
                <w:highlight w:val="none"/>
              </w:rPr>
              <w:t>分</w:t>
            </w:r>
          </w:p>
        </w:tc>
        <w:tc>
          <w:tcPr>
            <w:tcW w:w="4781" w:type="dxa"/>
            <w:vAlign w:val="top"/>
          </w:tcPr>
          <w:p w14:paraId="4FC0CFFA">
            <w:pPr>
              <w:pStyle w:val="10"/>
              <w:spacing w:before="75" w:line="227" w:lineRule="auto"/>
              <w:ind w:left="10"/>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基本合理，措施一般，得</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6"/>
                <w:sz w:val="21"/>
                <w:szCs w:val="21"/>
                <w:highlight w:val="none"/>
                <w:lang w:val="en-US" w:eastAsia="zh-CN"/>
              </w:rPr>
              <w:t>3</w:t>
            </w:r>
            <w:r>
              <w:rPr>
                <w:rFonts w:hint="eastAsia" w:ascii="宋体" w:hAnsi="宋体" w:eastAsia="宋体" w:cs="宋体"/>
                <w:color w:val="auto"/>
                <w:spacing w:val="6"/>
                <w:sz w:val="21"/>
                <w:szCs w:val="21"/>
                <w:highlight w:val="none"/>
              </w:rPr>
              <w:t>分；</w:t>
            </w:r>
          </w:p>
          <w:p w14:paraId="74F252FC">
            <w:pPr>
              <w:pStyle w:val="10"/>
              <w:spacing w:before="72" w:line="228" w:lineRule="auto"/>
              <w:ind w:left="11"/>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合理，可行，得</w:t>
            </w:r>
            <w:r>
              <w:rPr>
                <w:rFonts w:hint="eastAsia" w:ascii="宋体" w:hAnsi="宋体" w:eastAsia="宋体" w:cs="宋体"/>
                <w:color w:val="auto"/>
                <w:spacing w:val="-27"/>
                <w:sz w:val="21"/>
                <w:szCs w:val="21"/>
                <w:highlight w:val="none"/>
              </w:rPr>
              <w:t xml:space="preserve"> </w:t>
            </w:r>
            <w:r>
              <w:rPr>
                <w:rFonts w:hint="eastAsia" w:ascii="宋体" w:hAnsi="宋体" w:eastAsia="宋体" w:cs="宋体"/>
                <w:color w:val="auto"/>
                <w:spacing w:val="4"/>
                <w:sz w:val="21"/>
                <w:szCs w:val="21"/>
                <w:highlight w:val="none"/>
                <w:lang w:val="en-US" w:eastAsia="zh-CN"/>
              </w:rPr>
              <w:t>3</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4</w:t>
            </w:r>
            <w:r>
              <w:rPr>
                <w:rFonts w:hint="eastAsia" w:ascii="宋体" w:hAnsi="宋体" w:eastAsia="宋体" w:cs="宋体"/>
                <w:color w:val="auto"/>
                <w:spacing w:val="4"/>
                <w:sz w:val="21"/>
                <w:szCs w:val="21"/>
                <w:highlight w:val="none"/>
              </w:rPr>
              <w:t>分；</w:t>
            </w:r>
          </w:p>
          <w:p w14:paraId="5BA07252">
            <w:pPr>
              <w:pStyle w:val="10"/>
              <w:spacing w:before="72" w:line="221" w:lineRule="auto"/>
              <w:ind w:left="10" w:leftChars="0"/>
              <w:rPr>
                <w:rFonts w:hint="eastAsia" w:ascii="宋体" w:hAnsi="宋体" w:eastAsia="宋体" w:cs="宋体"/>
                <w:color w:val="auto"/>
                <w:kern w:val="2"/>
                <w:sz w:val="21"/>
                <w:szCs w:val="21"/>
                <w:highlight w:val="none"/>
                <w:lang w:eastAsia="zh-CN"/>
              </w:rPr>
            </w:pPr>
            <w:r>
              <w:rPr>
                <w:rFonts w:hint="eastAsia" w:ascii="宋体" w:hAnsi="宋体" w:eastAsia="宋体" w:cs="宋体"/>
                <w:color w:val="auto"/>
                <w:spacing w:val="6"/>
                <w:sz w:val="21"/>
                <w:szCs w:val="21"/>
                <w:highlight w:val="none"/>
              </w:rPr>
              <w:t>科学先进，措施完善，可操作性强，得</w:t>
            </w:r>
            <w:r>
              <w:rPr>
                <w:rFonts w:hint="eastAsia" w:ascii="宋体" w:hAnsi="宋体" w:eastAsia="宋体" w:cs="宋体"/>
                <w:color w:val="auto"/>
                <w:spacing w:val="-29"/>
                <w:sz w:val="21"/>
                <w:szCs w:val="21"/>
                <w:highlight w:val="none"/>
                <w:lang w:val="en-US" w:eastAsia="zh-CN"/>
              </w:rPr>
              <w:t>4-</w:t>
            </w:r>
            <w:r>
              <w:rPr>
                <w:rFonts w:hint="eastAsia" w:ascii="宋体" w:hAnsi="宋体" w:eastAsia="宋体" w:cs="宋体"/>
                <w:color w:val="auto"/>
                <w:spacing w:val="-29"/>
                <w:sz w:val="21"/>
                <w:szCs w:val="21"/>
                <w:highlight w:val="none"/>
              </w:rPr>
              <w:t xml:space="preserve"> </w:t>
            </w:r>
            <w:r>
              <w:rPr>
                <w:rFonts w:hint="eastAsia" w:ascii="宋体" w:hAnsi="宋体" w:eastAsia="宋体" w:cs="宋体"/>
                <w:color w:val="auto"/>
                <w:spacing w:val="-29"/>
                <w:sz w:val="21"/>
                <w:szCs w:val="21"/>
                <w:highlight w:val="none"/>
                <w:lang w:val="en-US" w:eastAsia="zh-CN"/>
              </w:rPr>
              <w:t>5</w:t>
            </w:r>
            <w:r>
              <w:rPr>
                <w:rFonts w:hint="eastAsia" w:ascii="宋体" w:hAnsi="宋体" w:eastAsia="宋体" w:cs="宋体"/>
                <w:color w:val="auto"/>
                <w:spacing w:val="6"/>
                <w:sz w:val="21"/>
                <w:szCs w:val="21"/>
                <w:highlight w:val="none"/>
              </w:rPr>
              <w:t>分。</w:t>
            </w:r>
          </w:p>
        </w:tc>
      </w:tr>
      <w:tr w14:paraId="062D6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41" w:type="dxa"/>
            <w:vMerge w:val="continue"/>
            <w:vAlign w:val="center"/>
          </w:tcPr>
          <w:p w14:paraId="01683149">
            <w:pPr>
              <w:pStyle w:val="4"/>
              <w:snapToGrid w:val="0"/>
              <w:spacing w:line="320" w:lineRule="exact"/>
              <w:jc w:val="center"/>
              <w:rPr>
                <w:rFonts w:hint="eastAsia" w:hAnsi="宋体"/>
                <w:color w:val="auto"/>
                <w:sz w:val="21"/>
                <w:szCs w:val="21"/>
                <w:highlight w:val="none"/>
                <w:lang w:eastAsia="zh-CN"/>
              </w:rPr>
            </w:pPr>
          </w:p>
        </w:tc>
        <w:tc>
          <w:tcPr>
            <w:tcW w:w="979" w:type="dxa"/>
            <w:vMerge w:val="continue"/>
            <w:vAlign w:val="center"/>
          </w:tcPr>
          <w:p w14:paraId="76677BF7">
            <w:pPr>
              <w:pStyle w:val="4"/>
              <w:snapToGrid w:val="0"/>
              <w:spacing w:line="320" w:lineRule="exact"/>
              <w:jc w:val="center"/>
              <w:rPr>
                <w:rFonts w:hint="eastAsia" w:hAnsi="宋体"/>
                <w:color w:val="auto"/>
                <w:sz w:val="21"/>
                <w:szCs w:val="21"/>
                <w:highlight w:val="none"/>
                <w:lang w:eastAsia="zh-CN"/>
              </w:rPr>
            </w:pPr>
          </w:p>
        </w:tc>
        <w:tc>
          <w:tcPr>
            <w:tcW w:w="675" w:type="dxa"/>
            <w:vMerge w:val="continue"/>
            <w:vAlign w:val="center"/>
          </w:tcPr>
          <w:p w14:paraId="40A2E43E">
            <w:pPr>
              <w:pStyle w:val="4"/>
              <w:snapToGrid w:val="0"/>
              <w:spacing w:line="320" w:lineRule="exact"/>
              <w:jc w:val="center"/>
              <w:rPr>
                <w:rFonts w:hint="eastAsia" w:hAnsi="宋体"/>
                <w:color w:val="auto"/>
                <w:sz w:val="21"/>
                <w:szCs w:val="21"/>
                <w:highlight w:val="none"/>
                <w:lang w:eastAsia="zh-CN"/>
              </w:rPr>
            </w:pPr>
          </w:p>
        </w:tc>
        <w:tc>
          <w:tcPr>
            <w:tcW w:w="1566" w:type="dxa"/>
            <w:vAlign w:val="center"/>
          </w:tcPr>
          <w:p w14:paraId="67494948">
            <w:pPr>
              <w:pStyle w:val="10"/>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eastAsia" w:hAnsi="宋体"/>
                <w:color w:val="auto"/>
                <w:sz w:val="21"/>
                <w:szCs w:val="21"/>
                <w:highlight w:val="none"/>
                <w:lang w:eastAsia="zh-CN"/>
              </w:rPr>
            </w:pPr>
            <w:r>
              <w:rPr>
                <w:color w:val="auto"/>
                <w:spacing w:val="8"/>
                <w:sz w:val="21"/>
                <w:szCs w:val="21"/>
                <w:highlight w:val="none"/>
              </w:rPr>
              <w:t>对本项目工作</w:t>
            </w:r>
            <w:r>
              <w:rPr>
                <w:color w:val="auto"/>
                <w:spacing w:val="7"/>
                <w:sz w:val="21"/>
                <w:szCs w:val="21"/>
                <w:highlight w:val="none"/>
              </w:rPr>
              <w:t>范围和任务理</w:t>
            </w:r>
            <w:r>
              <w:rPr>
                <w:color w:val="auto"/>
                <w:spacing w:val="1"/>
                <w:sz w:val="21"/>
                <w:szCs w:val="21"/>
                <w:highlight w:val="none"/>
              </w:rPr>
              <w:t>解</w:t>
            </w:r>
          </w:p>
        </w:tc>
        <w:tc>
          <w:tcPr>
            <w:tcW w:w="910" w:type="dxa"/>
            <w:vAlign w:val="center"/>
          </w:tcPr>
          <w:p w14:paraId="4C994876">
            <w:pPr>
              <w:pStyle w:val="10"/>
              <w:spacing w:before="65" w:line="228" w:lineRule="auto"/>
              <w:jc w:val="center"/>
              <w:rPr>
                <w:rFonts w:hint="eastAsia" w:hAnsi="宋体"/>
                <w:color w:val="auto"/>
                <w:sz w:val="21"/>
                <w:szCs w:val="21"/>
                <w:highlight w:val="none"/>
              </w:rPr>
            </w:pPr>
            <w:r>
              <w:rPr>
                <w:rFonts w:hint="eastAsia" w:ascii="Times New Roman" w:hAnsi="Times New Roman" w:eastAsia="宋体" w:cs="Times New Roman"/>
                <w:color w:val="auto"/>
                <w:spacing w:val="-5"/>
                <w:sz w:val="21"/>
                <w:szCs w:val="21"/>
                <w:highlight w:val="none"/>
                <w:lang w:val="en-US" w:eastAsia="zh-CN"/>
              </w:rPr>
              <w:t>5</w:t>
            </w:r>
            <w:r>
              <w:rPr>
                <w:color w:val="auto"/>
                <w:spacing w:val="-5"/>
                <w:sz w:val="21"/>
                <w:szCs w:val="21"/>
                <w:highlight w:val="none"/>
              </w:rPr>
              <w:t>分</w:t>
            </w:r>
          </w:p>
        </w:tc>
        <w:tc>
          <w:tcPr>
            <w:tcW w:w="4781" w:type="dxa"/>
            <w:vAlign w:val="top"/>
          </w:tcPr>
          <w:p w14:paraId="169A2B80">
            <w:pPr>
              <w:pStyle w:val="10"/>
              <w:spacing w:before="76" w:line="227" w:lineRule="auto"/>
              <w:ind w:left="1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理解基本准确，思路欠合理，得</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6"/>
                <w:sz w:val="21"/>
                <w:szCs w:val="21"/>
                <w:highlight w:val="none"/>
                <w:lang w:val="en-US" w:eastAsia="zh-CN"/>
              </w:rPr>
              <w:t>3</w:t>
            </w:r>
            <w:r>
              <w:rPr>
                <w:rFonts w:hint="eastAsia" w:ascii="宋体" w:hAnsi="宋体" w:eastAsia="宋体" w:cs="宋体"/>
                <w:color w:val="auto"/>
                <w:spacing w:val="6"/>
                <w:sz w:val="21"/>
                <w:szCs w:val="21"/>
                <w:highlight w:val="none"/>
              </w:rPr>
              <w:t>分；</w:t>
            </w:r>
          </w:p>
          <w:p w14:paraId="052F95FC">
            <w:pPr>
              <w:pStyle w:val="10"/>
              <w:spacing w:before="73" w:line="227" w:lineRule="auto"/>
              <w:ind w:left="1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理解基本准确，思路一般，得</w:t>
            </w:r>
            <w:r>
              <w:rPr>
                <w:rFonts w:hint="eastAsia" w:ascii="宋体" w:hAnsi="宋体" w:eastAsia="宋体" w:cs="宋体"/>
                <w:color w:val="auto"/>
                <w:spacing w:val="-27"/>
                <w:sz w:val="21"/>
                <w:szCs w:val="21"/>
                <w:highlight w:val="none"/>
              </w:rPr>
              <w:t xml:space="preserve"> </w:t>
            </w:r>
            <w:r>
              <w:rPr>
                <w:rFonts w:hint="eastAsia" w:ascii="宋体" w:hAnsi="宋体" w:eastAsia="宋体" w:cs="宋体"/>
                <w:color w:val="auto"/>
                <w:spacing w:val="4"/>
                <w:sz w:val="21"/>
                <w:szCs w:val="21"/>
                <w:highlight w:val="none"/>
                <w:lang w:val="en-US" w:eastAsia="zh-CN"/>
              </w:rPr>
              <w:t>3</w:t>
            </w: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4</w:t>
            </w:r>
            <w:r>
              <w:rPr>
                <w:rFonts w:hint="eastAsia" w:ascii="宋体" w:hAnsi="宋体" w:eastAsia="宋体" w:cs="宋体"/>
                <w:color w:val="auto"/>
                <w:spacing w:val="6"/>
                <w:sz w:val="21"/>
                <w:szCs w:val="21"/>
                <w:highlight w:val="none"/>
              </w:rPr>
              <w:t>分；</w:t>
            </w:r>
          </w:p>
          <w:p w14:paraId="5EB42512">
            <w:pPr>
              <w:pStyle w:val="10"/>
              <w:spacing w:before="75" w:line="257" w:lineRule="auto"/>
              <w:ind w:left="12" w:leftChars="0" w:right="259" w:rightChars="0"/>
              <w:rPr>
                <w:rFonts w:hint="eastAsia" w:ascii="宋体" w:hAnsi="宋体" w:eastAsia="宋体" w:cs="宋体"/>
                <w:color w:val="auto"/>
                <w:spacing w:val="-4"/>
                <w:sz w:val="21"/>
                <w:szCs w:val="21"/>
                <w:highlight w:val="none"/>
                <w:lang w:eastAsia="zh-CN"/>
              </w:rPr>
            </w:pPr>
            <w:r>
              <w:rPr>
                <w:rFonts w:hint="eastAsia" w:ascii="宋体" w:hAnsi="宋体" w:eastAsia="宋体" w:cs="宋体"/>
                <w:color w:val="auto"/>
                <w:spacing w:val="9"/>
                <w:sz w:val="21"/>
                <w:szCs w:val="21"/>
                <w:highlight w:val="none"/>
              </w:rPr>
              <w:t>理解准确，思路清晰，全面、合理，符合项目要</w:t>
            </w:r>
            <w:r>
              <w:rPr>
                <w:rFonts w:hint="eastAsia" w:ascii="宋体" w:hAnsi="宋体" w:eastAsia="宋体" w:cs="宋体"/>
                <w:color w:val="auto"/>
                <w:spacing w:val="2"/>
                <w:sz w:val="21"/>
                <w:szCs w:val="21"/>
                <w:highlight w:val="none"/>
              </w:rPr>
              <w:t>求，得</w:t>
            </w:r>
            <w:r>
              <w:rPr>
                <w:rFonts w:hint="eastAsia" w:ascii="宋体" w:hAnsi="宋体" w:eastAsia="宋体" w:cs="宋体"/>
                <w:color w:val="auto"/>
                <w:spacing w:val="-29"/>
                <w:sz w:val="21"/>
                <w:szCs w:val="21"/>
                <w:highlight w:val="none"/>
              </w:rPr>
              <w:t xml:space="preserve"> </w:t>
            </w:r>
            <w:r>
              <w:rPr>
                <w:rFonts w:hint="eastAsia" w:ascii="宋体" w:hAnsi="宋体" w:eastAsia="宋体" w:cs="宋体"/>
                <w:color w:val="auto"/>
                <w:spacing w:val="2"/>
                <w:sz w:val="21"/>
                <w:szCs w:val="21"/>
                <w:highlight w:val="none"/>
                <w:lang w:val="en-US" w:eastAsia="zh-CN"/>
              </w:rPr>
              <w:t>4-5</w:t>
            </w:r>
            <w:r>
              <w:rPr>
                <w:rFonts w:hint="eastAsia" w:ascii="宋体" w:hAnsi="宋体" w:eastAsia="宋体" w:cs="宋体"/>
                <w:color w:val="auto"/>
                <w:spacing w:val="2"/>
                <w:sz w:val="21"/>
                <w:szCs w:val="21"/>
                <w:highlight w:val="none"/>
              </w:rPr>
              <w:t>分。</w:t>
            </w:r>
          </w:p>
        </w:tc>
      </w:tr>
      <w:tr w14:paraId="0332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41" w:type="dxa"/>
            <w:vMerge w:val="continue"/>
            <w:vAlign w:val="center"/>
          </w:tcPr>
          <w:p w14:paraId="2388D98F">
            <w:pPr>
              <w:pStyle w:val="4"/>
              <w:snapToGrid w:val="0"/>
              <w:spacing w:line="320" w:lineRule="exact"/>
              <w:jc w:val="center"/>
              <w:rPr>
                <w:rFonts w:hint="eastAsia" w:hAnsi="宋体"/>
                <w:color w:val="auto"/>
                <w:sz w:val="21"/>
                <w:szCs w:val="21"/>
                <w:highlight w:val="none"/>
                <w:lang w:eastAsia="zh-CN"/>
              </w:rPr>
            </w:pPr>
          </w:p>
        </w:tc>
        <w:tc>
          <w:tcPr>
            <w:tcW w:w="979" w:type="dxa"/>
            <w:vMerge w:val="continue"/>
            <w:vAlign w:val="center"/>
          </w:tcPr>
          <w:p w14:paraId="2876AA50">
            <w:pPr>
              <w:pStyle w:val="4"/>
              <w:snapToGrid w:val="0"/>
              <w:spacing w:line="320" w:lineRule="exact"/>
              <w:jc w:val="center"/>
              <w:rPr>
                <w:rFonts w:hint="eastAsia" w:hAnsi="宋体"/>
                <w:color w:val="auto"/>
                <w:sz w:val="21"/>
                <w:szCs w:val="21"/>
                <w:highlight w:val="none"/>
                <w:lang w:eastAsia="zh-CN"/>
              </w:rPr>
            </w:pPr>
          </w:p>
        </w:tc>
        <w:tc>
          <w:tcPr>
            <w:tcW w:w="675" w:type="dxa"/>
            <w:vMerge w:val="continue"/>
            <w:vAlign w:val="center"/>
          </w:tcPr>
          <w:p w14:paraId="6A34C69C">
            <w:pPr>
              <w:pStyle w:val="4"/>
              <w:snapToGrid w:val="0"/>
              <w:spacing w:line="320" w:lineRule="exact"/>
              <w:jc w:val="center"/>
              <w:rPr>
                <w:rFonts w:hint="eastAsia" w:hAnsi="宋体"/>
                <w:color w:val="auto"/>
                <w:sz w:val="21"/>
                <w:szCs w:val="21"/>
                <w:highlight w:val="none"/>
                <w:lang w:eastAsia="zh-CN"/>
              </w:rPr>
            </w:pPr>
          </w:p>
        </w:tc>
        <w:tc>
          <w:tcPr>
            <w:tcW w:w="1566" w:type="dxa"/>
            <w:vAlign w:val="center"/>
          </w:tcPr>
          <w:p w14:paraId="227CA438">
            <w:pPr>
              <w:pStyle w:val="1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hAnsi="宋体"/>
                <w:color w:val="auto"/>
                <w:sz w:val="21"/>
                <w:szCs w:val="21"/>
                <w:highlight w:val="none"/>
                <w:lang w:val="en-US" w:eastAsia="zh-CN"/>
              </w:rPr>
            </w:pPr>
            <w:r>
              <w:rPr>
                <w:color w:val="auto"/>
                <w:spacing w:val="8"/>
                <w:sz w:val="21"/>
                <w:szCs w:val="21"/>
                <w:highlight w:val="none"/>
              </w:rPr>
              <w:t>对招标项目的特点、关键技术问题的认识及其对策措施</w:t>
            </w:r>
          </w:p>
        </w:tc>
        <w:tc>
          <w:tcPr>
            <w:tcW w:w="910" w:type="dxa"/>
            <w:vAlign w:val="center"/>
          </w:tcPr>
          <w:p w14:paraId="7AC986B3">
            <w:pPr>
              <w:pStyle w:val="10"/>
              <w:spacing w:before="65" w:line="228" w:lineRule="auto"/>
              <w:jc w:val="center"/>
              <w:rPr>
                <w:rFonts w:hint="eastAsia" w:hAnsi="宋体"/>
                <w:color w:val="auto"/>
                <w:sz w:val="21"/>
                <w:szCs w:val="21"/>
                <w:highlight w:val="none"/>
              </w:rPr>
            </w:pPr>
            <w:r>
              <w:rPr>
                <w:rFonts w:hint="eastAsia" w:ascii="Times New Roman" w:hAnsi="Times New Roman" w:cs="Times New Roman"/>
                <w:color w:val="auto"/>
                <w:spacing w:val="-5"/>
                <w:sz w:val="21"/>
                <w:szCs w:val="21"/>
                <w:highlight w:val="none"/>
                <w:lang w:val="en-US" w:eastAsia="zh-CN"/>
              </w:rPr>
              <w:t>10</w:t>
            </w:r>
            <w:r>
              <w:rPr>
                <w:color w:val="auto"/>
                <w:spacing w:val="-5"/>
                <w:sz w:val="21"/>
                <w:szCs w:val="21"/>
                <w:highlight w:val="none"/>
              </w:rPr>
              <w:t>分</w:t>
            </w:r>
          </w:p>
        </w:tc>
        <w:tc>
          <w:tcPr>
            <w:tcW w:w="4781" w:type="dxa"/>
            <w:vAlign w:val="top"/>
          </w:tcPr>
          <w:p w14:paraId="7A407AAB">
            <w:pPr>
              <w:pStyle w:val="10"/>
              <w:spacing w:before="77" w:line="295" w:lineRule="auto"/>
              <w:ind w:left="12" w:right="50" w:firstLine="1"/>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项目的特点和关键技术问题的针对性一般，技术建</w:t>
            </w:r>
            <w:r>
              <w:rPr>
                <w:rFonts w:hint="eastAsia" w:ascii="宋体" w:hAnsi="宋体" w:eastAsia="宋体" w:cs="宋体"/>
                <w:color w:val="auto"/>
                <w:spacing w:val="5"/>
                <w:sz w:val="21"/>
                <w:szCs w:val="21"/>
                <w:highlight w:val="none"/>
              </w:rPr>
              <w:t>议基本可行，得</w:t>
            </w:r>
            <w:r>
              <w:rPr>
                <w:rFonts w:hint="eastAsia" w:cs="宋体"/>
                <w:color w:val="auto"/>
                <w:spacing w:val="-33"/>
                <w:sz w:val="21"/>
                <w:szCs w:val="21"/>
                <w:highlight w:val="none"/>
                <w:lang w:val="en-US" w:eastAsia="zh-CN"/>
              </w:rPr>
              <w:t>6</w:t>
            </w:r>
            <w:r>
              <w:rPr>
                <w:rFonts w:hint="eastAsia" w:ascii="宋体" w:hAnsi="宋体" w:eastAsia="宋体" w:cs="宋体"/>
                <w:color w:val="auto"/>
                <w:spacing w:val="5"/>
                <w:sz w:val="21"/>
                <w:szCs w:val="21"/>
                <w:highlight w:val="none"/>
              </w:rPr>
              <w:t>分；</w:t>
            </w:r>
          </w:p>
          <w:p w14:paraId="58C846BF">
            <w:pPr>
              <w:pStyle w:val="10"/>
              <w:spacing w:before="1" w:line="295" w:lineRule="auto"/>
              <w:ind w:left="12" w:right="50" w:firstLine="1"/>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项目的特点和关键技术问题针对性较强，技术建议</w:t>
            </w:r>
            <w:r>
              <w:rPr>
                <w:rFonts w:hint="eastAsia" w:ascii="宋体" w:hAnsi="宋体" w:eastAsia="宋体" w:cs="宋体"/>
                <w:color w:val="auto"/>
                <w:spacing w:val="3"/>
                <w:sz w:val="21"/>
                <w:szCs w:val="21"/>
                <w:highlight w:val="none"/>
              </w:rPr>
              <w:t>可行，得</w:t>
            </w:r>
            <w:r>
              <w:rPr>
                <w:rFonts w:hint="eastAsia" w:ascii="宋体" w:hAnsi="宋体" w:eastAsia="宋体" w:cs="宋体"/>
                <w:color w:val="auto"/>
                <w:spacing w:val="-27"/>
                <w:sz w:val="21"/>
                <w:szCs w:val="21"/>
                <w:highlight w:val="none"/>
              </w:rPr>
              <w:t xml:space="preserve"> </w:t>
            </w:r>
            <w:r>
              <w:rPr>
                <w:rFonts w:hint="eastAsia" w:cs="宋体"/>
                <w:color w:val="auto"/>
                <w:spacing w:val="4"/>
                <w:sz w:val="21"/>
                <w:szCs w:val="21"/>
                <w:highlight w:val="none"/>
                <w:lang w:val="en-US" w:eastAsia="zh-CN"/>
              </w:rPr>
              <w:t>6</w:t>
            </w:r>
            <w:r>
              <w:rPr>
                <w:rFonts w:hint="eastAsia" w:ascii="宋体" w:hAnsi="宋体" w:eastAsia="宋体" w:cs="宋体"/>
                <w:color w:val="auto"/>
                <w:spacing w:val="4"/>
                <w:sz w:val="21"/>
                <w:szCs w:val="21"/>
                <w:highlight w:val="none"/>
              </w:rPr>
              <w:t>-</w:t>
            </w:r>
            <w:r>
              <w:rPr>
                <w:rFonts w:hint="eastAsia" w:cs="宋体"/>
                <w:color w:val="auto"/>
                <w:spacing w:val="4"/>
                <w:sz w:val="21"/>
                <w:szCs w:val="21"/>
                <w:highlight w:val="none"/>
                <w:lang w:val="en-US" w:eastAsia="zh-CN"/>
              </w:rPr>
              <w:t>8</w:t>
            </w:r>
            <w:r>
              <w:rPr>
                <w:rFonts w:hint="eastAsia" w:ascii="宋体" w:hAnsi="宋体" w:eastAsia="宋体" w:cs="宋体"/>
                <w:color w:val="auto"/>
                <w:spacing w:val="3"/>
                <w:sz w:val="21"/>
                <w:szCs w:val="21"/>
                <w:highlight w:val="none"/>
              </w:rPr>
              <w:t>分；</w:t>
            </w:r>
          </w:p>
          <w:p w14:paraId="01055692">
            <w:pPr>
              <w:pStyle w:val="10"/>
              <w:spacing w:before="1" w:line="256" w:lineRule="auto"/>
              <w:ind w:left="13" w:leftChars="0" w:right="50" w:rightChars="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color w:val="auto"/>
                <w:spacing w:val="9"/>
                <w:sz w:val="21"/>
                <w:szCs w:val="21"/>
                <w:highlight w:val="none"/>
              </w:rPr>
              <w:t>项目的特点针对性强，关键技术问题对策明确、合</w:t>
            </w:r>
            <w:r>
              <w:rPr>
                <w:rFonts w:hint="eastAsia" w:ascii="宋体" w:hAnsi="宋体" w:eastAsia="宋体" w:cs="宋体"/>
                <w:color w:val="auto"/>
                <w:spacing w:val="6"/>
                <w:sz w:val="21"/>
                <w:szCs w:val="21"/>
                <w:highlight w:val="none"/>
              </w:rPr>
              <w:t>理，技术建议科学、有效、可行，得</w:t>
            </w:r>
            <w:r>
              <w:rPr>
                <w:rFonts w:hint="eastAsia" w:cs="宋体"/>
                <w:color w:val="auto"/>
                <w:spacing w:val="-23"/>
                <w:sz w:val="21"/>
                <w:szCs w:val="21"/>
                <w:highlight w:val="none"/>
                <w:lang w:val="en-US" w:eastAsia="zh-CN"/>
              </w:rPr>
              <w:t>8</w:t>
            </w:r>
            <w:r>
              <w:rPr>
                <w:rFonts w:hint="eastAsia" w:ascii="宋体" w:hAnsi="宋体" w:eastAsia="宋体" w:cs="宋体"/>
                <w:color w:val="auto"/>
                <w:spacing w:val="6"/>
                <w:sz w:val="21"/>
                <w:szCs w:val="21"/>
                <w:highlight w:val="none"/>
                <w:lang w:val="en-US" w:eastAsia="zh-CN"/>
              </w:rPr>
              <w:t>-</w:t>
            </w:r>
            <w:r>
              <w:rPr>
                <w:rFonts w:hint="eastAsia" w:cs="宋体"/>
                <w:color w:val="auto"/>
                <w:spacing w:val="6"/>
                <w:sz w:val="21"/>
                <w:szCs w:val="21"/>
                <w:highlight w:val="none"/>
                <w:lang w:val="en-US" w:eastAsia="zh-CN"/>
              </w:rPr>
              <w:t>10</w:t>
            </w:r>
            <w:r>
              <w:rPr>
                <w:rFonts w:hint="eastAsia" w:ascii="宋体" w:hAnsi="宋体" w:eastAsia="宋体" w:cs="宋体"/>
                <w:color w:val="auto"/>
                <w:spacing w:val="6"/>
                <w:sz w:val="21"/>
                <w:szCs w:val="21"/>
                <w:highlight w:val="none"/>
              </w:rPr>
              <w:t>分。</w:t>
            </w:r>
          </w:p>
        </w:tc>
      </w:tr>
      <w:tr w14:paraId="753F9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41" w:type="dxa"/>
            <w:vMerge w:val="continue"/>
            <w:vAlign w:val="center"/>
          </w:tcPr>
          <w:p w14:paraId="0DF97FFE">
            <w:pPr>
              <w:pStyle w:val="4"/>
              <w:snapToGrid w:val="0"/>
              <w:spacing w:line="320" w:lineRule="exact"/>
              <w:jc w:val="center"/>
              <w:rPr>
                <w:rFonts w:hint="eastAsia" w:hAnsi="宋体"/>
                <w:color w:val="auto"/>
                <w:sz w:val="21"/>
                <w:szCs w:val="21"/>
                <w:highlight w:val="none"/>
                <w:lang w:eastAsia="zh-CN"/>
              </w:rPr>
            </w:pPr>
          </w:p>
        </w:tc>
        <w:tc>
          <w:tcPr>
            <w:tcW w:w="979" w:type="dxa"/>
            <w:vMerge w:val="continue"/>
            <w:vAlign w:val="center"/>
          </w:tcPr>
          <w:p w14:paraId="3C6BDA11">
            <w:pPr>
              <w:pStyle w:val="4"/>
              <w:snapToGrid w:val="0"/>
              <w:spacing w:line="320" w:lineRule="exact"/>
              <w:jc w:val="center"/>
              <w:rPr>
                <w:rFonts w:hint="eastAsia" w:hAnsi="宋体"/>
                <w:color w:val="auto"/>
                <w:sz w:val="21"/>
                <w:szCs w:val="21"/>
                <w:highlight w:val="none"/>
                <w:lang w:eastAsia="zh-CN"/>
              </w:rPr>
            </w:pPr>
          </w:p>
        </w:tc>
        <w:tc>
          <w:tcPr>
            <w:tcW w:w="675" w:type="dxa"/>
            <w:vMerge w:val="continue"/>
            <w:vAlign w:val="center"/>
          </w:tcPr>
          <w:p w14:paraId="7E37EB3C">
            <w:pPr>
              <w:pStyle w:val="4"/>
              <w:snapToGrid w:val="0"/>
              <w:spacing w:line="320" w:lineRule="exact"/>
              <w:jc w:val="center"/>
              <w:rPr>
                <w:rFonts w:hint="eastAsia" w:hAnsi="宋体"/>
                <w:color w:val="auto"/>
                <w:sz w:val="21"/>
                <w:szCs w:val="21"/>
                <w:highlight w:val="none"/>
                <w:lang w:eastAsia="zh-CN"/>
              </w:rPr>
            </w:pPr>
          </w:p>
        </w:tc>
        <w:tc>
          <w:tcPr>
            <w:tcW w:w="1566" w:type="dxa"/>
            <w:vAlign w:val="center"/>
          </w:tcPr>
          <w:p w14:paraId="1B4FBB69">
            <w:pPr>
              <w:pStyle w:val="1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hAnsi="宋体"/>
                <w:color w:val="auto"/>
                <w:sz w:val="21"/>
                <w:szCs w:val="21"/>
                <w:highlight w:val="none"/>
                <w:lang w:val="en-US" w:eastAsia="zh-CN"/>
              </w:rPr>
            </w:pPr>
            <w:r>
              <w:rPr>
                <w:color w:val="auto"/>
                <w:spacing w:val="8"/>
                <w:sz w:val="21"/>
                <w:szCs w:val="21"/>
                <w:highlight w:val="none"/>
              </w:rPr>
              <w:t>检测方法和评</w:t>
            </w:r>
            <w:r>
              <w:rPr>
                <w:color w:val="auto"/>
                <w:spacing w:val="7"/>
                <w:sz w:val="21"/>
                <w:szCs w:val="21"/>
                <w:highlight w:val="none"/>
              </w:rPr>
              <w:t>价分析方法</w:t>
            </w:r>
          </w:p>
        </w:tc>
        <w:tc>
          <w:tcPr>
            <w:tcW w:w="910" w:type="dxa"/>
            <w:vAlign w:val="center"/>
          </w:tcPr>
          <w:p w14:paraId="06306BC5">
            <w:pPr>
              <w:pStyle w:val="10"/>
              <w:spacing w:before="65" w:line="228" w:lineRule="auto"/>
              <w:jc w:val="center"/>
              <w:rPr>
                <w:rFonts w:hint="eastAsia" w:hAnsi="宋体"/>
                <w:color w:val="auto"/>
                <w:sz w:val="21"/>
                <w:szCs w:val="21"/>
                <w:highlight w:val="none"/>
              </w:rPr>
            </w:pPr>
            <w:r>
              <w:rPr>
                <w:rFonts w:hint="eastAsia" w:ascii="Times New Roman" w:hAnsi="Times New Roman" w:eastAsia="宋体" w:cs="Times New Roman"/>
                <w:color w:val="auto"/>
                <w:spacing w:val="-3"/>
                <w:sz w:val="21"/>
                <w:szCs w:val="21"/>
                <w:highlight w:val="none"/>
                <w:lang w:val="en-US" w:eastAsia="zh-CN"/>
              </w:rPr>
              <w:t>10</w:t>
            </w:r>
            <w:r>
              <w:rPr>
                <w:color w:val="auto"/>
                <w:spacing w:val="-3"/>
                <w:sz w:val="21"/>
                <w:szCs w:val="21"/>
                <w:highlight w:val="none"/>
              </w:rPr>
              <w:t>分</w:t>
            </w:r>
          </w:p>
        </w:tc>
        <w:tc>
          <w:tcPr>
            <w:tcW w:w="4781" w:type="dxa"/>
            <w:vAlign w:val="top"/>
          </w:tcPr>
          <w:p w14:paraId="1DC252BA">
            <w:pPr>
              <w:pStyle w:val="10"/>
              <w:spacing w:before="78" w:line="226" w:lineRule="auto"/>
              <w:ind w:left="10"/>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检测方法和评价分析方法基本适合本项目，得</w:t>
            </w:r>
            <w:r>
              <w:rPr>
                <w:rFonts w:hint="eastAsia" w:cs="宋体"/>
                <w:color w:val="auto"/>
                <w:spacing w:val="-55"/>
                <w:sz w:val="21"/>
                <w:szCs w:val="21"/>
                <w:highlight w:val="none"/>
                <w:lang w:val="en-US" w:eastAsia="zh-CN"/>
              </w:rPr>
              <w:t>6</w:t>
            </w:r>
            <w:r>
              <w:rPr>
                <w:rFonts w:hint="eastAsia" w:ascii="宋体" w:hAnsi="宋体" w:eastAsia="宋体" w:cs="宋体"/>
                <w:color w:val="auto"/>
                <w:spacing w:val="-2"/>
                <w:sz w:val="21"/>
                <w:szCs w:val="21"/>
                <w:highlight w:val="none"/>
              </w:rPr>
              <w:t>分；</w:t>
            </w:r>
          </w:p>
          <w:p w14:paraId="3B065FB6">
            <w:pPr>
              <w:pStyle w:val="10"/>
              <w:spacing w:before="73" w:line="296" w:lineRule="auto"/>
              <w:ind w:left="12" w:right="406" w:hanging="2"/>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检测方法和评价分析方法较为适合本项目，得</w:t>
            </w:r>
            <w:r>
              <w:rPr>
                <w:rFonts w:hint="eastAsia" w:ascii="宋体" w:hAnsi="宋体" w:eastAsia="宋体" w:cs="宋体"/>
                <w:color w:val="auto"/>
                <w:spacing w:val="-52"/>
                <w:sz w:val="21"/>
                <w:szCs w:val="21"/>
                <w:highlight w:val="none"/>
              </w:rPr>
              <w:t xml:space="preserve"> </w:t>
            </w:r>
            <w:r>
              <w:rPr>
                <w:rFonts w:hint="eastAsia"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val="en-US" w:eastAsia="zh-CN"/>
              </w:rPr>
              <w:t>-</w:t>
            </w:r>
            <w:r>
              <w:rPr>
                <w:rFonts w:hint="eastAsia"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lang w:val="en-US" w:eastAsia="zh-CN"/>
              </w:rPr>
              <w:t>分</w:t>
            </w:r>
            <w:r>
              <w:rPr>
                <w:rFonts w:hint="eastAsia" w:ascii="宋体" w:hAnsi="宋体" w:eastAsia="宋体" w:cs="宋体"/>
                <w:color w:val="auto"/>
                <w:spacing w:val="-1"/>
                <w:sz w:val="21"/>
                <w:szCs w:val="21"/>
                <w:highlight w:val="none"/>
              </w:rPr>
              <w:t>；</w:t>
            </w:r>
          </w:p>
          <w:p w14:paraId="46A89683">
            <w:pPr>
              <w:pStyle w:val="10"/>
              <w:spacing w:line="217" w:lineRule="auto"/>
              <w:ind w:left="10" w:leftChars="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color w:val="auto"/>
                <w:spacing w:val="-1"/>
                <w:sz w:val="21"/>
                <w:szCs w:val="21"/>
                <w:highlight w:val="none"/>
              </w:rPr>
              <w:t>检测方法和评价分析方法适合本项目，得</w:t>
            </w:r>
            <w:r>
              <w:rPr>
                <w:rFonts w:hint="eastAsia" w:cs="宋体"/>
                <w:color w:val="auto"/>
                <w:spacing w:val="-1"/>
                <w:sz w:val="21"/>
                <w:szCs w:val="21"/>
                <w:highlight w:val="none"/>
                <w:lang w:val="en-US" w:eastAsia="zh-CN"/>
              </w:rPr>
              <w:t>8</w:t>
            </w:r>
            <w:r>
              <w:rPr>
                <w:rFonts w:hint="eastAsia" w:ascii="宋体" w:hAnsi="宋体" w:eastAsia="宋体" w:cs="宋体"/>
                <w:color w:val="auto"/>
                <w:spacing w:val="-1"/>
                <w:sz w:val="21"/>
                <w:szCs w:val="21"/>
                <w:highlight w:val="none"/>
              </w:rPr>
              <w:t>-</w:t>
            </w:r>
            <w:r>
              <w:rPr>
                <w:rFonts w:hint="eastAsia" w:cs="宋体"/>
                <w:color w:val="auto"/>
                <w:spacing w:val="-1"/>
                <w:sz w:val="21"/>
                <w:szCs w:val="21"/>
                <w:highlight w:val="none"/>
                <w:lang w:val="en-US" w:eastAsia="zh-CN"/>
              </w:rPr>
              <w:t>10</w:t>
            </w:r>
            <w:r>
              <w:rPr>
                <w:rFonts w:hint="eastAsia" w:ascii="宋体" w:hAnsi="宋体" w:eastAsia="宋体" w:cs="宋体"/>
                <w:color w:val="auto"/>
                <w:spacing w:val="-1"/>
                <w:sz w:val="21"/>
                <w:szCs w:val="21"/>
                <w:highlight w:val="none"/>
              </w:rPr>
              <w:t>分。</w:t>
            </w:r>
          </w:p>
        </w:tc>
      </w:tr>
      <w:tr w14:paraId="6BB68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741" w:type="dxa"/>
            <w:vMerge w:val="continue"/>
            <w:vAlign w:val="center"/>
          </w:tcPr>
          <w:p w14:paraId="14D65224">
            <w:pPr>
              <w:pStyle w:val="4"/>
              <w:snapToGrid w:val="0"/>
              <w:spacing w:line="320" w:lineRule="exact"/>
              <w:jc w:val="center"/>
              <w:rPr>
                <w:rFonts w:hint="eastAsia" w:hAnsi="宋体"/>
                <w:color w:val="auto"/>
                <w:sz w:val="21"/>
                <w:szCs w:val="21"/>
                <w:highlight w:val="none"/>
                <w:lang w:eastAsia="zh-CN"/>
              </w:rPr>
            </w:pPr>
          </w:p>
        </w:tc>
        <w:tc>
          <w:tcPr>
            <w:tcW w:w="979" w:type="dxa"/>
            <w:vMerge w:val="continue"/>
            <w:vAlign w:val="center"/>
          </w:tcPr>
          <w:p w14:paraId="40E27B82">
            <w:pPr>
              <w:pStyle w:val="4"/>
              <w:snapToGrid w:val="0"/>
              <w:spacing w:line="320" w:lineRule="exact"/>
              <w:jc w:val="center"/>
              <w:rPr>
                <w:rFonts w:hint="eastAsia" w:hAnsi="宋体"/>
                <w:color w:val="auto"/>
                <w:sz w:val="21"/>
                <w:szCs w:val="21"/>
                <w:highlight w:val="none"/>
                <w:lang w:eastAsia="zh-CN"/>
              </w:rPr>
            </w:pPr>
          </w:p>
        </w:tc>
        <w:tc>
          <w:tcPr>
            <w:tcW w:w="675" w:type="dxa"/>
            <w:vMerge w:val="continue"/>
            <w:vAlign w:val="center"/>
          </w:tcPr>
          <w:p w14:paraId="4F995D3A">
            <w:pPr>
              <w:pStyle w:val="4"/>
              <w:snapToGrid w:val="0"/>
              <w:spacing w:line="320" w:lineRule="exact"/>
              <w:jc w:val="center"/>
              <w:rPr>
                <w:rFonts w:hint="eastAsia" w:hAnsi="宋体"/>
                <w:color w:val="auto"/>
                <w:sz w:val="21"/>
                <w:szCs w:val="21"/>
                <w:highlight w:val="none"/>
                <w:lang w:eastAsia="zh-CN"/>
              </w:rPr>
            </w:pPr>
          </w:p>
        </w:tc>
        <w:tc>
          <w:tcPr>
            <w:tcW w:w="1566" w:type="dxa"/>
            <w:vAlign w:val="center"/>
          </w:tcPr>
          <w:p w14:paraId="7B23C9BA">
            <w:pPr>
              <w:pStyle w:val="10"/>
              <w:keepNext w:val="0"/>
              <w:keepLines w:val="0"/>
              <w:pageBreakBefore w:val="0"/>
              <w:widowControl w:val="0"/>
              <w:kinsoku/>
              <w:wordWrap/>
              <w:overflowPunct/>
              <w:topLinePunct w:val="0"/>
              <w:autoSpaceDE/>
              <w:autoSpaceDN/>
              <w:bidi w:val="0"/>
              <w:adjustRightInd/>
              <w:snapToGrid/>
              <w:spacing w:line="240" w:lineRule="auto"/>
              <w:ind w:right="0" w:rightChars="0"/>
              <w:jc w:val="center"/>
              <w:textAlignment w:val="auto"/>
              <w:rPr>
                <w:rFonts w:hint="default" w:hAnsi="宋体"/>
                <w:color w:val="auto"/>
                <w:sz w:val="21"/>
                <w:szCs w:val="21"/>
                <w:highlight w:val="none"/>
                <w:lang w:val="en-US" w:eastAsia="zh-CN"/>
              </w:rPr>
            </w:pPr>
            <w:r>
              <w:rPr>
                <w:color w:val="auto"/>
                <w:spacing w:val="8"/>
                <w:sz w:val="21"/>
                <w:szCs w:val="21"/>
                <w:highlight w:val="none"/>
              </w:rPr>
              <w:t>质量、安全保</w:t>
            </w:r>
            <w:r>
              <w:rPr>
                <w:color w:val="auto"/>
                <w:spacing w:val="6"/>
                <w:sz w:val="21"/>
                <w:szCs w:val="21"/>
                <w:highlight w:val="none"/>
              </w:rPr>
              <w:t>证措施</w:t>
            </w:r>
          </w:p>
        </w:tc>
        <w:tc>
          <w:tcPr>
            <w:tcW w:w="910" w:type="dxa"/>
            <w:vAlign w:val="center"/>
          </w:tcPr>
          <w:p w14:paraId="3D41548C">
            <w:pPr>
              <w:pStyle w:val="10"/>
              <w:spacing w:before="65" w:line="228" w:lineRule="auto"/>
              <w:jc w:val="center"/>
              <w:rPr>
                <w:rFonts w:hint="eastAsia" w:hAnsi="宋体"/>
                <w:color w:val="auto"/>
                <w:sz w:val="21"/>
                <w:szCs w:val="21"/>
                <w:highlight w:val="none"/>
              </w:rPr>
            </w:pPr>
            <w:r>
              <w:rPr>
                <w:rFonts w:ascii="Times New Roman" w:hAnsi="Times New Roman" w:eastAsia="Times New Roman" w:cs="Times New Roman"/>
                <w:color w:val="auto"/>
                <w:spacing w:val="-3"/>
                <w:sz w:val="21"/>
                <w:szCs w:val="21"/>
                <w:highlight w:val="none"/>
              </w:rPr>
              <w:t>5</w:t>
            </w:r>
            <w:r>
              <w:rPr>
                <w:rFonts w:ascii="Times New Roman" w:hAnsi="Times New Roman" w:eastAsia="Times New Roman" w:cs="Times New Roman"/>
                <w:color w:val="auto"/>
                <w:spacing w:val="4"/>
                <w:sz w:val="21"/>
                <w:szCs w:val="21"/>
                <w:highlight w:val="none"/>
              </w:rPr>
              <w:t xml:space="preserve"> </w:t>
            </w:r>
            <w:r>
              <w:rPr>
                <w:color w:val="auto"/>
                <w:spacing w:val="-3"/>
                <w:sz w:val="21"/>
                <w:szCs w:val="21"/>
                <w:highlight w:val="none"/>
              </w:rPr>
              <w:t>分</w:t>
            </w:r>
          </w:p>
        </w:tc>
        <w:tc>
          <w:tcPr>
            <w:tcW w:w="4781" w:type="dxa"/>
            <w:vAlign w:val="top"/>
          </w:tcPr>
          <w:p w14:paraId="0AB23F82">
            <w:pPr>
              <w:pStyle w:val="10"/>
              <w:spacing w:before="77" w:line="228" w:lineRule="auto"/>
              <w:ind w:left="10"/>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措施一般，得</w:t>
            </w:r>
            <w:r>
              <w:rPr>
                <w:rFonts w:hint="eastAsia" w:ascii="宋体" w:hAnsi="宋体" w:eastAsia="宋体" w:cs="宋体"/>
                <w:color w:val="auto"/>
                <w:spacing w:val="-31"/>
                <w:sz w:val="21"/>
                <w:szCs w:val="21"/>
                <w:highlight w:val="none"/>
              </w:rPr>
              <w:t xml:space="preserve"> </w:t>
            </w:r>
            <w:r>
              <w:rPr>
                <w:rFonts w:hint="eastAsia" w:ascii="宋体" w:hAnsi="宋体" w:eastAsia="宋体" w:cs="宋体"/>
                <w:color w:val="auto"/>
                <w:spacing w:val="4"/>
                <w:sz w:val="21"/>
                <w:szCs w:val="21"/>
                <w:highlight w:val="none"/>
              </w:rPr>
              <w:t>3 分；</w:t>
            </w:r>
          </w:p>
          <w:p w14:paraId="0525CCB2">
            <w:pPr>
              <w:pStyle w:val="10"/>
              <w:spacing w:before="74" w:line="228" w:lineRule="auto"/>
              <w:ind w:left="11"/>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合理，可行，得</w:t>
            </w:r>
            <w:r>
              <w:rPr>
                <w:rFonts w:hint="eastAsia" w:ascii="宋体" w:hAnsi="宋体" w:eastAsia="宋体" w:cs="宋体"/>
                <w:color w:val="auto"/>
                <w:spacing w:val="-39"/>
                <w:sz w:val="21"/>
                <w:szCs w:val="21"/>
                <w:highlight w:val="none"/>
              </w:rPr>
              <w:t xml:space="preserve"> </w:t>
            </w:r>
            <w:r>
              <w:rPr>
                <w:rFonts w:hint="eastAsia" w:ascii="宋体" w:hAnsi="宋体" w:eastAsia="宋体" w:cs="宋体"/>
                <w:color w:val="auto"/>
                <w:spacing w:val="5"/>
                <w:sz w:val="21"/>
                <w:szCs w:val="21"/>
                <w:highlight w:val="none"/>
              </w:rPr>
              <w:t>3-4 分；</w:t>
            </w:r>
          </w:p>
          <w:p w14:paraId="69D52774">
            <w:pPr>
              <w:pStyle w:val="10"/>
              <w:spacing w:before="72" w:line="217" w:lineRule="auto"/>
              <w:ind w:left="10" w:leftChars="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color w:val="auto"/>
                <w:spacing w:val="6"/>
                <w:sz w:val="21"/>
                <w:szCs w:val="21"/>
                <w:highlight w:val="none"/>
              </w:rPr>
              <w:t>科学先进、严密，得</w:t>
            </w:r>
            <w:r>
              <w:rPr>
                <w:rFonts w:hint="eastAsia" w:ascii="宋体" w:hAnsi="宋体" w:eastAsia="宋体" w:cs="宋体"/>
                <w:color w:val="auto"/>
                <w:spacing w:val="-44"/>
                <w:sz w:val="21"/>
                <w:szCs w:val="21"/>
                <w:highlight w:val="none"/>
              </w:rPr>
              <w:t xml:space="preserve"> </w:t>
            </w:r>
            <w:r>
              <w:rPr>
                <w:rFonts w:hint="eastAsia" w:ascii="宋体" w:hAnsi="宋体" w:eastAsia="宋体" w:cs="宋体"/>
                <w:color w:val="auto"/>
                <w:spacing w:val="6"/>
                <w:sz w:val="21"/>
                <w:szCs w:val="21"/>
                <w:highlight w:val="none"/>
              </w:rPr>
              <w:t>4-5 分。</w:t>
            </w:r>
          </w:p>
        </w:tc>
      </w:tr>
      <w:tr w14:paraId="48BCB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41" w:type="dxa"/>
            <w:vMerge w:val="continue"/>
            <w:vAlign w:val="center"/>
          </w:tcPr>
          <w:p w14:paraId="73641C8B">
            <w:pPr>
              <w:pStyle w:val="4"/>
              <w:snapToGrid w:val="0"/>
              <w:spacing w:line="320" w:lineRule="exact"/>
              <w:jc w:val="center"/>
              <w:rPr>
                <w:rFonts w:hint="eastAsia" w:hAnsi="宋体"/>
                <w:color w:val="auto"/>
                <w:sz w:val="21"/>
                <w:szCs w:val="21"/>
                <w:highlight w:val="none"/>
                <w:lang w:eastAsia="zh-CN"/>
              </w:rPr>
            </w:pPr>
          </w:p>
        </w:tc>
        <w:tc>
          <w:tcPr>
            <w:tcW w:w="979" w:type="dxa"/>
            <w:vMerge w:val="continue"/>
            <w:vAlign w:val="center"/>
          </w:tcPr>
          <w:p w14:paraId="583F982A">
            <w:pPr>
              <w:pStyle w:val="4"/>
              <w:snapToGrid w:val="0"/>
              <w:spacing w:line="320" w:lineRule="exact"/>
              <w:jc w:val="center"/>
              <w:rPr>
                <w:rFonts w:hint="eastAsia" w:hAnsi="宋体"/>
                <w:color w:val="auto"/>
                <w:sz w:val="21"/>
                <w:szCs w:val="21"/>
                <w:highlight w:val="none"/>
                <w:lang w:eastAsia="zh-CN"/>
              </w:rPr>
            </w:pPr>
          </w:p>
        </w:tc>
        <w:tc>
          <w:tcPr>
            <w:tcW w:w="675" w:type="dxa"/>
            <w:vMerge w:val="continue"/>
            <w:vAlign w:val="center"/>
          </w:tcPr>
          <w:p w14:paraId="3477E2D0">
            <w:pPr>
              <w:pStyle w:val="4"/>
              <w:snapToGrid w:val="0"/>
              <w:spacing w:line="320" w:lineRule="exact"/>
              <w:jc w:val="center"/>
              <w:rPr>
                <w:rFonts w:hint="eastAsia" w:hAnsi="宋体"/>
                <w:color w:val="auto"/>
                <w:sz w:val="21"/>
                <w:szCs w:val="21"/>
                <w:highlight w:val="none"/>
                <w:lang w:eastAsia="zh-CN"/>
              </w:rPr>
            </w:pPr>
          </w:p>
        </w:tc>
        <w:tc>
          <w:tcPr>
            <w:tcW w:w="1566" w:type="dxa"/>
            <w:vAlign w:val="center"/>
          </w:tcPr>
          <w:p w14:paraId="6A10EACE">
            <w:pPr>
              <w:pStyle w:val="10"/>
              <w:spacing w:before="241" w:line="255" w:lineRule="auto"/>
              <w:ind w:right="79" w:rightChars="0"/>
              <w:jc w:val="center"/>
              <w:rPr>
                <w:rFonts w:hint="default" w:hAnsi="宋体"/>
                <w:color w:val="auto"/>
                <w:sz w:val="21"/>
                <w:szCs w:val="21"/>
                <w:highlight w:val="none"/>
                <w:lang w:val="en-US" w:eastAsia="zh-CN"/>
              </w:rPr>
            </w:pPr>
            <w:r>
              <w:rPr>
                <w:color w:val="auto"/>
                <w:spacing w:val="8"/>
                <w:sz w:val="21"/>
                <w:szCs w:val="21"/>
                <w:highlight w:val="none"/>
              </w:rPr>
              <w:t>本项目工作量及计划安排</w:t>
            </w:r>
          </w:p>
        </w:tc>
        <w:tc>
          <w:tcPr>
            <w:tcW w:w="910" w:type="dxa"/>
            <w:vAlign w:val="center"/>
          </w:tcPr>
          <w:p w14:paraId="6A6271A5">
            <w:pPr>
              <w:pStyle w:val="10"/>
              <w:spacing w:before="65" w:line="228" w:lineRule="auto"/>
              <w:jc w:val="center"/>
              <w:rPr>
                <w:rFonts w:hint="eastAsia" w:hAnsi="宋体"/>
                <w:color w:val="auto"/>
                <w:sz w:val="21"/>
                <w:szCs w:val="21"/>
                <w:highlight w:val="none"/>
              </w:rPr>
            </w:pPr>
            <w:r>
              <w:rPr>
                <w:rFonts w:ascii="Times New Roman" w:hAnsi="Times New Roman" w:eastAsia="Times New Roman" w:cs="Times New Roman"/>
                <w:color w:val="auto"/>
                <w:spacing w:val="-3"/>
                <w:sz w:val="21"/>
                <w:szCs w:val="21"/>
                <w:highlight w:val="none"/>
              </w:rPr>
              <w:t>5</w:t>
            </w:r>
            <w:r>
              <w:rPr>
                <w:rFonts w:ascii="Times New Roman" w:hAnsi="Times New Roman" w:eastAsia="Times New Roman" w:cs="Times New Roman"/>
                <w:color w:val="auto"/>
                <w:spacing w:val="4"/>
                <w:sz w:val="21"/>
                <w:szCs w:val="21"/>
                <w:highlight w:val="none"/>
              </w:rPr>
              <w:t xml:space="preserve"> </w:t>
            </w:r>
            <w:r>
              <w:rPr>
                <w:color w:val="auto"/>
                <w:spacing w:val="-3"/>
                <w:sz w:val="21"/>
                <w:szCs w:val="21"/>
                <w:highlight w:val="none"/>
              </w:rPr>
              <w:t>分</w:t>
            </w:r>
          </w:p>
        </w:tc>
        <w:tc>
          <w:tcPr>
            <w:tcW w:w="4781" w:type="dxa"/>
            <w:vAlign w:val="top"/>
          </w:tcPr>
          <w:p w14:paraId="1B05D359">
            <w:pPr>
              <w:pStyle w:val="10"/>
              <w:spacing w:before="80" w:line="227" w:lineRule="auto"/>
              <w:ind w:left="13"/>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工作量及计划安排基本合理，得</w:t>
            </w:r>
            <w:r>
              <w:rPr>
                <w:rFonts w:hint="eastAsia" w:ascii="宋体" w:hAnsi="宋体" w:eastAsia="宋体" w:cs="宋体"/>
                <w:color w:val="auto"/>
                <w:spacing w:val="-39"/>
                <w:sz w:val="21"/>
                <w:szCs w:val="21"/>
                <w:highlight w:val="none"/>
              </w:rPr>
              <w:t xml:space="preserve"> </w:t>
            </w:r>
            <w:r>
              <w:rPr>
                <w:rFonts w:hint="eastAsia" w:ascii="宋体" w:hAnsi="宋体" w:eastAsia="宋体" w:cs="宋体"/>
                <w:color w:val="auto"/>
                <w:spacing w:val="7"/>
                <w:sz w:val="21"/>
                <w:szCs w:val="21"/>
                <w:highlight w:val="none"/>
              </w:rPr>
              <w:t>3 分；</w:t>
            </w:r>
          </w:p>
          <w:p w14:paraId="4D45C5F5">
            <w:pPr>
              <w:pStyle w:val="10"/>
              <w:spacing w:before="72" w:line="228" w:lineRule="auto"/>
              <w:ind w:left="13"/>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工作量及计划安排合理，得</w:t>
            </w:r>
            <w:r>
              <w:rPr>
                <w:rFonts w:hint="eastAsia" w:ascii="宋体" w:hAnsi="宋体" w:eastAsia="宋体" w:cs="宋体"/>
                <w:color w:val="auto"/>
                <w:spacing w:val="-36"/>
                <w:sz w:val="21"/>
                <w:szCs w:val="21"/>
                <w:highlight w:val="none"/>
              </w:rPr>
              <w:t xml:space="preserve"> </w:t>
            </w:r>
            <w:r>
              <w:rPr>
                <w:rFonts w:hint="eastAsia" w:ascii="宋体" w:hAnsi="宋体" w:eastAsia="宋体" w:cs="宋体"/>
                <w:color w:val="auto"/>
                <w:spacing w:val="6"/>
                <w:sz w:val="21"/>
                <w:szCs w:val="21"/>
                <w:highlight w:val="none"/>
              </w:rPr>
              <w:t>3-4 分；</w:t>
            </w:r>
          </w:p>
          <w:p w14:paraId="41095A56">
            <w:pPr>
              <w:pStyle w:val="10"/>
              <w:spacing w:before="73" w:line="216" w:lineRule="auto"/>
              <w:ind w:left="13" w:leftChars="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color w:val="auto"/>
                <w:spacing w:val="7"/>
                <w:sz w:val="21"/>
                <w:szCs w:val="21"/>
                <w:highlight w:val="none"/>
              </w:rPr>
              <w:t>工作量及计划安排科学，安排周密，得</w:t>
            </w:r>
            <w:r>
              <w:rPr>
                <w:rFonts w:hint="eastAsia" w:ascii="宋体" w:hAnsi="宋体" w:eastAsia="宋体" w:cs="宋体"/>
                <w:color w:val="auto"/>
                <w:spacing w:val="-38"/>
                <w:sz w:val="21"/>
                <w:szCs w:val="21"/>
                <w:highlight w:val="none"/>
              </w:rPr>
              <w:t xml:space="preserve"> </w:t>
            </w:r>
            <w:r>
              <w:rPr>
                <w:rFonts w:hint="eastAsia" w:ascii="宋体" w:hAnsi="宋体" w:eastAsia="宋体" w:cs="宋体"/>
                <w:color w:val="auto"/>
                <w:spacing w:val="7"/>
                <w:sz w:val="21"/>
                <w:szCs w:val="21"/>
                <w:highlight w:val="none"/>
              </w:rPr>
              <w:t>4-5 分。</w:t>
            </w:r>
          </w:p>
        </w:tc>
      </w:tr>
      <w:tr w14:paraId="278B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741" w:type="dxa"/>
            <w:vMerge w:val="continue"/>
            <w:vAlign w:val="center"/>
          </w:tcPr>
          <w:p w14:paraId="49E871D0">
            <w:pPr>
              <w:pStyle w:val="4"/>
              <w:snapToGrid w:val="0"/>
              <w:spacing w:line="320" w:lineRule="exact"/>
              <w:jc w:val="center"/>
              <w:rPr>
                <w:rFonts w:hint="eastAsia" w:hAnsi="宋体"/>
                <w:color w:val="auto"/>
                <w:sz w:val="21"/>
                <w:szCs w:val="21"/>
                <w:highlight w:val="none"/>
                <w:lang w:eastAsia="zh-CN"/>
              </w:rPr>
            </w:pPr>
          </w:p>
        </w:tc>
        <w:tc>
          <w:tcPr>
            <w:tcW w:w="979" w:type="dxa"/>
            <w:vMerge w:val="continue"/>
            <w:vAlign w:val="center"/>
          </w:tcPr>
          <w:p w14:paraId="608C9DA6">
            <w:pPr>
              <w:pStyle w:val="4"/>
              <w:snapToGrid w:val="0"/>
              <w:spacing w:line="320" w:lineRule="exact"/>
              <w:jc w:val="center"/>
              <w:rPr>
                <w:rFonts w:hint="eastAsia" w:hAnsi="宋体"/>
                <w:color w:val="auto"/>
                <w:sz w:val="21"/>
                <w:szCs w:val="21"/>
                <w:highlight w:val="none"/>
                <w:lang w:eastAsia="zh-CN"/>
              </w:rPr>
            </w:pPr>
          </w:p>
        </w:tc>
        <w:tc>
          <w:tcPr>
            <w:tcW w:w="675" w:type="dxa"/>
            <w:vMerge w:val="continue"/>
            <w:vAlign w:val="center"/>
          </w:tcPr>
          <w:p w14:paraId="46E8E22A">
            <w:pPr>
              <w:pStyle w:val="4"/>
              <w:snapToGrid w:val="0"/>
              <w:spacing w:line="320" w:lineRule="exact"/>
              <w:jc w:val="center"/>
              <w:rPr>
                <w:rFonts w:hint="eastAsia" w:hAnsi="宋体"/>
                <w:color w:val="auto"/>
                <w:sz w:val="21"/>
                <w:szCs w:val="21"/>
                <w:highlight w:val="none"/>
                <w:lang w:eastAsia="zh-CN"/>
              </w:rPr>
            </w:pPr>
          </w:p>
        </w:tc>
        <w:tc>
          <w:tcPr>
            <w:tcW w:w="1566" w:type="dxa"/>
            <w:vAlign w:val="center"/>
          </w:tcPr>
          <w:p w14:paraId="6097CCF3">
            <w:pPr>
              <w:pStyle w:val="10"/>
              <w:spacing w:before="65" w:line="228" w:lineRule="auto"/>
              <w:jc w:val="center"/>
              <w:rPr>
                <w:rFonts w:hint="default" w:hAnsi="宋体"/>
                <w:color w:val="auto"/>
                <w:sz w:val="21"/>
                <w:szCs w:val="21"/>
                <w:highlight w:val="none"/>
                <w:lang w:val="en-US" w:eastAsia="zh-CN"/>
              </w:rPr>
            </w:pPr>
            <w:r>
              <w:rPr>
                <w:color w:val="auto"/>
                <w:spacing w:val="7"/>
                <w:sz w:val="21"/>
                <w:szCs w:val="21"/>
                <w:highlight w:val="none"/>
              </w:rPr>
              <w:t>交通组织方案</w:t>
            </w:r>
          </w:p>
        </w:tc>
        <w:tc>
          <w:tcPr>
            <w:tcW w:w="910" w:type="dxa"/>
            <w:vAlign w:val="center"/>
          </w:tcPr>
          <w:p w14:paraId="58A5F78D">
            <w:pPr>
              <w:pStyle w:val="10"/>
              <w:spacing w:before="65" w:line="228" w:lineRule="auto"/>
              <w:jc w:val="center"/>
              <w:rPr>
                <w:rFonts w:hint="eastAsia" w:hAnsi="宋体"/>
                <w:color w:val="auto"/>
                <w:sz w:val="21"/>
                <w:szCs w:val="21"/>
                <w:highlight w:val="none"/>
              </w:rPr>
            </w:pPr>
            <w:r>
              <w:rPr>
                <w:rFonts w:ascii="Times New Roman" w:hAnsi="Times New Roman" w:eastAsia="Times New Roman" w:cs="Times New Roman"/>
                <w:color w:val="auto"/>
                <w:spacing w:val="-3"/>
                <w:sz w:val="21"/>
                <w:szCs w:val="21"/>
                <w:highlight w:val="none"/>
              </w:rPr>
              <w:t>5</w:t>
            </w:r>
            <w:r>
              <w:rPr>
                <w:rFonts w:ascii="Times New Roman" w:hAnsi="Times New Roman" w:eastAsia="Times New Roman" w:cs="Times New Roman"/>
                <w:color w:val="auto"/>
                <w:spacing w:val="4"/>
                <w:sz w:val="21"/>
                <w:szCs w:val="21"/>
                <w:highlight w:val="none"/>
              </w:rPr>
              <w:t xml:space="preserve"> </w:t>
            </w:r>
            <w:r>
              <w:rPr>
                <w:color w:val="auto"/>
                <w:spacing w:val="-3"/>
                <w:sz w:val="21"/>
                <w:szCs w:val="21"/>
                <w:highlight w:val="none"/>
              </w:rPr>
              <w:t>分</w:t>
            </w:r>
          </w:p>
        </w:tc>
        <w:tc>
          <w:tcPr>
            <w:tcW w:w="4781" w:type="dxa"/>
            <w:vAlign w:val="top"/>
          </w:tcPr>
          <w:p w14:paraId="02F3409D">
            <w:pPr>
              <w:pStyle w:val="10"/>
              <w:spacing w:before="81" w:line="228" w:lineRule="auto"/>
              <w:ind w:left="14"/>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交通组织方案一般，得</w:t>
            </w:r>
            <w:r>
              <w:rPr>
                <w:rFonts w:hint="eastAsia" w:ascii="宋体" w:hAnsi="宋体" w:eastAsia="宋体" w:cs="宋体"/>
                <w:color w:val="auto"/>
                <w:spacing w:val="-39"/>
                <w:sz w:val="21"/>
                <w:szCs w:val="21"/>
                <w:highlight w:val="none"/>
              </w:rPr>
              <w:t xml:space="preserve"> </w:t>
            </w:r>
            <w:r>
              <w:rPr>
                <w:rFonts w:hint="eastAsia" w:ascii="宋体" w:hAnsi="宋体" w:eastAsia="宋体" w:cs="宋体"/>
                <w:color w:val="auto"/>
                <w:spacing w:val="6"/>
                <w:sz w:val="21"/>
                <w:szCs w:val="21"/>
                <w:highlight w:val="none"/>
              </w:rPr>
              <w:t>3 分；</w:t>
            </w:r>
          </w:p>
          <w:p w14:paraId="56BDB404">
            <w:pPr>
              <w:pStyle w:val="10"/>
              <w:spacing w:before="72" w:line="228" w:lineRule="auto"/>
              <w:ind w:left="14"/>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交通组织方案较合理可行、较完善，得</w:t>
            </w:r>
            <w:r>
              <w:rPr>
                <w:rFonts w:hint="eastAsia" w:ascii="宋体" w:hAnsi="宋体" w:eastAsia="宋体" w:cs="宋体"/>
                <w:color w:val="auto"/>
                <w:spacing w:val="-39"/>
                <w:sz w:val="21"/>
                <w:szCs w:val="21"/>
                <w:highlight w:val="none"/>
              </w:rPr>
              <w:t xml:space="preserve"> </w:t>
            </w:r>
            <w:r>
              <w:rPr>
                <w:rFonts w:hint="eastAsia" w:ascii="宋体" w:hAnsi="宋体" w:eastAsia="宋体" w:cs="宋体"/>
                <w:color w:val="auto"/>
                <w:spacing w:val="7"/>
                <w:sz w:val="21"/>
                <w:szCs w:val="21"/>
                <w:highlight w:val="none"/>
              </w:rPr>
              <w:t>3-4 分；</w:t>
            </w:r>
          </w:p>
          <w:p w14:paraId="4B3C8AB1">
            <w:pPr>
              <w:pStyle w:val="10"/>
              <w:spacing w:before="74" w:line="255" w:lineRule="auto"/>
              <w:ind w:left="12" w:leftChars="0" w:right="31" w:rightChars="0" w:firstLine="2" w:firstLineChars="0"/>
              <w:rPr>
                <w:rFonts w:hint="eastAsia" w:ascii="宋体" w:hAnsi="宋体" w:eastAsia="宋体" w:cs="宋体"/>
                <w:i w:val="0"/>
                <w:iCs w:val="0"/>
                <w:caps w:val="0"/>
                <w:color w:val="auto"/>
                <w:spacing w:val="0"/>
                <w:sz w:val="21"/>
                <w:szCs w:val="21"/>
                <w:highlight w:val="none"/>
                <w:lang w:eastAsia="zh-CN"/>
              </w:rPr>
            </w:pPr>
            <w:r>
              <w:rPr>
                <w:rFonts w:hint="eastAsia" w:ascii="宋体" w:hAnsi="宋体" w:eastAsia="宋体" w:cs="宋体"/>
                <w:color w:val="auto"/>
                <w:spacing w:val="8"/>
                <w:sz w:val="21"/>
                <w:szCs w:val="21"/>
                <w:highlight w:val="none"/>
              </w:rPr>
              <w:t>交通组织方案合理可行、完善、可实施性强，得</w:t>
            </w:r>
            <w:r>
              <w:rPr>
                <w:rFonts w:hint="eastAsia" w:ascii="宋体" w:hAnsi="宋体" w:eastAsia="宋体" w:cs="宋体"/>
                <w:color w:val="auto"/>
                <w:spacing w:val="-28"/>
                <w:sz w:val="21"/>
                <w:szCs w:val="21"/>
                <w:highlight w:val="none"/>
              </w:rPr>
              <w:t xml:space="preserve"> </w:t>
            </w:r>
            <w:r>
              <w:rPr>
                <w:rFonts w:hint="eastAsia" w:ascii="宋体" w:hAnsi="宋体" w:eastAsia="宋体" w:cs="宋体"/>
                <w:color w:val="auto"/>
                <w:spacing w:val="8"/>
                <w:sz w:val="21"/>
                <w:szCs w:val="21"/>
                <w:highlight w:val="none"/>
              </w:rPr>
              <w:t>4-</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5 分。</w:t>
            </w:r>
          </w:p>
        </w:tc>
      </w:tr>
      <w:tr w14:paraId="302E1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1" w:hRule="atLeast"/>
          <w:jc w:val="center"/>
        </w:trPr>
        <w:tc>
          <w:tcPr>
            <w:tcW w:w="741" w:type="dxa"/>
            <w:vMerge w:val="continue"/>
            <w:vAlign w:val="center"/>
          </w:tcPr>
          <w:p w14:paraId="24C9A27C">
            <w:pPr>
              <w:pStyle w:val="4"/>
              <w:snapToGrid w:val="0"/>
              <w:spacing w:line="320" w:lineRule="exact"/>
              <w:jc w:val="center"/>
              <w:rPr>
                <w:rFonts w:hint="eastAsia" w:hAnsi="宋体"/>
                <w:color w:val="auto"/>
                <w:sz w:val="21"/>
                <w:szCs w:val="21"/>
                <w:highlight w:val="none"/>
                <w:lang w:eastAsia="zh-CN"/>
              </w:rPr>
            </w:pPr>
          </w:p>
        </w:tc>
        <w:tc>
          <w:tcPr>
            <w:tcW w:w="979" w:type="dxa"/>
            <w:vMerge w:val="continue"/>
            <w:vAlign w:val="center"/>
          </w:tcPr>
          <w:p w14:paraId="6A275FA2">
            <w:pPr>
              <w:pStyle w:val="4"/>
              <w:snapToGrid w:val="0"/>
              <w:spacing w:line="320" w:lineRule="exact"/>
              <w:jc w:val="center"/>
              <w:rPr>
                <w:rFonts w:hint="eastAsia" w:hAnsi="宋体"/>
                <w:color w:val="auto"/>
                <w:sz w:val="21"/>
                <w:szCs w:val="21"/>
                <w:highlight w:val="none"/>
                <w:lang w:eastAsia="zh-CN"/>
              </w:rPr>
            </w:pPr>
          </w:p>
        </w:tc>
        <w:tc>
          <w:tcPr>
            <w:tcW w:w="675" w:type="dxa"/>
            <w:vMerge w:val="continue"/>
            <w:vAlign w:val="center"/>
          </w:tcPr>
          <w:p w14:paraId="3AC9C6C5">
            <w:pPr>
              <w:pStyle w:val="4"/>
              <w:snapToGrid w:val="0"/>
              <w:spacing w:line="320" w:lineRule="exact"/>
              <w:jc w:val="center"/>
              <w:rPr>
                <w:rFonts w:hint="eastAsia" w:hAnsi="宋体"/>
                <w:color w:val="auto"/>
                <w:sz w:val="21"/>
                <w:szCs w:val="21"/>
                <w:highlight w:val="none"/>
                <w:lang w:eastAsia="zh-CN"/>
              </w:rPr>
            </w:pPr>
          </w:p>
        </w:tc>
        <w:tc>
          <w:tcPr>
            <w:tcW w:w="1566" w:type="dxa"/>
            <w:vAlign w:val="center"/>
          </w:tcPr>
          <w:p w14:paraId="39927926">
            <w:pPr>
              <w:pStyle w:val="10"/>
              <w:spacing w:before="65" w:line="228" w:lineRule="auto"/>
              <w:jc w:val="center"/>
              <w:rPr>
                <w:rFonts w:hint="default" w:hAnsi="宋体"/>
                <w:color w:val="auto"/>
                <w:sz w:val="21"/>
                <w:szCs w:val="21"/>
                <w:highlight w:val="none"/>
                <w:lang w:val="en-US" w:eastAsia="zh-CN"/>
              </w:rPr>
            </w:pPr>
            <w:r>
              <w:rPr>
                <w:color w:val="auto"/>
                <w:spacing w:val="8"/>
                <w:sz w:val="21"/>
                <w:szCs w:val="21"/>
                <w:highlight w:val="none"/>
              </w:rPr>
              <w:t>检测成果和服</w:t>
            </w:r>
            <w:r>
              <w:rPr>
                <w:color w:val="auto"/>
                <w:spacing w:val="7"/>
                <w:sz w:val="21"/>
                <w:szCs w:val="21"/>
                <w:highlight w:val="none"/>
              </w:rPr>
              <w:t>务的安排及保</w:t>
            </w:r>
            <w:r>
              <w:rPr>
                <w:color w:val="auto"/>
                <w:spacing w:val="6"/>
                <w:sz w:val="21"/>
                <w:szCs w:val="21"/>
                <w:highlight w:val="none"/>
              </w:rPr>
              <w:t>证措施</w:t>
            </w:r>
          </w:p>
        </w:tc>
        <w:tc>
          <w:tcPr>
            <w:tcW w:w="910" w:type="dxa"/>
            <w:vAlign w:val="center"/>
          </w:tcPr>
          <w:p w14:paraId="6C4A78C8">
            <w:pPr>
              <w:pStyle w:val="10"/>
              <w:spacing w:before="65" w:line="228" w:lineRule="auto"/>
              <w:jc w:val="center"/>
              <w:rPr>
                <w:rFonts w:hint="eastAsia" w:hAnsi="宋体"/>
                <w:color w:val="auto"/>
                <w:sz w:val="21"/>
                <w:szCs w:val="21"/>
                <w:highlight w:val="none"/>
              </w:rPr>
            </w:pPr>
            <w:r>
              <w:rPr>
                <w:rFonts w:hint="eastAsia" w:ascii="Times New Roman" w:hAnsi="Times New Roman" w:eastAsia="宋体" w:cs="Times New Roman"/>
                <w:color w:val="auto"/>
                <w:sz w:val="21"/>
                <w:szCs w:val="21"/>
                <w:highlight w:val="none"/>
                <w:lang w:val="en-US" w:eastAsia="zh-CN"/>
              </w:rPr>
              <w:t>5</w:t>
            </w:r>
            <w:r>
              <w:rPr>
                <w:color w:val="auto"/>
                <w:sz w:val="21"/>
                <w:szCs w:val="21"/>
                <w:highlight w:val="none"/>
              </w:rPr>
              <w:t>分</w:t>
            </w:r>
          </w:p>
        </w:tc>
        <w:tc>
          <w:tcPr>
            <w:tcW w:w="4781" w:type="dxa"/>
            <w:vAlign w:val="top"/>
          </w:tcPr>
          <w:p w14:paraId="4D084C19">
            <w:pPr>
              <w:pStyle w:val="10"/>
              <w:spacing w:before="82" w:line="295" w:lineRule="auto"/>
              <w:ind w:left="9" w:right="50"/>
              <w:rPr>
                <w:color w:val="auto"/>
                <w:sz w:val="21"/>
                <w:szCs w:val="21"/>
                <w:highlight w:val="none"/>
              </w:rPr>
            </w:pPr>
            <w:r>
              <w:rPr>
                <w:color w:val="auto"/>
                <w:spacing w:val="9"/>
                <w:sz w:val="21"/>
                <w:szCs w:val="21"/>
                <w:highlight w:val="none"/>
              </w:rPr>
              <w:t>检测成果符合国家规范要求，服务的承诺及保证措</w:t>
            </w:r>
            <w:r>
              <w:rPr>
                <w:color w:val="auto"/>
                <w:spacing w:val="5"/>
                <w:sz w:val="21"/>
                <w:szCs w:val="21"/>
                <w:highlight w:val="none"/>
              </w:rPr>
              <w:t>施基本完善，得</w:t>
            </w:r>
            <w:r>
              <w:rPr>
                <w:rFonts w:hint="eastAsia" w:ascii="宋体" w:hAnsi="宋体" w:eastAsia="宋体" w:cs="宋体"/>
                <w:color w:val="auto"/>
                <w:spacing w:val="-33"/>
                <w:sz w:val="21"/>
                <w:szCs w:val="21"/>
                <w:highlight w:val="none"/>
              </w:rPr>
              <w:t xml:space="preserve"> </w:t>
            </w:r>
            <w:r>
              <w:rPr>
                <w:rFonts w:hint="eastAsia" w:ascii="宋体" w:hAnsi="宋体" w:eastAsia="宋体" w:cs="宋体"/>
                <w:color w:val="auto"/>
                <w:spacing w:val="6"/>
                <w:sz w:val="21"/>
                <w:szCs w:val="21"/>
                <w:highlight w:val="none"/>
                <w:lang w:val="en-US" w:eastAsia="zh-CN"/>
              </w:rPr>
              <w:t>3</w:t>
            </w:r>
            <w:r>
              <w:rPr>
                <w:color w:val="auto"/>
                <w:spacing w:val="5"/>
                <w:sz w:val="21"/>
                <w:szCs w:val="21"/>
                <w:highlight w:val="none"/>
              </w:rPr>
              <w:t>分；</w:t>
            </w:r>
          </w:p>
          <w:p w14:paraId="20584403">
            <w:pPr>
              <w:pStyle w:val="10"/>
              <w:spacing w:before="1" w:line="295" w:lineRule="auto"/>
              <w:ind w:left="9" w:right="50"/>
              <w:rPr>
                <w:color w:val="auto"/>
                <w:sz w:val="21"/>
                <w:szCs w:val="21"/>
                <w:highlight w:val="none"/>
              </w:rPr>
            </w:pPr>
            <w:r>
              <w:rPr>
                <w:color w:val="auto"/>
                <w:spacing w:val="9"/>
                <w:sz w:val="21"/>
                <w:szCs w:val="21"/>
                <w:highlight w:val="none"/>
              </w:rPr>
              <w:t>检测成果符合国家规范要求，服务的承诺及保证措</w:t>
            </w:r>
            <w:r>
              <w:rPr>
                <w:color w:val="auto"/>
                <w:spacing w:val="4"/>
                <w:sz w:val="21"/>
                <w:szCs w:val="21"/>
                <w:highlight w:val="none"/>
              </w:rPr>
              <w:t>施较完善，得</w:t>
            </w:r>
            <w:r>
              <w:rPr>
                <w:rFonts w:hint="eastAsia"/>
                <w:color w:val="auto"/>
                <w:spacing w:val="-32"/>
                <w:sz w:val="21"/>
                <w:szCs w:val="21"/>
                <w:highlight w:val="none"/>
                <w:lang w:val="en-US" w:eastAsia="zh-CN"/>
              </w:rPr>
              <w:t>3-4</w:t>
            </w:r>
            <w:r>
              <w:rPr>
                <w:color w:val="auto"/>
                <w:spacing w:val="4"/>
                <w:sz w:val="21"/>
                <w:szCs w:val="21"/>
                <w:highlight w:val="none"/>
              </w:rPr>
              <w:t>分；</w:t>
            </w:r>
          </w:p>
          <w:p w14:paraId="624F3DED">
            <w:pPr>
              <w:pStyle w:val="10"/>
              <w:spacing w:before="1" w:line="254" w:lineRule="auto"/>
              <w:ind w:left="9" w:leftChars="0" w:right="50" w:rightChars="0"/>
              <w:rPr>
                <w:rFonts w:hint="eastAsia" w:ascii="宋体" w:hAnsi="宋体" w:eastAsia="宋体" w:cs="宋体"/>
                <w:i w:val="0"/>
                <w:iCs w:val="0"/>
                <w:caps w:val="0"/>
                <w:color w:val="auto"/>
                <w:spacing w:val="0"/>
                <w:sz w:val="21"/>
                <w:szCs w:val="21"/>
                <w:highlight w:val="none"/>
                <w:lang w:eastAsia="zh-CN"/>
              </w:rPr>
            </w:pPr>
            <w:r>
              <w:rPr>
                <w:color w:val="auto"/>
                <w:spacing w:val="9"/>
                <w:sz w:val="21"/>
                <w:szCs w:val="21"/>
                <w:highlight w:val="none"/>
              </w:rPr>
              <w:t>检测成果符合国家规范要求，服务的承诺及保证措</w:t>
            </w:r>
            <w:r>
              <w:rPr>
                <w:color w:val="auto"/>
                <w:spacing w:val="4"/>
                <w:sz w:val="21"/>
                <w:szCs w:val="21"/>
                <w:highlight w:val="none"/>
              </w:rPr>
              <w:t>施完善，得</w:t>
            </w:r>
            <w:r>
              <w:rPr>
                <w:color w:val="auto"/>
                <w:spacing w:val="-37"/>
                <w:sz w:val="21"/>
                <w:szCs w:val="21"/>
                <w:highlight w:val="none"/>
              </w:rPr>
              <w:t xml:space="preserve"> </w:t>
            </w:r>
            <w:r>
              <w:rPr>
                <w:rFonts w:hint="eastAsia" w:ascii="Times New Roman" w:hAnsi="Times New Roman" w:eastAsia="宋体" w:cs="Times New Roman"/>
                <w:color w:val="auto"/>
                <w:spacing w:val="4"/>
                <w:sz w:val="21"/>
                <w:szCs w:val="21"/>
                <w:highlight w:val="none"/>
                <w:lang w:val="en-US" w:eastAsia="zh-CN"/>
              </w:rPr>
              <w:t>4-5</w:t>
            </w:r>
            <w:r>
              <w:rPr>
                <w:color w:val="auto"/>
                <w:spacing w:val="4"/>
                <w:sz w:val="21"/>
                <w:szCs w:val="21"/>
                <w:highlight w:val="none"/>
              </w:rPr>
              <w:t>分。</w:t>
            </w:r>
          </w:p>
        </w:tc>
      </w:tr>
      <w:tr w14:paraId="792A8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41" w:type="dxa"/>
            <w:tcBorders>
              <w:top w:val="nil"/>
            </w:tcBorders>
            <w:vAlign w:val="center"/>
          </w:tcPr>
          <w:p w14:paraId="00EA68B0">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2.2.4（2）</w:t>
            </w:r>
          </w:p>
        </w:tc>
        <w:tc>
          <w:tcPr>
            <w:tcW w:w="979" w:type="dxa"/>
            <w:tcBorders>
              <w:top w:val="nil"/>
            </w:tcBorders>
            <w:vAlign w:val="center"/>
          </w:tcPr>
          <w:p w14:paraId="6869F371">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主要</w:t>
            </w:r>
          </w:p>
          <w:p w14:paraId="6F3721D7">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人员</w:t>
            </w:r>
          </w:p>
        </w:tc>
        <w:tc>
          <w:tcPr>
            <w:tcW w:w="675" w:type="dxa"/>
            <w:tcBorders>
              <w:top w:val="nil"/>
            </w:tcBorders>
            <w:vAlign w:val="center"/>
          </w:tcPr>
          <w:p w14:paraId="5FCFF971">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lang w:val="en-US" w:eastAsia="zh-CN"/>
              </w:rPr>
              <w:t>2</w:t>
            </w:r>
            <w:r>
              <w:rPr>
                <w:rFonts w:hint="eastAsia" w:hAnsi="宋体"/>
                <w:color w:val="auto"/>
                <w:sz w:val="21"/>
                <w:szCs w:val="21"/>
                <w:highlight w:val="none"/>
                <w:lang w:eastAsia="zh-CN"/>
              </w:rPr>
              <w:t>0</w:t>
            </w:r>
            <w:r>
              <w:rPr>
                <w:rFonts w:hint="eastAsia" w:hAnsi="宋体"/>
                <w:color w:val="auto"/>
                <w:sz w:val="21"/>
                <w:szCs w:val="21"/>
                <w:highlight w:val="none"/>
              </w:rPr>
              <w:t>分</w:t>
            </w:r>
          </w:p>
        </w:tc>
        <w:tc>
          <w:tcPr>
            <w:tcW w:w="1566" w:type="dxa"/>
            <w:vAlign w:val="center"/>
          </w:tcPr>
          <w:p w14:paraId="33EF10A5">
            <w:pPr>
              <w:snapToGrid w:val="0"/>
              <w:spacing w:line="320" w:lineRule="exact"/>
              <w:jc w:val="center"/>
              <w:rPr>
                <w:rFonts w:hint="eastAsia" w:ascii="宋体" w:hAnsi="宋体"/>
                <w:color w:val="auto"/>
                <w:kern w:val="2"/>
                <w:sz w:val="21"/>
                <w:szCs w:val="21"/>
                <w:highlight w:val="none"/>
              </w:rPr>
            </w:pPr>
            <w:r>
              <w:rPr>
                <w:rFonts w:ascii="Times New Roman" w:hAnsi="Times New Roman"/>
                <w:color w:val="auto"/>
                <w:sz w:val="21"/>
                <w:szCs w:val="21"/>
                <w:highlight w:val="none"/>
              </w:rPr>
              <w:t>项目负责人</w:t>
            </w:r>
          </w:p>
        </w:tc>
        <w:tc>
          <w:tcPr>
            <w:tcW w:w="910" w:type="dxa"/>
            <w:vAlign w:val="center"/>
          </w:tcPr>
          <w:p w14:paraId="67B80580">
            <w:pPr>
              <w:pStyle w:val="4"/>
              <w:spacing w:line="300" w:lineRule="exact"/>
              <w:jc w:val="center"/>
              <w:rPr>
                <w:rFonts w:hint="eastAsia" w:hAnsi="宋体"/>
                <w:color w:val="auto"/>
                <w:sz w:val="21"/>
                <w:szCs w:val="21"/>
                <w:highlight w:val="none"/>
              </w:rPr>
            </w:pPr>
            <w:r>
              <w:rPr>
                <w:rFonts w:hint="eastAsia" w:ascii="Times New Roman" w:hAnsi="Times New Roman"/>
                <w:color w:val="auto"/>
                <w:kern w:val="2"/>
                <w:sz w:val="21"/>
                <w:szCs w:val="21"/>
                <w:highlight w:val="none"/>
                <w:lang w:val="en-US" w:eastAsia="zh-CN"/>
              </w:rPr>
              <w:t>2</w:t>
            </w:r>
            <w:r>
              <w:rPr>
                <w:rFonts w:ascii="Times New Roman" w:hAnsi="Times New Roman"/>
                <w:color w:val="auto"/>
                <w:kern w:val="2"/>
                <w:sz w:val="21"/>
                <w:szCs w:val="21"/>
                <w:highlight w:val="none"/>
              </w:rPr>
              <w:t>0分</w:t>
            </w:r>
          </w:p>
        </w:tc>
        <w:tc>
          <w:tcPr>
            <w:tcW w:w="4781" w:type="dxa"/>
            <w:tcBorders>
              <w:bottom w:val="single" w:color="auto" w:sz="4" w:space="0"/>
            </w:tcBorders>
            <w:vAlign w:val="center"/>
          </w:tcPr>
          <w:p w14:paraId="516E5CF4">
            <w:pPr>
              <w:pStyle w:val="4"/>
              <w:spacing w:line="300" w:lineRule="exact"/>
              <w:jc w:val="left"/>
              <w:rPr>
                <w:rFonts w:ascii="Times New Roman" w:hAnsi="Times New Roman"/>
                <w:color w:val="auto"/>
                <w:kern w:val="2"/>
                <w:sz w:val="21"/>
                <w:szCs w:val="21"/>
                <w:highlight w:val="none"/>
              </w:rPr>
            </w:pPr>
            <w:r>
              <w:rPr>
                <w:rFonts w:ascii="Times New Roman" w:hAnsi="Times New Roman"/>
                <w:color w:val="auto"/>
                <w:szCs w:val="21"/>
                <w:highlight w:val="none"/>
              </w:rPr>
              <w:t>项</w:t>
            </w:r>
            <w:r>
              <w:rPr>
                <w:rFonts w:ascii="Times New Roman" w:hAnsi="Times New Roman"/>
                <w:color w:val="auto"/>
                <w:kern w:val="2"/>
                <w:sz w:val="21"/>
                <w:szCs w:val="21"/>
                <w:highlight w:val="none"/>
              </w:rPr>
              <w:t>目负责人满足资格审查条件（项目负责人最低要求）得</w:t>
            </w:r>
            <w:r>
              <w:rPr>
                <w:rFonts w:hint="eastAsia" w:ascii="Times New Roman" w:hAnsi="Times New Roman"/>
                <w:color w:val="auto"/>
                <w:kern w:val="2"/>
                <w:sz w:val="21"/>
                <w:szCs w:val="21"/>
                <w:highlight w:val="none"/>
                <w:lang w:val="en-US" w:eastAsia="zh-CN"/>
              </w:rPr>
              <w:t>12</w:t>
            </w:r>
            <w:r>
              <w:rPr>
                <w:rFonts w:ascii="Times New Roman" w:hAnsi="Times New Roman"/>
                <w:color w:val="auto"/>
                <w:kern w:val="2"/>
                <w:sz w:val="21"/>
                <w:szCs w:val="21"/>
                <w:highlight w:val="none"/>
              </w:rPr>
              <w:t>分。</w:t>
            </w:r>
          </w:p>
          <w:p w14:paraId="6F038D1E">
            <w:pPr>
              <w:pStyle w:val="4"/>
              <w:spacing w:line="300" w:lineRule="exact"/>
              <w:jc w:val="left"/>
              <w:rPr>
                <w:rFonts w:hint="eastAsia" w:ascii="宋体" w:hAnsi="宋体"/>
                <w:color w:val="auto"/>
                <w:sz w:val="21"/>
                <w:szCs w:val="21"/>
                <w:highlight w:val="none"/>
                <w:lang w:eastAsia="zh-CN"/>
              </w:rPr>
            </w:pPr>
            <w:r>
              <w:rPr>
                <w:rFonts w:ascii="Times New Roman" w:hAnsi="Times New Roman"/>
                <w:color w:val="auto"/>
                <w:kern w:val="2"/>
                <w:sz w:val="21"/>
                <w:szCs w:val="21"/>
                <w:highlight w:val="none"/>
              </w:rPr>
              <w:t>项目负责人每增加1项满足资格审查条件（项目负责人最低要求）的业绩加4分，最多加</w:t>
            </w:r>
            <w:r>
              <w:rPr>
                <w:rFonts w:hint="eastAsia" w:ascii="Times New Roman" w:hAnsi="Times New Roman"/>
                <w:color w:val="auto"/>
                <w:kern w:val="2"/>
                <w:sz w:val="21"/>
                <w:szCs w:val="21"/>
                <w:highlight w:val="none"/>
                <w:lang w:val="en-US" w:eastAsia="zh-CN"/>
              </w:rPr>
              <w:t>8</w:t>
            </w:r>
            <w:r>
              <w:rPr>
                <w:rFonts w:ascii="Times New Roman" w:hAnsi="Times New Roman"/>
                <w:color w:val="auto"/>
                <w:kern w:val="2"/>
                <w:sz w:val="21"/>
                <w:szCs w:val="21"/>
                <w:highlight w:val="none"/>
              </w:rPr>
              <w:t>分。</w:t>
            </w:r>
          </w:p>
        </w:tc>
      </w:tr>
      <w:tr w14:paraId="57FA5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741" w:type="dxa"/>
            <w:tcBorders>
              <w:top w:val="nil"/>
            </w:tcBorders>
            <w:vAlign w:val="center"/>
          </w:tcPr>
          <w:p w14:paraId="2BC3621E">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2.2.4（3）</w:t>
            </w:r>
          </w:p>
        </w:tc>
        <w:tc>
          <w:tcPr>
            <w:tcW w:w="979" w:type="dxa"/>
            <w:tcBorders>
              <w:top w:val="nil"/>
            </w:tcBorders>
            <w:vAlign w:val="center"/>
          </w:tcPr>
          <w:p w14:paraId="0B3E9CF1">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评标价</w:t>
            </w:r>
          </w:p>
        </w:tc>
        <w:tc>
          <w:tcPr>
            <w:tcW w:w="675" w:type="dxa"/>
            <w:tcBorders>
              <w:top w:val="nil"/>
              <w:bottom w:val="single" w:color="auto" w:sz="4" w:space="0"/>
            </w:tcBorders>
            <w:vAlign w:val="center"/>
          </w:tcPr>
          <w:p w14:paraId="457FD8EC">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lang w:val="en-US" w:eastAsia="zh-CN"/>
              </w:rPr>
              <w:t>1</w:t>
            </w:r>
            <w:r>
              <w:rPr>
                <w:rFonts w:hint="eastAsia" w:hAnsi="宋体"/>
                <w:color w:val="auto"/>
                <w:sz w:val="21"/>
                <w:szCs w:val="21"/>
                <w:highlight w:val="none"/>
              </w:rPr>
              <w:t>0分</w:t>
            </w:r>
          </w:p>
        </w:tc>
        <w:tc>
          <w:tcPr>
            <w:tcW w:w="7257" w:type="dxa"/>
            <w:gridSpan w:val="3"/>
            <w:tcBorders>
              <w:bottom w:val="single" w:color="auto" w:sz="4" w:space="0"/>
            </w:tcBorders>
            <w:vAlign w:val="center"/>
          </w:tcPr>
          <w:p w14:paraId="63723D7E">
            <w:pPr>
              <w:snapToGrid w:val="0"/>
              <w:spacing w:line="320" w:lineRule="exact"/>
              <w:rPr>
                <w:rFonts w:hint="eastAsia" w:ascii="宋体" w:hAnsi="宋体"/>
                <w:color w:val="auto"/>
                <w:kern w:val="2"/>
                <w:sz w:val="21"/>
                <w:szCs w:val="21"/>
                <w:highlight w:val="none"/>
                <w:lang w:eastAsia="zh-CN"/>
              </w:rPr>
            </w:pPr>
            <w:r>
              <w:rPr>
                <w:rFonts w:hint="eastAsia" w:ascii="宋体" w:hAnsi="宋体"/>
                <w:color w:val="auto"/>
                <w:kern w:val="2"/>
                <w:sz w:val="21"/>
                <w:szCs w:val="21"/>
                <w:highlight w:val="none"/>
                <w:lang w:eastAsia="zh-CN"/>
              </w:rPr>
              <w:t>评标价得分计算公式：</w:t>
            </w:r>
          </w:p>
          <w:p w14:paraId="13A77D04">
            <w:pPr>
              <w:snapToGrid w:val="0"/>
              <w:spacing w:line="320" w:lineRule="exact"/>
              <w:rPr>
                <w:rFonts w:hint="eastAsia" w:ascii="宋体" w:hAnsi="宋体"/>
                <w:color w:val="auto"/>
                <w:kern w:val="2"/>
                <w:sz w:val="21"/>
                <w:szCs w:val="21"/>
                <w:highlight w:val="none"/>
                <w:lang w:eastAsia="zh-CN"/>
              </w:rPr>
            </w:pPr>
            <w:r>
              <w:rPr>
                <w:rFonts w:hint="eastAsia" w:ascii="宋体" w:hAnsi="宋体"/>
                <w:color w:val="auto"/>
                <w:kern w:val="2"/>
                <w:sz w:val="21"/>
                <w:szCs w:val="21"/>
                <w:highlight w:val="none"/>
                <w:lang w:eastAsia="zh-CN"/>
              </w:rPr>
              <w:t>（1）如果投标人的评标价＞评标基准价，则评标价得分=F-（投标人评标价-评标基准价）/评标基准价×100×E1；</w:t>
            </w:r>
          </w:p>
          <w:p w14:paraId="7C9A8E8D">
            <w:pPr>
              <w:snapToGrid w:val="0"/>
              <w:spacing w:line="320" w:lineRule="exact"/>
              <w:rPr>
                <w:rFonts w:hint="eastAsia" w:ascii="宋体" w:hAnsi="宋体"/>
                <w:color w:val="auto"/>
                <w:kern w:val="2"/>
                <w:sz w:val="21"/>
                <w:szCs w:val="21"/>
                <w:highlight w:val="none"/>
                <w:lang w:eastAsia="zh-CN"/>
              </w:rPr>
            </w:pPr>
            <w:r>
              <w:rPr>
                <w:rFonts w:hint="eastAsia" w:ascii="宋体" w:hAnsi="宋体"/>
                <w:color w:val="auto"/>
                <w:kern w:val="2"/>
                <w:sz w:val="21"/>
                <w:szCs w:val="21"/>
                <w:highlight w:val="none"/>
                <w:lang w:eastAsia="zh-CN"/>
              </w:rPr>
              <w:t>（2）如果投标人的评标价≤评标基准价，则评标价得分=F+（投标人评标价-评标基准价）/评标基准价×100×E2。</w:t>
            </w:r>
          </w:p>
          <w:p w14:paraId="2245F399">
            <w:pPr>
              <w:snapToGrid w:val="0"/>
              <w:spacing w:line="320" w:lineRule="exact"/>
              <w:rPr>
                <w:rFonts w:hint="eastAsia" w:ascii="宋体" w:hAnsi="宋体"/>
                <w:color w:val="auto"/>
                <w:kern w:val="2"/>
                <w:sz w:val="21"/>
                <w:szCs w:val="21"/>
                <w:highlight w:val="none"/>
              </w:rPr>
            </w:pPr>
            <w:r>
              <w:rPr>
                <w:rFonts w:hint="eastAsia" w:ascii="宋体" w:hAnsi="宋体"/>
                <w:color w:val="auto"/>
                <w:kern w:val="2"/>
                <w:sz w:val="21"/>
                <w:szCs w:val="21"/>
                <w:highlight w:val="none"/>
                <w:lang w:eastAsia="zh-CN"/>
              </w:rPr>
              <w:t>其中，F=</w:t>
            </w:r>
            <w:r>
              <w:rPr>
                <w:rFonts w:hint="eastAsia" w:ascii="宋体" w:hAnsi="宋体"/>
                <w:color w:val="auto"/>
                <w:kern w:val="2"/>
                <w:sz w:val="21"/>
                <w:szCs w:val="21"/>
                <w:highlight w:val="none"/>
                <w:lang w:val="en-US" w:eastAsia="zh-CN"/>
              </w:rPr>
              <w:t>1</w:t>
            </w:r>
            <w:r>
              <w:rPr>
                <w:rFonts w:hint="eastAsia" w:ascii="宋体" w:hAnsi="宋体"/>
                <w:color w:val="auto"/>
                <w:kern w:val="2"/>
                <w:sz w:val="21"/>
                <w:szCs w:val="21"/>
                <w:highlight w:val="none"/>
                <w:lang w:eastAsia="zh-CN"/>
              </w:rPr>
              <w:t>0；E1=0.</w:t>
            </w:r>
            <w:r>
              <w:rPr>
                <w:rFonts w:hint="eastAsia" w:ascii="宋体" w:hAnsi="宋体"/>
                <w:color w:val="auto"/>
                <w:kern w:val="2"/>
                <w:sz w:val="21"/>
                <w:szCs w:val="21"/>
                <w:highlight w:val="none"/>
                <w:lang w:val="en-US" w:eastAsia="zh-CN"/>
              </w:rPr>
              <w:t>2</w:t>
            </w:r>
            <w:r>
              <w:rPr>
                <w:rFonts w:hint="eastAsia" w:ascii="宋体" w:hAnsi="宋体"/>
                <w:color w:val="auto"/>
                <w:kern w:val="2"/>
                <w:sz w:val="21"/>
                <w:szCs w:val="21"/>
                <w:highlight w:val="none"/>
                <w:lang w:eastAsia="zh-CN"/>
              </w:rPr>
              <w:t>；E2=0.</w:t>
            </w:r>
            <w:r>
              <w:rPr>
                <w:rFonts w:hint="eastAsia" w:ascii="宋体" w:hAnsi="宋体"/>
                <w:color w:val="auto"/>
                <w:kern w:val="2"/>
                <w:sz w:val="21"/>
                <w:szCs w:val="21"/>
                <w:highlight w:val="none"/>
                <w:lang w:val="en-US" w:eastAsia="zh-CN"/>
              </w:rPr>
              <w:t>1</w:t>
            </w:r>
            <w:r>
              <w:rPr>
                <w:rFonts w:hint="eastAsia" w:ascii="宋体" w:hAnsi="宋体"/>
                <w:color w:val="auto"/>
                <w:kern w:val="2"/>
                <w:sz w:val="21"/>
                <w:szCs w:val="21"/>
                <w:highlight w:val="none"/>
                <w:lang w:eastAsia="zh-CN"/>
              </w:rPr>
              <w:t>；评标价最低得分为0分。</w:t>
            </w:r>
            <w:r>
              <w:rPr>
                <w:rFonts w:hint="eastAsia" w:ascii="宋体" w:hAnsi="宋体"/>
                <w:color w:val="auto"/>
                <w:kern w:val="2"/>
                <w:sz w:val="21"/>
                <w:szCs w:val="21"/>
                <w:highlight w:val="none"/>
              </w:rPr>
              <w:t>得分保留两位小数。</w:t>
            </w:r>
          </w:p>
        </w:tc>
      </w:tr>
      <w:tr w14:paraId="0FBFB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6" w:hRule="atLeast"/>
          <w:jc w:val="center"/>
        </w:trPr>
        <w:tc>
          <w:tcPr>
            <w:tcW w:w="741" w:type="dxa"/>
            <w:vAlign w:val="center"/>
          </w:tcPr>
          <w:p w14:paraId="30F016D5">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2.2.4（4）</w:t>
            </w:r>
          </w:p>
        </w:tc>
        <w:tc>
          <w:tcPr>
            <w:tcW w:w="979" w:type="dxa"/>
            <w:vAlign w:val="center"/>
          </w:tcPr>
          <w:p w14:paraId="1F25803B">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其他因素</w:t>
            </w:r>
          </w:p>
        </w:tc>
        <w:tc>
          <w:tcPr>
            <w:tcW w:w="675" w:type="dxa"/>
            <w:tcBorders>
              <w:top w:val="single" w:color="auto" w:sz="4" w:space="0"/>
            </w:tcBorders>
            <w:vAlign w:val="center"/>
          </w:tcPr>
          <w:p w14:paraId="4DCABFC5">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20分</w:t>
            </w:r>
          </w:p>
        </w:tc>
        <w:tc>
          <w:tcPr>
            <w:tcW w:w="1566" w:type="dxa"/>
            <w:tcBorders>
              <w:top w:val="single" w:color="auto" w:sz="4" w:space="0"/>
            </w:tcBorders>
            <w:vAlign w:val="center"/>
          </w:tcPr>
          <w:p w14:paraId="6537FC4B">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rPr>
              <w:t>业绩</w:t>
            </w:r>
          </w:p>
        </w:tc>
        <w:tc>
          <w:tcPr>
            <w:tcW w:w="910" w:type="dxa"/>
            <w:tcBorders>
              <w:top w:val="single" w:color="auto" w:sz="4" w:space="0"/>
            </w:tcBorders>
            <w:vAlign w:val="center"/>
          </w:tcPr>
          <w:p w14:paraId="3B70A4A2">
            <w:pPr>
              <w:pStyle w:val="4"/>
              <w:snapToGrid w:val="0"/>
              <w:spacing w:line="320" w:lineRule="exact"/>
              <w:jc w:val="center"/>
              <w:rPr>
                <w:rFonts w:hint="eastAsia" w:hAnsi="宋体"/>
                <w:color w:val="auto"/>
                <w:sz w:val="21"/>
                <w:szCs w:val="21"/>
                <w:highlight w:val="none"/>
              </w:rPr>
            </w:pPr>
            <w:r>
              <w:rPr>
                <w:rFonts w:hint="eastAsia" w:hAnsi="宋体"/>
                <w:color w:val="auto"/>
                <w:sz w:val="21"/>
                <w:szCs w:val="21"/>
                <w:highlight w:val="none"/>
                <w:lang w:val="en-US" w:eastAsia="zh-CN"/>
              </w:rPr>
              <w:t>20</w:t>
            </w:r>
            <w:r>
              <w:rPr>
                <w:rFonts w:hint="eastAsia" w:hAnsi="宋体"/>
                <w:color w:val="auto"/>
                <w:sz w:val="21"/>
                <w:szCs w:val="21"/>
                <w:highlight w:val="none"/>
              </w:rPr>
              <w:t>分</w:t>
            </w:r>
          </w:p>
        </w:tc>
        <w:tc>
          <w:tcPr>
            <w:tcW w:w="4781" w:type="dxa"/>
            <w:tcBorders>
              <w:top w:val="single" w:color="auto" w:sz="4" w:space="0"/>
            </w:tcBorders>
            <w:vAlign w:val="center"/>
          </w:tcPr>
          <w:p w14:paraId="69F68D10">
            <w:pPr>
              <w:snapToGrid w:val="0"/>
              <w:spacing w:line="320" w:lineRule="exact"/>
              <w:rPr>
                <w:rFonts w:hint="eastAsia" w:ascii="宋体" w:hAnsi="宋体"/>
                <w:color w:val="auto"/>
                <w:kern w:val="2"/>
                <w:sz w:val="21"/>
                <w:szCs w:val="21"/>
                <w:highlight w:val="none"/>
                <w:lang w:eastAsia="zh-CN"/>
              </w:rPr>
            </w:pPr>
            <w:bookmarkStart w:id="4" w:name="OLE_LINK2"/>
            <w:r>
              <w:rPr>
                <w:rFonts w:hint="eastAsia" w:ascii="宋体" w:hAnsi="宋体"/>
                <w:color w:val="auto"/>
                <w:kern w:val="2"/>
                <w:sz w:val="21"/>
                <w:szCs w:val="21"/>
                <w:highlight w:val="none"/>
                <w:lang w:eastAsia="zh-CN"/>
              </w:rPr>
              <w:t>满足“资格审查条件（业绩最低要求）”得</w:t>
            </w:r>
            <w:r>
              <w:rPr>
                <w:rFonts w:hint="eastAsia" w:ascii="宋体" w:hAnsi="宋体"/>
                <w:color w:val="auto"/>
                <w:kern w:val="2"/>
                <w:sz w:val="21"/>
                <w:szCs w:val="21"/>
                <w:highlight w:val="none"/>
                <w:lang w:val="en-US" w:eastAsia="zh-CN"/>
              </w:rPr>
              <w:t>12</w:t>
            </w:r>
            <w:r>
              <w:rPr>
                <w:rFonts w:hint="eastAsia" w:ascii="宋体" w:hAnsi="宋体"/>
                <w:color w:val="auto"/>
                <w:kern w:val="2"/>
                <w:sz w:val="21"/>
                <w:szCs w:val="21"/>
                <w:highlight w:val="none"/>
                <w:lang w:eastAsia="zh-CN"/>
              </w:rPr>
              <w:t>分；</w:t>
            </w:r>
          </w:p>
          <w:p w14:paraId="289BD360">
            <w:pPr>
              <w:snapToGrid w:val="0"/>
              <w:spacing w:line="320" w:lineRule="exact"/>
              <w:rPr>
                <w:rFonts w:hint="eastAsia" w:ascii="宋体" w:hAnsi="宋体"/>
                <w:color w:val="auto"/>
                <w:sz w:val="21"/>
                <w:szCs w:val="21"/>
                <w:highlight w:val="none"/>
                <w:lang w:eastAsia="zh-CN"/>
              </w:rPr>
            </w:pPr>
            <w:r>
              <w:rPr>
                <w:rFonts w:hint="eastAsia" w:ascii="宋体" w:hAnsi="宋体"/>
                <w:color w:val="auto"/>
                <w:sz w:val="21"/>
                <w:szCs w:val="21"/>
                <w:highlight w:val="none"/>
                <w:lang w:val="en-US" w:eastAsia="zh-CN"/>
              </w:rPr>
              <w:t>每增加</w:t>
            </w:r>
            <w:r>
              <w:rPr>
                <w:rFonts w:hint="eastAsia" w:ascii="宋体" w:hAnsi="宋体" w:cs="宋体"/>
                <w:color w:val="auto"/>
                <w:sz w:val="21"/>
                <w:szCs w:val="21"/>
                <w:highlight w:val="none"/>
                <w:lang w:val="en-US" w:eastAsia="zh-CN"/>
              </w:rPr>
              <w:t>1项</w:t>
            </w:r>
            <w:r>
              <w:rPr>
                <w:rFonts w:hint="eastAsia" w:ascii="宋体" w:hAnsi="宋体" w:eastAsia="宋体" w:cs="宋体"/>
                <w:color w:val="auto"/>
                <w:sz w:val="21"/>
                <w:szCs w:val="21"/>
                <w:highlight w:val="none"/>
              </w:rPr>
              <w:t>满足“资格审查条件（</w:t>
            </w:r>
            <w:r>
              <w:rPr>
                <w:rFonts w:hint="eastAsia" w:ascii="宋体" w:hAnsi="宋体"/>
                <w:color w:val="auto"/>
                <w:kern w:val="2"/>
                <w:sz w:val="21"/>
                <w:szCs w:val="21"/>
                <w:highlight w:val="none"/>
                <w:lang w:eastAsia="zh-CN"/>
              </w:rPr>
              <w:t>业绩最低要求</w:t>
            </w:r>
            <w:r>
              <w:rPr>
                <w:rFonts w:hint="eastAsia" w:ascii="宋体" w:hAnsi="宋体" w:eastAsia="宋体" w:cs="宋体"/>
                <w:color w:val="auto"/>
                <w:sz w:val="21"/>
                <w:szCs w:val="21"/>
                <w:highlight w:val="none"/>
              </w:rPr>
              <w:t>）”</w:t>
            </w:r>
            <w:r>
              <w:rPr>
                <w:rFonts w:hint="eastAsia" w:ascii="宋体" w:hAnsi="宋体" w:cs="宋体"/>
                <w:color w:val="auto"/>
                <w:sz w:val="21"/>
                <w:szCs w:val="21"/>
                <w:highlight w:val="none"/>
                <w:lang w:val="en-US" w:eastAsia="zh-CN"/>
              </w:rPr>
              <w:t>的</w:t>
            </w:r>
            <w:r>
              <w:rPr>
                <w:rFonts w:hint="eastAsia" w:ascii="宋体" w:hAnsi="宋体" w:eastAsia="宋体" w:cs="宋体"/>
                <w:color w:val="auto"/>
                <w:sz w:val="21"/>
                <w:szCs w:val="21"/>
                <w:highlight w:val="none"/>
              </w:rPr>
              <w:t>业绩</w:t>
            </w:r>
            <w:r>
              <w:rPr>
                <w:rFonts w:hint="eastAsia" w:ascii="宋体" w:hAnsi="宋体"/>
                <w:color w:val="auto"/>
                <w:kern w:val="2"/>
                <w:sz w:val="21"/>
                <w:szCs w:val="21"/>
                <w:highlight w:val="none"/>
                <w:lang w:eastAsia="zh-CN"/>
              </w:rPr>
              <w:t>加</w:t>
            </w:r>
            <w:r>
              <w:rPr>
                <w:rFonts w:hint="eastAsia" w:ascii="宋体" w:hAnsi="宋体"/>
                <w:color w:val="auto"/>
                <w:kern w:val="2"/>
                <w:sz w:val="21"/>
                <w:szCs w:val="21"/>
                <w:highlight w:val="none"/>
                <w:lang w:val="en-US" w:eastAsia="zh-CN"/>
              </w:rPr>
              <w:t>4</w:t>
            </w:r>
            <w:r>
              <w:rPr>
                <w:rFonts w:hint="eastAsia" w:ascii="宋体" w:hAnsi="宋体"/>
                <w:color w:val="auto"/>
                <w:kern w:val="2"/>
                <w:sz w:val="21"/>
                <w:szCs w:val="21"/>
                <w:highlight w:val="none"/>
                <w:lang w:eastAsia="zh-CN"/>
              </w:rPr>
              <w:t>分，最多加</w:t>
            </w:r>
            <w:r>
              <w:rPr>
                <w:rFonts w:hint="eastAsia" w:ascii="宋体" w:hAnsi="宋体"/>
                <w:color w:val="auto"/>
                <w:kern w:val="2"/>
                <w:sz w:val="21"/>
                <w:szCs w:val="21"/>
                <w:highlight w:val="none"/>
                <w:lang w:val="en-US" w:eastAsia="zh-CN"/>
              </w:rPr>
              <w:t>8</w:t>
            </w:r>
            <w:r>
              <w:rPr>
                <w:rFonts w:hint="eastAsia" w:ascii="宋体" w:hAnsi="宋体"/>
                <w:color w:val="auto"/>
                <w:kern w:val="2"/>
                <w:sz w:val="21"/>
                <w:szCs w:val="21"/>
                <w:highlight w:val="none"/>
                <w:lang w:eastAsia="zh-CN"/>
              </w:rPr>
              <w:t>分。</w:t>
            </w:r>
            <w:bookmarkEnd w:id="4"/>
          </w:p>
        </w:tc>
      </w:tr>
    </w:tbl>
    <w:p w14:paraId="362BDAC9">
      <w:pPr>
        <w:rPr>
          <w:rFonts w:hint="eastAsia" w:ascii="宋体" w:hAnsi="宋体"/>
          <w:color w:val="auto"/>
          <w:sz w:val="21"/>
          <w:szCs w:val="21"/>
          <w:highlight w:val="none"/>
          <w:lang w:val="zh-CN" w:eastAsia="zh-CN"/>
        </w:rPr>
      </w:pPr>
      <w:r>
        <w:rPr>
          <w:rFonts w:hint="eastAsia" w:ascii="宋体" w:hAnsi="宋体"/>
          <w:color w:val="auto"/>
          <w:sz w:val="21"/>
          <w:szCs w:val="21"/>
          <w:highlight w:val="none"/>
          <w:lang w:val="zh-CN" w:eastAsia="zh-CN"/>
        </w:rPr>
        <w:t>注：1、第2.2.4（1）项各评委打分保留1位小数，投标人该项得分以各评委打分平均值计算所得，保留两位小数，第三位小数四舍五入。</w:t>
      </w:r>
    </w:p>
    <w:p w14:paraId="28374566">
      <w:pPr>
        <w:pStyle w:val="11"/>
        <w:spacing w:line="240" w:lineRule="auto"/>
        <w:rPr>
          <w:rFonts w:hint="eastAsia" w:ascii="宋体" w:hAnsi="宋体"/>
          <w:color w:val="auto"/>
          <w:sz w:val="21"/>
          <w:szCs w:val="21"/>
          <w:highlight w:val="none"/>
          <w:lang w:eastAsia="zh-CN"/>
        </w:rPr>
      </w:pPr>
      <w:r>
        <w:rPr>
          <w:rFonts w:hint="eastAsia" w:ascii="宋体" w:hAnsi="宋体"/>
          <w:color w:val="auto"/>
          <w:sz w:val="21"/>
          <w:szCs w:val="21"/>
          <w:highlight w:val="none"/>
          <w:lang w:eastAsia="zh-CN"/>
        </w:rPr>
        <w:t>2、</w:t>
      </w:r>
      <w:r>
        <w:rPr>
          <w:rFonts w:hint="eastAsia" w:ascii="宋体" w:hAnsi="宋体"/>
          <w:color w:val="auto"/>
          <w:sz w:val="21"/>
          <w:szCs w:val="21"/>
          <w:highlight w:val="none"/>
          <w:lang w:val="zh-CN" w:eastAsia="zh-CN"/>
        </w:rPr>
        <w:t>第2.2.4（1）项评</w:t>
      </w:r>
      <w:r>
        <w:rPr>
          <w:rFonts w:hint="eastAsia" w:ascii="宋体" w:hAnsi="宋体"/>
          <w:color w:val="auto"/>
          <w:sz w:val="21"/>
          <w:szCs w:val="21"/>
          <w:highlight w:val="none"/>
          <w:lang w:eastAsia="zh-CN"/>
        </w:rPr>
        <w:t>分</w:t>
      </w:r>
      <w:r>
        <w:rPr>
          <w:rFonts w:hint="eastAsia" w:ascii="宋体" w:hAnsi="宋体"/>
          <w:color w:val="auto"/>
          <w:sz w:val="21"/>
          <w:szCs w:val="21"/>
          <w:highlight w:val="none"/>
          <w:lang w:val="zh-CN" w:eastAsia="zh-CN"/>
        </w:rPr>
        <w:t>因素</w:t>
      </w:r>
      <w:r>
        <w:rPr>
          <w:rFonts w:hint="eastAsia" w:ascii="宋体" w:hAnsi="宋体"/>
          <w:color w:val="auto"/>
          <w:sz w:val="21"/>
          <w:szCs w:val="21"/>
          <w:highlight w:val="none"/>
          <w:lang w:eastAsia="zh-CN"/>
        </w:rPr>
        <w:t>细分项</w:t>
      </w:r>
      <w:r>
        <w:rPr>
          <w:rFonts w:hint="eastAsia" w:ascii="宋体" w:hAnsi="宋体"/>
          <w:color w:val="auto"/>
          <w:sz w:val="21"/>
          <w:szCs w:val="21"/>
          <w:highlight w:val="none"/>
          <w:lang w:val="zh-CN" w:eastAsia="zh-CN"/>
        </w:rPr>
        <w:t>缺项则该项得0分。</w:t>
      </w:r>
    </w:p>
    <w:p w14:paraId="315167B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45995B">
    <w:pPr>
      <w:pStyle w:val="3"/>
      <w:bidi w:val="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EC0239">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5EC0239">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359AD4">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34190B"/>
    <w:rsid w:val="0D34190B"/>
    <w:rsid w:val="5318707F"/>
    <w:rsid w:val="7C5C2E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宋体" w:cs="宋体"/>
      <w:sz w:val="18"/>
      <w:szCs w:val="18"/>
      <w:lang w:val="en-US" w:eastAsia="en-US" w:bidi="ar-SA"/>
    </w:rPr>
  </w:style>
  <w:style w:type="paragraph" w:styleId="2">
    <w:name w:val="heading 3"/>
    <w:basedOn w:val="1"/>
    <w:next w:val="1"/>
    <w:semiHidden/>
    <w:unhideWhenUsed/>
    <w:qFormat/>
    <w:uiPriority w:val="9"/>
    <w:pPr>
      <w:keepNext/>
      <w:widowControl/>
      <w:spacing w:line="360" w:lineRule="auto"/>
      <w:outlineLvl w:val="2"/>
    </w:pPr>
    <w:rPr>
      <w:rFonts w:ascii="宋体" w:hAnsi="宋体"/>
      <w:b/>
      <w:bCs/>
      <w:sz w:val="24"/>
      <w:szCs w:val="24"/>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pPr>
    <w:rPr>
      <w:rFonts w:ascii="Times New Roman" w:hAnsi="Times New Roman"/>
      <w:szCs w:val="24"/>
    </w:rPr>
  </w:style>
  <w:style w:type="paragraph" w:styleId="4">
    <w:name w:val="Plain Text"/>
    <w:basedOn w:val="1"/>
    <w:qFormat/>
    <w:uiPriority w:val="0"/>
    <w:rPr>
      <w:rFonts w:ascii="宋体" w:hAnsi="Courier New"/>
      <w:sz w:val="20"/>
      <w:szCs w:val="20"/>
    </w:rPr>
  </w:style>
  <w:style w:type="paragraph" w:styleId="5">
    <w:name w:val="footer"/>
    <w:basedOn w:val="1"/>
    <w:unhideWhenUsed/>
    <w:qFormat/>
    <w:uiPriority w:val="99"/>
    <w:pPr>
      <w:tabs>
        <w:tab w:val="center" w:pos="4153"/>
        <w:tab w:val="right" w:pos="8306"/>
      </w:tabs>
      <w:snapToGrid w:val="0"/>
    </w:pPr>
  </w:style>
  <w:style w:type="paragraph" w:customStyle="1" w:styleId="8">
    <w:name w:val="方案正文"/>
    <w:basedOn w:val="1"/>
    <w:qFormat/>
    <w:uiPriority w:val="0"/>
    <w:pPr>
      <w:spacing w:line="560" w:lineRule="exact"/>
      <w:ind w:firstLine="200" w:firstLineChars="200"/>
    </w:pPr>
    <w:rPr>
      <w:rFonts w:eastAsia="仿宋_GB2312" w:cs="黑体"/>
      <w:sz w:val="32"/>
    </w:rPr>
  </w:style>
  <w:style w:type="character" w:customStyle="1" w:styleId="9">
    <w:name w:val="正文文本 (2) + 10.5 pt"/>
    <w:qFormat/>
    <w:uiPriority w:val="0"/>
    <w:rPr>
      <w:rFonts w:ascii="宋体" w:hAnsi="宋体" w:eastAsia="宋体" w:cs="宋体"/>
      <w:color w:val="000000"/>
      <w:spacing w:val="0"/>
      <w:w w:val="100"/>
      <w:position w:val="0"/>
      <w:sz w:val="21"/>
      <w:szCs w:val="21"/>
      <w:u w:val="none"/>
      <w:shd w:val="clear" w:color="auto" w:fill="FFFFFF"/>
      <w:lang w:val="zh-CN" w:eastAsia="zh-CN" w:bidi="zh-CN"/>
    </w:rPr>
  </w:style>
  <w:style w:type="paragraph" w:customStyle="1" w:styleId="10">
    <w:name w:val="Table Text"/>
    <w:basedOn w:val="1"/>
    <w:semiHidden/>
    <w:qFormat/>
    <w:uiPriority w:val="0"/>
    <w:rPr>
      <w:rFonts w:ascii="宋体" w:hAnsi="宋体"/>
      <w:sz w:val="30"/>
      <w:szCs w:val="30"/>
    </w:rPr>
  </w:style>
  <w:style w:type="paragraph" w:customStyle="1" w:styleId="11">
    <w:name w:val="正文首行缩进 21"/>
    <w:basedOn w:val="12"/>
    <w:qFormat/>
    <w:uiPriority w:val="0"/>
    <w:pPr>
      <w:ind w:firstLine="420"/>
    </w:pPr>
  </w:style>
  <w:style w:type="paragraph" w:customStyle="1" w:styleId="12">
    <w:name w:val="正文文本缩进1"/>
    <w:basedOn w:val="1"/>
    <w:qFormat/>
    <w:uiPriority w:val="0"/>
    <w:pPr>
      <w:spacing w:line="500" w:lineRule="exact"/>
      <w:ind w:firstLine="88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6609</Words>
  <Characters>7379</Characters>
  <Lines>0</Lines>
  <Paragraphs>0</Paragraphs>
  <TotalTime>12</TotalTime>
  <ScaleCrop>false</ScaleCrop>
  <LinksUpToDate>false</LinksUpToDate>
  <CharactersWithSpaces>7469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2026-10-15T07:41:00Z</dcterms:created>
  <dc:creator>    </dc:creator>
  <cp:lastModifiedBy>李娜</cp:lastModifiedBy>
  <dcterms:modified xsi:type="dcterms:W3CDTF">2026-10-15T08:00:18Z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3B5D95EBB22E407C9F71ABED6A861820_11</vt:lpwstr>
  </property>
  <property fmtid="{D5CDD505-2E9C-101B-9397-08002B2CF9AE}" pid="4" name="KSOTemplateDocerSaveRecord">
    <vt:lpwstr>eyJoZGlkIjoiOWYyZDYxNTJjZmI2NmVkYTMyOWVjMGFiZjEzZGM5NjgiLCJ1c2VySWQiOiIxNTI1NDExOTAzIn0=</vt:lpwstr>
  </property>
</Properties>
</file>