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6A2490">
      <w:pPr>
        <w:keepNext/>
        <w:keepLines/>
        <w:widowControl w:val="0"/>
        <w:spacing w:before="0" w:after="0" w:line="360" w:lineRule="auto"/>
        <w:jc w:val="both"/>
        <w:outlineLvl w:val="2"/>
        <w:rPr>
          <w:rFonts w:hint="eastAsia" w:ascii="宋体" w:hAnsi="宋体" w:eastAsia="宋体" w:cs="宋体"/>
          <w:b w:val="0"/>
          <w:bCs/>
          <w:color w:val="auto"/>
          <w:kern w:val="28"/>
          <w:sz w:val="21"/>
          <w:szCs w:val="21"/>
          <w:highlight w:val="none"/>
          <w:lang w:val="en-US" w:eastAsia="zh-CN" w:bidi="ar-SA"/>
        </w:rPr>
      </w:pPr>
      <w:bookmarkStart w:id="0" w:name="_Toc2375"/>
      <w:bookmarkStart w:id="1" w:name="_Toc134792338"/>
      <w:bookmarkStart w:id="2" w:name="_Toc19288"/>
      <w:bookmarkStart w:id="3" w:name="OLE_LINK1"/>
      <w:bookmarkStart w:id="4" w:name="OLE_LINK2"/>
      <w:bookmarkStart w:id="28" w:name="_GoBack"/>
      <w:bookmarkEnd w:id="28"/>
      <w:r>
        <w:rPr>
          <w:rFonts w:hint="eastAsia" w:ascii="宋体" w:hAnsi="宋体" w:eastAsia="宋体" w:cs="宋体"/>
          <w:b/>
          <w:bCs/>
          <w:color w:val="auto"/>
          <w:kern w:val="28"/>
          <w:sz w:val="21"/>
          <w:szCs w:val="21"/>
          <w:highlight w:val="none"/>
          <w:lang w:val="en-US" w:eastAsia="zh-CN" w:bidi="ar-SA"/>
        </w:rPr>
        <w:t>附件1：资格审查条件</w:t>
      </w:r>
      <w:bookmarkEnd w:id="0"/>
      <w:bookmarkEnd w:id="1"/>
      <w:bookmarkEnd w:id="2"/>
    </w:p>
    <w:p w14:paraId="50096C6C">
      <w:pPr>
        <w:adjustRightInd w:val="0"/>
        <w:snapToGrid w:val="0"/>
        <w:spacing w:line="360" w:lineRule="auto"/>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附录1 资格审查条件（资质最低要求）</w:t>
      </w:r>
    </w:p>
    <w:tbl>
      <w:tblPr>
        <w:tblStyle w:val="2"/>
        <w:tblW w:w="949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495"/>
      </w:tblGrid>
      <w:tr w14:paraId="24B794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9500" w:type="dxa"/>
            <w:tcBorders>
              <w:top w:val="single" w:color="000000" w:sz="2" w:space="0"/>
              <w:left w:val="single" w:color="000000" w:sz="2" w:space="0"/>
              <w:bottom w:val="single" w:color="000000" w:sz="2" w:space="0"/>
              <w:right w:val="single" w:color="000000" w:sz="2" w:space="0"/>
            </w:tcBorders>
            <w:vAlign w:val="center"/>
          </w:tcPr>
          <w:p w14:paraId="14914959">
            <w:pPr>
              <w:autoSpaceDE w:val="0"/>
              <w:autoSpaceDN w:val="0"/>
              <w:adjustRightInd w:val="0"/>
              <w:snapToGrid w:val="0"/>
              <w:spacing w:line="0" w:lineRule="atLeas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资质要求</w:t>
            </w:r>
          </w:p>
        </w:tc>
      </w:tr>
      <w:tr w14:paraId="7B41C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7" w:hRule="atLeast"/>
          <w:jc w:val="center"/>
        </w:trPr>
        <w:tc>
          <w:tcPr>
            <w:tcW w:w="9500" w:type="dxa"/>
            <w:tcBorders>
              <w:top w:val="single" w:color="000000" w:sz="2" w:space="0"/>
              <w:left w:val="single" w:color="000000" w:sz="2" w:space="0"/>
              <w:bottom w:val="single" w:color="000000" w:sz="2" w:space="0"/>
              <w:right w:val="single" w:color="000000" w:sz="2" w:space="0"/>
            </w:tcBorders>
            <w:vAlign w:val="center"/>
          </w:tcPr>
          <w:p w14:paraId="70585E05">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（1）投标人应是中华人民共和国境内的法人或其他组织，持有有效的营业执照；</w:t>
            </w:r>
          </w:p>
          <w:p w14:paraId="03DE5546">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（2）投标人应具有住房和城乡建设行政主管部门颁发的电力工程施工总承包三级及以上资质，同时具有承装（修、试）电力设施许可证资质（许可类别和等级：承装类、承修类和承试类均为三级及以上）；</w:t>
            </w:r>
          </w:p>
          <w:p w14:paraId="49371129">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（3）投标人应具有住房和城乡建设行政主管部门颁发的有效的安全生产许可证。</w:t>
            </w:r>
          </w:p>
        </w:tc>
      </w:tr>
    </w:tbl>
    <w:p w14:paraId="69BA48EC">
      <w:pPr>
        <w:widowControl w:val="0"/>
        <w:jc w:val="both"/>
        <w:rPr>
          <w:rFonts w:hint="eastAsia" w:ascii="宋体" w:hAnsi="宋体" w:eastAsia="宋体" w:cs="宋体"/>
          <w:color w:val="auto"/>
          <w:kern w:val="2"/>
          <w:sz w:val="21"/>
          <w:szCs w:val="21"/>
          <w:highlight w:val="none"/>
          <w:lang w:val="en-US" w:eastAsia="zh-CN" w:bidi="ar-SA"/>
        </w:rPr>
      </w:pPr>
    </w:p>
    <w:p w14:paraId="2A8C7CCC">
      <w:pPr>
        <w:adjustRightInd w:val="0"/>
        <w:snapToGrid w:val="0"/>
        <w:spacing w:line="360" w:lineRule="auto"/>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附录</w:t>
      </w:r>
      <w:r>
        <w:rPr>
          <w:rFonts w:hint="eastAsia" w:ascii="宋体" w:hAnsi="宋体" w:eastAsia="宋体" w:cs="宋体"/>
          <w:b/>
          <w:bCs/>
          <w:snapToGrid w:val="0"/>
          <w:color w:val="auto"/>
          <w:kern w:val="0"/>
          <w:sz w:val="21"/>
          <w:szCs w:val="21"/>
          <w:highlight w:val="none"/>
          <w:lang w:val="en-US" w:eastAsia="zh-CN"/>
        </w:rPr>
        <w:t>2</w:t>
      </w:r>
      <w:r>
        <w:rPr>
          <w:rFonts w:hint="eastAsia" w:ascii="宋体" w:hAnsi="宋体" w:eastAsia="宋体" w:cs="宋体"/>
          <w:b/>
          <w:bCs/>
          <w:snapToGrid w:val="0"/>
          <w:color w:val="auto"/>
          <w:kern w:val="0"/>
          <w:sz w:val="21"/>
          <w:szCs w:val="21"/>
          <w:highlight w:val="none"/>
        </w:rPr>
        <w:t xml:space="preserve"> 资格审查条件（业绩最低要求）</w:t>
      </w:r>
    </w:p>
    <w:tbl>
      <w:tblPr>
        <w:tblStyle w:val="2"/>
        <w:tblW w:w="939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90"/>
      </w:tblGrid>
      <w:tr w14:paraId="0F989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6A9C7746">
            <w:pPr>
              <w:autoSpaceDE w:val="0"/>
              <w:autoSpaceDN w:val="0"/>
              <w:adjustRightInd w:val="0"/>
              <w:snapToGrid w:val="0"/>
              <w:spacing w:line="0" w:lineRule="atLeas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业绩要求</w:t>
            </w:r>
          </w:p>
        </w:tc>
      </w:tr>
      <w:tr w14:paraId="4C8B9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jc w:val="center"/>
        </w:trPr>
        <w:tc>
          <w:tcPr>
            <w:tcW w:w="9390" w:type="dxa"/>
            <w:tcBorders>
              <w:top w:val="single" w:color="000000" w:sz="2" w:space="0"/>
              <w:left w:val="single" w:color="000000" w:sz="2" w:space="0"/>
              <w:bottom w:val="single" w:color="000000" w:sz="2" w:space="0"/>
              <w:right w:val="single" w:color="000000" w:sz="2" w:space="0"/>
            </w:tcBorders>
            <w:vAlign w:val="center"/>
          </w:tcPr>
          <w:p w14:paraId="36DA8810">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eastAsia="zh-CN"/>
              </w:rPr>
              <w:t>近5年</w:t>
            </w:r>
            <w:r>
              <w:rPr>
                <w:rFonts w:hint="default"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eastAsia="zh-CN"/>
              </w:rPr>
              <w:t>2021年</w:t>
            </w:r>
            <w:r>
              <w:rPr>
                <w:rFonts w:hint="eastAsia" w:ascii="宋体" w:hAnsi="宋体" w:eastAsia="宋体" w:cs="宋体"/>
                <w:snapToGrid w:val="0"/>
                <w:color w:val="auto"/>
                <w:kern w:val="0"/>
                <w:sz w:val="21"/>
                <w:szCs w:val="21"/>
                <w:highlight w:val="none"/>
                <w:lang w:val="en-US" w:eastAsia="zh-CN"/>
              </w:rPr>
              <w:t>10月</w:t>
            </w:r>
            <w:r>
              <w:rPr>
                <w:rFonts w:hint="default" w:ascii="宋体" w:hAnsi="宋体" w:eastAsia="宋体" w:cs="宋体"/>
                <w:snapToGrid w:val="0"/>
                <w:color w:val="auto"/>
                <w:kern w:val="0"/>
                <w:sz w:val="21"/>
                <w:szCs w:val="21"/>
                <w:highlight w:val="none"/>
              </w:rPr>
              <w:t>1日至投标截止时间，以竣</w:t>
            </w:r>
            <w:r>
              <w:rPr>
                <w:rFonts w:hint="eastAsia" w:ascii="宋体" w:hAnsi="宋体" w:eastAsia="宋体" w:cs="宋体"/>
                <w:snapToGrid w:val="0"/>
                <w:color w:val="auto"/>
                <w:kern w:val="0"/>
                <w:sz w:val="21"/>
                <w:szCs w:val="21"/>
                <w:highlight w:val="none"/>
                <w:lang w:eastAsia="zh-CN"/>
              </w:rPr>
              <w:t>（</w:t>
            </w:r>
            <w:r>
              <w:rPr>
                <w:rFonts w:hint="default" w:ascii="宋体" w:hAnsi="宋体" w:eastAsia="宋体" w:cs="宋体"/>
                <w:snapToGrid w:val="0"/>
                <w:color w:val="auto"/>
                <w:kern w:val="0"/>
                <w:sz w:val="21"/>
                <w:szCs w:val="21"/>
                <w:highlight w:val="none"/>
              </w:rPr>
              <w:t>交</w:t>
            </w:r>
            <w:r>
              <w:rPr>
                <w:rFonts w:hint="eastAsia" w:ascii="宋体" w:hAnsi="宋体" w:eastAsia="宋体" w:cs="宋体"/>
                <w:snapToGrid w:val="0"/>
                <w:color w:val="auto"/>
                <w:kern w:val="0"/>
                <w:sz w:val="21"/>
                <w:szCs w:val="21"/>
                <w:highlight w:val="none"/>
                <w:lang w:eastAsia="zh-CN"/>
              </w:rPr>
              <w:t>）</w:t>
            </w:r>
            <w:r>
              <w:rPr>
                <w:rFonts w:hint="default" w:ascii="宋体" w:hAnsi="宋体" w:eastAsia="宋体" w:cs="宋体"/>
                <w:snapToGrid w:val="0"/>
                <w:color w:val="auto"/>
                <w:kern w:val="0"/>
                <w:sz w:val="21"/>
                <w:szCs w:val="21"/>
                <w:highlight w:val="none"/>
              </w:rPr>
              <w:t>工时间为准）至少具有1项装机容量</w:t>
            </w:r>
            <w:r>
              <w:rPr>
                <w:rFonts w:hint="eastAsia" w:ascii="宋体" w:hAnsi="宋体" w:eastAsia="宋体" w:cs="宋体"/>
                <w:snapToGrid w:val="0"/>
                <w:color w:val="auto"/>
                <w:kern w:val="0"/>
                <w:sz w:val="21"/>
                <w:szCs w:val="21"/>
                <w:highlight w:val="none"/>
                <w:lang w:val="en-US" w:eastAsia="zh-CN"/>
              </w:rPr>
              <w:t>不低于3</w:t>
            </w:r>
            <w:r>
              <w:rPr>
                <w:rFonts w:hint="default" w:ascii="宋体" w:hAnsi="宋体" w:eastAsia="宋体" w:cs="宋体"/>
                <w:snapToGrid w:val="0"/>
                <w:color w:val="auto"/>
                <w:kern w:val="0"/>
                <w:sz w:val="21"/>
                <w:szCs w:val="21"/>
                <w:highlight w:val="none"/>
              </w:rPr>
              <w:t>兆瓦</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lang w:val="en-US" w:eastAsia="zh-CN"/>
              </w:rPr>
              <w:t>含）</w:t>
            </w:r>
            <w:r>
              <w:rPr>
                <w:rFonts w:hint="default" w:ascii="宋体" w:hAnsi="宋体" w:eastAsia="宋体" w:cs="宋体"/>
                <w:snapToGrid w:val="0"/>
                <w:color w:val="auto"/>
                <w:kern w:val="0"/>
                <w:sz w:val="21"/>
                <w:szCs w:val="21"/>
                <w:highlight w:val="none"/>
              </w:rPr>
              <w:t>的光伏</w:t>
            </w:r>
            <w:r>
              <w:rPr>
                <w:rFonts w:hint="eastAsia" w:ascii="宋体" w:hAnsi="宋体" w:eastAsia="宋体" w:cs="宋体"/>
                <w:snapToGrid w:val="0"/>
                <w:color w:val="auto"/>
                <w:kern w:val="0"/>
                <w:sz w:val="21"/>
                <w:szCs w:val="21"/>
                <w:highlight w:val="none"/>
                <w:lang w:val="en-US" w:eastAsia="zh-CN"/>
              </w:rPr>
              <w:t>项目</w:t>
            </w:r>
            <w:r>
              <w:rPr>
                <w:rFonts w:hint="default" w:ascii="宋体" w:hAnsi="宋体" w:eastAsia="宋体" w:cs="宋体"/>
                <w:snapToGrid w:val="0"/>
                <w:color w:val="auto"/>
                <w:kern w:val="0"/>
                <w:sz w:val="21"/>
                <w:szCs w:val="21"/>
                <w:highlight w:val="none"/>
              </w:rPr>
              <w:t>施工业绩。</w:t>
            </w:r>
          </w:p>
        </w:tc>
      </w:tr>
    </w:tbl>
    <w:p w14:paraId="228D6ED7">
      <w:pPr>
        <w:adjustRightInd w:val="0"/>
        <w:snapToGrid w:val="0"/>
        <w:spacing w:line="360" w:lineRule="auto"/>
        <w:jc w:val="left"/>
        <w:rPr>
          <w:rFonts w:hint="eastAsia" w:ascii="宋体" w:hAnsi="宋体" w:eastAsia="宋体" w:cs="宋体"/>
          <w:b/>
          <w:bCs/>
          <w:snapToGrid w:val="0"/>
          <w:color w:val="auto"/>
          <w:kern w:val="0"/>
          <w:sz w:val="21"/>
          <w:szCs w:val="21"/>
          <w:highlight w:val="none"/>
        </w:rPr>
      </w:pPr>
      <w:r>
        <w:rPr>
          <w:rFonts w:hint="default" w:ascii="宋体" w:hAnsi="宋体" w:eastAsia="宋体" w:cs="宋体"/>
          <w:snapToGrid w:val="0"/>
          <w:color w:val="auto"/>
          <w:kern w:val="0"/>
          <w:sz w:val="21"/>
          <w:szCs w:val="21"/>
          <w:highlight w:val="none"/>
        </w:rPr>
        <w:t>注：施工业绩包括单独施工业绩或设计施工总承包中的施工业绩。</w:t>
      </w:r>
    </w:p>
    <w:p w14:paraId="26E1FAAF">
      <w:pPr>
        <w:adjustRightInd w:val="0"/>
        <w:snapToGrid w:val="0"/>
        <w:spacing w:line="360" w:lineRule="auto"/>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附录</w:t>
      </w:r>
      <w:r>
        <w:rPr>
          <w:rFonts w:hint="eastAsia" w:ascii="宋体" w:hAnsi="宋体" w:eastAsia="宋体" w:cs="宋体"/>
          <w:b/>
          <w:bCs/>
          <w:snapToGrid w:val="0"/>
          <w:color w:val="auto"/>
          <w:kern w:val="0"/>
          <w:sz w:val="21"/>
          <w:szCs w:val="21"/>
          <w:highlight w:val="none"/>
          <w:lang w:val="en-US" w:eastAsia="zh-CN"/>
        </w:rPr>
        <w:t>3</w:t>
      </w:r>
      <w:r>
        <w:rPr>
          <w:rFonts w:hint="eastAsia" w:ascii="宋体" w:hAnsi="宋体" w:eastAsia="宋体" w:cs="宋体"/>
          <w:b/>
          <w:bCs/>
          <w:snapToGrid w:val="0"/>
          <w:color w:val="auto"/>
          <w:kern w:val="0"/>
          <w:sz w:val="21"/>
          <w:szCs w:val="21"/>
          <w:highlight w:val="none"/>
        </w:rPr>
        <w:t xml:space="preserve"> 资格审查条件（信誉最低要求）</w:t>
      </w:r>
    </w:p>
    <w:tbl>
      <w:tblPr>
        <w:tblStyle w:val="2"/>
        <w:tblW w:w="925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55"/>
      </w:tblGrid>
      <w:tr w14:paraId="26093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1" w:hRule="atLeast"/>
          <w:jc w:val="center"/>
        </w:trPr>
        <w:tc>
          <w:tcPr>
            <w:tcW w:w="9255" w:type="dxa"/>
            <w:tcBorders>
              <w:top w:val="single" w:color="000000" w:sz="2" w:space="0"/>
              <w:left w:val="single" w:color="000000" w:sz="2" w:space="0"/>
              <w:bottom w:val="single" w:color="000000" w:sz="2" w:space="0"/>
              <w:right w:val="single" w:color="000000" w:sz="2" w:space="0"/>
            </w:tcBorders>
            <w:vAlign w:val="center"/>
          </w:tcPr>
          <w:p w14:paraId="465AD77A">
            <w:pPr>
              <w:autoSpaceDE w:val="0"/>
              <w:autoSpaceDN w:val="0"/>
              <w:adjustRightInd w:val="0"/>
              <w:snapToGrid w:val="0"/>
              <w:spacing w:line="0" w:lineRule="atLeast"/>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信誉要求</w:t>
            </w:r>
          </w:p>
        </w:tc>
      </w:tr>
      <w:tr w14:paraId="621A40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2" w:hRule="atLeast"/>
          <w:jc w:val="center"/>
        </w:trPr>
        <w:tc>
          <w:tcPr>
            <w:tcW w:w="9255" w:type="dxa"/>
            <w:tcBorders>
              <w:top w:val="single" w:color="000000" w:sz="2" w:space="0"/>
              <w:left w:val="single" w:color="000000" w:sz="2" w:space="0"/>
              <w:bottom w:val="single" w:color="000000" w:sz="2" w:space="0"/>
              <w:right w:val="single" w:color="000000" w:sz="2" w:space="0"/>
            </w:tcBorders>
            <w:vAlign w:val="center"/>
          </w:tcPr>
          <w:p w14:paraId="4B7EFF70">
            <w:pPr>
              <w:widowControl/>
              <w:autoSpaceDE w:val="0"/>
              <w:autoSpaceDN w:val="0"/>
              <w:adjustRightInd w:val="0"/>
              <w:snapToGrid w:val="0"/>
              <w:spacing w:line="0" w:lineRule="atLeast"/>
              <w:textAlignment w:val="baseline"/>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投标人在近1年内（2025年</w:t>
            </w:r>
            <w:r>
              <w:rPr>
                <w:rFonts w:hint="eastAsia" w:ascii="宋体" w:hAnsi="宋体" w:eastAsia="宋体" w:cs="宋体"/>
                <w:snapToGrid w:val="0"/>
                <w:color w:val="auto"/>
                <w:kern w:val="0"/>
                <w:sz w:val="21"/>
                <w:szCs w:val="21"/>
                <w:highlight w:val="none"/>
                <w:lang w:val="en-US" w:eastAsia="zh-CN"/>
              </w:rPr>
              <w:t>10月</w:t>
            </w:r>
            <w:r>
              <w:rPr>
                <w:rFonts w:hint="eastAsia" w:ascii="宋体" w:hAnsi="宋体" w:eastAsia="宋体" w:cs="宋体"/>
                <w:snapToGrid w:val="0"/>
                <w:color w:val="auto"/>
                <w:kern w:val="0"/>
                <w:sz w:val="21"/>
                <w:szCs w:val="21"/>
                <w:highlight w:val="none"/>
              </w:rPr>
              <w:t>1日至投标截止时间）不曾在光伏项目施工合同中违约而被驱逐或因投标人自身的原因而使光伏项目施工合同被解除。</w:t>
            </w:r>
          </w:p>
        </w:tc>
      </w:tr>
    </w:tbl>
    <w:p w14:paraId="243AC59B">
      <w:pPr>
        <w:rPr>
          <w:rFonts w:hint="eastAsia" w:ascii="宋体" w:hAnsi="宋体" w:eastAsia="宋体" w:cs="宋体"/>
          <w:b/>
          <w:bCs/>
          <w:snapToGrid w:val="0"/>
          <w:color w:val="auto"/>
          <w:kern w:val="0"/>
          <w:sz w:val="21"/>
          <w:szCs w:val="21"/>
          <w:highlight w:val="none"/>
        </w:rPr>
      </w:pPr>
    </w:p>
    <w:p w14:paraId="7DBB9389">
      <w:pPr>
        <w:jc w:val="center"/>
        <w:rPr>
          <w:rFonts w:hint="eastAsia" w:ascii="宋体" w:hAnsi="宋体" w:eastAsia="宋体" w:cs="宋体"/>
          <w:b/>
          <w:bCs/>
          <w:snapToGrid w:val="0"/>
          <w:color w:val="auto"/>
          <w:kern w:val="0"/>
          <w:sz w:val="21"/>
          <w:szCs w:val="21"/>
          <w:highlight w:val="none"/>
        </w:rPr>
      </w:pPr>
      <w:r>
        <w:rPr>
          <w:rFonts w:hint="eastAsia" w:ascii="宋体" w:hAnsi="宋体" w:eastAsia="宋体" w:cs="宋体"/>
          <w:b/>
          <w:bCs/>
          <w:snapToGrid w:val="0"/>
          <w:color w:val="auto"/>
          <w:kern w:val="0"/>
          <w:sz w:val="21"/>
          <w:szCs w:val="21"/>
          <w:highlight w:val="none"/>
        </w:rPr>
        <w:t>附录</w:t>
      </w:r>
      <w:r>
        <w:rPr>
          <w:rFonts w:hint="eastAsia" w:ascii="宋体" w:hAnsi="宋体" w:eastAsia="宋体" w:cs="宋体"/>
          <w:b/>
          <w:bCs/>
          <w:snapToGrid w:val="0"/>
          <w:color w:val="auto"/>
          <w:kern w:val="0"/>
          <w:sz w:val="21"/>
          <w:szCs w:val="21"/>
          <w:highlight w:val="none"/>
          <w:lang w:val="en-US" w:eastAsia="zh-CN"/>
        </w:rPr>
        <w:t>4</w:t>
      </w:r>
      <w:r>
        <w:rPr>
          <w:rFonts w:hint="eastAsia" w:ascii="宋体" w:hAnsi="宋体" w:eastAsia="宋体" w:cs="宋体"/>
          <w:b/>
          <w:bCs/>
          <w:snapToGrid w:val="0"/>
          <w:color w:val="auto"/>
          <w:kern w:val="0"/>
          <w:sz w:val="21"/>
          <w:szCs w:val="21"/>
          <w:highlight w:val="none"/>
        </w:rPr>
        <w:t xml:space="preserve"> 资格审查条件（项目经理最低要求）</w:t>
      </w:r>
    </w:p>
    <w:tbl>
      <w:tblPr>
        <w:tblStyle w:val="2"/>
        <w:tblW w:w="907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57" w:type="dxa"/>
          <w:bottom w:w="0" w:type="dxa"/>
          <w:right w:w="57" w:type="dxa"/>
        </w:tblCellMar>
      </w:tblPr>
      <w:tblGrid>
        <w:gridCol w:w="1134"/>
        <w:gridCol w:w="567"/>
        <w:gridCol w:w="5957"/>
        <w:gridCol w:w="1417"/>
      </w:tblGrid>
      <w:tr w14:paraId="049CA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567" w:hRule="atLeast"/>
          <w:jc w:val="center"/>
        </w:trPr>
        <w:tc>
          <w:tcPr>
            <w:tcW w:w="1134" w:type="dxa"/>
            <w:tcBorders>
              <w:top w:val="single" w:color="000000" w:sz="2" w:space="0"/>
              <w:left w:val="single" w:color="000000" w:sz="2" w:space="0"/>
              <w:bottom w:val="single" w:color="000000" w:sz="2" w:space="0"/>
              <w:right w:val="single" w:color="000000" w:sz="4" w:space="0"/>
            </w:tcBorders>
            <w:vAlign w:val="center"/>
          </w:tcPr>
          <w:p w14:paraId="2017F2DF">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岗位</w:t>
            </w:r>
          </w:p>
        </w:tc>
        <w:tc>
          <w:tcPr>
            <w:tcW w:w="567" w:type="dxa"/>
            <w:tcBorders>
              <w:top w:val="single" w:color="000000" w:sz="2" w:space="0"/>
              <w:left w:val="single" w:color="000000" w:sz="4" w:space="0"/>
              <w:bottom w:val="single" w:color="000000" w:sz="2" w:space="0"/>
              <w:right w:val="single" w:color="000000" w:sz="4" w:space="0"/>
            </w:tcBorders>
            <w:vAlign w:val="center"/>
          </w:tcPr>
          <w:p w14:paraId="51CD117A">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数量</w:t>
            </w:r>
          </w:p>
        </w:tc>
        <w:tc>
          <w:tcPr>
            <w:tcW w:w="5957" w:type="dxa"/>
            <w:tcBorders>
              <w:top w:val="single" w:color="000000" w:sz="2" w:space="0"/>
              <w:left w:val="single" w:color="000000" w:sz="4" w:space="0"/>
              <w:bottom w:val="single" w:color="000000" w:sz="2" w:space="0"/>
              <w:right w:val="single" w:color="000000" w:sz="4" w:space="0"/>
            </w:tcBorders>
            <w:vAlign w:val="center"/>
          </w:tcPr>
          <w:p w14:paraId="43246590">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资格标准</w:t>
            </w:r>
          </w:p>
        </w:tc>
        <w:tc>
          <w:tcPr>
            <w:tcW w:w="1417" w:type="dxa"/>
            <w:tcBorders>
              <w:top w:val="single" w:color="000000" w:sz="2" w:space="0"/>
              <w:left w:val="single" w:color="000000" w:sz="4" w:space="0"/>
              <w:bottom w:val="single" w:color="000000" w:sz="2" w:space="0"/>
              <w:right w:val="single" w:color="000000" w:sz="2" w:space="0"/>
            </w:tcBorders>
            <w:vAlign w:val="center"/>
          </w:tcPr>
          <w:p w14:paraId="665922E5">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在岗要求</w:t>
            </w:r>
          </w:p>
        </w:tc>
      </w:tr>
      <w:tr w14:paraId="4E142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179" w:hRule="atLeast"/>
          <w:jc w:val="center"/>
        </w:trPr>
        <w:tc>
          <w:tcPr>
            <w:tcW w:w="1134" w:type="dxa"/>
            <w:tcBorders>
              <w:top w:val="single" w:color="000000" w:sz="2" w:space="0"/>
              <w:left w:val="single" w:color="000000" w:sz="2" w:space="0"/>
              <w:bottom w:val="single" w:color="000000" w:sz="2" w:space="0"/>
              <w:right w:val="single" w:color="000000" w:sz="4" w:space="0"/>
            </w:tcBorders>
            <w:vAlign w:val="center"/>
          </w:tcPr>
          <w:p w14:paraId="08A77C08">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tc>
        <w:tc>
          <w:tcPr>
            <w:tcW w:w="567" w:type="dxa"/>
            <w:tcBorders>
              <w:top w:val="single" w:color="000000" w:sz="2" w:space="0"/>
              <w:left w:val="single" w:color="000000" w:sz="4" w:space="0"/>
              <w:bottom w:val="single" w:color="000000" w:sz="2" w:space="0"/>
              <w:right w:val="single" w:color="000000" w:sz="4" w:space="0"/>
            </w:tcBorders>
            <w:vAlign w:val="center"/>
          </w:tcPr>
          <w:p w14:paraId="1C4DF981">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5957" w:type="dxa"/>
            <w:tcBorders>
              <w:top w:val="single" w:color="000000" w:sz="2" w:space="0"/>
              <w:left w:val="single" w:color="000000" w:sz="4" w:space="0"/>
              <w:bottom w:val="single" w:color="000000" w:sz="2" w:space="0"/>
              <w:right w:val="single" w:color="000000" w:sz="4" w:space="0"/>
            </w:tcBorders>
            <w:vAlign w:val="center"/>
          </w:tcPr>
          <w:p w14:paraId="0CD4A293">
            <w:pPr>
              <w:autoSpaceDE w:val="0"/>
              <w:autoSpaceDN w:val="0"/>
              <w:adjustRightInd w:val="0"/>
              <w:snapToGrid w:val="0"/>
              <w:spacing w:line="288"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具有机电工程专业二级及以上注册建造师证书，注册建造师证书的注册单位须与投标单位名称一致；</w:t>
            </w:r>
          </w:p>
          <w:p w14:paraId="55D4A50F">
            <w:pPr>
              <w:autoSpaceDE w:val="0"/>
              <w:autoSpaceDN w:val="0"/>
              <w:adjustRightInd w:val="0"/>
              <w:snapToGrid w:val="0"/>
              <w:spacing w:line="288" w:lineRule="auto"/>
              <w:ind w:firstLine="420" w:firstLineChars="20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具有住房和城乡建设行政主管部门颁发的有效的《安全生产考核合格证书》（B类），安全生产考核合格证书的登记单位须与投标单位名称一致。</w:t>
            </w:r>
          </w:p>
          <w:p w14:paraId="6C90026C">
            <w:pPr>
              <w:autoSpaceDE w:val="0"/>
              <w:autoSpaceDN w:val="0"/>
              <w:adjustRightInd w:val="0"/>
              <w:snapToGrid w:val="0"/>
              <w:spacing w:line="288" w:lineRule="auto"/>
              <w:rPr>
                <w:rFonts w:ascii="Times New Roman" w:hAnsi="Times New Roman" w:eastAsia="宋体" w:cs="Times New Roman"/>
                <w:color w:val="auto"/>
                <w:kern w:val="28"/>
                <w:sz w:val="28"/>
                <w:szCs w:val="20"/>
                <w:highlight w:val="none"/>
              </w:rPr>
            </w:pPr>
            <w:r>
              <w:rPr>
                <w:rFonts w:hint="eastAsia" w:ascii="宋体" w:hAnsi="宋体" w:eastAsia="宋体" w:cs="宋体"/>
                <w:snapToGrid w:val="0"/>
                <w:color w:val="auto"/>
                <w:kern w:val="0"/>
                <w:sz w:val="21"/>
                <w:szCs w:val="21"/>
                <w:highlight w:val="none"/>
                <w:lang w:val="en-US" w:eastAsia="zh-CN"/>
              </w:rPr>
              <w:t xml:space="preserve">   </w:t>
            </w:r>
            <w:r>
              <w:rPr>
                <w:rFonts w:hint="eastAsia" w:ascii="宋体" w:hAnsi="宋体" w:eastAsia="宋体" w:cs="宋体"/>
                <w:snapToGrid w:val="0"/>
                <w:color w:val="auto"/>
                <w:kern w:val="0"/>
                <w:sz w:val="21"/>
                <w:szCs w:val="21"/>
                <w:highlight w:val="none"/>
                <w:lang w:eastAsia="zh-CN"/>
              </w:rPr>
              <w:t>近5年</w:t>
            </w: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eastAsia="zh-CN"/>
              </w:rPr>
              <w:t>2021年</w:t>
            </w:r>
            <w:r>
              <w:rPr>
                <w:rFonts w:hint="eastAsia" w:ascii="宋体" w:hAnsi="宋体" w:eastAsia="宋体" w:cs="宋体"/>
                <w:snapToGrid w:val="0"/>
                <w:color w:val="auto"/>
                <w:kern w:val="0"/>
                <w:sz w:val="21"/>
                <w:szCs w:val="21"/>
                <w:highlight w:val="none"/>
                <w:lang w:val="en-US" w:eastAsia="zh-CN"/>
              </w:rPr>
              <w:t>10月</w:t>
            </w:r>
            <w:r>
              <w:rPr>
                <w:rFonts w:hint="eastAsia" w:ascii="宋体" w:hAnsi="宋体" w:eastAsia="宋体" w:cs="宋体"/>
                <w:snapToGrid w:val="0"/>
                <w:color w:val="auto"/>
                <w:kern w:val="0"/>
                <w:sz w:val="21"/>
                <w:szCs w:val="21"/>
                <w:highlight w:val="none"/>
              </w:rPr>
              <w:t>1日至投标截止时间，以竣</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交</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工时间为准）至少</w:t>
            </w:r>
            <w:r>
              <w:rPr>
                <w:rFonts w:hint="eastAsia" w:ascii="宋体" w:hAnsi="宋体" w:eastAsia="宋体" w:cs="宋体"/>
                <w:snapToGrid w:val="0"/>
                <w:color w:val="auto"/>
                <w:kern w:val="0"/>
                <w:sz w:val="21"/>
                <w:szCs w:val="21"/>
                <w:highlight w:val="none"/>
                <w:lang w:val="en-US" w:eastAsia="zh-CN"/>
              </w:rPr>
              <w:t>担任过</w:t>
            </w:r>
            <w:r>
              <w:rPr>
                <w:rFonts w:hint="eastAsia" w:ascii="宋体" w:hAnsi="宋体" w:eastAsia="宋体" w:cs="宋体"/>
                <w:snapToGrid w:val="0"/>
                <w:color w:val="auto"/>
                <w:kern w:val="0"/>
                <w:sz w:val="21"/>
                <w:szCs w:val="21"/>
                <w:highlight w:val="none"/>
              </w:rPr>
              <w:t>1项装机</w:t>
            </w:r>
            <w:r>
              <w:rPr>
                <w:rFonts w:hint="eastAsia" w:ascii="宋体" w:hAnsi="宋体" w:eastAsia="宋体" w:cs="宋体"/>
                <w:snapToGrid w:val="0"/>
                <w:color w:val="auto"/>
                <w:kern w:val="0"/>
                <w:sz w:val="21"/>
                <w:szCs w:val="21"/>
                <w:highlight w:val="none"/>
                <w:lang w:eastAsia="zh-CN"/>
              </w:rPr>
              <w:t>容量不低于3兆瓦（含）</w:t>
            </w:r>
            <w:r>
              <w:rPr>
                <w:rFonts w:hint="eastAsia" w:ascii="宋体" w:hAnsi="宋体" w:eastAsia="宋体" w:cs="宋体"/>
                <w:snapToGrid w:val="0"/>
                <w:color w:val="auto"/>
                <w:kern w:val="0"/>
                <w:sz w:val="21"/>
                <w:szCs w:val="21"/>
                <w:highlight w:val="none"/>
              </w:rPr>
              <w:t>光伏</w:t>
            </w:r>
            <w:r>
              <w:rPr>
                <w:rFonts w:hint="eastAsia" w:ascii="宋体" w:hAnsi="宋体" w:eastAsia="宋体" w:cs="宋体"/>
                <w:snapToGrid w:val="0"/>
                <w:color w:val="auto"/>
                <w:kern w:val="0"/>
                <w:sz w:val="21"/>
                <w:szCs w:val="21"/>
                <w:highlight w:val="none"/>
                <w:lang w:val="en-US" w:eastAsia="zh-CN"/>
              </w:rPr>
              <w:t>项目</w:t>
            </w:r>
            <w:r>
              <w:rPr>
                <w:rFonts w:hint="eastAsia" w:ascii="宋体" w:hAnsi="宋体" w:eastAsia="宋体" w:cs="宋体"/>
                <w:snapToGrid w:val="0"/>
                <w:color w:val="auto"/>
                <w:kern w:val="0"/>
                <w:sz w:val="21"/>
                <w:szCs w:val="21"/>
                <w:highlight w:val="none"/>
              </w:rPr>
              <w:t>施工的项目经理或项目负责人或项目总工或技术负责人。</w:t>
            </w:r>
          </w:p>
        </w:tc>
        <w:tc>
          <w:tcPr>
            <w:tcW w:w="1417" w:type="dxa"/>
            <w:vMerge w:val="restart"/>
            <w:tcBorders>
              <w:top w:val="single" w:color="000000" w:sz="2" w:space="0"/>
              <w:left w:val="single" w:color="000000" w:sz="4" w:space="0"/>
              <w:right w:val="single" w:color="000000" w:sz="2" w:space="0"/>
            </w:tcBorders>
            <w:vAlign w:val="center"/>
          </w:tcPr>
          <w:p w14:paraId="61274AC6">
            <w:pPr>
              <w:autoSpaceDE w:val="0"/>
              <w:autoSpaceDN w:val="0"/>
              <w:adjustRightInd w:val="0"/>
              <w:snapToGrid w:val="0"/>
              <w:spacing w:line="288"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目前未在其他项目上任职，或虽在其他项目上任职但能够从其他项目撤离并能在本项目履约。</w:t>
            </w:r>
          </w:p>
          <w:p w14:paraId="3B6C8AC3">
            <w:pPr>
              <w:widowControl w:val="0"/>
              <w:jc w:val="both"/>
              <w:rPr>
                <w:rFonts w:ascii="Times New Roman" w:hAnsi="Times New Roman" w:eastAsia="宋体" w:cs="Times New Roman"/>
                <w:color w:val="auto"/>
                <w:kern w:val="2"/>
                <w:sz w:val="28"/>
                <w:szCs w:val="24"/>
                <w:highlight w:val="none"/>
                <w:lang w:val="en-US" w:eastAsia="zh-CN" w:bidi="ar-SA"/>
              </w:rPr>
            </w:pPr>
          </w:p>
        </w:tc>
      </w:tr>
      <w:tr w14:paraId="18224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57" w:type="dxa"/>
            <w:bottom w:w="0" w:type="dxa"/>
            <w:right w:w="57" w:type="dxa"/>
          </w:tblCellMar>
        </w:tblPrEx>
        <w:trPr>
          <w:trHeight w:val="2179" w:hRule="atLeast"/>
          <w:jc w:val="center"/>
        </w:trPr>
        <w:tc>
          <w:tcPr>
            <w:tcW w:w="1134" w:type="dxa"/>
            <w:tcBorders>
              <w:top w:val="single" w:color="000000" w:sz="2" w:space="0"/>
              <w:left w:val="single" w:color="000000" w:sz="2" w:space="0"/>
              <w:bottom w:val="single" w:color="000000" w:sz="2" w:space="0"/>
              <w:right w:val="single" w:color="000000" w:sz="4" w:space="0"/>
            </w:tcBorders>
            <w:vAlign w:val="center"/>
          </w:tcPr>
          <w:p w14:paraId="4BB96247">
            <w:pPr>
              <w:autoSpaceDE w:val="0"/>
              <w:autoSpaceDN w:val="0"/>
              <w:adjustRightInd w:val="0"/>
              <w:snapToGrid w:val="0"/>
              <w:spacing w:line="288" w:lineRule="auto"/>
              <w:jc w:val="center"/>
              <w:rPr>
                <w:rFonts w:hint="default" w:ascii="宋体" w:hAnsi="宋体" w:eastAsia="宋体" w:cs="宋体"/>
                <w:snapToGrid w:val="0"/>
                <w:color w:val="auto"/>
                <w:kern w:val="0"/>
                <w:sz w:val="21"/>
                <w:szCs w:val="21"/>
                <w:highlight w:val="none"/>
                <w:lang w:val="en-US" w:eastAsia="zh-CN"/>
              </w:rPr>
            </w:pPr>
            <w:bookmarkStart w:id="5" w:name="_Toc134792340"/>
            <w:r>
              <w:rPr>
                <w:rFonts w:hint="eastAsia" w:ascii="宋体" w:hAnsi="宋体" w:eastAsia="宋体" w:cs="宋体"/>
                <w:snapToGrid w:val="0"/>
                <w:color w:val="auto"/>
                <w:kern w:val="0"/>
                <w:sz w:val="21"/>
                <w:szCs w:val="21"/>
                <w:highlight w:val="none"/>
                <w:lang w:val="en-US" w:eastAsia="zh-CN"/>
              </w:rPr>
              <w:t>项目总工</w:t>
            </w:r>
          </w:p>
        </w:tc>
        <w:tc>
          <w:tcPr>
            <w:tcW w:w="567" w:type="dxa"/>
            <w:tcBorders>
              <w:top w:val="single" w:color="000000" w:sz="2" w:space="0"/>
              <w:left w:val="single" w:color="000000" w:sz="4" w:space="0"/>
              <w:bottom w:val="single" w:color="000000" w:sz="2" w:space="0"/>
              <w:right w:val="single" w:color="000000" w:sz="4" w:space="0"/>
            </w:tcBorders>
            <w:vAlign w:val="center"/>
          </w:tcPr>
          <w:p w14:paraId="0CBA3CFD">
            <w:pPr>
              <w:autoSpaceDE w:val="0"/>
              <w:autoSpaceDN w:val="0"/>
              <w:adjustRightInd w:val="0"/>
              <w:snapToGrid w:val="0"/>
              <w:spacing w:line="288" w:lineRule="auto"/>
              <w:jc w:val="center"/>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w:t>
            </w:r>
          </w:p>
        </w:tc>
        <w:tc>
          <w:tcPr>
            <w:tcW w:w="5957" w:type="dxa"/>
            <w:tcBorders>
              <w:top w:val="single" w:color="000000" w:sz="2" w:space="0"/>
              <w:left w:val="single" w:color="000000" w:sz="4" w:space="0"/>
              <w:bottom w:val="single" w:color="000000" w:sz="2" w:space="0"/>
              <w:right w:val="single" w:color="000000" w:sz="4" w:space="0"/>
            </w:tcBorders>
            <w:vAlign w:val="center"/>
          </w:tcPr>
          <w:p w14:paraId="71128A85">
            <w:pPr>
              <w:autoSpaceDE w:val="0"/>
              <w:autoSpaceDN w:val="0"/>
              <w:adjustRightInd w:val="0"/>
              <w:snapToGrid w:val="0"/>
              <w:spacing w:line="288" w:lineRule="auto"/>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具有高级或以上职称；</w:t>
            </w:r>
          </w:p>
          <w:p w14:paraId="03E1705A">
            <w:pPr>
              <w:autoSpaceDE w:val="0"/>
              <w:autoSpaceDN w:val="0"/>
              <w:adjustRightInd w:val="0"/>
              <w:snapToGrid w:val="0"/>
              <w:spacing w:line="288" w:lineRule="auto"/>
              <w:rPr>
                <w:rFonts w:hint="default"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eastAsia="zh-CN"/>
              </w:rPr>
              <w:t>近5年</w:t>
            </w:r>
            <w:r>
              <w:rPr>
                <w:rFonts w:hint="eastAsia" w:ascii="宋体" w:hAnsi="宋体" w:eastAsia="宋体" w:cs="宋体"/>
                <w:snapToGrid w:val="0"/>
                <w:color w:val="auto"/>
                <w:kern w:val="0"/>
                <w:sz w:val="21"/>
                <w:szCs w:val="21"/>
                <w:highlight w:val="none"/>
              </w:rPr>
              <w:t>（</w:t>
            </w:r>
            <w:r>
              <w:rPr>
                <w:rFonts w:hint="eastAsia" w:ascii="宋体" w:hAnsi="宋体" w:eastAsia="宋体" w:cs="宋体"/>
                <w:snapToGrid w:val="0"/>
                <w:color w:val="auto"/>
                <w:kern w:val="0"/>
                <w:sz w:val="21"/>
                <w:szCs w:val="21"/>
                <w:highlight w:val="none"/>
                <w:lang w:eastAsia="zh-CN"/>
              </w:rPr>
              <w:t>2021年</w:t>
            </w:r>
            <w:r>
              <w:rPr>
                <w:rFonts w:hint="eastAsia" w:ascii="宋体" w:hAnsi="宋体" w:eastAsia="宋体" w:cs="宋体"/>
                <w:snapToGrid w:val="0"/>
                <w:color w:val="auto"/>
                <w:kern w:val="0"/>
                <w:sz w:val="21"/>
                <w:szCs w:val="21"/>
                <w:highlight w:val="none"/>
                <w:lang w:val="en-US" w:eastAsia="zh-CN"/>
              </w:rPr>
              <w:t>10月</w:t>
            </w:r>
            <w:r>
              <w:rPr>
                <w:rFonts w:hint="eastAsia" w:ascii="宋体" w:hAnsi="宋体" w:eastAsia="宋体" w:cs="宋体"/>
                <w:snapToGrid w:val="0"/>
                <w:color w:val="auto"/>
                <w:kern w:val="0"/>
                <w:sz w:val="21"/>
                <w:szCs w:val="21"/>
                <w:highlight w:val="none"/>
              </w:rPr>
              <w:t>1日至投标截止时间，以竣</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交</w:t>
            </w:r>
            <w:r>
              <w:rPr>
                <w:rFonts w:hint="eastAsia" w:ascii="宋体" w:hAnsi="宋体" w:eastAsia="宋体" w:cs="宋体"/>
                <w:snapToGrid w:val="0"/>
                <w:color w:val="auto"/>
                <w:kern w:val="0"/>
                <w:sz w:val="21"/>
                <w:szCs w:val="21"/>
                <w:highlight w:val="none"/>
                <w:lang w:eastAsia="zh-CN"/>
              </w:rPr>
              <w:t>）</w:t>
            </w:r>
            <w:r>
              <w:rPr>
                <w:rFonts w:hint="eastAsia" w:ascii="宋体" w:hAnsi="宋体" w:eastAsia="宋体" w:cs="宋体"/>
                <w:snapToGrid w:val="0"/>
                <w:color w:val="auto"/>
                <w:kern w:val="0"/>
                <w:sz w:val="21"/>
                <w:szCs w:val="21"/>
                <w:highlight w:val="none"/>
              </w:rPr>
              <w:t>工时间为准）至少</w:t>
            </w:r>
            <w:r>
              <w:rPr>
                <w:rFonts w:hint="eastAsia" w:ascii="宋体" w:hAnsi="宋体" w:eastAsia="宋体" w:cs="宋体"/>
                <w:snapToGrid w:val="0"/>
                <w:color w:val="auto"/>
                <w:kern w:val="0"/>
                <w:sz w:val="21"/>
                <w:szCs w:val="21"/>
                <w:highlight w:val="none"/>
                <w:lang w:val="en-US" w:eastAsia="zh-CN"/>
              </w:rPr>
              <w:t>担任过</w:t>
            </w:r>
            <w:r>
              <w:rPr>
                <w:rFonts w:hint="eastAsia" w:ascii="宋体" w:hAnsi="宋体" w:eastAsia="宋体" w:cs="宋体"/>
                <w:snapToGrid w:val="0"/>
                <w:color w:val="auto"/>
                <w:kern w:val="0"/>
                <w:sz w:val="21"/>
                <w:szCs w:val="21"/>
                <w:highlight w:val="none"/>
              </w:rPr>
              <w:t>1项装机</w:t>
            </w:r>
            <w:r>
              <w:rPr>
                <w:rFonts w:hint="eastAsia" w:ascii="宋体" w:hAnsi="宋体" w:eastAsia="宋体" w:cs="宋体"/>
                <w:snapToGrid w:val="0"/>
                <w:color w:val="auto"/>
                <w:kern w:val="0"/>
                <w:sz w:val="21"/>
                <w:szCs w:val="21"/>
                <w:highlight w:val="none"/>
                <w:lang w:eastAsia="zh-CN"/>
              </w:rPr>
              <w:t>容量不低于3兆瓦（含）</w:t>
            </w:r>
            <w:r>
              <w:rPr>
                <w:rFonts w:hint="eastAsia" w:ascii="宋体" w:hAnsi="宋体" w:eastAsia="宋体" w:cs="宋体"/>
                <w:snapToGrid w:val="0"/>
                <w:color w:val="auto"/>
                <w:kern w:val="0"/>
                <w:sz w:val="21"/>
                <w:szCs w:val="21"/>
                <w:highlight w:val="none"/>
              </w:rPr>
              <w:t>光伏</w:t>
            </w:r>
            <w:r>
              <w:rPr>
                <w:rFonts w:hint="eastAsia" w:ascii="宋体" w:hAnsi="宋体" w:eastAsia="宋体" w:cs="宋体"/>
                <w:snapToGrid w:val="0"/>
                <w:color w:val="auto"/>
                <w:kern w:val="0"/>
                <w:sz w:val="21"/>
                <w:szCs w:val="21"/>
                <w:highlight w:val="none"/>
                <w:lang w:val="en-US" w:eastAsia="zh-CN"/>
              </w:rPr>
              <w:t>项目</w:t>
            </w:r>
            <w:r>
              <w:rPr>
                <w:rFonts w:hint="eastAsia" w:ascii="宋体" w:hAnsi="宋体" w:eastAsia="宋体" w:cs="宋体"/>
                <w:snapToGrid w:val="0"/>
                <w:color w:val="auto"/>
                <w:kern w:val="0"/>
                <w:sz w:val="21"/>
                <w:szCs w:val="21"/>
                <w:highlight w:val="none"/>
              </w:rPr>
              <w:t>施工的项目</w:t>
            </w:r>
            <w:r>
              <w:rPr>
                <w:rFonts w:hint="eastAsia" w:ascii="宋体" w:hAnsi="宋体" w:eastAsia="宋体" w:cs="宋体"/>
                <w:snapToGrid w:val="0"/>
                <w:color w:val="auto"/>
                <w:kern w:val="0"/>
                <w:sz w:val="21"/>
                <w:szCs w:val="21"/>
                <w:highlight w:val="none"/>
                <w:lang w:val="en-US" w:eastAsia="zh-CN"/>
              </w:rPr>
              <w:t>总工或技术负责人。</w:t>
            </w:r>
          </w:p>
        </w:tc>
        <w:tc>
          <w:tcPr>
            <w:tcW w:w="1417" w:type="dxa"/>
            <w:vMerge w:val="continue"/>
            <w:tcBorders>
              <w:left w:val="single" w:color="000000" w:sz="4" w:space="0"/>
              <w:right w:val="single" w:color="000000" w:sz="2" w:space="0"/>
            </w:tcBorders>
            <w:vAlign w:val="center"/>
          </w:tcPr>
          <w:p w14:paraId="54255DC8">
            <w:pPr>
              <w:widowControl w:val="0"/>
              <w:jc w:val="both"/>
              <w:rPr>
                <w:rFonts w:ascii="Times New Roman" w:hAnsi="Times New Roman" w:eastAsia="宋体" w:cs="Times New Roman"/>
                <w:color w:val="auto"/>
                <w:kern w:val="2"/>
                <w:sz w:val="28"/>
                <w:szCs w:val="24"/>
                <w:highlight w:val="none"/>
                <w:lang w:val="en-US" w:eastAsia="zh-CN" w:bidi="ar-SA"/>
              </w:rPr>
            </w:pPr>
          </w:p>
        </w:tc>
      </w:tr>
    </w:tbl>
    <w:p w14:paraId="2EA79A7A">
      <w:pPr>
        <w:ind w:firstLine="420" w:firstLineChars="200"/>
        <w:rPr>
          <w:rFonts w:ascii="Times New Roman" w:hAnsi="Times New Roman" w:eastAsia="宋体" w:cs="Times New Roman"/>
          <w:color w:val="auto"/>
          <w:kern w:val="28"/>
          <w:sz w:val="28"/>
          <w:szCs w:val="20"/>
          <w:highlight w:val="none"/>
        </w:rPr>
      </w:pPr>
      <w:r>
        <w:rPr>
          <w:rFonts w:hint="eastAsia" w:ascii="宋体" w:hAnsi="宋体" w:eastAsia="宋体" w:cs="宋体"/>
          <w:snapToGrid w:val="0"/>
          <w:color w:val="auto"/>
          <w:kern w:val="0"/>
          <w:sz w:val="21"/>
          <w:szCs w:val="21"/>
          <w:highlight w:val="none"/>
        </w:rPr>
        <w:t>注：施工业绩包括单独施工业绩或设计施工总承包中相应施工业绩。</w:t>
      </w:r>
      <w:r>
        <w:rPr>
          <w:rFonts w:hint="eastAsia" w:ascii="宋体" w:hAnsi="宋体" w:eastAsia="宋体" w:cs="宋体"/>
          <w:color w:val="auto"/>
          <w:kern w:val="28"/>
          <w:sz w:val="21"/>
          <w:szCs w:val="21"/>
          <w:highlight w:val="none"/>
        </w:rPr>
        <w:br w:type="page"/>
      </w:r>
    </w:p>
    <w:bookmarkEnd w:id="3"/>
    <w:bookmarkEnd w:id="5"/>
    <w:p w14:paraId="46BE7921">
      <w:pPr>
        <w:keepNext/>
        <w:keepLines/>
        <w:pageBreakBefore w:val="0"/>
        <w:widowControl w:val="0"/>
        <w:kinsoku/>
        <w:wordWrap/>
        <w:overflowPunct/>
        <w:topLinePunct w:val="0"/>
        <w:autoSpaceDE/>
        <w:autoSpaceDN/>
        <w:bidi w:val="0"/>
        <w:spacing w:before="0" w:after="0" w:line="360" w:lineRule="auto"/>
        <w:jc w:val="both"/>
        <w:outlineLvl w:val="2"/>
        <w:rPr>
          <w:rFonts w:ascii="Times New Roman" w:hAnsi="Times New Roman" w:eastAsia="黑体" w:cs="Times New Roman"/>
          <w:b/>
          <w:bCs/>
          <w:color w:val="auto"/>
          <w:kern w:val="28"/>
          <w:sz w:val="28"/>
          <w:szCs w:val="28"/>
          <w:highlight w:val="none"/>
          <w:lang w:val="en-US" w:eastAsia="zh-CN" w:bidi="ar-SA"/>
        </w:rPr>
      </w:pPr>
      <w:r>
        <w:rPr>
          <w:rFonts w:hint="eastAsia" w:ascii="Times New Roman" w:hAnsi="Times New Roman" w:eastAsia="黑体" w:cs="Times New Roman"/>
          <w:b/>
          <w:bCs/>
          <w:color w:val="auto"/>
          <w:kern w:val="28"/>
          <w:sz w:val="28"/>
          <w:szCs w:val="28"/>
          <w:highlight w:val="none"/>
          <w:lang w:val="en-US" w:eastAsia="zh-CN" w:bidi="ar-SA"/>
        </w:rPr>
        <w:t>附件2：随机确定评标基准价计算方法的规则与程序</w:t>
      </w:r>
    </w:p>
    <w:p w14:paraId="1439CAB9">
      <w:pPr>
        <w:pageBreakBefore w:val="0"/>
        <w:widowControl w:val="0"/>
        <w:kinsoku/>
        <w:wordWrap/>
        <w:overflowPunct/>
        <w:topLinePunct w:val="0"/>
        <w:autoSpaceDE/>
        <w:autoSpaceDN/>
        <w:bidi w:val="0"/>
        <w:adjustRightInd w:val="0"/>
        <w:snapToGrid w:val="0"/>
        <w:spacing w:line="360" w:lineRule="auto"/>
        <w:jc w:val="both"/>
        <w:rPr>
          <w:rFonts w:ascii="Times New Roman" w:hAnsi="Times New Roman" w:eastAsia="宋体" w:cs="Times New Roman"/>
          <w:b/>
          <w:color w:val="auto"/>
          <w:kern w:val="28"/>
          <w:sz w:val="24"/>
          <w:szCs w:val="20"/>
          <w:highlight w:val="none"/>
        </w:rPr>
      </w:pPr>
      <w:r>
        <w:rPr>
          <w:rFonts w:ascii="Times New Roman" w:hAnsi="Times New Roman" w:eastAsia="宋体" w:cs="Times New Roman"/>
          <w:b/>
          <w:color w:val="auto"/>
          <w:kern w:val="28"/>
          <w:sz w:val="24"/>
          <w:szCs w:val="20"/>
          <w:highlight w:val="none"/>
        </w:rPr>
        <w:t>一、随机抽取规则</w:t>
      </w:r>
    </w:p>
    <w:p w14:paraId="1C4CBD49">
      <w:pPr>
        <w:pageBreakBefore w:val="0"/>
        <w:widowControl w:val="0"/>
        <w:kinsoku/>
        <w:wordWrap/>
        <w:overflowPunct/>
        <w:topLinePunct w:val="0"/>
        <w:autoSpaceDE/>
        <w:autoSpaceDN/>
        <w:bidi w:val="0"/>
        <w:adjustRightInd w:val="0"/>
        <w:spacing w:line="360" w:lineRule="auto"/>
        <w:jc w:val="both"/>
        <w:outlineLvl w:val="2"/>
        <w:rPr>
          <w:rFonts w:ascii="Times New Roman" w:hAnsi="Times New Roman" w:eastAsia="宋体" w:cs="Times New Roman"/>
          <w:color w:val="auto"/>
          <w:kern w:val="28"/>
          <w:sz w:val="24"/>
          <w:szCs w:val="20"/>
          <w:highlight w:val="none"/>
        </w:rPr>
      </w:pPr>
      <w:bookmarkStart w:id="6" w:name="_Toc201074916"/>
      <w:bookmarkStart w:id="7" w:name="_Toc178513970"/>
      <w:r>
        <w:rPr>
          <w:rFonts w:hint="eastAsia" w:ascii="Times New Roman" w:hAnsi="Times New Roman" w:eastAsia="宋体" w:cs="Times New Roman"/>
          <w:color w:val="auto"/>
          <w:kern w:val="28"/>
          <w:sz w:val="24"/>
          <w:szCs w:val="20"/>
          <w:highlight w:val="none"/>
          <w:lang w:val="en-US" w:eastAsia="zh-CN"/>
        </w:rPr>
        <w:t>参与随机确定评标基准价计算方法的各方当事人（以下简称“各方”）应当严格遵守以下规则：</w:t>
      </w:r>
    </w:p>
    <w:p w14:paraId="53F41E46">
      <w:pPr>
        <w:pageBreakBefore w:val="0"/>
        <w:widowControl w:val="0"/>
        <w:kinsoku/>
        <w:wordWrap/>
        <w:overflowPunct/>
        <w:topLinePunct w:val="0"/>
        <w:autoSpaceDE/>
        <w:autoSpaceDN/>
        <w:bidi w:val="0"/>
        <w:adjustRightInd w:val="0"/>
        <w:spacing w:line="360" w:lineRule="auto"/>
        <w:jc w:val="both"/>
        <w:outlineLvl w:val="2"/>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（一）各方必须严格遵守公开、公平、公正和诚实信用原则；</w:t>
      </w:r>
    </w:p>
    <w:p w14:paraId="50311163">
      <w:pPr>
        <w:pageBreakBefore w:val="0"/>
        <w:widowControl w:val="0"/>
        <w:kinsoku/>
        <w:wordWrap/>
        <w:overflowPunct/>
        <w:topLinePunct w:val="0"/>
        <w:autoSpaceDE/>
        <w:autoSpaceDN/>
        <w:bidi w:val="0"/>
        <w:adjustRightInd w:val="0"/>
        <w:spacing w:line="360" w:lineRule="auto"/>
        <w:jc w:val="both"/>
        <w:outlineLvl w:val="2"/>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（二）随机抽取活动在招标人的主持下进行，由监督人员对全过程进行监督 ,招标人做好影像记录，并存档备查；</w:t>
      </w:r>
    </w:p>
    <w:p w14:paraId="661E1DA1">
      <w:pPr>
        <w:pageBreakBefore w:val="0"/>
        <w:widowControl w:val="0"/>
        <w:kinsoku/>
        <w:wordWrap/>
        <w:overflowPunct/>
        <w:topLinePunct w:val="0"/>
        <w:autoSpaceDE/>
        <w:autoSpaceDN/>
        <w:bidi w:val="0"/>
        <w:adjustRightInd w:val="0"/>
        <w:spacing w:line="360" w:lineRule="auto"/>
        <w:jc w:val="both"/>
        <w:outlineLvl w:val="2"/>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（三）用于随机抽取的器具由招标人提供；</w:t>
      </w:r>
    </w:p>
    <w:p w14:paraId="5412501B">
      <w:pPr>
        <w:pageBreakBefore w:val="0"/>
        <w:widowControl w:val="0"/>
        <w:kinsoku/>
        <w:wordWrap/>
        <w:overflowPunct/>
        <w:topLinePunct w:val="0"/>
        <w:autoSpaceDE/>
        <w:autoSpaceDN/>
        <w:bidi w:val="0"/>
        <w:adjustRightInd w:val="0"/>
        <w:spacing w:line="360" w:lineRule="auto"/>
        <w:jc w:val="both"/>
        <w:outlineLvl w:val="2"/>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（四）各方必须严格遵守现场纪律，确保随机抽取活动有序进行；</w:t>
      </w:r>
    </w:p>
    <w:p w14:paraId="2438E394">
      <w:pPr>
        <w:pageBreakBefore w:val="0"/>
        <w:widowControl w:val="0"/>
        <w:kinsoku/>
        <w:wordWrap/>
        <w:overflowPunct/>
        <w:topLinePunct w:val="0"/>
        <w:autoSpaceDE/>
        <w:autoSpaceDN/>
        <w:bidi w:val="0"/>
        <w:adjustRightInd w:val="0"/>
        <w:spacing w:line="360" w:lineRule="auto"/>
        <w:jc w:val="both"/>
        <w:outlineLvl w:val="2"/>
        <w:rPr>
          <w:rFonts w:hint="eastAsia" w:ascii="Times New Roman" w:hAnsi="Times New Roman" w:eastAsia="宋体" w:cs="Times New Roman"/>
          <w:color w:val="auto"/>
          <w:kern w:val="28"/>
          <w:sz w:val="24"/>
          <w:szCs w:val="20"/>
          <w:highlight w:val="none"/>
          <w:lang w:val="en-US" w:eastAsia="zh-CN"/>
        </w:rPr>
      </w:pPr>
      <w:r>
        <w:rPr>
          <w:rFonts w:hint="eastAsia" w:ascii="Times New Roman" w:hAnsi="Times New Roman" w:eastAsia="宋体" w:cs="Times New Roman"/>
          <w:color w:val="auto"/>
          <w:kern w:val="28"/>
          <w:sz w:val="24"/>
          <w:szCs w:val="20"/>
          <w:highlight w:val="none"/>
          <w:lang w:val="en-US" w:eastAsia="zh-CN"/>
        </w:rPr>
        <w:t>（五）投标人对随机抽取结果有异议的，应当于产生随机抽取结果后的10分钟内在线提出异议，在规定时间之内未提出异议的，视为默认随机抽取结果。对于投标人提出的异议，招标人当场作出答复，并作好记录。</w:t>
      </w:r>
    </w:p>
    <w:p w14:paraId="5589FE89">
      <w:pPr>
        <w:pageBreakBefore w:val="0"/>
        <w:widowControl w:val="0"/>
        <w:kinsoku/>
        <w:wordWrap/>
        <w:overflowPunct/>
        <w:topLinePunct w:val="0"/>
        <w:autoSpaceDE/>
        <w:autoSpaceDN/>
        <w:bidi w:val="0"/>
        <w:adjustRightInd w:val="0"/>
        <w:spacing w:line="360" w:lineRule="auto"/>
        <w:jc w:val="both"/>
        <w:outlineLvl w:val="2"/>
        <w:rPr>
          <w:rFonts w:hint="eastAsia" w:ascii="Times New Roman" w:hAnsi="Times New Roman" w:eastAsia="宋体" w:cs="Times New Roman"/>
          <w:b/>
          <w:color w:val="auto"/>
          <w:kern w:val="28"/>
          <w:sz w:val="24"/>
          <w:szCs w:val="20"/>
          <w:highlight w:val="none"/>
          <w:lang w:eastAsia="zh-CN"/>
        </w:rPr>
      </w:pPr>
      <w:r>
        <w:rPr>
          <w:rFonts w:ascii="Times New Roman" w:hAnsi="Times New Roman" w:eastAsia="宋体" w:cs="Times New Roman"/>
          <w:b/>
          <w:color w:val="auto"/>
          <w:kern w:val="28"/>
          <w:sz w:val="24"/>
          <w:szCs w:val="20"/>
          <w:highlight w:val="none"/>
        </w:rPr>
        <w:t>二、随机抽取确定评标基准价计算方法的程序</w:t>
      </w:r>
      <w:bookmarkEnd w:id="6"/>
      <w:bookmarkEnd w:id="7"/>
    </w:p>
    <w:p w14:paraId="0F618C2F">
      <w:pPr>
        <w:pageBreakBefore w:val="0"/>
        <w:widowControl w:val="0"/>
        <w:kinsoku/>
        <w:wordWrap/>
        <w:overflowPunct/>
        <w:topLinePunct w:val="0"/>
        <w:autoSpaceDE/>
        <w:autoSpaceDN/>
        <w:bidi w:val="0"/>
        <w:adjustRightInd w:val="0"/>
        <w:spacing w:line="360" w:lineRule="auto"/>
        <w:ind w:firstLine="480" w:firstLineChars="200"/>
        <w:jc w:val="both"/>
        <w:rPr>
          <w:rFonts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（一）确定随机抽取代码球</w:t>
      </w:r>
    </w:p>
    <w:p w14:paraId="0490DF63">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用抽取器具随机确定抽取代码球一套，作为本次随机抽取确定评标基准价计算方法的代码球。</w:t>
      </w:r>
    </w:p>
    <w:p w14:paraId="0DC49EEE">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（二）本次招标共设置三种评标基准价计算方法（详见评标办法）。</w:t>
      </w:r>
    </w:p>
    <w:p w14:paraId="09FC8D42">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确定评标基准价计算方法的编号及代码球，1号球代表评标基准价计算方法1；2号球代表评标基准价计算方法2；3号球代表评标基准价计算方法3。</w:t>
      </w:r>
    </w:p>
    <w:p w14:paraId="0663E260">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（三）在投标文件第一信封（商务及技术文件）开标现场，将编号1、2、3代码球全部放入随机抽取器具中，由抽取器具随机抽取产生本次招标评标基准价计算方法。</w:t>
      </w:r>
    </w:p>
    <w:p w14:paraId="4AF14487">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（四）确定评标基准价计算方法需要的系数（如有）。</w:t>
      </w:r>
    </w:p>
    <w:p w14:paraId="0F2A84A5">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1、如果抽取的评标基准价计算方法为方法1，则不需要抽取系数。</w:t>
      </w:r>
    </w:p>
    <w:p w14:paraId="51437706">
      <w:pPr>
        <w:pageBreakBefore w:val="0"/>
        <w:widowControl w:val="0"/>
        <w:kinsoku/>
        <w:wordWrap/>
        <w:overflowPunct/>
        <w:topLinePunct w:val="0"/>
        <w:autoSpaceDE/>
        <w:autoSpaceDN/>
        <w:bidi w:val="0"/>
        <w:adjustRightInd w:val="0"/>
        <w:spacing w:line="360" w:lineRule="auto"/>
        <w:ind w:firstLine="480" w:firstLineChars="200"/>
        <w:jc w:val="both"/>
        <w:rPr>
          <w:rFonts w:hint="eastAsia" w:ascii="Times New Roman" w:hAnsi="Times New Roman" w:eastAsia="宋体" w:cs="Times New Roman"/>
          <w:color w:val="auto"/>
          <w:kern w:val="28"/>
          <w:sz w:val="24"/>
          <w:szCs w:val="20"/>
          <w:highlight w:val="none"/>
          <w:lang w:val="en-US" w:eastAsia="zh-CN"/>
        </w:rPr>
      </w:pPr>
      <w:r>
        <w:rPr>
          <w:rFonts w:hint="eastAsia" w:ascii="Times New Roman" w:hAnsi="Times New Roman" w:eastAsia="宋体" w:cs="Times New Roman"/>
          <w:color w:val="auto"/>
          <w:kern w:val="28"/>
          <w:sz w:val="24"/>
          <w:szCs w:val="20"/>
          <w:highlight w:val="none"/>
          <w:lang w:val="en-US" w:eastAsia="zh-CN"/>
        </w:rPr>
        <w:t>2、如果抽取的评标基准价计算方法为方法2，则需要抽取评标基准价系数K1。</w:t>
      </w:r>
    </w:p>
    <w:p w14:paraId="4259258B">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K1取值范围为0.975、0.980、0.985、0.990、0.995。将编号为1～5的代码球放入抽取器具，由抽取器具随机抽取1个代码球，1号球代表K1值为0.975；2号球代表K1值为0.980；3号球代表K1值为0.985；4号球代表K1值为0.990；5号球代表K1值为0.995。</w:t>
      </w:r>
    </w:p>
    <w:p w14:paraId="10D4C5B6">
      <w:pPr>
        <w:pageBreakBefore w:val="0"/>
        <w:widowControl w:val="0"/>
        <w:kinsoku/>
        <w:wordWrap/>
        <w:overflowPunct/>
        <w:topLinePunct w:val="0"/>
        <w:autoSpaceDE/>
        <w:autoSpaceDN/>
        <w:bidi w:val="0"/>
        <w:adjustRightInd w:val="0"/>
        <w:spacing w:line="360" w:lineRule="auto"/>
        <w:ind w:firstLine="480" w:firstLineChars="200"/>
        <w:jc w:val="both"/>
        <w:rPr>
          <w:rFonts w:hint="eastAsia" w:ascii="Times New Roman" w:hAnsi="Times New Roman" w:eastAsia="宋体" w:cs="Times New Roman"/>
          <w:color w:val="auto"/>
          <w:kern w:val="28"/>
          <w:sz w:val="24"/>
          <w:szCs w:val="20"/>
          <w:highlight w:val="none"/>
          <w:lang w:val="en-US" w:eastAsia="zh-CN"/>
        </w:rPr>
      </w:pPr>
      <w:r>
        <w:rPr>
          <w:rFonts w:hint="eastAsia" w:ascii="Times New Roman" w:hAnsi="Times New Roman" w:eastAsia="宋体" w:cs="Times New Roman"/>
          <w:color w:val="auto"/>
          <w:kern w:val="28"/>
          <w:sz w:val="24"/>
          <w:szCs w:val="20"/>
          <w:highlight w:val="none"/>
          <w:lang w:val="en-US" w:eastAsia="zh-CN"/>
        </w:rPr>
        <w:t>3、如果抽取的评标基准价计算方法为方法3，则需要抽取评标基准价系数K2。</w:t>
      </w:r>
    </w:p>
    <w:p w14:paraId="1E4A63E8">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K2取值范围为0.10、0.15、0.20、0.25、0.30。将编号为1～5的代码球放入抽取器具，由抽取器具随机抽取1个代码球，1号球代表K2值为0.10；2号球代表K2值为0.15；3号球代表K2值为0.20；4号球代表K2值为0.25；5号球代表K2值为0.30。</w:t>
      </w:r>
    </w:p>
    <w:p w14:paraId="5C566999">
      <w:pPr>
        <w:pageBreakBefore w:val="0"/>
        <w:widowControl w:val="0"/>
        <w:kinsoku/>
        <w:wordWrap/>
        <w:overflowPunct/>
        <w:topLinePunct w:val="0"/>
        <w:autoSpaceDE/>
        <w:autoSpaceDN/>
        <w:bidi w:val="0"/>
        <w:adjustRightInd w:val="0"/>
        <w:spacing w:line="360" w:lineRule="auto"/>
        <w:ind w:firstLine="480" w:firstLineChars="200"/>
        <w:jc w:val="both"/>
        <w:rPr>
          <w:rFonts w:hint="default" w:ascii="Times New Roman" w:hAnsi="Times New Roman" w:eastAsia="宋体" w:cs="Times New Roman"/>
          <w:color w:val="auto"/>
          <w:kern w:val="28"/>
          <w:sz w:val="24"/>
          <w:szCs w:val="20"/>
          <w:highlight w:val="none"/>
        </w:rPr>
      </w:pPr>
      <w:r>
        <w:rPr>
          <w:rFonts w:hint="eastAsia" w:ascii="Times New Roman" w:hAnsi="Times New Roman" w:eastAsia="宋体" w:cs="Times New Roman"/>
          <w:color w:val="auto"/>
          <w:kern w:val="28"/>
          <w:sz w:val="24"/>
          <w:szCs w:val="20"/>
          <w:highlight w:val="none"/>
          <w:lang w:val="en-US" w:eastAsia="zh-CN"/>
        </w:rPr>
        <w:t>三、如果遇到抽取器具发生故障，导致随机确定评标基准价计算方法过程中断时，招标人应及时宣布发生故障之前的随机确定评标基准价计算方法结果有效。宣布前任何人不得随意处理抽取器具，并请招标人、监督人员对故障发生情况进行书面确认。故障排除或更换抽取器具后，招标人应宣布继续后续的抽取程序。</w:t>
      </w:r>
    </w:p>
    <w:p w14:paraId="66A72B0D">
      <w:pPr>
        <w:adjustRightInd w:val="0"/>
        <w:spacing w:line="360" w:lineRule="auto"/>
        <w:ind w:firstLine="420" w:firstLineChars="200"/>
        <w:rPr>
          <w:rFonts w:hint="eastAsia" w:ascii="宋体" w:hAnsi="宋体" w:eastAsia="宋体" w:cs="宋体"/>
          <w:bCs/>
          <w:color w:val="auto"/>
          <w:kern w:val="28"/>
          <w:sz w:val="21"/>
          <w:szCs w:val="21"/>
          <w:highlight w:val="none"/>
        </w:rPr>
      </w:pPr>
    </w:p>
    <w:p w14:paraId="4CC39C85">
      <w:pPr>
        <w:widowControl w:val="0"/>
        <w:jc w:val="both"/>
        <w:rPr>
          <w:rFonts w:ascii="Times New Roman" w:hAnsi="Times New Roman" w:eastAsia="宋体" w:cs="Times New Roman"/>
          <w:color w:val="auto"/>
          <w:kern w:val="2"/>
          <w:sz w:val="28"/>
          <w:szCs w:val="24"/>
          <w:highlight w:val="none"/>
          <w:lang w:val="en-US" w:eastAsia="zh-CN" w:bidi="ar-SA"/>
        </w:rPr>
      </w:pPr>
    </w:p>
    <w:p w14:paraId="290B1C86">
      <w:pPr>
        <w:rPr>
          <w:rFonts w:hint="eastAsia" w:ascii="宋体" w:hAnsi="宋体" w:eastAsia="宋体" w:cs="宋体"/>
          <w:color w:val="auto"/>
          <w:kern w:val="28"/>
          <w:sz w:val="21"/>
          <w:szCs w:val="21"/>
          <w:highlight w:val="none"/>
        </w:rPr>
      </w:pPr>
      <w:bookmarkStart w:id="8" w:name="_Toc22523"/>
      <w:r>
        <w:rPr>
          <w:rFonts w:hint="eastAsia" w:ascii="宋体" w:hAnsi="宋体" w:eastAsia="宋体" w:cs="宋体"/>
          <w:color w:val="auto"/>
          <w:kern w:val="28"/>
          <w:sz w:val="21"/>
          <w:szCs w:val="21"/>
          <w:highlight w:val="none"/>
        </w:rPr>
        <w:br w:type="page"/>
      </w:r>
    </w:p>
    <w:p w14:paraId="0758695F">
      <w:pPr>
        <w:keepNext/>
        <w:keepLines/>
        <w:widowControl w:val="0"/>
        <w:spacing w:before="0" w:after="0" w:line="360" w:lineRule="auto"/>
        <w:jc w:val="both"/>
        <w:outlineLvl w:val="2"/>
        <w:rPr>
          <w:rFonts w:hint="eastAsia" w:ascii="宋体" w:hAnsi="宋体" w:eastAsia="宋体" w:cs="宋体"/>
          <w:b/>
          <w:bCs/>
          <w:color w:val="auto"/>
          <w:kern w:val="28"/>
          <w:sz w:val="21"/>
          <w:szCs w:val="21"/>
          <w:highlight w:val="none"/>
          <w:lang w:val="en-US" w:eastAsia="zh-CN" w:bidi="ar-SA"/>
        </w:rPr>
      </w:pPr>
      <w:r>
        <w:rPr>
          <w:rFonts w:hint="eastAsia" w:ascii="宋体" w:hAnsi="宋体" w:eastAsia="宋体" w:cs="宋体"/>
          <w:b/>
          <w:bCs/>
          <w:color w:val="auto"/>
          <w:kern w:val="28"/>
          <w:sz w:val="21"/>
          <w:szCs w:val="21"/>
          <w:highlight w:val="none"/>
          <w:lang w:val="en-US" w:eastAsia="zh-CN" w:bidi="ar-SA"/>
        </w:rPr>
        <w:t>附件3：评标办法</w:t>
      </w:r>
      <w:bookmarkEnd w:id="8"/>
    </w:p>
    <w:p w14:paraId="65CF06D3">
      <w:pPr>
        <w:tabs>
          <w:tab w:val="left" w:pos="0"/>
        </w:tabs>
        <w:spacing w:line="360" w:lineRule="auto"/>
        <w:jc w:val="center"/>
        <w:rPr>
          <w:rFonts w:hint="eastAsia" w:ascii="宋体" w:hAnsi="宋体" w:eastAsia="宋体" w:cs="宋体"/>
          <w:b/>
          <w:bCs/>
          <w:color w:val="auto"/>
          <w:kern w:val="28"/>
          <w:sz w:val="21"/>
          <w:szCs w:val="21"/>
          <w:highlight w:val="none"/>
        </w:rPr>
      </w:pPr>
      <w:bookmarkStart w:id="9" w:name="_Toc134892623"/>
      <w:bookmarkStart w:id="10" w:name="_Toc134899107"/>
      <w:bookmarkStart w:id="11" w:name="_Toc134792893"/>
      <w:bookmarkStart w:id="12" w:name="_Toc134896400"/>
      <w:bookmarkStart w:id="13" w:name="_Toc445382083"/>
      <w:bookmarkStart w:id="14" w:name="_Toc531949858"/>
      <w:bookmarkStart w:id="15" w:name="_Toc134792342"/>
      <w:bookmarkStart w:id="16" w:name="_Toc445222503"/>
      <w:bookmarkStart w:id="17" w:name="_Toc134792410"/>
      <w:bookmarkStart w:id="18" w:name="_Toc444271617"/>
      <w:bookmarkStart w:id="19" w:name="_Toc444088432"/>
      <w:bookmarkStart w:id="20" w:name="_Toc134878969"/>
      <w:bookmarkStart w:id="21" w:name="_Toc476561971"/>
      <w:bookmarkStart w:id="22" w:name="_Toc456619522"/>
      <w:bookmarkStart w:id="23" w:name="_Toc472700283"/>
      <w:bookmarkStart w:id="24" w:name="_Toc478141167"/>
      <w:bookmarkStart w:id="25" w:name="_Toc459307892"/>
      <w:r>
        <w:rPr>
          <w:rFonts w:hint="eastAsia" w:ascii="宋体" w:hAnsi="宋体" w:eastAsia="宋体" w:cs="宋体"/>
          <w:b/>
          <w:bCs/>
          <w:color w:val="auto"/>
          <w:kern w:val="28"/>
          <w:sz w:val="21"/>
          <w:szCs w:val="21"/>
          <w:highlight w:val="none"/>
        </w:rPr>
        <w:t>评标办法前附表</w:t>
      </w:r>
      <w:bookmarkEnd w:id="9"/>
      <w:bookmarkEnd w:id="10"/>
      <w:bookmarkEnd w:id="11"/>
      <w:bookmarkEnd w:id="12"/>
      <w:bookmarkEnd w:id="13"/>
      <w:bookmarkEnd w:id="14"/>
      <w:bookmarkEnd w:id="15"/>
      <w:bookmarkEnd w:id="16"/>
      <w:bookmarkEnd w:id="17"/>
      <w:bookmarkEnd w:id="18"/>
      <w:bookmarkEnd w:id="19"/>
      <w:bookmarkEnd w:id="20"/>
    </w:p>
    <w:tbl>
      <w:tblPr>
        <w:tblStyle w:val="2"/>
        <w:tblW w:w="5005" w:type="pct"/>
        <w:tblInd w:w="-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83"/>
        <w:gridCol w:w="1408"/>
        <w:gridCol w:w="5840"/>
      </w:tblGrid>
      <w:tr w14:paraId="54CE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577" w:type="pct"/>
            <w:gridSpan w:val="2"/>
            <w:vAlign w:val="center"/>
          </w:tcPr>
          <w:p w14:paraId="5245B806">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条款号</w:t>
            </w:r>
          </w:p>
        </w:tc>
        <w:tc>
          <w:tcPr>
            <w:tcW w:w="3422" w:type="pct"/>
            <w:vAlign w:val="center"/>
          </w:tcPr>
          <w:p w14:paraId="57B1A32F">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评审因素与评审标准</w:t>
            </w:r>
          </w:p>
        </w:tc>
      </w:tr>
      <w:tr w14:paraId="4A76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Align w:val="center"/>
          </w:tcPr>
          <w:p w14:paraId="01373B83">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1</w:t>
            </w:r>
          </w:p>
        </w:tc>
        <w:tc>
          <w:tcPr>
            <w:tcW w:w="825" w:type="pct"/>
            <w:vAlign w:val="center"/>
          </w:tcPr>
          <w:p w14:paraId="3EF2C9E9">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评标方法</w:t>
            </w:r>
          </w:p>
        </w:tc>
        <w:tc>
          <w:tcPr>
            <w:tcW w:w="3422" w:type="pct"/>
            <w:vAlign w:val="center"/>
          </w:tcPr>
          <w:p w14:paraId="623D273F">
            <w:pPr>
              <w:snapToGrid w:val="0"/>
              <w:spacing w:line="320" w:lineRule="exact"/>
              <w:ind w:firstLine="315" w:firstLineChars="15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本次评标采用技术评分合理低价法，双信封形式。</w:t>
            </w:r>
          </w:p>
          <w:p w14:paraId="25AE34CE">
            <w:pPr>
              <w:snapToGrid w:val="0"/>
              <w:spacing w:line="320" w:lineRule="exact"/>
              <w:ind w:firstLine="315" w:firstLineChars="15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 xml:space="preserve"> 评标委员会对满足招标文件实质性要求的投标文件的施工组织设计、</w:t>
            </w:r>
            <w:bookmarkStart w:id="26" w:name="OLE_LINK18"/>
            <w:r>
              <w:rPr>
                <w:rFonts w:hint="eastAsia" w:ascii="宋体" w:hAnsi="宋体" w:eastAsia="宋体" w:cs="宋体"/>
                <w:color w:val="auto"/>
                <w:kern w:val="28"/>
                <w:sz w:val="21"/>
                <w:szCs w:val="21"/>
                <w:highlight w:val="none"/>
              </w:rPr>
              <w:t>主要人员、企业业绩</w:t>
            </w:r>
            <w:bookmarkEnd w:id="26"/>
            <w:r>
              <w:rPr>
                <w:rFonts w:hint="eastAsia" w:ascii="宋体" w:hAnsi="宋体" w:eastAsia="宋体" w:cs="宋体"/>
                <w:color w:val="auto"/>
                <w:kern w:val="28"/>
                <w:sz w:val="21"/>
                <w:szCs w:val="21"/>
                <w:highlight w:val="none"/>
              </w:rPr>
              <w:t>（即第一信封）等因素进行评分，按照得分由高到低排序，确定前</w:t>
            </w:r>
            <w:r>
              <w:rPr>
                <w:rFonts w:hint="eastAsia" w:ascii="宋体" w:hAnsi="宋体" w:eastAsia="宋体" w:cs="宋体"/>
                <w:color w:val="auto"/>
                <w:kern w:val="28"/>
                <w:sz w:val="21"/>
                <w:szCs w:val="21"/>
                <w:highlight w:val="none"/>
                <w:lang w:val="en-US" w:eastAsia="zh-CN"/>
              </w:rPr>
              <w:t>5</w:t>
            </w:r>
            <w:r>
              <w:rPr>
                <w:rFonts w:hint="eastAsia" w:ascii="宋体" w:hAnsi="宋体" w:eastAsia="宋体" w:cs="宋体"/>
                <w:color w:val="auto"/>
                <w:kern w:val="28"/>
                <w:sz w:val="21"/>
                <w:szCs w:val="21"/>
                <w:highlight w:val="none"/>
              </w:rPr>
              <w:t>名的投标人进入报价文件（即第二信封）评审。</w:t>
            </w:r>
          </w:p>
          <w:p w14:paraId="5B0066AD">
            <w:pPr>
              <w:snapToGrid w:val="0"/>
              <w:spacing w:line="320" w:lineRule="exact"/>
              <w:ind w:firstLine="315" w:firstLineChars="15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第一信封得分相等时，施工组织设计得分高的优先；施工组织设计得分也相等的，以满足资格审查条件（业绩最低要求）的业绩单项合同额高的优先，单项合同额也相等时，以累计合同金额多的优先。</w:t>
            </w:r>
          </w:p>
          <w:p w14:paraId="55D906A1">
            <w:pPr>
              <w:snapToGrid w:val="0"/>
              <w:spacing w:line="320" w:lineRule="exact"/>
              <w:ind w:firstLine="315" w:firstLineChars="15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未通过第一信封评审或第一信封综合得分未进入前</w:t>
            </w:r>
            <w:r>
              <w:rPr>
                <w:rFonts w:hint="eastAsia" w:ascii="宋体" w:hAnsi="宋体" w:eastAsia="宋体" w:cs="宋体"/>
                <w:color w:val="auto"/>
                <w:kern w:val="28"/>
                <w:sz w:val="21"/>
                <w:szCs w:val="21"/>
                <w:highlight w:val="none"/>
                <w:lang w:val="en-US" w:eastAsia="zh-CN"/>
              </w:rPr>
              <w:t>5</w:t>
            </w:r>
            <w:r>
              <w:rPr>
                <w:rFonts w:hint="eastAsia" w:ascii="宋体" w:hAnsi="宋体" w:eastAsia="宋体" w:cs="宋体"/>
                <w:color w:val="auto"/>
                <w:kern w:val="28"/>
                <w:sz w:val="21"/>
                <w:szCs w:val="21"/>
                <w:highlight w:val="none"/>
              </w:rPr>
              <w:t>名的投标人，其第二信封在整个评标期间不再开封，不随任何因素发生变化。</w:t>
            </w:r>
          </w:p>
          <w:p w14:paraId="2DE602B4">
            <w:pPr>
              <w:snapToGrid w:val="0"/>
              <w:spacing w:line="320" w:lineRule="exact"/>
              <w:ind w:firstLine="315" w:firstLineChars="15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若通过第一信封初步评审的投标人不足</w:t>
            </w:r>
            <w:r>
              <w:rPr>
                <w:rFonts w:hint="eastAsia" w:ascii="宋体" w:hAnsi="宋体" w:eastAsia="宋体" w:cs="宋体"/>
                <w:color w:val="auto"/>
                <w:kern w:val="28"/>
                <w:sz w:val="21"/>
                <w:szCs w:val="21"/>
                <w:highlight w:val="none"/>
                <w:lang w:val="en-US" w:eastAsia="zh-CN"/>
              </w:rPr>
              <w:t>5</w:t>
            </w:r>
            <w:r>
              <w:rPr>
                <w:rFonts w:hint="eastAsia" w:ascii="宋体" w:hAnsi="宋体" w:eastAsia="宋体" w:cs="宋体"/>
                <w:color w:val="auto"/>
                <w:kern w:val="28"/>
                <w:sz w:val="21"/>
                <w:szCs w:val="21"/>
                <w:highlight w:val="none"/>
              </w:rPr>
              <w:t>家时，则第一信封不再进行打分，通过第一信封的所有投标人直接进入报价文件（即第二信封）评审。</w:t>
            </w:r>
          </w:p>
          <w:p w14:paraId="7ED52CD2">
            <w:pPr>
              <w:snapToGrid w:val="0"/>
              <w:spacing w:line="320" w:lineRule="exact"/>
              <w:ind w:firstLine="315" w:firstLineChars="15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评标委员会对通过第二信封初步评审的投标人，按其评标价得分由高到低的顺序，向招标人推荐1-3名中标候选人。评标价得分相等时，评标委员会按照以下优先顺序推荐中标候选人：</w:t>
            </w:r>
          </w:p>
          <w:p w14:paraId="1E096F7A">
            <w:pPr>
              <w:snapToGrid w:val="0"/>
              <w:spacing w:line="320" w:lineRule="exact"/>
              <w:ind w:firstLine="315" w:firstLineChars="15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（1）评标价低的优先</w:t>
            </w:r>
          </w:p>
          <w:p w14:paraId="2C28C426">
            <w:pPr>
              <w:snapToGrid w:val="0"/>
              <w:spacing w:line="320" w:lineRule="exact"/>
              <w:ind w:firstLine="315" w:firstLineChars="150"/>
              <w:jc w:val="left"/>
              <w:rPr>
                <w:rFonts w:hint="eastAsia" w:ascii="宋体" w:hAnsi="宋体" w:eastAsia="宋体" w:cs="宋体"/>
                <w:color w:val="auto"/>
                <w:kern w:val="28"/>
                <w:sz w:val="21"/>
                <w:szCs w:val="21"/>
                <w:highlight w:val="none"/>
                <w:lang w:val="en-US" w:eastAsia="zh-CN"/>
              </w:rPr>
            </w:pPr>
            <w:r>
              <w:rPr>
                <w:rFonts w:hint="eastAsia" w:ascii="宋体" w:hAnsi="宋体" w:eastAsia="宋体" w:cs="宋体"/>
                <w:color w:val="auto"/>
                <w:kern w:val="28"/>
                <w:sz w:val="21"/>
                <w:szCs w:val="21"/>
                <w:highlight w:val="none"/>
              </w:rPr>
              <w:t>（2）施工组织设计得分高的优先</w:t>
            </w:r>
          </w:p>
          <w:p w14:paraId="52C8B3D8">
            <w:pPr>
              <w:snapToGrid w:val="0"/>
              <w:spacing w:line="320" w:lineRule="exact"/>
              <w:ind w:firstLine="315" w:firstLineChars="150"/>
              <w:jc w:val="lef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lang w:eastAsia="zh-CN"/>
              </w:rPr>
              <w:t>（</w:t>
            </w:r>
            <w:r>
              <w:rPr>
                <w:rFonts w:hint="eastAsia" w:ascii="宋体" w:hAnsi="宋体" w:eastAsia="宋体" w:cs="宋体"/>
                <w:color w:val="auto"/>
                <w:kern w:val="28"/>
                <w:sz w:val="21"/>
                <w:szCs w:val="21"/>
                <w:highlight w:val="none"/>
                <w:lang w:val="en-US" w:eastAsia="zh-CN"/>
              </w:rPr>
              <w:t>3</w:t>
            </w:r>
            <w:r>
              <w:rPr>
                <w:rFonts w:hint="eastAsia" w:ascii="宋体" w:hAnsi="宋体" w:eastAsia="宋体" w:cs="宋体"/>
                <w:color w:val="auto"/>
                <w:kern w:val="28"/>
                <w:sz w:val="21"/>
                <w:szCs w:val="21"/>
                <w:highlight w:val="none"/>
                <w:lang w:eastAsia="zh-CN"/>
              </w:rPr>
              <w:t>）</w:t>
            </w:r>
            <w:r>
              <w:rPr>
                <w:rFonts w:hint="eastAsia" w:ascii="宋体" w:hAnsi="宋体" w:eastAsia="宋体" w:cs="宋体"/>
                <w:color w:val="auto"/>
                <w:kern w:val="28"/>
                <w:sz w:val="21"/>
                <w:szCs w:val="21"/>
                <w:highlight w:val="none"/>
              </w:rPr>
              <w:t>满足资格审查条件（业绩最低要求）的业绩单项合同额高的优先</w:t>
            </w:r>
          </w:p>
        </w:tc>
      </w:tr>
      <w:tr w14:paraId="2534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Align w:val="center"/>
          </w:tcPr>
          <w:p w14:paraId="485B434D">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2.1.1</w:t>
            </w:r>
          </w:p>
          <w:p w14:paraId="7031A9CD">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2.1.3</w:t>
            </w:r>
          </w:p>
        </w:tc>
        <w:tc>
          <w:tcPr>
            <w:tcW w:w="825" w:type="pct"/>
            <w:vAlign w:val="center"/>
          </w:tcPr>
          <w:p w14:paraId="3C4C0C98">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形式评审与响应性评审标准</w:t>
            </w:r>
          </w:p>
        </w:tc>
        <w:tc>
          <w:tcPr>
            <w:tcW w:w="3422" w:type="pct"/>
          </w:tcPr>
          <w:p w14:paraId="4C8BE515">
            <w:pPr>
              <w:tabs>
                <w:tab w:val="left" w:pos="3060"/>
              </w:tabs>
              <w:snapToGrid w:val="0"/>
              <w:spacing w:line="320" w:lineRule="exact"/>
              <w:ind w:firstLine="211" w:firstLineChars="104"/>
              <w:jc w:val="left"/>
              <w:rPr>
                <w:rFonts w:hint="eastAsia" w:ascii="宋体" w:hAnsi="宋体" w:eastAsia="宋体" w:cs="宋体"/>
                <w:b/>
                <w:bCs/>
                <w:color w:val="auto"/>
                <w:spacing w:val="-4"/>
                <w:kern w:val="28"/>
                <w:sz w:val="21"/>
                <w:szCs w:val="21"/>
                <w:highlight w:val="none"/>
              </w:rPr>
            </w:pPr>
            <w:r>
              <w:rPr>
                <w:rFonts w:hint="eastAsia" w:ascii="宋体" w:hAnsi="宋体" w:eastAsia="宋体" w:cs="宋体"/>
                <w:b/>
                <w:bCs/>
                <w:color w:val="auto"/>
                <w:spacing w:val="-4"/>
                <w:kern w:val="28"/>
                <w:sz w:val="21"/>
                <w:szCs w:val="21"/>
                <w:highlight w:val="none"/>
              </w:rPr>
              <w:t>第一个信封（商务文件）评审标准（明标部分）：</w:t>
            </w:r>
          </w:p>
          <w:p w14:paraId="2DE02382">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（1）投标文件按照招标文件规定的格式、内容填写，字迹清晰可辨：</w:t>
            </w:r>
          </w:p>
          <w:p w14:paraId="0ABEF3A4">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a．投标函按招标文件规定填报了招标人名称、项目名称、补遗书编号（如有）、</w:t>
            </w:r>
            <w:r>
              <w:rPr>
                <w:rFonts w:hint="eastAsia" w:ascii="宋体" w:hAnsi="宋体" w:eastAsia="宋体" w:cs="宋体"/>
                <w:color w:val="auto"/>
                <w:spacing w:val="-4"/>
                <w:kern w:val="28"/>
                <w:sz w:val="21"/>
                <w:szCs w:val="21"/>
                <w:highlight w:val="none"/>
              </w:rPr>
              <w:t>工期、项目经理</w:t>
            </w:r>
            <w:r>
              <w:rPr>
                <w:rFonts w:hint="eastAsia" w:ascii="宋体" w:hAnsi="宋体" w:eastAsia="宋体" w:cs="宋体"/>
                <w:color w:val="auto"/>
                <w:kern w:val="28"/>
                <w:sz w:val="21"/>
                <w:szCs w:val="21"/>
                <w:highlight w:val="none"/>
              </w:rPr>
              <w:t>等内容，</w:t>
            </w:r>
            <w:r>
              <w:rPr>
                <w:rFonts w:ascii="Times New Roman" w:hAnsi="Times New Roman" w:eastAsia="宋体" w:cs="Times New Roman"/>
                <w:color w:val="auto"/>
                <w:kern w:val="28"/>
                <w:sz w:val="21"/>
                <w:szCs w:val="21"/>
                <w:highlight w:val="none"/>
              </w:rPr>
              <w:t>未对投标函中填写的</w:t>
            </w:r>
            <w:r>
              <w:rPr>
                <w:rFonts w:hint="eastAsia" w:ascii="宋体" w:hAnsi="宋体" w:eastAsia="宋体" w:cs="宋体"/>
                <w:color w:val="auto"/>
                <w:spacing w:val="-4"/>
                <w:kern w:val="28"/>
                <w:sz w:val="21"/>
                <w:szCs w:val="21"/>
                <w:highlight w:val="none"/>
              </w:rPr>
              <w:t>工程质量、安全目标、计划开工日期</w:t>
            </w:r>
            <w:r>
              <w:rPr>
                <w:rFonts w:ascii="Times New Roman" w:hAnsi="Times New Roman" w:eastAsia="宋体" w:cs="Times New Roman"/>
                <w:color w:val="auto"/>
                <w:kern w:val="28"/>
                <w:sz w:val="21"/>
                <w:szCs w:val="21"/>
                <w:highlight w:val="none"/>
              </w:rPr>
              <w:t>进行修改</w:t>
            </w:r>
            <w:r>
              <w:rPr>
                <w:rFonts w:hint="eastAsia" w:ascii="宋体" w:hAnsi="宋体" w:eastAsia="宋体" w:cs="宋体"/>
                <w:color w:val="auto"/>
                <w:kern w:val="28"/>
                <w:sz w:val="28"/>
                <w:szCs w:val="21"/>
                <w:highlight w:val="none"/>
              </w:rPr>
              <w:t>；</w:t>
            </w:r>
          </w:p>
          <w:p w14:paraId="5A95A402">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b．投标函附录的所有数据均符合招标文件规定。</w:t>
            </w:r>
          </w:p>
          <w:p w14:paraId="39C1BADE">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C.投标文件组成齐全完整，内容均按规定填写。</w:t>
            </w:r>
          </w:p>
          <w:p w14:paraId="582A9DD4">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（2）投标文件上法定代表人或其授权代理人的签字、投标人的单位章盖章齐全，符合招标文件规定。</w:t>
            </w:r>
          </w:p>
          <w:p w14:paraId="75F5BD48">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（3）投标人按照招标文件的规定提供了投标保证金，满足招标文件投标人须知前附表第3.4.1款要求。</w:t>
            </w:r>
          </w:p>
          <w:p w14:paraId="6F6B693E">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（4）投标人法定代表人授权委托代理人签署投标文件的，须提交授权委托书，授权委托书符合招标文件规定。</w:t>
            </w:r>
          </w:p>
          <w:p w14:paraId="06B1538E">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（5）投标人法定代表人亲自签署投标文件的，提供了法定代表人身份证明，法定代表人身份证明符合招标文件规定。</w:t>
            </w:r>
          </w:p>
          <w:p w14:paraId="5BDF34F1">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（6）投标人未以联合体形式投标。</w:t>
            </w:r>
          </w:p>
          <w:p w14:paraId="1CFEF0E6">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（7）投标人未提出分包计划</w:t>
            </w:r>
            <w:r>
              <w:rPr>
                <w:rFonts w:ascii="宋体" w:hAnsi="宋体" w:eastAsia="宋体" w:cs="宋体"/>
                <w:color w:val="auto"/>
                <w:kern w:val="28"/>
                <w:sz w:val="21"/>
                <w:szCs w:val="21"/>
                <w:highlight w:val="none"/>
              </w:rPr>
              <w:t>。</w:t>
            </w:r>
          </w:p>
          <w:p w14:paraId="7B6C57E1">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（8）同一投标人未提交两个以上不同的投标文件。</w:t>
            </w:r>
          </w:p>
          <w:p w14:paraId="06745903">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（9）投标文件第一个信封（商务及技术文件）中未出现有关投标报价的内容。</w:t>
            </w:r>
          </w:p>
          <w:p w14:paraId="38878EBF">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color w:val="auto"/>
                <w:kern w:val="28"/>
                <w:sz w:val="21"/>
                <w:szCs w:val="21"/>
                <w:highlight w:val="none"/>
              </w:rPr>
              <w:t>（10）投标文件载明的招标项</w:t>
            </w:r>
            <w:r>
              <w:rPr>
                <w:rFonts w:hint="eastAsia" w:ascii="宋体" w:hAnsi="宋体" w:eastAsia="宋体" w:cs="宋体"/>
                <w:bCs/>
                <w:color w:val="auto"/>
                <w:kern w:val="28"/>
                <w:sz w:val="21"/>
                <w:szCs w:val="21"/>
                <w:highlight w:val="none"/>
              </w:rPr>
              <w:t>目完成期限未超过招标文件规定的时限。</w:t>
            </w:r>
          </w:p>
          <w:p w14:paraId="437C1A3E">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（11）投标文件对招标文件的实质性要求和条件作出响应。</w:t>
            </w:r>
          </w:p>
          <w:p w14:paraId="0B0782BC">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（12）权利义务符合招标文件规定：</w:t>
            </w:r>
          </w:p>
          <w:p w14:paraId="3A2F2157">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a．投标人应接受招标文件规定的风险划分原则，未提出新的风险划分办法；</w:t>
            </w:r>
          </w:p>
          <w:p w14:paraId="3D1EE58A">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b．投标人未增加发包人的责任范围，或减少投标人义务；</w:t>
            </w:r>
          </w:p>
          <w:p w14:paraId="6558BE4A">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c．投标人未提出不同的工程验收、计量、支付办法；</w:t>
            </w:r>
          </w:p>
          <w:p w14:paraId="188910F3">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d．投标人对合同纠纷、事故处理办法未提出异议；</w:t>
            </w:r>
          </w:p>
          <w:p w14:paraId="5D5BFB9D">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e．投标人在投标活动中无欺诈行为；</w:t>
            </w:r>
          </w:p>
          <w:p w14:paraId="2CD09EDD">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f．投标人未对合同条款有重要保留；</w:t>
            </w:r>
          </w:p>
          <w:p w14:paraId="5A6B3C2E">
            <w:pPr>
              <w:tabs>
                <w:tab w:val="left" w:pos="3060"/>
              </w:tabs>
              <w:snapToGrid w:val="0"/>
              <w:spacing w:line="320" w:lineRule="exact"/>
              <w:ind w:firstLine="211" w:firstLineChars="104"/>
              <w:jc w:val="left"/>
              <w:rPr>
                <w:rFonts w:hint="eastAsia" w:ascii="宋体" w:hAnsi="宋体" w:eastAsia="宋体" w:cs="宋体"/>
                <w:color w:val="auto"/>
                <w:kern w:val="28"/>
                <w:sz w:val="21"/>
                <w:szCs w:val="21"/>
                <w:highlight w:val="none"/>
              </w:rPr>
            </w:pPr>
            <w:r>
              <w:rPr>
                <w:rFonts w:hint="eastAsia" w:ascii="宋体" w:hAnsi="宋体" w:eastAsia="宋体" w:cs="宋体"/>
                <w:b/>
                <w:bCs/>
                <w:color w:val="auto"/>
                <w:spacing w:val="-4"/>
                <w:kern w:val="28"/>
                <w:sz w:val="21"/>
                <w:szCs w:val="21"/>
                <w:highlight w:val="none"/>
              </w:rPr>
              <w:t>第一个信封（技术文件）评审标准（暗标部分）：</w:t>
            </w:r>
          </w:p>
          <w:p w14:paraId="5EF09DE1">
            <w:pPr>
              <w:tabs>
                <w:tab w:val="left" w:pos="3060"/>
              </w:tabs>
              <w:snapToGrid w:val="0"/>
              <w:spacing w:line="320" w:lineRule="exact"/>
              <w:ind w:firstLine="218" w:firstLineChars="104"/>
              <w:jc w:val="lef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（1）</w:t>
            </w:r>
            <w:r>
              <w:rPr>
                <w:rFonts w:hint="eastAsia" w:ascii="宋体" w:hAnsi="宋体" w:eastAsia="宋体" w:cs="宋体"/>
                <w:color w:val="auto"/>
                <w:kern w:val="28"/>
                <w:sz w:val="21"/>
                <w:szCs w:val="21"/>
                <w:highlight w:val="none"/>
              </w:rPr>
              <w:t>施工组织设计（暗标）编制符合招标文件第二章“投标人须知”第</w:t>
            </w:r>
            <w:r>
              <w:rPr>
                <w:rFonts w:hint="eastAsia" w:ascii="宋体" w:hAnsi="宋体" w:eastAsia="宋体" w:cs="宋体"/>
                <w:color w:val="auto"/>
                <w:kern w:val="28"/>
                <w:sz w:val="21"/>
                <w:szCs w:val="21"/>
                <w:highlight w:val="none"/>
                <w:lang w:val="en-US" w:eastAsia="zh-CN"/>
              </w:rPr>
              <w:t>3.7.3（8）</w:t>
            </w:r>
            <w:r>
              <w:rPr>
                <w:rFonts w:hint="eastAsia" w:ascii="宋体" w:hAnsi="宋体" w:eastAsia="宋体" w:cs="宋体"/>
                <w:color w:val="auto"/>
                <w:kern w:val="28"/>
                <w:sz w:val="21"/>
                <w:szCs w:val="21"/>
                <w:highlight w:val="none"/>
              </w:rPr>
              <w:t>款的规定</w:t>
            </w:r>
            <w:r>
              <w:rPr>
                <w:rFonts w:hint="eastAsia" w:ascii="宋体" w:hAnsi="宋体" w:eastAsia="宋体" w:cs="宋体"/>
                <w:color w:val="auto"/>
                <w:kern w:val="2"/>
                <w:sz w:val="21"/>
                <w:szCs w:val="21"/>
                <w:highlight w:val="none"/>
              </w:rPr>
              <w:t>。</w:t>
            </w:r>
          </w:p>
          <w:p w14:paraId="4FE5B387">
            <w:pPr>
              <w:tabs>
                <w:tab w:val="left" w:pos="3060"/>
              </w:tabs>
              <w:snapToGrid w:val="0"/>
              <w:spacing w:line="320" w:lineRule="exact"/>
              <w:ind w:firstLine="219" w:firstLineChars="104"/>
              <w:rPr>
                <w:rFonts w:hint="eastAsia" w:ascii="宋体" w:hAnsi="宋体" w:eastAsia="宋体" w:cs="宋体"/>
                <w:b/>
                <w:color w:val="auto"/>
                <w:kern w:val="28"/>
                <w:sz w:val="21"/>
                <w:szCs w:val="21"/>
                <w:highlight w:val="none"/>
              </w:rPr>
            </w:pPr>
            <w:r>
              <w:rPr>
                <w:rFonts w:hint="eastAsia" w:ascii="宋体" w:hAnsi="宋体" w:eastAsia="宋体" w:cs="宋体"/>
                <w:b/>
                <w:color w:val="auto"/>
                <w:kern w:val="28"/>
                <w:sz w:val="21"/>
                <w:szCs w:val="21"/>
                <w:highlight w:val="none"/>
              </w:rPr>
              <w:t>第二个信封（报价文件）评审标准：</w:t>
            </w:r>
          </w:p>
          <w:p w14:paraId="3A25265F">
            <w:pPr>
              <w:tabs>
                <w:tab w:val="left" w:pos="3060"/>
              </w:tabs>
              <w:snapToGrid w:val="0"/>
              <w:spacing w:line="320" w:lineRule="exact"/>
              <w:ind w:firstLine="218" w:firstLineChars="104"/>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（1）投标文件按照招标文件规定的格式、内容填写，字迹清晰可辨，内容齐全完整：</w:t>
            </w:r>
          </w:p>
          <w:p w14:paraId="3E3DECAB">
            <w:pPr>
              <w:snapToGrid w:val="0"/>
              <w:spacing w:line="300" w:lineRule="exact"/>
              <w:ind w:firstLine="420" w:firstLineChars="20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a．投标函按招标文件规定填报了招标人名称、项目名称、补遗书编号（如有）、投标报价（包括大写金额和小写金额）；</w:t>
            </w:r>
          </w:p>
          <w:p w14:paraId="68AD3403">
            <w:pPr>
              <w:snapToGrid w:val="0"/>
              <w:spacing w:line="300" w:lineRule="exact"/>
              <w:ind w:firstLine="420" w:firstLineChars="20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b．已标价工程量清单说明文字与招标文件规定一致，未进行实质性修改和删减；</w:t>
            </w:r>
          </w:p>
          <w:p w14:paraId="57B13366">
            <w:pPr>
              <w:tabs>
                <w:tab w:val="left" w:pos="3060"/>
              </w:tabs>
              <w:snapToGrid w:val="0"/>
              <w:spacing w:line="320" w:lineRule="exact"/>
              <w:ind w:firstLine="426" w:firstLineChars="203"/>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c．投标文件组成齐全完整，内容均按规定填写；</w:t>
            </w:r>
          </w:p>
          <w:p w14:paraId="440DC7DD">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（2）投标文件上法定代表人或其授权代理人的签字、投标人的单位章盖章齐全，符合招标文件规定；</w:t>
            </w:r>
          </w:p>
          <w:p w14:paraId="5FB95422">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（3）投标报价未超过招标文件设定的最高投标限价；</w:t>
            </w:r>
          </w:p>
          <w:p w14:paraId="63DD76F0">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（4）投标报价大写金额能够确定具体数值；</w:t>
            </w:r>
          </w:p>
          <w:p w14:paraId="4228C62E">
            <w:pPr>
              <w:tabs>
                <w:tab w:val="left" w:pos="3060"/>
              </w:tabs>
              <w:snapToGrid w:val="0"/>
              <w:spacing w:line="320" w:lineRule="exact"/>
              <w:ind w:firstLine="218" w:firstLineChars="104"/>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（5）投标人未提交两个以上不同的投标报价；</w:t>
            </w:r>
          </w:p>
          <w:p w14:paraId="3147A941">
            <w:pPr>
              <w:tabs>
                <w:tab w:val="left" w:pos="3060"/>
              </w:tabs>
              <w:snapToGrid w:val="0"/>
              <w:spacing w:line="320" w:lineRule="exact"/>
              <w:ind w:firstLine="218" w:firstLineChars="104"/>
              <w:rPr>
                <w:rFonts w:hint="eastAsia" w:ascii="宋体" w:hAnsi="宋体" w:eastAsia="宋体" w:cs="宋体"/>
                <w:color w:val="auto"/>
                <w:kern w:val="2"/>
                <w:sz w:val="21"/>
                <w:szCs w:val="21"/>
                <w:highlight w:val="none"/>
              </w:rPr>
            </w:pPr>
            <w:r>
              <w:rPr>
                <w:rFonts w:hint="eastAsia" w:ascii="宋体" w:hAnsi="宋体" w:eastAsia="宋体" w:cs="宋体"/>
                <w:bCs/>
                <w:color w:val="auto"/>
                <w:kern w:val="28"/>
                <w:sz w:val="21"/>
                <w:szCs w:val="21"/>
                <w:highlight w:val="none"/>
              </w:rPr>
              <w:t>（6）</w:t>
            </w:r>
            <w:r>
              <w:rPr>
                <w:rFonts w:hint="eastAsia" w:ascii="Times New Roman" w:hAnsi="Times New Roman" w:eastAsia="宋体" w:cs="Times New Roman"/>
                <w:color w:val="auto"/>
                <w:kern w:val="28"/>
                <w:sz w:val="21"/>
                <w:szCs w:val="21"/>
                <w:highlight w:val="none"/>
                <w:lang w:bidi="ar"/>
              </w:rPr>
              <w:t>投标人填写完毕的工程量清单</w:t>
            </w:r>
            <w:r>
              <w:rPr>
                <w:rFonts w:hint="eastAsia" w:ascii="宋体" w:hAnsi="宋体" w:eastAsia="宋体" w:cs="宋体"/>
                <w:color w:val="auto"/>
                <w:kern w:val="2"/>
                <w:sz w:val="21"/>
                <w:szCs w:val="21"/>
                <w:highlight w:val="none"/>
              </w:rPr>
              <w:t>未对招标人提供的工程量固化清单电子文件中的数据、格式和运算定义进行修改；已标价的工程量清单中的投标报价和投标函大写金额报价一致。</w:t>
            </w:r>
          </w:p>
        </w:tc>
      </w:tr>
      <w:tr w14:paraId="1617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3" w:hRule="atLeast"/>
        </w:trPr>
        <w:tc>
          <w:tcPr>
            <w:tcW w:w="752" w:type="pct"/>
            <w:vAlign w:val="center"/>
          </w:tcPr>
          <w:p w14:paraId="7B97ED63">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2.1.2</w:t>
            </w:r>
          </w:p>
        </w:tc>
        <w:tc>
          <w:tcPr>
            <w:tcW w:w="825" w:type="pct"/>
            <w:vAlign w:val="center"/>
          </w:tcPr>
          <w:p w14:paraId="0E7AF970">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资格评审标准</w:t>
            </w:r>
          </w:p>
        </w:tc>
        <w:tc>
          <w:tcPr>
            <w:tcW w:w="3422" w:type="pct"/>
          </w:tcPr>
          <w:p w14:paraId="1EBFE494">
            <w:pPr>
              <w:tabs>
                <w:tab w:val="left" w:pos="3060"/>
              </w:tabs>
              <w:snapToGrid w:val="0"/>
              <w:spacing w:line="320" w:lineRule="exact"/>
              <w:ind w:firstLine="205" w:firstLineChars="98"/>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（1）投标人具备有效的营业执照、资质证书、安全生产许可证和基本账户开户许可证（或基本存款账户信息）。</w:t>
            </w:r>
          </w:p>
          <w:p w14:paraId="42B0BFA8">
            <w:pPr>
              <w:tabs>
                <w:tab w:val="left" w:pos="3060"/>
              </w:tabs>
              <w:snapToGrid w:val="0"/>
              <w:spacing w:line="320" w:lineRule="exact"/>
              <w:ind w:firstLine="205" w:firstLineChars="98"/>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（2）投标人的资质等级符合招标文件规定。</w:t>
            </w:r>
          </w:p>
          <w:p w14:paraId="77DF1F5A">
            <w:pPr>
              <w:tabs>
                <w:tab w:val="left" w:pos="3060"/>
              </w:tabs>
              <w:snapToGrid w:val="0"/>
              <w:spacing w:line="320" w:lineRule="exact"/>
              <w:ind w:firstLine="205" w:firstLineChars="98"/>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w:t>
            </w:r>
            <w:r>
              <w:rPr>
                <w:rFonts w:hint="eastAsia" w:ascii="宋体" w:hAnsi="宋体" w:eastAsia="宋体" w:cs="宋体"/>
                <w:bCs/>
                <w:color w:val="auto"/>
                <w:kern w:val="28"/>
                <w:sz w:val="21"/>
                <w:szCs w:val="21"/>
                <w:highlight w:val="none"/>
                <w:lang w:val="en-US" w:eastAsia="zh-CN"/>
              </w:rPr>
              <w:t>3</w:t>
            </w:r>
            <w:r>
              <w:rPr>
                <w:rFonts w:hint="eastAsia" w:ascii="宋体" w:hAnsi="宋体" w:eastAsia="宋体" w:cs="宋体"/>
                <w:bCs/>
                <w:color w:val="auto"/>
                <w:kern w:val="28"/>
                <w:sz w:val="21"/>
                <w:szCs w:val="21"/>
                <w:highlight w:val="none"/>
              </w:rPr>
              <w:t>）投标人的业绩符合招标文件规定。</w:t>
            </w:r>
          </w:p>
          <w:p w14:paraId="45C2C1FF">
            <w:pPr>
              <w:tabs>
                <w:tab w:val="left" w:pos="3060"/>
              </w:tabs>
              <w:snapToGrid w:val="0"/>
              <w:spacing w:line="320" w:lineRule="exact"/>
              <w:ind w:firstLine="205" w:firstLineChars="98"/>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w:t>
            </w:r>
            <w:r>
              <w:rPr>
                <w:rFonts w:hint="eastAsia" w:ascii="宋体" w:hAnsi="宋体" w:eastAsia="宋体" w:cs="宋体"/>
                <w:bCs/>
                <w:color w:val="auto"/>
                <w:kern w:val="28"/>
                <w:sz w:val="21"/>
                <w:szCs w:val="21"/>
                <w:highlight w:val="none"/>
                <w:lang w:val="en-US" w:eastAsia="zh-CN"/>
              </w:rPr>
              <w:t>4</w:t>
            </w:r>
            <w:r>
              <w:rPr>
                <w:rFonts w:hint="eastAsia" w:ascii="宋体" w:hAnsi="宋体" w:eastAsia="宋体" w:cs="宋体"/>
                <w:bCs/>
                <w:color w:val="auto"/>
                <w:kern w:val="28"/>
                <w:sz w:val="21"/>
                <w:szCs w:val="21"/>
                <w:highlight w:val="none"/>
              </w:rPr>
              <w:t>）投标人的信誉符合招标文件规定。</w:t>
            </w:r>
          </w:p>
          <w:p w14:paraId="5B9928AE">
            <w:pPr>
              <w:tabs>
                <w:tab w:val="left" w:pos="3060"/>
              </w:tabs>
              <w:snapToGrid w:val="0"/>
              <w:spacing w:line="320" w:lineRule="exact"/>
              <w:ind w:firstLine="205" w:firstLineChars="98"/>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w:t>
            </w:r>
            <w:r>
              <w:rPr>
                <w:rFonts w:hint="eastAsia" w:ascii="宋体" w:hAnsi="宋体" w:eastAsia="宋体" w:cs="宋体"/>
                <w:bCs/>
                <w:color w:val="auto"/>
                <w:kern w:val="28"/>
                <w:sz w:val="21"/>
                <w:szCs w:val="21"/>
                <w:highlight w:val="none"/>
                <w:lang w:val="en-US" w:eastAsia="zh-CN"/>
              </w:rPr>
              <w:t>5</w:t>
            </w:r>
            <w:r>
              <w:rPr>
                <w:rFonts w:hint="eastAsia" w:ascii="宋体" w:hAnsi="宋体" w:eastAsia="宋体" w:cs="宋体"/>
                <w:bCs/>
                <w:color w:val="auto"/>
                <w:kern w:val="28"/>
                <w:sz w:val="21"/>
                <w:szCs w:val="21"/>
                <w:highlight w:val="none"/>
              </w:rPr>
              <w:t>）投标人的项目经理资格符合招标文件规定。</w:t>
            </w:r>
          </w:p>
          <w:p w14:paraId="1DBA7B45">
            <w:pPr>
              <w:tabs>
                <w:tab w:val="left" w:pos="3060"/>
              </w:tabs>
              <w:snapToGrid w:val="0"/>
              <w:spacing w:line="320" w:lineRule="exact"/>
              <w:ind w:firstLine="205" w:firstLineChars="98"/>
              <w:jc w:val="left"/>
              <w:rPr>
                <w:rFonts w:ascii="Times New Roman" w:hAnsi="Times New Roman" w:eastAsia="宋体" w:cs="Times New Roman"/>
                <w:color w:val="auto"/>
                <w:kern w:val="28"/>
                <w:sz w:val="28"/>
                <w:szCs w:val="20"/>
                <w:highlight w:val="none"/>
              </w:rPr>
            </w:pPr>
            <w:r>
              <w:rPr>
                <w:rFonts w:hint="eastAsia" w:ascii="宋体" w:hAnsi="宋体" w:eastAsia="宋体" w:cs="宋体"/>
                <w:bCs/>
                <w:color w:val="auto"/>
                <w:kern w:val="28"/>
                <w:sz w:val="21"/>
                <w:szCs w:val="21"/>
                <w:highlight w:val="none"/>
              </w:rPr>
              <w:t>（</w:t>
            </w:r>
            <w:r>
              <w:rPr>
                <w:rFonts w:hint="eastAsia" w:ascii="宋体" w:hAnsi="宋体" w:eastAsia="宋体" w:cs="宋体"/>
                <w:bCs/>
                <w:color w:val="auto"/>
                <w:kern w:val="28"/>
                <w:sz w:val="21"/>
                <w:szCs w:val="21"/>
                <w:highlight w:val="none"/>
                <w:lang w:val="en-US" w:eastAsia="zh-CN"/>
              </w:rPr>
              <w:t>6</w:t>
            </w:r>
            <w:r>
              <w:rPr>
                <w:rFonts w:hint="eastAsia" w:ascii="宋体" w:hAnsi="宋体" w:eastAsia="宋体" w:cs="宋体"/>
                <w:bCs/>
                <w:color w:val="auto"/>
                <w:kern w:val="28"/>
                <w:sz w:val="21"/>
                <w:szCs w:val="21"/>
                <w:highlight w:val="none"/>
              </w:rPr>
              <w:t>）投标人不存在第二章“投标人须知”第 1.4.3 项或第 1.4.4 项规定的任何一种情形。</w:t>
            </w:r>
          </w:p>
        </w:tc>
      </w:tr>
      <w:tr w14:paraId="70134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Align w:val="center"/>
          </w:tcPr>
          <w:p w14:paraId="2C2C6202">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2.2.1</w:t>
            </w:r>
          </w:p>
        </w:tc>
        <w:tc>
          <w:tcPr>
            <w:tcW w:w="825" w:type="pct"/>
            <w:vAlign w:val="center"/>
          </w:tcPr>
          <w:p w14:paraId="3DB8ADAF">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分值构成（总分100分）</w:t>
            </w:r>
          </w:p>
        </w:tc>
        <w:tc>
          <w:tcPr>
            <w:tcW w:w="3422" w:type="pct"/>
            <w:vAlign w:val="center"/>
          </w:tcPr>
          <w:p w14:paraId="70EBECEF">
            <w:pPr>
              <w:spacing w:line="370" w:lineRule="exact"/>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修改为：</w:t>
            </w:r>
          </w:p>
          <w:p w14:paraId="25ED8F47">
            <w:pPr>
              <w:spacing w:line="370" w:lineRule="exact"/>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第一个信封分值构成：</w:t>
            </w:r>
          </w:p>
          <w:p w14:paraId="259E5369">
            <w:pPr>
              <w:spacing w:line="370" w:lineRule="exact"/>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施工组织设计：</w:t>
            </w:r>
            <w:r>
              <w:rPr>
                <w:rFonts w:hint="eastAsia" w:ascii="Times New Roman" w:hAnsi="Times New Roman" w:eastAsia="宋体" w:cs="Times New Roman"/>
                <w:color w:val="auto"/>
                <w:kern w:val="28"/>
                <w:sz w:val="21"/>
                <w:szCs w:val="21"/>
                <w:highlight w:val="none"/>
                <w:lang w:val="en-US" w:eastAsia="zh-CN"/>
              </w:rPr>
              <w:t>4</w:t>
            </w:r>
            <w:r>
              <w:rPr>
                <w:rFonts w:hint="eastAsia" w:ascii="Times New Roman" w:hAnsi="Times New Roman" w:eastAsia="宋体" w:cs="Times New Roman"/>
                <w:color w:val="auto"/>
                <w:kern w:val="28"/>
                <w:sz w:val="21"/>
                <w:szCs w:val="21"/>
                <w:highlight w:val="none"/>
              </w:rPr>
              <w:t>0分；</w:t>
            </w:r>
          </w:p>
          <w:p w14:paraId="45F2BAF6">
            <w:pPr>
              <w:spacing w:line="370" w:lineRule="exact"/>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其他因素（</w:t>
            </w:r>
            <w:r>
              <w:rPr>
                <w:rFonts w:hint="eastAsia" w:ascii="Times New Roman" w:hAnsi="Times New Roman" w:eastAsia="宋体" w:cs="Times New Roman"/>
                <w:color w:val="auto"/>
                <w:kern w:val="28"/>
                <w:sz w:val="21"/>
                <w:szCs w:val="21"/>
                <w:highlight w:val="none"/>
              </w:rPr>
              <w:t>主要人员</w:t>
            </w:r>
            <w:r>
              <w:rPr>
                <w:rFonts w:hint="eastAsia" w:ascii="Times New Roman" w:hAnsi="Times New Roman" w:eastAsia="宋体" w:cs="Times New Roman"/>
                <w:color w:val="auto"/>
                <w:kern w:val="28"/>
                <w:sz w:val="21"/>
                <w:szCs w:val="21"/>
                <w:highlight w:val="none"/>
                <w:lang w:eastAsia="zh-CN"/>
              </w:rPr>
              <w:t>）</w:t>
            </w: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3</w:t>
            </w:r>
            <w:r>
              <w:rPr>
                <w:rFonts w:hint="eastAsia" w:ascii="Times New Roman" w:hAnsi="Times New Roman" w:eastAsia="宋体" w:cs="Times New Roman"/>
                <w:color w:val="auto"/>
                <w:kern w:val="28"/>
                <w:sz w:val="21"/>
                <w:szCs w:val="21"/>
                <w:highlight w:val="none"/>
              </w:rPr>
              <w:t>0分；</w:t>
            </w:r>
          </w:p>
          <w:p w14:paraId="0BFB44B7">
            <w:pPr>
              <w:spacing w:line="370" w:lineRule="exact"/>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企业业绩</w:t>
            </w:r>
            <w:r>
              <w:rPr>
                <w:rFonts w:hint="eastAsia" w:ascii="Times New Roman" w:hAnsi="Times New Roman" w:eastAsia="宋体" w:cs="Times New Roman"/>
                <w:color w:val="auto"/>
                <w:kern w:val="28"/>
                <w:sz w:val="21"/>
                <w:szCs w:val="21"/>
                <w:highlight w:val="none"/>
                <w:lang w:eastAsia="zh-CN"/>
              </w:rPr>
              <w:t>：</w:t>
            </w:r>
            <w:r>
              <w:rPr>
                <w:rFonts w:hint="eastAsia" w:ascii="Times New Roman" w:hAnsi="Times New Roman" w:eastAsia="宋体" w:cs="Times New Roman"/>
                <w:color w:val="auto"/>
                <w:kern w:val="28"/>
                <w:sz w:val="21"/>
                <w:szCs w:val="21"/>
                <w:highlight w:val="none"/>
                <w:lang w:val="en-US" w:eastAsia="zh-CN"/>
              </w:rPr>
              <w:t>3</w:t>
            </w:r>
            <w:r>
              <w:rPr>
                <w:rFonts w:hint="eastAsia" w:ascii="Times New Roman" w:hAnsi="Times New Roman" w:eastAsia="宋体" w:cs="Times New Roman"/>
                <w:color w:val="auto"/>
                <w:kern w:val="28"/>
                <w:sz w:val="21"/>
                <w:szCs w:val="21"/>
                <w:highlight w:val="none"/>
              </w:rPr>
              <w:t>0分；</w:t>
            </w:r>
          </w:p>
          <w:p w14:paraId="4187CFAF">
            <w:pPr>
              <w:snapToGrid w:val="0"/>
              <w:spacing w:line="320" w:lineRule="exact"/>
              <w:jc w:val="left"/>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第二个信封分值构成：</w:t>
            </w:r>
          </w:p>
          <w:p w14:paraId="1237570D">
            <w:pPr>
              <w:snapToGrid w:val="0"/>
              <w:spacing w:line="320" w:lineRule="exact"/>
              <w:jc w:val="left"/>
              <w:rPr>
                <w:rFonts w:hint="eastAsia" w:ascii="宋体" w:hAnsi="宋体" w:eastAsia="宋体" w:cs="宋体"/>
                <w:b/>
                <w:color w:val="auto"/>
                <w:kern w:val="28"/>
                <w:sz w:val="21"/>
                <w:szCs w:val="21"/>
                <w:highlight w:val="none"/>
              </w:rPr>
            </w:pPr>
            <w:r>
              <w:rPr>
                <w:rFonts w:hint="eastAsia" w:ascii="Times New Roman" w:hAnsi="Times New Roman" w:eastAsia="宋体" w:cs="Times New Roman"/>
                <w:color w:val="auto"/>
                <w:kern w:val="28"/>
                <w:sz w:val="21"/>
                <w:szCs w:val="21"/>
                <w:highlight w:val="none"/>
              </w:rPr>
              <w:t>报价：100分。</w:t>
            </w:r>
          </w:p>
        </w:tc>
      </w:tr>
      <w:tr w14:paraId="4F3E6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Align w:val="center"/>
          </w:tcPr>
          <w:p w14:paraId="2E5CEBD4">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2.2.2</w:t>
            </w:r>
          </w:p>
        </w:tc>
        <w:tc>
          <w:tcPr>
            <w:tcW w:w="825" w:type="pct"/>
            <w:vAlign w:val="center"/>
          </w:tcPr>
          <w:p w14:paraId="3DCFF8C3">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Times New Roman"/>
                <w:color w:val="auto"/>
                <w:spacing w:val="0"/>
                <w:w w:val="100"/>
                <w:kern w:val="28"/>
                <w:position w:val="0"/>
                <w:sz w:val="21"/>
                <w:szCs w:val="21"/>
                <w:highlight w:val="none"/>
                <w:u w:val="none"/>
                <w:shd w:val="clear" w:color="auto" w:fill="FFFFFF"/>
                <w:lang w:val="zh-CN" w:bidi="zh-CN"/>
              </w:rPr>
              <w:t>第一个信封评分评分标准</w:t>
            </w:r>
          </w:p>
        </w:tc>
        <w:tc>
          <w:tcPr>
            <w:tcW w:w="3422" w:type="pct"/>
            <w:vAlign w:val="center"/>
          </w:tcPr>
          <w:p w14:paraId="6E871506">
            <w:pPr>
              <w:widowControl w:val="0"/>
              <w:autoSpaceDE w:val="0"/>
              <w:autoSpaceDN w:val="0"/>
              <w:snapToGrid w:val="0"/>
              <w:spacing w:line="320" w:lineRule="exact"/>
              <w:ind w:firstLine="420" w:firstLineChars="200"/>
              <w:jc w:val="both"/>
              <w:rPr>
                <w:rFonts w:hint="eastAsia" w:ascii="宋体" w:hAnsi="宋体" w:eastAsia="宋体" w:cs="宋体"/>
                <w:color w:val="auto"/>
                <w:kern w:val="0"/>
                <w:sz w:val="21"/>
                <w:szCs w:val="21"/>
                <w:highlight w:val="none"/>
                <w:lang w:val="en-US" w:eastAsia="zh-CN" w:bidi="zh-CN"/>
              </w:rPr>
            </w:pPr>
            <w:r>
              <w:rPr>
                <w:rFonts w:hint="eastAsia" w:ascii="宋体" w:hAnsi="宋体" w:eastAsia="宋体" w:cs="宋体"/>
                <w:color w:val="auto"/>
                <w:kern w:val="0"/>
                <w:sz w:val="21"/>
                <w:szCs w:val="21"/>
                <w:highlight w:val="none"/>
                <w:lang w:val="en-US" w:eastAsia="zh-CN" w:bidi="zh-CN"/>
              </w:rPr>
              <w:t>详见附表</w:t>
            </w:r>
          </w:p>
        </w:tc>
      </w:tr>
      <w:tr w14:paraId="324D7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Merge w:val="restart"/>
            <w:vAlign w:val="center"/>
          </w:tcPr>
          <w:p w14:paraId="28CBFB2B">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2.2.3</w:t>
            </w:r>
          </w:p>
        </w:tc>
        <w:tc>
          <w:tcPr>
            <w:tcW w:w="825" w:type="pct"/>
            <w:vMerge w:val="restart"/>
            <w:vAlign w:val="center"/>
          </w:tcPr>
          <w:p w14:paraId="346F5645">
            <w:pPr>
              <w:snapToGrid w:val="0"/>
              <w:spacing w:line="320" w:lineRule="exact"/>
              <w:jc w:val="center"/>
              <w:rPr>
                <w:rFonts w:hint="eastAsia" w:ascii="宋体" w:hAnsi="宋体"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第二个信封详细评审标准</w:t>
            </w:r>
          </w:p>
        </w:tc>
        <w:tc>
          <w:tcPr>
            <w:tcW w:w="3422" w:type="pct"/>
            <w:vAlign w:val="center"/>
          </w:tcPr>
          <w:p w14:paraId="2E4D7101">
            <w:pPr>
              <w:snapToGrid w:val="0"/>
              <w:spacing w:line="320" w:lineRule="exact"/>
              <w:jc w:val="left"/>
              <w:rPr>
                <w:rFonts w:hint="eastAsia" w:ascii="宋体" w:hAnsi="宋体" w:eastAsia="宋体" w:cs="宋体"/>
                <w:b/>
                <w:bCs/>
                <w:color w:val="auto"/>
                <w:kern w:val="28"/>
                <w:sz w:val="21"/>
                <w:szCs w:val="21"/>
                <w:highlight w:val="none"/>
              </w:rPr>
            </w:pPr>
            <w:r>
              <w:rPr>
                <w:rFonts w:hint="eastAsia" w:ascii="宋体" w:hAnsi="宋体" w:eastAsia="宋体" w:cs="宋体"/>
                <w:b/>
                <w:bCs/>
                <w:color w:val="auto"/>
                <w:kern w:val="28"/>
                <w:sz w:val="21"/>
                <w:szCs w:val="21"/>
                <w:highlight w:val="none"/>
              </w:rPr>
              <w:t>评标价偏差率的计算公式：</w:t>
            </w:r>
          </w:p>
          <w:p w14:paraId="6BF50854">
            <w:pPr>
              <w:snapToGrid w:val="0"/>
              <w:spacing w:line="320" w:lineRule="exact"/>
              <w:jc w:val="left"/>
              <w:rPr>
                <w:rFonts w:ascii="Times New Roman" w:hAnsi="Times New Roman" w:eastAsia="宋体" w:cs="宋体"/>
                <w:color w:val="auto"/>
                <w:kern w:val="28"/>
                <w:sz w:val="21"/>
                <w:szCs w:val="21"/>
                <w:highlight w:val="none"/>
              </w:rPr>
            </w:pPr>
            <w:r>
              <w:rPr>
                <w:rFonts w:hint="eastAsia" w:ascii="宋体" w:hAnsi="宋体" w:eastAsia="宋体" w:cs="宋体"/>
                <w:color w:val="auto"/>
                <w:kern w:val="28"/>
                <w:sz w:val="21"/>
                <w:szCs w:val="21"/>
                <w:highlight w:val="none"/>
              </w:rPr>
              <w:t>偏差率=100%×（投标人评标价-评标基准价）／评标基准价</w:t>
            </w:r>
          </w:p>
        </w:tc>
      </w:tr>
      <w:tr w14:paraId="66E43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52" w:type="pct"/>
            <w:vMerge w:val="continue"/>
            <w:vAlign w:val="center"/>
          </w:tcPr>
          <w:p w14:paraId="61E66BE2">
            <w:pPr>
              <w:snapToGrid w:val="0"/>
              <w:spacing w:line="320" w:lineRule="exact"/>
              <w:jc w:val="center"/>
              <w:rPr>
                <w:rFonts w:hint="eastAsia" w:ascii="宋体" w:hAnsi="宋体" w:eastAsia="宋体" w:cs="宋体"/>
                <w:color w:val="auto"/>
                <w:kern w:val="28"/>
                <w:sz w:val="21"/>
                <w:szCs w:val="21"/>
                <w:highlight w:val="none"/>
              </w:rPr>
            </w:pPr>
          </w:p>
        </w:tc>
        <w:tc>
          <w:tcPr>
            <w:tcW w:w="825" w:type="pct"/>
            <w:vMerge w:val="continue"/>
            <w:vAlign w:val="center"/>
          </w:tcPr>
          <w:p w14:paraId="5FC5A04E">
            <w:pPr>
              <w:snapToGrid w:val="0"/>
              <w:spacing w:line="320" w:lineRule="exact"/>
              <w:jc w:val="center"/>
              <w:rPr>
                <w:rFonts w:hint="eastAsia" w:ascii="宋体" w:hAnsi="宋体" w:eastAsia="宋体" w:cs="Times New Roman"/>
                <w:color w:val="auto"/>
                <w:kern w:val="28"/>
                <w:sz w:val="21"/>
                <w:szCs w:val="21"/>
                <w:highlight w:val="none"/>
              </w:rPr>
            </w:pPr>
          </w:p>
        </w:tc>
        <w:tc>
          <w:tcPr>
            <w:tcW w:w="3422" w:type="pct"/>
            <w:vAlign w:val="center"/>
          </w:tcPr>
          <w:p w14:paraId="3BA3BD0F">
            <w:pPr>
              <w:snapToGrid w:val="0"/>
              <w:spacing w:line="320" w:lineRule="exact"/>
              <w:jc w:val="left"/>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评标价的评分标准（100分）：</w:t>
            </w:r>
          </w:p>
          <w:p w14:paraId="1398B16F">
            <w:pPr>
              <w:widowControl w:val="0"/>
              <w:snapToGrid w:val="0"/>
              <w:spacing w:line="32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评标价得分计算公式：</w:t>
            </w:r>
          </w:p>
          <w:p w14:paraId="63DB9FA7">
            <w:pPr>
              <w:snapToGrid w:val="0"/>
              <w:spacing w:line="320" w:lineRule="exact"/>
              <w:ind w:firstLine="321" w:firstLineChars="153"/>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a.如果投标人的评标价＞评标基准价，则评标价得分＝100－偏差率×100×E1；</w:t>
            </w:r>
          </w:p>
          <w:p w14:paraId="7B88A993">
            <w:pPr>
              <w:snapToGrid w:val="0"/>
              <w:spacing w:line="320" w:lineRule="exact"/>
              <w:ind w:firstLine="321" w:firstLineChars="153"/>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b.如果投标人的评标价≤评标基准价，则评标价得分＝100＋偏差率×100×E2；</w:t>
            </w:r>
          </w:p>
          <w:p w14:paraId="44DE596C">
            <w:pPr>
              <w:widowControl w:val="0"/>
              <w:snapToGrid w:val="0"/>
              <w:spacing w:line="320" w:lineRule="exact"/>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Cs/>
                <w:color w:val="auto"/>
                <w:kern w:val="2"/>
                <w:sz w:val="21"/>
                <w:szCs w:val="21"/>
                <w:highlight w:val="none"/>
                <w:lang w:val="en-US" w:eastAsia="zh-CN" w:bidi="ar-SA"/>
              </w:rPr>
              <w:t>其中，E1是评标价每高于评标基准价一个百分点的扣分值，E1＝2；E2是评标价每低于评标基准价一个百分点的扣分值，E2＝1。</w:t>
            </w:r>
          </w:p>
          <w:p w14:paraId="2119692A">
            <w:pPr>
              <w:widowControl w:val="0"/>
              <w:spacing w:after="120"/>
              <w:ind w:left="0" w:leftChars="0" w:firstLine="0" w:firstLineChars="0"/>
              <w:jc w:val="both"/>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注：评标价得分最低为0分；评标价得分保留小数点后两位，小数点后第三位四舍五入。</w:t>
            </w:r>
          </w:p>
        </w:tc>
      </w:tr>
      <w:tr w14:paraId="4E12D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752" w:type="pct"/>
            <w:vAlign w:val="center"/>
          </w:tcPr>
          <w:p w14:paraId="5D15A89C">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2.2.4</w:t>
            </w:r>
          </w:p>
        </w:tc>
        <w:tc>
          <w:tcPr>
            <w:tcW w:w="825" w:type="pct"/>
            <w:vAlign w:val="center"/>
          </w:tcPr>
          <w:p w14:paraId="22F247FC">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评标基准价计算方法</w:t>
            </w:r>
          </w:p>
        </w:tc>
        <w:tc>
          <w:tcPr>
            <w:tcW w:w="3422" w:type="pct"/>
            <w:vAlign w:val="center"/>
          </w:tcPr>
          <w:p w14:paraId="43C043D2">
            <w:pPr>
              <w:snapToGrid w:val="0"/>
              <w:spacing w:line="320" w:lineRule="exact"/>
              <w:jc w:val="left"/>
              <w:rPr>
                <w:rFonts w:hint="eastAsia" w:ascii="宋体" w:hAnsi="宋体" w:eastAsia="宋体" w:cs="Times New Roman"/>
                <w:b/>
                <w:color w:val="auto"/>
                <w:kern w:val="2"/>
                <w:sz w:val="21"/>
                <w:szCs w:val="21"/>
                <w:highlight w:val="none"/>
              </w:rPr>
            </w:pPr>
            <w:r>
              <w:rPr>
                <w:rFonts w:hint="eastAsia" w:ascii="宋体" w:hAnsi="宋体" w:eastAsia="宋体" w:cs="宋体"/>
                <w:b/>
                <w:color w:val="auto"/>
                <w:kern w:val="28"/>
                <w:sz w:val="21"/>
                <w:szCs w:val="21"/>
                <w:highlight w:val="none"/>
              </w:rPr>
              <w:t>评标基准价计算方法随机抽取确定。在第一信封开标现场通过抽取器具，从以下三种办法中随机抽取确定一种方法作为评标基准价的计算方法：</w:t>
            </w:r>
          </w:p>
          <w:p w14:paraId="41F6AEBF">
            <w:pPr>
              <w:spacing w:line="276" w:lineRule="auto"/>
              <w:ind w:left="-29" w:leftChars="-14" w:right="113"/>
              <w:rPr>
                <w:rFonts w:hint="eastAsia" w:ascii="宋体" w:hAnsi="宋体"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按照投标人的商务和技术得分由高到低排序，选择前</w:t>
            </w:r>
            <w:r>
              <w:rPr>
                <w:rFonts w:hint="eastAsia" w:ascii="Times New Roman" w:hAnsi="Times New Roman" w:eastAsia="宋体" w:cs="Times New Roman"/>
                <w:color w:val="auto"/>
                <w:kern w:val="28"/>
                <w:sz w:val="21"/>
                <w:szCs w:val="21"/>
                <w:highlight w:val="none"/>
                <w:u w:val="single"/>
              </w:rPr>
              <w:t xml:space="preserve"> 5 </w:t>
            </w:r>
            <w:r>
              <w:rPr>
                <w:rFonts w:hint="eastAsia" w:ascii="Times New Roman" w:hAnsi="Times New Roman" w:eastAsia="宋体" w:cs="Times New Roman"/>
                <w:color w:val="auto"/>
                <w:kern w:val="28"/>
                <w:sz w:val="21"/>
                <w:szCs w:val="21"/>
                <w:highlight w:val="none"/>
              </w:rPr>
              <w:t>名通过</w:t>
            </w:r>
            <w:r>
              <w:rPr>
                <w:rFonts w:hint="eastAsia" w:ascii="宋体" w:hAnsi="宋体" w:eastAsia="宋体" w:cs="宋体"/>
                <w:color w:val="auto"/>
                <w:kern w:val="28"/>
                <w:sz w:val="21"/>
                <w:szCs w:val="21"/>
                <w:highlight w:val="none"/>
              </w:rPr>
              <w:t>投标文件第一个信封（商务及技术文件）</w:t>
            </w:r>
            <w:r>
              <w:rPr>
                <w:rFonts w:hint="eastAsia" w:ascii="Times New Roman" w:hAnsi="Times New Roman" w:eastAsia="宋体" w:cs="Times New Roman"/>
                <w:color w:val="auto"/>
                <w:kern w:val="28"/>
                <w:sz w:val="21"/>
                <w:szCs w:val="21"/>
                <w:highlight w:val="none"/>
              </w:rPr>
              <w:t>详细评审</w:t>
            </w:r>
            <w:r>
              <w:rPr>
                <w:rFonts w:hint="eastAsia" w:ascii="宋体" w:hAnsi="宋体" w:eastAsia="宋体" w:cs="Times New Roman"/>
                <w:color w:val="auto"/>
                <w:kern w:val="28"/>
                <w:sz w:val="21"/>
                <w:szCs w:val="21"/>
                <w:highlight w:val="none"/>
              </w:rPr>
              <w:t>，开启第二个信封，并当场计算并宣布评标基准价。</w:t>
            </w:r>
          </w:p>
          <w:p w14:paraId="2F9ABEF6">
            <w:pPr>
              <w:spacing w:line="276" w:lineRule="auto"/>
              <w:ind w:left="-29" w:leftChars="-14" w:right="113"/>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（1）评标价的确定： 评标价=投标函文字报价</w:t>
            </w:r>
          </w:p>
          <w:p w14:paraId="5E9CBA95">
            <w:pPr>
              <w:spacing w:line="276" w:lineRule="auto"/>
              <w:ind w:left="-29" w:leftChars="-14" w:right="113"/>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（2）评标价平均值的计算：除按第二章“投标人须知”第 5.2.4 项规定开标现场被宣布为不进入评标基准价计算的投标报价之外，进入第二个信封评审的所有投标人评标价的算术平均值即为评标价平均值。</w:t>
            </w:r>
          </w:p>
          <w:p w14:paraId="7386ACC1">
            <w:pPr>
              <w:spacing w:line="286" w:lineRule="exact"/>
              <w:ind w:left="556" w:leftChars="150" w:hanging="241" w:hangingChars="115"/>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lang w:eastAsia="zh-CN"/>
              </w:rPr>
              <w:t>（</w:t>
            </w:r>
            <w:r>
              <w:rPr>
                <w:rFonts w:hint="eastAsia" w:ascii="宋体" w:hAnsi="宋体" w:eastAsia="宋体" w:cs="宋体"/>
                <w:bCs/>
                <w:color w:val="auto"/>
                <w:kern w:val="28"/>
                <w:sz w:val="21"/>
                <w:szCs w:val="21"/>
                <w:highlight w:val="none"/>
                <w:lang w:val="en-US" w:eastAsia="zh-CN"/>
              </w:rPr>
              <w:t>3</w:t>
            </w:r>
            <w:r>
              <w:rPr>
                <w:rFonts w:hint="eastAsia" w:ascii="宋体" w:hAnsi="宋体" w:eastAsia="宋体" w:cs="宋体"/>
                <w:bCs/>
                <w:color w:val="auto"/>
                <w:kern w:val="28"/>
                <w:sz w:val="21"/>
                <w:szCs w:val="21"/>
                <w:highlight w:val="none"/>
                <w:lang w:eastAsia="zh-CN"/>
              </w:rPr>
              <w:t>）</w:t>
            </w:r>
            <w:r>
              <w:rPr>
                <w:rFonts w:hint="eastAsia" w:ascii="宋体" w:hAnsi="宋体" w:eastAsia="宋体" w:cs="宋体"/>
                <w:bCs/>
                <w:color w:val="auto"/>
                <w:kern w:val="28"/>
                <w:sz w:val="21"/>
                <w:szCs w:val="21"/>
                <w:highlight w:val="none"/>
              </w:rPr>
              <w:t>评标基准价的</w:t>
            </w:r>
            <w:r>
              <w:rPr>
                <w:rFonts w:hint="eastAsia" w:ascii="宋体" w:hAnsi="宋体" w:eastAsia="宋体" w:cs="宋体"/>
                <w:bCs/>
                <w:color w:val="auto"/>
                <w:kern w:val="28"/>
                <w:sz w:val="21"/>
                <w:szCs w:val="21"/>
                <w:highlight w:val="none"/>
                <w:lang w:eastAsia="zh-CN"/>
              </w:rPr>
              <w:t>计算</w:t>
            </w:r>
            <w:r>
              <w:rPr>
                <w:rFonts w:hint="eastAsia" w:ascii="宋体" w:hAnsi="宋体" w:eastAsia="宋体" w:cs="宋体"/>
                <w:bCs/>
                <w:color w:val="auto"/>
                <w:kern w:val="28"/>
                <w:sz w:val="21"/>
                <w:szCs w:val="21"/>
                <w:highlight w:val="none"/>
              </w:rPr>
              <w:t>：</w:t>
            </w:r>
          </w:p>
          <w:p w14:paraId="5C185694">
            <w:pPr>
              <w:spacing w:line="286" w:lineRule="exact"/>
              <w:ind w:firstLine="420" w:firstLineChars="200"/>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本次招标共设置以下三种评标基准价计算方法，在第一信封（商务及技术文件）开标现场随机确定一种评标基准价计算方法，作为本次评标的评标基准价计算方法。</w:t>
            </w:r>
          </w:p>
          <w:p w14:paraId="68EBF03B">
            <w:pPr>
              <w:spacing w:line="286" w:lineRule="exact"/>
              <w:ind w:firstLine="386" w:firstLineChars="184"/>
              <w:jc w:val="left"/>
              <w:rPr>
                <w:rFonts w:hint="eastAsia" w:ascii="宋体" w:hAnsi="宋体" w:eastAsia="宋体" w:cs="宋体"/>
                <w:bCs/>
                <w:color w:val="auto"/>
                <w:kern w:val="28"/>
                <w:sz w:val="21"/>
                <w:szCs w:val="21"/>
                <w:highlight w:val="none"/>
                <w:lang w:val="en-US" w:eastAsia="zh-CN"/>
              </w:rPr>
            </w:pPr>
            <w:r>
              <w:rPr>
                <w:rFonts w:hint="default" w:ascii="Calibri" w:hAnsi="Calibri" w:eastAsia="宋体" w:cs="Calibri"/>
                <w:bCs/>
                <w:color w:val="auto"/>
                <w:kern w:val="28"/>
                <w:sz w:val="21"/>
                <w:szCs w:val="21"/>
                <w:highlight w:val="none"/>
              </w:rPr>
              <w:t>①</w:t>
            </w:r>
            <w:r>
              <w:rPr>
                <w:rFonts w:hint="eastAsia" w:ascii="宋体" w:hAnsi="宋体" w:eastAsia="宋体" w:cs="宋体"/>
                <w:bCs/>
                <w:color w:val="auto"/>
                <w:kern w:val="28"/>
                <w:sz w:val="21"/>
                <w:szCs w:val="21"/>
                <w:highlight w:val="none"/>
              </w:rPr>
              <w:t>方法1：评标价平均值直接作为评标基准价。</w:t>
            </w:r>
          </w:p>
          <w:p w14:paraId="13E872E7">
            <w:pPr>
              <w:spacing w:line="286" w:lineRule="exact"/>
              <w:ind w:firstLine="386" w:firstLineChars="184"/>
              <w:jc w:val="left"/>
              <w:rPr>
                <w:rFonts w:hint="eastAsia" w:ascii="宋体" w:hAnsi="宋体" w:eastAsia="宋体" w:cs="宋体"/>
                <w:bCs/>
                <w:color w:val="auto"/>
                <w:kern w:val="28"/>
                <w:sz w:val="21"/>
                <w:szCs w:val="21"/>
                <w:highlight w:val="none"/>
              </w:rPr>
            </w:pPr>
            <w:r>
              <w:rPr>
                <w:rFonts w:hint="default" w:ascii="Calibri" w:hAnsi="Calibri" w:eastAsia="宋体" w:cs="Calibri"/>
                <w:bCs/>
                <w:color w:val="auto"/>
                <w:kern w:val="28"/>
                <w:sz w:val="21"/>
                <w:szCs w:val="21"/>
                <w:highlight w:val="none"/>
              </w:rPr>
              <w:t>②</w:t>
            </w:r>
            <w:r>
              <w:rPr>
                <w:rFonts w:hint="eastAsia" w:ascii="宋体" w:hAnsi="宋体" w:eastAsia="宋体" w:cs="宋体"/>
                <w:bCs/>
                <w:color w:val="auto"/>
                <w:kern w:val="28"/>
                <w:sz w:val="21"/>
                <w:szCs w:val="21"/>
                <w:highlight w:val="none"/>
              </w:rPr>
              <w:t>方法2：评标基准价P=评标价平均值×评标基准价系数K1。</w:t>
            </w:r>
          </w:p>
          <w:p w14:paraId="54136ECD">
            <w:pPr>
              <w:spacing w:line="286" w:lineRule="exact"/>
              <w:ind w:firstLine="386" w:firstLineChars="184"/>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K1为开标现场随机确定的评标基准价系数，取值范围为0.975、0.980、0.985、0.990、0.995。</w:t>
            </w:r>
          </w:p>
          <w:p w14:paraId="453087B2">
            <w:pPr>
              <w:spacing w:line="286" w:lineRule="exact"/>
              <w:ind w:firstLine="386" w:firstLineChars="184"/>
              <w:jc w:val="left"/>
              <w:rPr>
                <w:rFonts w:hint="eastAsia" w:ascii="宋体" w:hAnsi="宋体" w:eastAsia="宋体" w:cs="宋体"/>
                <w:bCs/>
                <w:color w:val="auto"/>
                <w:kern w:val="28"/>
                <w:sz w:val="21"/>
                <w:szCs w:val="21"/>
                <w:highlight w:val="none"/>
              </w:rPr>
            </w:pPr>
            <w:r>
              <w:rPr>
                <w:rFonts w:hint="default" w:ascii="Calibri" w:hAnsi="Calibri" w:eastAsia="宋体" w:cs="Calibri"/>
                <w:bCs/>
                <w:color w:val="auto"/>
                <w:kern w:val="28"/>
                <w:sz w:val="21"/>
                <w:szCs w:val="21"/>
                <w:highlight w:val="none"/>
              </w:rPr>
              <w:t>③</w:t>
            </w:r>
            <w:r>
              <w:rPr>
                <w:rFonts w:hint="eastAsia" w:ascii="宋体" w:hAnsi="宋体" w:eastAsia="宋体" w:cs="宋体"/>
                <w:bCs/>
                <w:color w:val="auto"/>
                <w:kern w:val="28"/>
                <w:sz w:val="21"/>
                <w:szCs w:val="21"/>
                <w:highlight w:val="none"/>
              </w:rPr>
              <w:t>方法3：评标基准价P=最高投标限价×K2+评标价平均值×（1-K2）。</w:t>
            </w:r>
          </w:p>
          <w:p w14:paraId="71D2819E">
            <w:pPr>
              <w:spacing w:line="286" w:lineRule="exact"/>
              <w:ind w:firstLine="386" w:firstLineChars="184"/>
              <w:jc w:val="left"/>
              <w:rPr>
                <w:rFonts w:hint="eastAsia" w:ascii="宋体" w:hAnsi="宋体" w:eastAsia="宋体" w:cs="宋体"/>
                <w:bCs/>
                <w:color w:val="auto"/>
                <w:kern w:val="28"/>
                <w:sz w:val="21"/>
                <w:szCs w:val="21"/>
                <w:highlight w:val="none"/>
              </w:rPr>
            </w:pPr>
            <w:r>
              <w:rPr>
                <w:rFonts w:hint="eastAsia" w:ascii="宋体" w:hAnsi="宋体" w:eastAsia="宋体" w:cs="宋体"/>
                <w:bCs/>
                <w:color w:val="auto"/>
                <w:kern w:val="28"/>
                <w:sz w:val="21"/>
                <w:szCs w:val="21"/>
                <w:highlight w:val="none"/>
              </w:rPr>
              <w:t>K2为开标现场随机确定的最高投标限价所占比例系数，取值范围为0.10、0.15、0.20、0.25、0.30。</w:t>
            </w:r>
          </w:p>
          <w:p w14:paraId="7E6F9D46">
            <w:pPr>
              <w:spacing w:line="276" w:lineRule="auto"/>
              <w:ind w:left="-29" w:leftChars="-14" w:right="113"/>
              <w:rPr>
                <w:rFonts w:hint="eastAsia" w:ascii="宋体" w:hAnsi="宋体" w:eastAsia="宋体" w:cs="Times New Roman"/>
                <w:color w:val="auto"/>
                <w:kern w:val="28"/>
                <w:sz w:val="21"/>
                <w:szCs w:val="21"/>
                <w:highlight w:val="none"/>
              </w:rPr>
            </w:pPr>
            <w:r>
              <w:rPr>
                <w:rFonts w:hint="eastAsia" w:ascii="宋体" w:hAnsi="宋体" w:eastAsia="宋体" w:cs="宋体"/>
                <w:bCs/>
                <w:color w:val="auto"/>
                <w:kern w:val="28"/>
                <w:sz w:val="21"/>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p w14:paraId="285E7DD3">
            <w:pPr>
              <w:spacing w:line="276" w:lineRule="auto"/>
              <w:ind w:left="-29" w:leftChars="-14" w:right="113"/>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②评标基准价的确定</w:t>
            </w:r>
          </w:p>
          <w:p w14:paraId="4C0DC984">
            <w:pPr>
              <w:spacing w:line="276" w:lineRule="auto"/>
              <w:ind w:left="-29" w:leftChars="-14" w:right="113"/>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投标人评标价的中位数直接作为评标基准价P。</w:t>
            </w:r>
          </w:p>
          <w:p w14:paraId="47F899D4">
            <w:pPr>
              <w:spacing w:line="276" w:lineRule="auto"/>
              <w:ind w:left="-29" w:leftChars="-14" w:right="113" w:firstLine="420" w:firstLineChars="200"/>
              <w:rPr>
                <w:rFonts w:hint="eastAsia" w:ascii="宋体" w:hAnsi="宋体" w:eastAsia="宋体" w:cs="Times New Roman"/>
                <w:color w:val="auto"/>
                <w:kern w:val="28"/>
                <w:sz w:val="21"/>
                <w:szCs w:val="21"/>
                <w:highlight w:val="none"/>
              </w:rPr>
            </w:pPr>
            <w:r>
              <w:rPr>
                <w:rFonts w:hint="eastAsia" w:ascii="宋体" w:hAnsi="宋体" w:eastAsia="宋体" w:cs="Times New Roman"/>
                <w:color w:val="auto"/>
                <w:kern w:val="28"/>
                <w:sz w:val="21"/>
                <w:szCs w:val="21"/>
                <w:highlight w:val="none"/>
              </w:rPr>
              <w:t>在评标过程中，评标委员会应对招标人计算的评标基准价进行复核，存在计算错误的应予以修正并在评标报告中作出说明。除此之外，评标基准价在整个评标期间保持不变，不随任何因素发生变化。</w:t>
            </w:r>
          </w:p>
          <w:p w14:paraId="273241CB">
            <w:pPr>
              <w:widowControl w:val="0"/>
              <w:autoSpaceDE w:val="0"/>
              <w:autoSpaceDN w:val="0"/>
              <w:snapToGrid w:val="0"/>
              <w:spacing w:line="320" w:lineRule="exact"/>
              <w:ind w:firstLine="420" w:firstLineChars="200"/>
              <w:jc w:val="both"/>
              <w:rPr>
                <w:rFonts w:hint="eastAsia" w:ascii="宋体" w:hAnsi="宋体" w:eastAsia="宋体" w:cs="宋体"/>
                <w:color w:val="auto"/>
                <w:kern w:val="0"/>
                <w:sz w:val="21"/>
                <w:szCs w:val="21"/>
                <w:highlight w:val="none"/>
                <w:lang w:val="zh-CN" w:eastAsia="zh-CN" w:bidi="zh-CN"/>
              </w:rPr>
            </w:pPr>
            <w:r>
              <w:rPr>
                <w:rFonts w:hint="eastAsia" w:ascii="宋体" w:hAnsi="宋体" w:eastAsia="宋体" w:cs="宋体"/>
                <w:color w:val="auto"/>
                <w:kern w:val="0"/>
                <w:sz w:val="21"/>
                <w:szCs w:val="21"/>
                <w:highlight w:val="none"/>
                <w:lang w:val="zh-CN" w:eastAsia="zh-CN" w:bidi="zh-CN"/>
              </w:rPr>
              <w:t>评标基准价保留小数点后两位，小数点后第三位四舍五入。</w:t>
            </w:r>
          </w:p>
        </w:tc>
      </w:tr>
      <w:tr w14:paraId="79116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752" w:type="pct"/>
            <w:vAlign w:val="center"/>
          </w:tcPr>
          <w:p w14:paraId="4315E27D">
            <w:pPr>
              <w:spacing w:line="370" w:lineRule="exact"/>
              <w:jc w:val="center"/>
              <w:rPr>
                <w:rFonts w:hint="eastAsia" w:ascii="宋体" w:hAnsi="宋体" w:eastAsia="宋体" w:cs="宋体"/>
                <w:color w:val="auto"/>
                <w:kern w:val="28"/>
                <w:sz w:val="21"/>
                <w:szCs w:val="21"/>
                <w:highlight w:val="none"/>
              </w:rPr>
            </w:pPr>
            <w:r>
              <w:rPr>
                <w:rFonts w:hint="eastAsia" w:ascii="Times New Roman" w:hAnsi="Times New Roman" w:eastAsia="宋体" w:cs="Times New Roman"/>
                <w:color w:val="auto"/>
                <w:kern w:val="28"/>
                <w:sz w:val="21"/>
                <w:szCs w:val="21"/>
                <w:highlight w:val="none"/>
              </w:rPr>
              <w:t>3.2.4</w:t>
            </w:r>
          </w:p>
        </w:tc>
        <w:tc>
          <w:tcPr>
            <w:tcW w:w="825" w:type="pct"/>
            <w:vAlign w:val="center"/>
          </w:tcPr>
          <w:p w14:paraId="399E9C98">
            <w:pPr>
              <w:spacing w:line="370" w:lineRule="exact"/>
              <w:jc w:val="center"/>
              <w:rPr>
                <w:rFonts w:hint="eastAsia" w:ascii="宋体" w:hAnsi="宋体" w:eastAsia="宋体" w:cs="宋体"/>
                <w:color w:val="auto"/>
                <w:kern w:val="28"/>
                <w:sz w:val="21"/>
                <w:szCs w:val="21"/>
                <w:highlight w:val="none"/>
              </w:rPr>
            </w:pPr>
            <w:r>
              <w:rPr>
                <w:rFonts w:hint="eastAsia" w:ascii="Times New Roman" w:hAnsi="Times New Roman" w:eastAsia="宋体" w:cs="Times New Roman"/>
                <w:color w:val="auto"/>
                <w:kern w:val="28"/>
                <w:sz w:val="21"/>
                <w:szCs w:val="21"/>
                <w:highlight w:val="none"/>
              </w:rPr>
              <w:t>通过第一个信封详细评审的投标人数量</w:t>
            </w:r>
          </w:p>
        </w:tc>
        <w:tc>
          <w:tcPr>
            <w:tcW w:w="3422" w:type="pct"/>
            <w:vAlign w:val="center"/>
          </w:tcPr>
          <w:p w14:paraId="14EA3C20">
            <w:pPr>
              <w:spacing w:line="370" w:lineRule="exact"/>
              <w:rPr>
                <w:rFonts w:hint="eastAsia" w:ascii="宋体" w:hAnsi="宋体" w:eastAsia="宋体" w:cs="宋体"/>
                <w:color w:val="auto"/>
                <w:kern w:val="28"/>
                <w:sz w:val="21"/>
                <w:szCs w:val="21"/>
                <w:highlight w:val="none"/>
              </w:rPr>
            </w:pPr>
            <w:r>
              <w:rPr>
                <w:rFonts w:hint="eastAsia" w:ascii="Times New Roman" w:hAnsi="Times New Roman" w:eastAsia="宋体" w:cs="Times New Roman"/>
                <w:color w:val="auto"/>
                <w:kern w:val="28"/>
                <w:sz w:val="21"/>
                <w:szCs w:val="21"/>
                <w:highlight w:val="none"/>
              </w:rPr>
              <w:t>按照投标人的商务和技术得分由高到低排序，选择前</w:t>
            </w:r>
            <w:r>
              <w:rPr>
                <w:rFonts w:hint="eastAsia" w:ascii="Times New Roman" w:hAnsi="Times New Roman" w:eastAsia="宋体" w:cs="Times New Roman"/>
                <w:color w:val="auto"/>
                <w:kern w:val="28"/>
                <w:sz w:val="21"/>
                <w:szCs w:val="21"/>
                <w:highlight w:val="none"/>
                <w:u w:val="single"/>
              </w:rPr>
              <w:t xml:space="preserve"> 5 </w:t>
            </w:r>
            <w:r>
              <w:rPr>
                <w:rFonts w:hint="eastAsia" w:ascii="Times New Roman" w:hAnsi="Times New Roman" w:eastAsia="宋体" w:cs="Times New Roman"/>
                <w:color w:val="auto"/>
                <w:kern w:val="28"/>
                <w:sz w:val="21"/>
                <w:szCs w:val="21"/>
                <w:highlight w:val="none"/>
              </w:rPr>
              <w:t>名进入</w:t>
            </w:r>
            <w:r>
              <w:rPr>
                <w:rFonts w:hint="eastAsia" w:ascii="宋体" w:hAnsi="宋体" w:eastAsia="宋体" w:cs="宋体"/>
                <w:color w:val="auto"/>
                <w:kern w:val="28"/>
                <w:sz w:val="21"/>
                <w:szCs w:val="21"/>
                <w:highlight w:val="none"/>
              </w:rPr>
              <w:t>第二个信封</w:t>
            </w:r>
            <w:r>
              <w:rPr>
                <w:rFonts w:hint="eastAsia" w:ascii="Times New Roman" w:hAnsi="Times New Roman" w:eastAsia="宋体" w:cs="Times New Roman"/>
                <w:color w:val="auto"/>
                <w:kern w:val="28"/>
                <w:sz w:val="21"/>
                <w:szCs w:val="21"/>
                <w:highlight w:val="none"/>
              </w:rPr>
              <w:t>评审。</w:t>
            </w:r>
            <w:r>
              <w:rPr>
                <w:rFonts w:ascii="宋体" w:hAnsi="宋体" w:eastAsia="宋体" w:cs="宋体"/>
                <w:color w:val="auto"/>
                <w:kern w:val="28"/>
                <w:sz w:val="21"/>
                <w:szCs w:val="21"/>
                <w:highlight w:val="none"/>
              </w:rPr>
              <w:t>第一信封得分相等时，评标委员会按照</w:t>
            </w:r>
            <w:r>
              <w:rPr>
                <w:rFonts w:hint="eastAsia" w:ascii="宋体" w:hAnsi="宋体" w:eastAsia="宋体" w:cs="宋体"/>
                <w:color w:val="auto"/>
                <w:kern w:val="28"/>
                <w:sz w:val="21"/>
                <w:szCs w:val="21"/>
                <w:highlight w:val="none"/>
              </w:rPr>
              <w:t>施工组织设计得分高的优先；施工组织设计得分也相等的，以</w:t>
            </w:r>
            <w:r>
              <w:rPr>
                <w:rFonts w:ascii="宋体" w:hAnsi="宋体" w:eastAsia="宋体" w:cs="宋体"/>
                <w:color w:val="auto"/>
                <w:kern w:val="28"/>
                <w:sz w:val="21"/>
                <w:szCs w:val="21"/>
                <w:highlight w:val="none"/>
              </w:rPr>
              <w:t>满足资格审查条件（业绩最低要求）的业绩</w:t>
            </w:r>
            <w:r>
              <w:rPr>
                <w:rFonts w:hint="eastAsia" w:ascii="宋体" w:hAnsi="宋体" w:eastAsia="宋体" w:cs="宋体"/>
                <w:color w:val="auto"/>
                <w:kern w:val="28"/>
                <w:sz w:val="21"/>
                <w:szCs w:val="21"/>
                <w:highlight w:val="none"/>
              </w:rPr>
              <w:t>单项合同额最高</w:t>
            </w:r>
            <w:r>
              <w:rPr>
                <w:rFonts w:ascii="宋体" w:hAnsi="宋体" w:eastAsia="宋体" w:cs="宋体"/>
                <w:color w:val="auto"/>
                <w:kern w:val="28"/>
                <w:sz w:val="21"/>
                <w:szCs w:val="21"/>
                <w:highlight w:val="none"/>
              </w:rPr>
              <w:t>的优先，</w:t>
            </w:r>
            <w:r>
              <w:rPr>
                <w:rFonts w:hint="eastAsia" w:ascii="宋体" w:hAnsi="宋体" w:eastAsia="宋体" w:cs="宋体"/>
                <w:color w:val="auto"/>
                <w:kern w:val="28"/>
                <w:sz w:val="21"/>
                <w:szCs w:val="21"/>
                <w:highlight w:val="none"/>
              </w:rPr>
              <w:t>单项合同额</w:t>
            </w:r>
            <w:r>
              <w:rPr>
                <w:rFonts w:ascii="宋体" w:hAnsi="宋体" w:eastAsia="宋体" w:cs="宋体"/>
                <w:color w:val="auto"/>
                <w:kern w:val="28"/>
                <w:sz w:val="21"/>
                <w:szCs w:val="21"/>
                <w:highlight w:val="none"/>
              </w:rPr>
              <w:t>也相等时，以累计合同金额多的优先；</w:t>
            </w:r>
          </w:p>
        </w:tc>
      </w:tr>
      <w:tr w14:paraId="7E0D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52" w:type="pct"/>
            <w:vAlign w:val="center"/>
          </w:tcPr>
          <w:p w14:paraId="2BB6A55D">
            <w:pPr>
              <w:spacing w:before="120" w:beforeLines="50" w:after="120" w:afterLines="50" w:line="312" w:lineRule="auto"/>
              <w:ind w:right="113"/>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3.5.3</w:t>
            </w:r>
          </w:p>
        </w:tc>
        <w:tc>
          <w:tcPr>
            <w:tcW w:w="4247" w:type="pct"/>
            <w:gridSpan w:val="2"/>
            <w:vAlign w:val="center"/>
          </w:tcPr>
          <w:p w14:paraId="18F2A725">
            <w:pPr>
              <w:spacing w:line="400" w:lineRule="exact"/>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本款修改为：</w:t>
            </w:r>
          </w:p>
          <w:p w14:paraId="3002FF6C">
            <w:pPr>
              <w:autoSpaceDE w:val="0"/>
              <w:autoSpaceDN w:val="0"/>
              <w:snapToGrid w:val="0"/>
              <w:spacing w:line="312" w:lineRule="auto"/>
              <w:ind w:firstLine="420" w:firstLineChars="200"/>
              <w:rPr>
                <w:rFonts w:hint="eastAsia" w:ascii="宋体" w:hAnsi="宋体" w:eastAsia="宋体" w:cs="宋体"/>
                <w:color w:val="auto"/>
                <w:kern w:val="28"/>
                <w:sz w:val="21"/>
                <w:szCs w:val="21"/>
                <w:highlight w:val="none"/>
              </w:rPr>
            </w:pPr>
            <w:r>
              <w:rPr>
                <w:rFonts w:hint="eastAsia" w:ascii="宋体" w:hAnsi="宋体" w:eastAsia="宋体" w:cs="宋体"/>
                <w:color w:val="auto"/>
                <w:kern w:val="0"/>
                <w:sz w:val="21"/>
                <w:szCs w:val="21"/>
                <w:highlight w:val="none"/>
              </w:rPr>
              <w:t>评标委员会发现投标人的投标报价低于最高投标限价的65%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72BC0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752" w:type="pct"/>
            <w:vAlign w:val="center"/>
          </w:tcPr>
          <w:p w14:paraId="6D166C01">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3.6.1</w:t>
            </w:r>
          </w:p>
        </w:tc>
        <w:tc>
          <w:tcPr>
            <w:tcW w:w="825" w:type="pct"/>
            <w:vAlign w:val="center"/>
          </w:tcPr>
          <w:p w14:paraId="103A4F63">
            <w:pPr>
              <w:adjustRightInd w:val="0"/>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b/>
                <w:color w:val="auto"/>
                <w:kern w:val="28"/>
                <w:sz w:val="21"/>
                <w:szCs w:val="21"/>
                <w:highlight w:val="none"/>
              </w:rPr>
              <w:t>投标文件相关信息的核查</w:t>
            </w:r>
          </w:p>
        </w:tc>
        <w:tc>
          <w:tcPr>
            <w:tcW w:w="3422" w:type="pct"/>
            <w:vAlign w:val="center"/>
          </w:tcPr>
          <w:p w14:paraId="28044788">
            <w:pPr>
              <w:autoSpaceDE w:val="0"/>
              <w:autoSpaceDN w:val="0"/>
              <w:snapToGrid w:val="0"/>
              <w:spacing w:line="320" w:lineRule="exact"/>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本款修改为：</w:t>
            </w:r>
          </w:p>
          <w:p w14:paraId="4587432D">
            <w:pPr>
              <w:keepNext w:val="0"/>
              <w:keepLines w:val="0"/>
              <w:pageBreakBefore w:val="0"/>
              <w:kinsoku/>
              <w:topLinePunct w:val="0"/>
              <w:bidi w:val="0"/>
              <w:adjustRightInd w:val="0"/>
              <w:snapToGrid w:val="0"/>
              <w:spacing w:line="240" w:lineRule="auto"/>
              <w:jc w:val="left"/>
              <w:rPr>
                <w:rFonts w:hint="default"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在评标过程中，评标委员会应对投标人以下信息进行查询：</w:t>
            </w:r>
          </w:p>
          <w:p w14:paraId="67B05671">
            <w:pPr>
              <w:keepNext w:val="0"/>
              <w:keepLines w:val="0"/>
              <w:pageBreakBefore w:val="0"/>
              <w:numPr>
                <w:ilvl w:val="0"/>
                <w:numId w:val="0"/>
              </w:numPr>
              <w:kinsoku/>
              <w:topLinePunct w:val="0"/>
              <w:bidi w:val="0"/>
              <w:adjustRightInd w:val="0"/>
              <w:snapToGrid w:val="0"/>
              <w:spacing w:line="240" w:lineRule="auto"/>
              <w:ind w:left="0"/>
              <w:jc w:val="left"/>
              <w:rPr>
                <w:rFonts w:hint="default" w:ascii="Times New Roman" w:hAnsi="Times New Roman" w:eastAsia="宋体" w:cs="Times New Roman"/>
                <w:color w:val="auto"/>
                <w:kern w:val="28"/>
                <w:sz w:val="21"/>
                <w:szCs w:val="21"/>
                <w:highlight w:val="none"/>
                <w:lang w:eastAsia="zh-CN"/>
              </w:rPr>
            </w:pPr>
            <w:r>
              <w:rPr>
                <w:rFonts w:hint="eastAsia" w:ascii="Times New Roman" w:hAnsi="Times New Roman" w:eastAsia="宋体" w:cs="Times New Roman"/>
                <w:color w:val="auto"/>
                <w:kern w:val="28"/>
                <w:sz w:val="21"/>
                <w:szCs w:val="21"/>
                <w:highlight w:val="none"/>
                <w:lang w:val="en-US" w:eastAsia="zh-CN"/>
              </w:rPr>
              <w:t>1.</w:t>
            </w:r>
            <w:r>
              <w:rPr>
                <w:rFonts w:hint="default" w:ascii="Times New Roman" w:hAnsi="Times New Roman" w:eastAsia="宋体" w:cs="Times New Roman"/>
                <w:color w:val="auto"/>
                <w:kern w:val="28"/>
                <w:sz w:val="21"/>
                <w:szCs w:val="21"/>
                <w:highlight w:val="none"/>
                <w:lang w:eastAsia="zh-CN"/>
              </w:rPr>
              <w:t>评标委员会在评标过程中将对投标人的信誉情况进行查询。如投标人存在下列情形之一的，评标委员会应否决其投标。</w:t>
            </w:r>
          </w:p>
          <w:p w14:paraId="742EAC1B">
            <w:pPr>
              <w:keepNext w:val="0"/>
              <w:keepLines w:val="0"/>
              <w:pageBreakBefore w:val="0"/>
              <w:numPr>
                <w:ilvl w:val="0"/>
                <w:numId w:val="0"/>
              </w:numPr>
              <w:kinsoku/>
              <w:topLinePunct w:val="0"/>
              <w:bidi w:val="0"/>
              <w:adjustRightInd w:val="0"/>
              <w:snapToGrid w:val="0"/>
              <w:spacing w:line="240" w:lineRule="auto"/>
              <w:ind w:left="0"/>
              <w:jc w:val="left"/>
              <w:rPr>
                <w:rFonts w:hint="default" w:ascii="Times New Roman" w:hAnsi="Times New Roman" w:eastAsia="宋体" w:cs="Times New Roman"/>
                <w:color w:val="auto"/>
                <w:kern w:val="28"/>
                <w:sz w:val="21"/>
                <w:szCs w:val="21"/>
                <w:highlight w:val="none"/>
                <w:lang w:eastAsia="zh-CN"/>
              </w:rPr>
            </w:pPr>
            <w:r>
              <w:rPr>
                <w:rFonts w:hint="default" w:ascii="Times New Roman" w:hAnsi="Times New Roman" w:eastAsia="宋体" w:cs="Times New Roman"/>
                <w:color w:val="auto"/>
                <w:kern w:val="28"/>
                <w:sz w:val="21"/>
                <w:szCs w:val="21"/>
                <w:highlight w:val="none"/>
                <w:lang w:eastAsia="zh-CN"/>
              </w:rPr>
              <w:t>(1)在国家企业信用信息公示系统(https://www.gsxt.gov.cn/)中被列入严重违法失信名单(黑名单)(不含分公司，事业单位不适用);</w:t>
            </w:r>
          </w:p>
          <w:p w14:paraId="725D7738">
            <w:pPr>
              <w:keepNext w:val="0"/>
              <w:keepLines w:val="0"/>
              <w:pageBreakBefore w:val="0"/>
              <w:numPr>
                <w:ilvl w:val="0"/>
                <w:numId w:val="0"/>
              </w:numPr>
              <w:kinsoku/>
              <w:topLinePunct w:val="0"/>
              <w:bidi w:val="0"/>
              <w:adjustRightInd w:val="0"/>
              <w:snapToGrid w:val="0"/>
              <w:spacing w:line="240" w:lineRule="auto"/>
              <w:ind w:left="0"/>
              <w:jc w:val="left"/>
              <w:rPr>
                <w:rFonts w:hint="default" w:ascii="Times New Roman" w:hAnsi="Times New Roman" w:eastAsia="宋体" w:cs="Times New Roman"/>
                <w:color w:val="auto"/>
                <w:kern w:val="28"/>
                <w:sz w:val="21"/>
                <w:szCs w:val="21"/>
                <w:highlight w:val="none"/>
                <w:lang w:eastAsia="zh-CN"/>
              </w:rPr>
            </w:pPr>
            <w:r>
              <w:rPr>
                <w:rFonts w:hint="default" w:ascii="Times New Roman" w:hAnsi="Times New Roman" w:eastAsia="宋体" w:cs="Times New Roman"/>
                <w:color w:val="auto"/>
                <w:kern w:val="28"/>
                <w:sz w:val="21"/>
                <w:szCs w:val="21"/>
                <w:highlight w:val="none"/>
                <w:lang w:eastAsia="zh-CN"/>
              </w:rPr>
              <w:t>(2)在“信用中国"网站(http://www.creditchina.gov.cn/)中被列入经营(活动)异常名录、重大税收违法失信主体名单和政府采购严重违法失信行为记录名单(均不含分公司);</w:t>
            </w:r>
          </w:p>
          <w:p w14:paraId="2E43E3F5">
            <w:pPr>
              <w:keepNext w:val="0"/>
              <w:keepLines w:val="0"/>
              <w:pageBreakBefore w:val="0"/>
              <w:numPr>
                <w:ilvl w:val="0"/>
                <w:numId w:val="0"/>
              </w:numPr>
              <w:kinsoku/>
              <w:topLinePunct w:val="0"/>
              <w:bidi w:val="0"/>
              <w:adjustRightInd w:val="0"/>
              <w:snapToGrid w:val="0"/>
              <w:spacing w:line="240" w:lineRule="auto"/>
              <w:ind w:left="0"/>
              <w:jc w:val="left"/>
              <w:rPr>
                <w:rFonts w:hint="default" w:ascii="Times New Roman" w:hAnsi="Times New Roman" w:eastAsia="宋体" w:cs="Times New Roman"/>
                <w:color w:val="auto"/>
                <w:kern w:val="28"/>
                <w:sz w:val="21"/>
                <w:szCs w:val="21"/>
                <w:highlight w:val="none"/>
                <w:lang w:eastAsia="zh-CN"/>
              </w:rPr>
            </w:pPr>
            <w:r>
              <w:rPr>
                <w:rFonts w:hint="default" w:ascii="Times New Roman" w:hAnsi="Times New Roman" w:eastAsia="宋体" w:cs="Times New Roman"/>
                <w:color w:val="auto"/>
                <w:kern w:val="28"/>
                <w:sz w:val="21"/>
                <w:szCs w:val="21"/>
                <w:highlight w:val="none"/>
                <w:lang w:eastAsia="zh-CN"/>
              </w:rPr>
              <w:t>(3)在中国执行信息公开网(zxgk.court.gov.cn)中被列入失信被执行人(不含分公司)。</w:t>
            </w:r>
          </w:p>
          <w:p w14:paraId="1E5F725D">
            <w:pPr>
              <w:keepNext w:val="0"/>
              <w:keepLines w:val="0"/>
              <w:pageBreakBefore w:val="0"/>
              <w:numPr>
                <w:ilvl w:val="0"/>
                <w:numId w:val="0"/>
              </w:numPr>
              <w:kinsoku/>
              <w:topLinePunct w:val="0"/>
              <w:bidi w:val="0"/>
              <w:adjustRightInd w:val="0"/>
              <w:snapToGrid w:val="0"/>
              <w:spacing w:line="240" w:lineRule="auto"/>
              <w:ind w:left="0" w:leftChars="0"/>
              <w:jc w:val="left"/>
              <w:rPr>
                <w:rFonts w:hint="default"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2.</w:t>
            </w:r>
            <w:r>
              <w:rPr>
                <w:rFonts w:hint="default" w:ascii="Times New Roman" w:hAnsi="Times New Roman" w:eastAsia="宋体" w:cs="Times New Roman"/>
                <w:color w:val="auto"/>
                <w:kern w:val="28"/>
                <w:sz w:val="21"/>
                <w:szCs w:val="21"/>
                <w:highlight w:val="none"/>
              </w:rPr>
              <w:t>评标委员会在评标时按照投标人提供的验证方式对电子保函或电子保证保险进行验证。如投标人未提供电子保函或电子保证保险的验证方式，或根据提供的验证方式无法核实的，评标委员会应否决其投标。</w:t>
            </w:r>
          </w:p>
          <w:p w14:paraId="5D5DA937">
            <w:pPr>
              <w:autoSpaceDE w:val="0"/>
              <w:autoSpaceDN w:val="0"/>
              <w:snapToGrid w:val="0"/>
              <w:spacing w:line="320" w:lineRule="exact"/>
              <w:ind w:firstLine="420" w:firstLineChars="200"/>
              <w:rPr>
                <w:rFonts w:hint="eastAsia" w:ascii="宋体" w:hAnsi="宋体" w:eastAsia="宋体" w:cs="宋体"/>
                <w:color w:val="auto"/>
                <w:kern w:val="28"/>
                <w:sz w:val="21"/>
                <w:szCs w:val="21"/>
                <w:highlight w:val="none"/>
                <w:lang w:eastAsia="zh-CN"/>
              </w:rPr>
            </w:pPr>
            <w:r>
              <w:rPr>
                <w:rFonts w:hint="eastAsia" w:ascii="Times New Roman" w:hAnsi="Times New Roman" w:eastAsia="宋体" w:cs="Times New Roman"/>
                <w:color w:val="auto"/>
                <w:kern w:val="28"/>
                <w:sz w:val="21"/>
                <w:szCs w:val="21"/>
                <w:highlight w:val="none"/>
                <w:lang w:val="en-US" w:eastAsia="zh-CN"/>
              </w:rPr>
              <w:t>3.</w:t>
            </w:r>
            <w:r>
              <w:rPr>
                <w:rFonts w:hint="default" w:ascii="Times New Roman" w:hAnsi="Times New Roman" w:eastAsia="宋体" w:cs="Times New Roman"/>
                <w:color w:val="auto"/>
                <w:kern w:val="28"/>
                <w:sz w:val="21"/>
                <w:szCs w:val="21"/>
                <w:highlight w:val="none"/>
                <w:lang w:val="en-US" w:eastAsia="zh-CN"/>
              </w:rPr>
              <w:t>拟委派的项目经理</w:t>
            </w:r>
            <w:r>
              <w:rPr>
                <w:rFonts w:hint="eastAsia" w:ascii="Times New Roman" w:hAnsi="Times New Roman" w:eastAsia="宋体" w:cs="Times New Roman"/>
                <w:color w:val="auto"/>
                <w:kern w:val="28"/>
                <w:sz w:val="21"/>
                <w:szCs w:val="21"/>
                <w:highlight w:val="none"/>
                <w:lang w:val="en-US" w:eastAsia="zh-CN"/>
              </w:rPr>
              <w:t>的</w:t>
            </w:r>
            <w:r>
              <w:rPr>
                <w:rFonts w:hint="default" w:ascii="Times New Roman" w:hAnsi="Times New Roman" w:eastAsia="宋体" w:cs="Times New Roman"/>
                <w:color w:val="auto"/>
                <w:kern w:val="28"/>
                <w:sz w:val="21"/>
                <w:szCs w:val="21"/>
                <w:highlight w:val="none"/>
                <w:lang w:val="en-US" w:eastAsia="zh-CN"/>
              </w:rPr>
              <w:t>一级注册建造师信息的</w:t>
            </w:r>
            <w:r>
              <w:rPr>
                <w:rFonts w:hint="default" w:ascii="Times New Roman" w:hAnsi="Times New Roman" w:eastAsia="宋体" w:cs="Times New Roman"/>
                <w:color w:val="auto"/>
                <w:kern w:val="28"/>
                <w:sz w:val="21"/>
                <w:szCs w:val="21"/>
                <w:highlight w:val="none"/>
                <w:lang w:eastAsia="zh-CN"/>
              </w:rPr>
              <w:t>网页截图复印件与“全国建筑市场监管公共服务平台（http://jzsc.mohurd.gov.cn/）”核查的结果一致，并满足招标文件资格审查条件要求。项目</w:t>
            </w:r>
            <w:r>
              <w:rPr>
                <w:rFonts w:hint="default" w:ascii="Times New Roman" w:hAnsi="Times New Roman" w:eastAsia="宋体" w:cs="Times New Roman"/>
                <w:color w:val="auto"/>
                <w:kern w:val="28"/>
                <w:sz w:val="21"/>
                <w:szCs w:val="21"/>
                <w:highlight w:val="none"/>
                <w:lang w:val="en-US" w:eastAsia="zh-CN"/>
              </w:rPr>
              <w:t>经理</w:t>
            </w:r>
            <w:r>
              <w:rPr>
                <w:rFonts w:hint="default" w:ascii="Times New Roman" w:hAnsi="Times New Roman" w:eastAsia="宋体" w:cs="Times New Roman"/>
                <w:color w:val="auto"/>
                <w:kern w:val="28"/>
                <w:sz w:val="21"/>
                <w:szCs w:val="21"/>
                <w:highlight w:val="none"/>
                <w:lang w:eastAsia="zh-CN"/>
              </w:rPr>
              <w:t>的建造师电子注册证书的注册单位名称必须与投标人名称一致。</w:t>
            </w:r>
          </w:p>
        </w:tc>
      </w:tr>
      <w:tr w14:paraId="4809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752" w:type="pct"/>
            <w:vAlign w:val="center"/>
          </w:tcPr>
          <w:p w14:paraId="33B7A090">
            <w:pPr>
              <w:snapToGrid w:val="0"/>
              <w:spacing w:line="32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3.6.3</w:t>
            </w:r>
          </w:p>
        </w:tc>
        <w:tc>
          <w:tcPr>
            <w:tcW w:w="825" w:type="pct"/>
            <w:vAlign w:val="center"/>
          </w:tcPr>
          <w:p w14:paraId="269793D9">
            <w:pPr>
              <w:adjustRightInd w:val="0"/>
              <w:snapToGrid w:val="0"/>
              <w:spacing w:line="320" w:lineRule="exact"/>
              <w:jc w:val="center"/>
              <w:rPr>
                <w:rFonts w:hint="eastAsia" w:ascii="宋体" w:hAnsi="宋体" w:eastAsia="宋体" w:cs="宋体"/>
                <w:b/>
                <w:color w:val="auto"/>
                <w:kern w:val="28"/>
                <w:sz w:val="21"/>
                <w:szCs w:val="21"/>
                <w:highlight w:val="none"/>
              </w:rPr>
            </w:pPr>
            <w:r>
              <w:rPr>
                <w:rFonts w:hint="eastAsia" w:ascii="宋体" w:hAnsi="宋体" w:eastAsia="宋体" w:cs="宋体"/>
                <w:color w:val="auto"/>
                <w:kern w:val="28"/>
                <w:sz w:val="21"/>
                <w:szCs w:val="21"/>
                <w:highlight w:val="none"/>
              </w:rPr>
              <w:t>投标人异常投标情形的核查</w:t>
            </w:r>
          </w:p>
        </w:tc>
        <w:tc>
          <w:tcPr>
            <w:tcW w:w="3422" w:type="pct"/>
            <w:vAlign w:val="center"/>
          </w:tcPr>
          <w:p w14:paraId="200FB603">
            <w:pPr>
              <w:spacing w:line="400" w:lineRule="exact"/>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t>补充本款：</w:t>
            </w:r>
          </w:p>
          <w:p w14:paraId="15C66430">
            <w:pPr>
              <w:autoSpaceDE w:val="0"/>
              <w:autoSpaceDN w:val="0"/>
              <w:snapToGrid w:val="0"/>
              <w:spacing w:line="320" w:lineRule="exact"/>
              <w:ind w:firstLine="420" w:firstLineChars="200"/>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评标委员会在评标过程中发现存在投标文件异常一致或投标活动异常关联等异常投标情形的，应当要求该投标人在规定时间内作出书面说明并提供相应的证明材料。投标人不能合理说明或者不能提供相应证明材料的，评标委员会应当认定该投标人存在</w:t>
            </w:r>
            <w:r>
              <w:rPr>
                <w:rFonts w:hint="eastAsia" w:ascii="宋体" w:hAnsi="宋体" w:eastAsia="宋体" w:cs="宋体"/>
                <w:color w:val="auto"/>
                <w:kern w:val="28"/>
                <w:sz w:val="21"/>
                <w:szCs w:val="21"/>
                <w:highlight w:val="none"/>
              </w:rPr>
              <w:t>串通</w:t>
            </w:r>
            <w:r>
              <w:rPr>
                <w:rFonts w:ascii="宋体" w:hAnsi="宋体" w:eastAsia="宋体" w:cs="宋体"/>
                <w:color w:val="auto"/>
                <w:kern w:val="28"/>
                <w:sz w:val="21"/>
                <w:szCs w:val="21"/>
                <w:highlight w:val="none"/>
              </w:rPr>
              <w:t>投标情形，并否决其投标。</w:t>
            </w:r>
          </w:p>
          <w:p w14:paraId="76FE49C5">
            <w:pPr>
              <w:autoSpaceDE w:val="0"/>
              <w:autoSpaceDN w:val="0"/>
              <w:snapToGrid w:val="0"/>
              <w:spacing w:line="320" w:lineRule="exact"/>
              <w:ind w:firstLine="420" w:firstLineChars="200"/>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有下列情形之一的，属于投标文件异常一致或投标活动异常关联等异常投标情形：</w:t>
            </w:r>
          </w:p>
          <w:p w14:paraId="1460FD96">
            <w:pPr>
              <w:autoSpaceDE w:val="0"/>
              <w:autoSpaceDN w:val="0"/>
              <w:snapToGrid w:val="0"/>
              <w:spacing w:line="320" w:lineRule="exact"/>
              <w:ind w:firstLine="210" w:firstLineChars="100"/>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（1）投标人投标文件制作机器码雷同；</w:t>
            </w:r>
          </w:p>
          <w:p w14:paraId="67ED1013">
            <w:pPr>
              <w:autoSpaceDE w:val="0"/>
              <w:autoSpaceDN w:val="0"/>
              <w:snapToGrid w:val="0"/>
              <w:spacing w:line="320" w:lineRule="exact"/>
              <w:ind w:firstLine="210" w:firstLineChars="100"/>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（2）投标文件创建标识码雷同；</w:t>
            </w:r>
          </w:p>
          <w:p w14:paraId="0C8E85AB">
            <w:pPr>
              <w:autoSpaceDE w:val="0"/>
              <w:autoSpaceDN w:val="0"/>
              <w:snapToGrid w:val="0"/>
              <w:spacing w:line="320" w:lineRule="exact"/>
              <w:ind w:firstLine="210" w:firstLineChars="100"/>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（3）投标文件制作计算机MAC地址雷同；</w:t>
            </w:r>
          </w:p>
          <w:p w14:paraId="76BB9BC9">
            <w:pPr>
              <w:autoSpaceDE w:val="0"/>
              <w:autoSpaceDN w:val="0"/>
              <w:snapToGrid w:val="0"/>
              <w:spacing w:line="320" w:lineRule="exact"/>
              <w:ind w:firstLine="210" w:firstLineChars="100"/>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（4）投标文件制作计算机硬盘序列号雷同；</w:t>
            </w:r>
          </w:p>
          <w:p w14:paraId="16547139">
            <w:pPr>
              <w:autoSpaceDE w:val="0"/>
              <w:autoSpaceDN w:val="0"/>
              <w:snapToGrid w:val="0"/>
              <w:spacing w:line="320" w:lineRule="exact"/>
              <w:ind w:firstLine="210" w:firstLineChars="100"/>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w:t>
            </w:r>
            <w:r>
              <w:rPr>
                <w:rFonts w:hint="eastAsia" w:ascii="宋体" w:hAnsi="宋体" w:eastAsia="宋体" w:cs="宋体"/>
                <w:color w:val="auto"/>
                <w:kern w:val="28"/>
                <w:sz w:val="21"/>
                <w:szCs w:val="21"/>
                <w:highlight w:val="none"/>
                <w:lang w:val="en-US" w:eastAsia="zh-CN"/>
              </w:rPr>
              <w:t>5</w:t>
            </w:r>
            <w:r>
              <w:rPr>
                <w:rFonts w:ascii="宋体" w:hAnsi="宋体" w:eastAsia="宋体" w:cs="宋体"/>
                <w:color w:val="auto"/>
                <w:kern w:val="28"/>
                <w:sz w:val="21"/>
                <w:szCs w:val="21"/>
                <w:highlight w:val="none"/>
              </w:rPr>
              <w:t>）投标文件上传IP地址雷同；</w:t>
            </w:r>
          </w:p>
          <w:p w14:paraId="40884D48">
            <w:pPr>
              <w:autoSpaceDE w:val="0"/>
              <w:autoSpaceDN w:val="0"/>
              <w:snapToGrid w:val="0"/>
              <w:spacing w:line="320" w:lineRule="exact"/>
              <w:ind w:firstLine="210" w:firstLineChars="100"/>
              <w:rPr>
                <w:rFonts w:hint="eastAsia" w:ascii="宋体" w:hAnsi="宋体" w:eastAsia="宋体" w:cs="宋体"/>
                <w:color w:val="auto"/>
                <w:kern w:val="28"/>
                <w:sz w:val="21"/>
                <w:szCs w:val="21"/>
                <w:highlight w:val="none"/>
              </w:rPr>
            </w:pPr>
            <w:r>
              <w:rPr>
                <w:rFonts w:ascii="宋体" w:hAnsi="宋体" w:eastAsia="宋体" w:cs="宋体"/>
                <w:color w:val="auto"/>
                <w:kern w:val="28"/>
                <w:sz w:val="21"/>
                <w:szCs w:val="21"/>
                <w:highlight w:val="none"/>
              </w:rPr>
              <w:t>（</w:t>
            </w:r>
            <w:r>
              <w:rPr>
                <w:rFonts w:hint="eastAsia" w:ascii="宋体" w:hAnsi="宋体" w:eastAsia="宋体" w:cs="宋体"/>
                <w:color w:val="auto"/>
                <w:kern w:val="28"/>
                <w:sz w:val="21"/>
                <w:szCs w:val="21"/>
                <w:highlight w:val="none"/>
                <w:lang w:val="en-US" w:eastAsia="zh-CN"/>
              </w:rPr>
              <w:t>6</w:t>
            </w:r>
            <w:r>
              <w:rPr>
                <w:rFonts w:ascii="宋体" w:hAnsi="宋体" w:eastAsia="宋体" w:cs="宋体"/>
                <w:color w:val="auto"/>
                <w:kern w:val="28"/>
                <w:sz w:val="21"/>
                <w:szCs w:val="21"/>
                <w:highlight w:val="none"/>
              </w:rPr>
              <w:t>）投标文件解密IP地址雷同。</w:t>
            </w:r>
          </w:p>
        </w:tc>
      </w:tr>
      <w:tr w14:paraId="2FE89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752" w:type="pct"/>
            <w:vAlign w:val="center"/>
          </w:tcPr>
          <w:p w14:paraId="331DDCB7">
            <w:pPr>
              <w:adjustRightInd w:val="0"/>
              <w:snapToGrid w:val="0"/>
              <w:spacing w:line="30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3.9.1</w:t>
            </w:r>
          </w:p>
        </w:tc>
        <w:tc>
          <w:tcPr>
            <w:tcW w:w="825" w:type="pct"/>
            <w:vAlign w:val="center"/>
          </w:tcPr>
          <w:p w14:paraId="1BA93133">
            <w:pPr>
              <w:adjustRightInd w:val="0"/>
              <w:snapToGrid w:val="0"/>
              <w:spacing w:line="300" w:lineRule="exact"/>
              <w:jc w:val="center"/>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w:t>
            </w:r>
          </w:p>
          <w:p w14:paraId="44D12767">
            <w:pPr>
              <w:adjustRightInd w:val="0"/>
              <w:snapToGrid w:val="0"/>
              <w:spacing w:line="300" w:lineRule="exact"/>
              <w:jc w:val="center"/>
              <w:rPr>
                <w:rFonts w:hint="eastAsia" w:ascii="宋体" w:hAnsi="宋体" w:eastAsia="宋体" w:cs="宋体"/>
                <w:b/>
                <w:color w:val="auto"/>
                <w:kern w:val="28"/>
                <w:sz w:val="21"/>
                <w:szCs w:val="21"/>
                <w:highlight w:val="none"/>
              </w:rPr>
            </w:pPr>
            <w:r>
              <w:rPr>
                <w:rFonts w:hint="eastAsia" w:ascii="宋体" w:hAnsi="宋体" w:eastAsia="宋体" w:cs="宋体"/>
                <w:color w:val="auto"/>
                <w:kern w:val="28"/>
                <w:sz w:val="21"/>
                <w:szCs w:val="21"/>
                <w:highlight w:val="none"/>
              </w:rPr>
              <w:t>结果</w:t>
            </w:r>
          </w:p>
        </w:tc>
        <w:tc>
          <w:tcPr>
            <w:tcW w:w="3422" w:type="pct"/>
            <w:vAlign w:val="center"/>
          </w:tcPr>
          <w:p w14:paraId="26E164E6">
            <w:pPr>
              <w:adjustRightInd w:val="0"/>
              <w:snapToGrid w:val="0"/>
              <w:rPr>
                <w:rFonts w:hint="eastAsia" w:ascii="宋体" w:hAnsi="宋体" w:eastAsia="宋体" w:cs="宋体"/>
                <w:color w:val="auto"/>
                <w:kern w:val="28"/>
                <w:sz w:val="21"/>
                <w:szCs w:val="21"/>
                <w:highlight w:val="none"/>
              </w:rPr>
            </w:pPr>
            <w:r>
              <w:rPr>
                <w:rFonts w:hint="eastAsia" w:ascii="宋体" w:hAnsi="宋体" w:eastAsia="宋体" w:cs="宋体"/>
                <w:color w:val="auto"/>
                <w:kern w:val="28"/>
                <w:sz w:val="21"/>
                <w:szCs w:val="21"/>
                <w:highlight w:val="none"/>
              </w:rPr>
              <w:t>评标委员会按照评标办法前附表“1.评标办法”的规定推荐中标候选人。</w:t>
            </w:r>
          </w:p>
        </w:tc>
      </w:tr>
      <w:tr w14:paraId="01B1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5000" w:type="pct"/>
            <w:gridSpan w:val="3"/>
            <w:vAlign w:val="center"/>
          </w:tcPr>
          <w:p w14:paraId="0888C31D">
            <w:pPr>
              <w:snapToGrid w:val="0"/>
              <w:spacing w:line="320" w:lineRule="exact"/>
              <w:ind w:right="113"/>
              <w:rPr>
                <w:rFonts w:hint="eastAsia" w:ascii="宋体" w:hAnsi="宋体" w:eastAsia="宋体" w:cs="宋体"/>
                <w:bCs/>
                <w:color w:val="auto"/>
                <w:kern w:val="28"/>
                <w:sz w:val="21"/>
                <w:szCs w:val="21"/>
                <w:highlight w:val="none"/>
              </w:rPr>
            </w:pPr>
            <w:r>
              <w:rPr>
                <w:rFonts w:hint="eastAsia" w:ascii="宋体" w:hAnsi="宋体" w:eastAsia="宋体" w:cs="宋体"/>
                <w:color w:val="auto"/>
                <w:kern w:val="28"/>
                <w:sz w:val="21"/>
                <w:szCs w:val="21"/>
                <w:highlight w:val="none"/>
              </w:rPr>
              <w:t>需补充的其他内容：无</w:t>
            </w:r>
          </w:p>
        </w:tc>
      </w:tr>
    </w:tbl>
    <w:p w14:paraId="1E9E4FF0">
      <w:pPr>
        <w:rPr>
          <w:rFonts w:hint="eastAsia" w:ascii="宋体" w:hAnsi="宋体" w:eastAsia="宋体" w:cs="宋体"/>
          <w:color w:val="auto"/>
          <w:kern w:val="28"/>
          <w:sz w:val="28"/>
          <w:szCs w:val="20"/>
          <w:highlight w:val="none"/>
        </w:rPr>
      </w:pPr>
    </w:p>
    <w:bookmarkEnd w:id="21"/>
    <w:bookmarkEnd w:id="22"/>
    <w:bookmarkEnd w:id="23"/>
    <w:bookmarkEnd w:id="24"/>
    <w:bookmarkEnd w:id="25"/>
    <w:p w14:paraId="3A6D7A4A">
      <w:pPr>
        <w:widowControl w:val="0"/>
        <w:spacing w:after="120"/>
        <w:ind w:left="0" w:leftChars="0" w:firstLine="0" w:firstLineChars="0"/>
        <w:jc w:val="left"/>
        <w:rPr>
          <w:rFonts w:hint="eastAsia" w:ascii="宋体" w:hAnsi="宋体" w:eastAsia="宋体" w:cs="宋体"/>
          <w:color w:val="auto"/>
          <w:kern w:val="2"/>
          <w:sz w:val="21"/>
          <w:szCs w:val="24"/>
          <w:highlight w:val="none"/>
          <w:lang w:val="en-US" w:eastAsia="zh-CN" w:bidi="ar-SA"/>
        </w:rPr>
      </w:pPr>
      <w:r>
        <w:rPr>
          <w:rFonts w:hint="eastAsia" w:ascii="宋体" w:hAnsi="宋体" w:eastAsia="宋体" w:cs="宋体"/>
          <w:b/>
          <w:bCs/>
          <w:color w:val="auto"/>
          <w:kern w:val="2"/>
          <w:sz w:val="21"/>
          <w:szCs w:val="24"/>
          <w:highlight w:val="none"/>
          <w:lang w:val="en-US" w:eastAsia="zh-CN" w:bidi="ar-SA"/>
        </w:rPr>
        <w:t>附表</w:t>
      </w:r>
    </w:p>
    <w:tbl>
      <w:tblPr>
        <w:tblStyle w:val="2"/>
        <w:tblW w:w="9854" w:type="dxa"/>
        <w:jc w:val="center"/>
        <w:tblLayout w:type="fixed"/>
        <w:tblCellMar>
          <w:top w:w="0" w:type="dxa"/>
          <w:left w:w="108" w:type="dxa"/>
          <w:bottom w:w="0" w:type="dxa"/>
          <w:right w:w="108" w:type="dxa"/>
        </w:tblCellMar>
      </w:tblPr>
      <w:tblGrid>
        <w:gridCol w:w="817"/>
        <w:gridCol w:w="1701"/>
        <w:gridCol w:w="1418"/>
        <w:gridCol w:w="1134"/>
        <w:gridCol w:w="4784"/>
      </w:tblGrid>
      <w:tr w14:paraId="0F16CA66">
        <w:tblPrEx>
          <w:tblCellMar>
            <w:top w:w="0" w:type="dxa"/>
            <w:left w:w="108" w:type="dxa"/>
            <w:bottom w:w="0" w:type="dxa"/>
            <w:right w:w="108" w:type="dxa"/>
          </w:tblCellMar>
        </w:tblPrEx>
        <w:trPr>
          <w:trHeight w:val="831" w:hRule="atLeast"/>
          <w:jc w:val="center"/>
        </w:trPr>
        <w:tc>
          <w:tcPr>
            <w:tcW w:w="817" w:type="dxa"/>
            <w:tcBorders>
              <w:top w:val="single" w:color="auto" w:sz="8" w:space="0"/>
              <w:left w:val="single" w:color="auto" w:sz="8" w:space="0"/>
              <w:bottom w:val="single" w:color="auto" w:sz="4" w:space="0"/>
              <w:right w:val="single" w:color="auto" w:sz="4" w:space="0"/>
            </w:tcBorders>
            <w:vAlign w:val="center"/>
          </w:tcPr>
          <w:p w14:paraId="14F93A08">
            <w:pPr>
              <w:jc w:val="cente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条款号</w:t>
            </w:r>
          </w:p>
        </w:tc>
        <w:tc>
          <w:tcPr>
            <w:tcW w:w="1701" w:type="dxa"/>
            <w:tcBorders>
              <w:top w:val="single" w:color="auto" w:sz="8" w:space="0"/>
              <w:left w:val="single" w:color="auto" w:sz="4" w:space="0"/>
              <w:bottom w:val="single" w:color="auto" w:sz="4" w:space="0"/>
              <w:right w:val="single" w:color="auto" w:sz="4" w:space="0"/>
            </w:tcBorders>
            <w:vAlign w:val="center"/>
          </w:tcPr>
          <w:p w14:paraId="383413E2">
            <w:pPr>
              <w:jc w:val="cente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评分因素及其权重分值</w:t>
            </w:r>
          </w:p>
        </w:tc>
        <w:tc>
          <w:tcPr>
            <w:tcW w:w="1418" w:type="dxa"/>
            <w:tcBorders>
              <w:top w:val="single" w:color="auto" w:sz="8" w:space="0"/>
              <w:left w:val="single" w:color="auto" w:sz="4" w:space="0"/>
              <w:bottom w:val="single" w:color="auto" w:sz="4" w:space="0"/>
              <w:right w:val="single" w:color="auto" w:sz="4" w:space="0"/>
            </w:tcBorders>
            <w:vAlign w:val="center"/>
          </w:tcPr>
          <w:p w14:paraId="40EB89D0">
            <w:pPr>
              <w:jc w:val="cente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各评分因素细分项</w:t>
            </w:r>
          </w:p>
        </w:tc>
        <w:tc>
          <w:tcPr>
            <w:tcW w:w="1134" w:type="dxa"/>
            <w:tcBorders>
              <w:top w:val="single" w:color="auto" w:sz="8" w:space="0"/>
              <w:left w:val="single" w:color="auto" w:sz="4" w:space="0"/>
              <w:bottom w:val="single" w:color="auto" w:sz="4" w:space="0"/>
              <w:right w:val="single" w:color="auto" w:sz="4" w:space="0"/>
            </w:tcBorders>
            <w:vAlign w:val="center"/>
          </w:tcPr>
          <w:p w14:paraId="2712B9B2">
            <w:pPr>
              <w:jc w:val="cente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评分因素权重分值</w:t>
            </w:r>
          </w:p>
        </w:tc>
        <w:tc>
          <w:tcPr>
            <w:tcW w:w="4784" w:type="dxa"/>
            <w:tcBorders>
              <w:top w:val="single" w:color="auto" w:sz="8" w:space="0"/>
              <w:left w:val="single" w:color="auto" w:sz="4" w:space="0"/>
              <w:bottom w:val="single" w:color="auto" w:sz="4" w:space="0"/>
              <w:right w:val="single" w:color="auto" w:sz="8" w:space="0"/>
            </w:tcBorders>
            <w:vAlign w:val="center"/>
          </w:tcPr>
          <w:p w14:paraId="146A9FEF">
            <w:pPr>
              <w:jc w:val="center"/>
              <w:rPr>
                <w:rFonts w:ascii="Times New Roman" w:hAnsi="Times New Roman" w:eastAsia="宋体" w:cs="Times New Roman"/>
                <w:b/>
                <w:bCs/>
                <w:color w:val="auto"/>
                <w:kern w:val="28"/>
                <w:sz w:val="21"/>
                <w:szCs w:val="21"/>
                <w:highlight w:val="none"/>
              </w:rPr>
            </w:pPr>
            <w:r>
              <w:rPr>
                <w:rFonts w:hint="eastAsia" w:ascii="Times New Roman" w:hAnsi="Times New Roman" w:eastAsia="宋体" w:cs="Times New Roman"/>
                <w:b/>
                <w:bCs/>
                <w:color w:val="auto"/>
                <w:kern w:val="28"/>
                <w:sz w:val="21"/>
                <w:szCs w:val="21"/>
                <w:highlight w:val="none"/>
              </w:rPr>
              <w:t>评分标准</w:t>
            </w:r>
          </w:p>
          <w:p w14:paraId="59864520">
            <w:pPr>
              <w:jc w:val="center"/>
              <w:rPr>
                <w:rFonts w:ascii="Times New Roman" w:hAnsi="Times New Roman" w:eastAsia="宋体" w:cs="Times New Roman"/>
                <w:b/>
                <w:bCs/>
                <w:color w:val="auto"/>
                <w:kern w:val="28"/>
                <w:sz w:val="21"/>
                <w:szCs w:val="21"/>
                <w:highlight w:val="none"/>
              </w:rPr>
            </w:pPr>
          </w:p>
        </w:tc>
      </w:tr>
      <w:tr w14:paraId="6BD2B348">
        <w:tblPrEx>
          <w:tblCellMar>
            <w:top w:w="0" w:type="dxa"/>
            <w:left w:w="108" w:type="dxa"/>
            <w:bottom w:w="0" w:type="dxa"/>
            <w:right w:w="108" w:type="dxa"/>
          </w:tblCellMar>
        </w:tblPrEx>
        <w:trPr>
          <w:trHeight w:val="299" w:hRule="atLeast"/>
          <w:jc w:val="center"/>
        </w:trPr>
        <w:tc>
          <w:tcPr>
            <w:tcW w:w="817" w:type="dxa"/>
            <w:vMerge w:val="restart"/>
            <w:tcBorders>
              <w:top w:val="single" w:color="auto" w:sz="4" w:space="0"/>
              <w:left w:val="single" w:color="auto" w:sz="8" w:space="0"/>
              <w:right w:val="single" w:color="auto" w:sz="4" w:space="0"/>
            </w:tcBorders>
            <w:vAlign w:val="center"/>
          </w:tcPr>
          <w:p w14:paraId="785F6280">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2.2.2（1）</w:t>
            </w:r>
          </w:p>
        </w:tc>
        <w:tc>
          <w:tcPr>
            <w:tcW w:w="1701" w:type="dxa"/>
            <w:vMerge w:val="restart"/>
            <w:tcBorders>
              <w:top w:val="single" w:color="auto" w:sz="4" w:space="0"/>
              <w:left w:val="single" w:color="auto" w:sz="4" w:space="0"/>
              <w:right w:val="single" w:color="auto" w:sz="4" w:space="0"/>
            </w:tcBorders>
            <w:vAlign w:val="center"/>
          </w:tcPr>
          <w:p w14:paraId="7E52B238">
            <w:pPr>
              <w:jc w:val="center"/>
              <w:rPr>
                <w:rFonts w:ascii="Times New Roman" w:hAnsi="Times New Roman" w:eastAsia="宋体" w:cs="Times New Roman"/>
                <w:color w:val="auto"/>
                <w:kern w:val="28"/>
                <w:sz w:val="21"/>
                <w:szCs w:val="21"/>
                <w:highlight w:val="none"/>
              </w:rPr>
            </w:pPr>
            <w:r>
              <w:rPr>
                <w:rFonts w:ascii="Times New Roman" w:hAnsi="Times New Roman" w:eastAsia="宋体" w:cs="Times New Roman"/>
                <w:color w:val="auto"/>
                <w:kern w:val="28"/>
                <w:sz w:val="21"/>
                <w:szCs w:val="21"/>
                <w:highlight w:val="none"/>
              </w:rPr>
              <w:t>施工组织设计</w:t>
            </w:r>
            <w:r>
              <w:rPr>
                <w:rFonts w:hint="eastAsia" w:ascii="Times New Roman" w:hAnsi="Times New Roman" w:eastAsia="宋体" w:cs="Times New Roman"/>
                <w:color w:val="auto"/>
                <w:kern w:val="28"/>
                <w:sz w:val="21"/>
                <w:szCs w:val="21"/>
                <w:highlight w:val="none"/>
              </w:rPr>
              <w:t>（暗标）（</w:t>
            </w:r>
            <w:r>
              <w:rPr>
                <w:rFonts w:hint="eastAsia" w:ascii="Times New Roman" w:hAnsi="Times New Roman" w:eastAsia="宋体" w:cs="Times New Roman"/>
                <w:color w:val="auto"/>
                <w:kern w:val="28"/>
                <w:sz w:val="21"/>
                <w:szCs w:val="21"/>
                <w:highlight w:val="none"/>
                <w:lang w:val="en-US" w:eastAsia="zh-CN"/>
              </w:rPr>
              <w:t>40</w:t>
            </w:r>
            <w:r>
              <w:rPr>
                <w:rFonts w:hint="eastAsia" w:ascii="Times New Roman" w:hAnsi="Times New Roman" w:eastAsia="宋体" w:cs="Times New Roman"/>
                <w:color w:val="auto"/>
                <w:kern w:val="28"/>
                <w:sz w:val="21"/>
                <w:szCs w:val="21"/>
                <w:highlight w:val="none"/>
              </w:rPr>
              <w:t>分）</w:t>
            </w:r>
          </w:p>
        </w:tc>
        <w:tc>
          <w:tcPr>
            <w:tcW w:w="1418" w:type="dxa"/>
            <w:vMerge w:val="restart"/>
            <w:tcBorders>
              <w:top w:val="single" w:color="auto" w:sz="4" w:space="0"/>
              <w:left w:val="single" w:color="auto" w:sz="4" w:space="0"/>
              <w:right w:val="single" w:color="auto" w:sz="4" w:space="0"/>
            </w:tcBorders>
            <w:vAlign w:val="center"/>
          </w:tcPr>
          <w:p w14:paraId="458C19EF">
            <w:pPr>
              <w:jc w:val="center"/>
              <w:rPr>
                <w:rFonts w:ascii="Times New Roman" w:hAnsi="Times New Roman" w:eastAsia="宋体" w:cs="Times New Roman"/>
                <w:color w:val="auto"/>
                <w:kern w:val="28"/>
                <w:sz w:val="21"/>
                <w:szCs w:val="21"/>
                <w:highlight w:val="none"/>
              </w:rPr>
            </w:pPr>
            <w:bookmarkStart w:id="27" w:name="_Hlk178283652"/>
            <w:r>
              <w:rPr>
                <w:rFonts w:hint="default" w:ascii="Times New Roman" w:hAnsi="Times New Roman" w:eastAsia="宋体" w:cs="Times New Roman"/>
                <w:color w:val="auto"/>
                <w:kern w:val="28"/>
                <w:sz w:val="21"/>
                <w:szCs w:val="21"/>
                <w:highlight w:val="none"/>
              </w:rPr>
              <w:t>整体施工方案</w:t>
            </w:r>
            <w:bookmarkEnd w:id="27"/>
          </w:p>
        </w:tc>
        <w:tc>
          <w:tcPr>
            <w:tcW w:w="1134" w:type="dxa"/>
            <w:vMerge w:val="restart"/>
            <w:tcBorders>
              <w:top w:val="single" w:color="auto" w:sz="4" w:space="0"/>
              <w:left w:val="single" w:color="auto" w:sz="4" w:space="0"/>
              <w:right w:val="single" w:color="auto" w:sz="4" w:space="0"/>
            </w:tcBorders>
            <w:vAlign w:val="center"/>
          </w:tcPr>
          <w:p w14:paraId="2ACBCEF3">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5</w:t>
            </w:r>
            <w:r>
              <w:rPr>
                <w:rFonts w:hint="eastAsia" w:ascii="Times New Roman" w:hAnsi="Times New Roman" w:eastAsia="宋体" w:cs="Times New Roman"/>
                <w:color w:val="auto"/>
                <w:kern w:val="28"/>
                <w:sz w:val="21"/>
                <w:szCs w:val="21"/>
                <w:highlight w:val="none"/>
              </w:rPr>
              <w:t>分</w:t>
            </w:r>
          </w:p>
        </w:tc>
        <w:tc>
          <w:tcPr>
            <w:tcW w:w="4784" w:type="dxa"/>
            <w:tcBorders>
              <w:top w:val="single" w:color="auto" w:sz="4" w:space="0"/>
              <w:left w:val="single" w:color="auto" w:sz="4" w:space="0"/>
              <w:bottom w:val="single" w:color="auto" w:sz="4" w:space="0"/>
              <w:right w:val="single" w:color="auto" w:sz="8" w:space="0"/>
            </w:tcBorders>
            <w:vAlign w:val="center"/>
          </w:tcPr>
          <w:p w14:paraId="0E40ED0D">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方案明确详尽，具体完善，科学合理，与本项目的实际情况契合度高、针对性和操作性强，得</w:t>
            </w:r>
            <w:r>
              <w:rPr>
                <w:rFonts w:hint="eastAsia" w:ascii="Times New Roman" w:hAnsi="Times New Roman" w:eastAsia="宋体" w:cs="Times New Roman"/>
                <w:color w:val="auto"/>
                <w:kern w:val="28"/>
                <w:sz w:val="21"/>
                <w:szCs w:val="21"/>
                <w:highlight w:val="none"/>
                <w:lang w:val="en-US" w:eastAsia="zh-CN"/>
              </w:rPr>
              <w:t>4</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5</w:t>
            </w:r>
            <w:r>
              <w:rPr>
                <w:rFonts w:hint="default" w:ascii="Times New Roman" w:hAnsi="Times New Roman" w:eastAsia="宋体" w:cs="Times New Roman"/>
                <w:color w:val="auto"/>
                <w:kern w:val="28"/>
                <w:sz w:val="21"/>
                <w:szCs w:val="21"/>
                <w:highlight w:val="none"/>
              </w:rPr>
              <w:t>.0分；</w:t>
            </w:r>
          </w:p>
        </w:tc>
      </w:tr>
      <w:tr w14:paraId="296475B9">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0D34CDC4">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3DC68E60">
            <w:pPr>
              <w:jc w:val="center"/>
              <w:rPr>
                <w:rFonts w:ascii="Times New Roman" w:hAnsi="Times New Roman" w:eastAsia="宋体" w:cs="Times New Roman"/>
                <w:color w:val="auto"/>
                <w:kern w:val="28"/>
                <w:sz w:val="21"/>
                <w:szCs w:val="21"/>
                <w:highlight w:val="none"/>
              </w:rPr>
            </w:pPr>
          </w:p>
        </w:tc>
        <w:tc>
          <w:tcPr>
            <w:tcW w:w="1418" w:type="dxa"/>
            <w:vMerge w:val="continue"/>
            <w:tcBorders>
              <w:left w:val="single" w:color="auto" w:sz="4" w:space="0"/>
              <w:right w:val="single" w:color="auto" w:sz="4" w:space="0"/>
            </w:tcBorders>
            <w:vAlign w:val="center"/>
          </w:tcPr>
          <w:p w14:paraId="0550DF3B">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4" w:space="0"/>
              <w:right w:val="single" w:color="auto" w:sz="4" w:space="0"/>
            </w:tcBorders>
            <w:vAlign w:val="center"/>
          </w:tcPr>
          <w:p w14:paraId="0A90928F">
            <w:pPr>
              <w:rPr>
                <w:rFonts w:ascii="Times New Roman" w:hAnsi="Times New Roman" w:eastAsia="宋体" w:cs="Times New Roman"/>
                <w:color w:val="auto"/>
                <w:kern w:val="28"/>
                <w:sz w:val="21"/>
                <w:szCs w:val="21"/>
                <w:highlight w:val="none"/>
              </w:rPr>
            </w:pPr>
          </w:p>
        </w:tc>
        <w:tc>
          <w:tcPr>
            <w:tcW w:w="4784" w:type="dxa"/>
            <w:tcBorders>
              <w:top w:val="single" w:color="auto" w:sz="4" w:space="0"/>
              <w:left w:val="single" w:color="auto" w:sz="4" w:space="0"/>
              <w:bottom w:val="single" w:color="auto" w:sz="4" w:space="0"/>
              <w:right w:val="single" w:color="auto" w:sz="8" w:space="0"/>
            </w:tcBorders>
            <w:vAlign w:val="center"/>
          </w:tcPr>
          <w:p w14:paraId="7CFDA308">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方案较明确、较具体，合理可行，与本项目的实际情况契合度较高，可操作，得</w:t>
            </w:r>
            <w:r>
              <w:rPr>
                <w:rFonts w:hint="eastAsia" w:ascii="Times New Roman" w:hAnsi="Times New Roman" w:eastAsia="宋体" w:cs="Times New Roman"/>
                <w:color w:val="auto"/>
                <w:kern w:val="28"/>
                <w:sz w:val="21"/>
                <w:szCs w:val="21"/>
                <w:highlight w:val="none"/>
                <w:lang w:val="en-US" w:eastAsia="zh-CN"/>
              </w:rPr>
              <w:t>3</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4</w:t>
            </w:r>
            <w:r>
              <w:rPr>
                <w:rFonts w:hint="default" w:ascii="Times New Roman" w:hAnsi="Times New Roman" w:eastAsia="宋体" w:cs="Times New Roman"/>
                <w:color w:val="auto"/>
                <w:kern w:val="28"/>
                <w:sz w:val="21"/>
                <w:szCs w:val="21"/>
                <w:highlight w:val="none"/>
              </w:rPr>
              <w:t>.0分；</w:t>
            </w:r>
          </w:p>
        </w:tc>
      </w:tr>
      <w:tr w14:paraId="31DF094C">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0E0511F4">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738E65A6">
            <w:pPr>
              <w:jc w:val="center"/>
              <w:rPr>
                <w:rFonts w:ascii="Times New Roman" w:hAnsi="Times New Roman" w:eastAsia="宋体" w:cs="Times New Roman"/>
                <w:color w:val="auto"/>
                <w:kern w:val="28"/>
                <w:sz w:val="21"/>
                <w:szCs w:val="21"/>
                <w:highlight w:val="none"/>
              </w:rPr>
            </w:pPr>
          </w:p>
        </w:tc>
        <w:tc>
          <w:tcPr>
            <w:tcW w:w="1418" w:type="dxa"/>
            <w:vMerge w:val="continue"/>
            <w:tcBorders>
              <w:left w:val="single" w:color="auto" w:sz="4" w:space="0"/>
              <w:right w:val="single" w:color="auto" w:sz="4" w:space="0"/>
            </w:tcBorders>
            <w:vAlign w:val="center"/>
          </w:tcPr>
          <w:p w14:paraId="38DE915C">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4" w:space="0"/>
              <w:right w:val="single" w:color="auto" w:sz="4" w:space="0"/>
            </w:tcBorders>
            <w:vAlign w:val="center"/>
          </w:tcPr>
          <w:p w14:paraId="4D7B3A3B">
            <w:pPr>
              <w:rPr>
                <w:rFonts w:ascii="Times New Roman" w:hAnsi="Times New Roman" w:eastAsia="宋体" w:cs="Times New Roman"/>
                <w:color w:val="auto"/>
                <w:kern w:val="28"/>
                <w:sz w:val="21"/>
                <w:szCs w:val="21"/>
                <w:highlight w:val="none"/>
              </w:rPr>
            </w:pPr>
          </w:p>
        </w:tc>
        <w:tc>
          <w:tcPr>
            <w:tcW w:w="4784" w:type="dxa"/>
            <w:tcBorders>
              <w:top w:val="single" w:color="auto" w:sz="4" w:space="0"/>
              <w:left w:val="single" w:color="auto" w:sz="4" w:space="0"/>
              <w:bottom w:val="single" w:color="auto" w:sz="4" w:space="0"/>
              <w:right w:val="single" w:color="auto" w:sz="8" w:space="0"/>
            </w:tcBorders>
            <w:vAlign w:val="center"/>
          </w:tcPr>
          <w:p w14:paraId="42076CA0">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满足项目需求，得</w:t>
            </w:r>
            <w:r>
              <w:rPr>
                <w:rFonts w:hint="eastAsia" w:ascii="Times New Roman" w:hAnsi="Times New Roman" w:eastAsia="宋体" w:cs="Times New Roman"/>
                <w:color w:val="auto"/>
                <w:kern w:val="28"/>
                <w:sz w:val="21"/>
                <w:szCs w:val="21"/>
                <w:highlight w:val="none"/>
                <w:lang w:val="en-US" w:eastAsia="zh-CN"/>
              </w:rPr>
              <w:t>3</w:t>
            </w:r>
            <w:r>
              <w:rPr>
                <w:rFonts w:hint="default" w:ascii="Times New Roman" w:hAnsi="Times New Roman" w:eastAsia="宋体" w:cs="Times New Roman"/>
                <w:color w:val="auto"/>
                <w:kern w:val="28"/>
                <w:sz w:val="21"/>
                <w:szCs w:val="21"/>
                <w:highlight w:val="none"/>
              </w:rPr>
              <w:t>.0分。</w:t>
            </w:r>
          </w:p>
        </w:tc>
      </w:tr>
      <w:tr w14:paraId="39397762">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547473E9">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128FA08B">
            <w:pPr>
              <w:jc w:val="center"/>
              <w:rPr>
                <w:rFonts w:ascii="Times New Roman" w:hAnsi="Times New Roman" w:eastAsia="宋体" w:cs="Times New Roman"/>
                <w:color w:val="auto"/>
                <w:kern w:val="28"/>
                <w:sz w:val="21"/>
                <w:szCs w:val="21"/>
                <w:highlight w:val="none"/>
              </w:rPr>
            </w:pPr>
          </w:p>
        </w:tc>
        <w:tc>
          <w:tcPr>
            <w:tcW w:w="1418" w:type="dxa"/>
            <w:vMerge w:val="restart"/>
            <w:tcBorders>
              <w:top w:val="single" w:color="auto" w:sz="4" w:space="0"/>
              <w:left w:val="single" w:color="auto" w:sz="4" w:space="0"/>
              <w:right w:val="single" w:color="auto" w:sz="4" w:space="0"/>
            </w:tcBorders>
            <w:vAlign w:val="center"/>
          </w:tcPr>
          <w:p w14:paraId="2B0EA161">
            <w:pPr>
              <w:keepNext w:val="0"/>
              <w:keepLines w:val="0"/>
              <w:pageBreakBefore w:val="0"/>
              <w:kinsoku/>
              <w:topLinePunct w:val="0"/>
              <w:bidi w:val="0"/>
              <w:adjustRightInd w:val="0"/>
              <w:snapToGrid w:val="0"/>
              <w:spacing w:line="240" w:lineRule="auto"/>
              <w:ind w:left="0" w:leftChars="0"/>
              <w:jc w:val="center"/>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工程质量保证措施</w:t>
            </w:r>
          </w:p>
        </w:tc>
        <w:tc>
          <w:tcPr>
            <w:tcW w:w="1134" w:type="dxa"/>
            <w:vMerge w:val="restart"/>
            <w:tcBorders>
              <w:top w:val="single" w:color="auto" w:sz="4" w:space="0"/>
              <w:left w:val="single" w:color="auto" w:sz="4" w:space="0"/>
              <w:right w:val="single" w:color="auto" w:sz="4" w:space="0"/>
            </w:tcBorders>
            <w:vAlign w:val="center"/>
          </w:tcPr>
          <w:p w14:paraId="6B51D882">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5</w:t>
            </w:r>
            <w:r>
              <w:rPr>
                <w:rFonts w:hint="eastAsia" w:ascii="Times New Roman" w:hAnsi="Times New Roman" w:eastAsia="宋体" w:cs="Times New Roman"/>
                <w:color w:val="auto"/>
                <w:kern w:val="28"/>
                <w:sz w:val="21"/>
                <w:szCs w:val="21"/>
                <w:highlight w:val="none"/>
              </w:rPr>
              <w:t>分</w:t>
            </w:r>
          </w:p>
        </w:tc>
        <w:tc>
          <w:tcPr>
            <w:tcW w:w="4784" w:type="dxa"/>
            <w:tcBorders>
              <w:top w:val="single" w:color="auto" w:sz="4" w:space="0"/>
              <w:left w:val="single" w:color="auto" w:sz="4" w:space="0"/>
              <w:bottom w:val="single" w:color="auto" w:sz="4" w:space="0"/>
              <w:right w:val="single" w:color="auto" w:sz="8" w:space="0"/>
            </w:tcBorders>
            <w:vAlign w:val="center"/>
          </w:tcPr>
          <w:p w14:paraId="1CB079B3">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措施明确详尽，具体完善，科学合理，得</w:t>
            </w:r>
            <w:r>
              <w:rPr>
                <w:rFonts w:hint="eastAsia" w:ascii="Times New Roman" w:hAnsi="Times New Roman" w:eastAsia="宋体" w:cs="Times New Roman"/>
                <w:color w:val="auto"/>
                <w:kern w:val="28"/>
                <w:sz w:val="21"/>
                <w:szCs w:val="21"/>
                <w:highlight w:val="none"/>
                <w:lang w:val="en-US" w:eastAsia="zh-CN"/>
              </w:rPr>
              <w:t>4</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5</w:t>
            </w:r>
            <w:r>
              <w:rPr>
                <w:rFonts w:hint="default" w:ascii="Times New Roman" w:hAnsi="Times New Roman" w:eastAsia="宋体" w:cs="Times New Roman"/>
                <w:color w:val="auto"/>
                <w:kern w:val="28"/>
                <w:sz w:val="21"/>
                <w:szCs w:val="21"/>
                <w:highlight w:val="none"/>
              </w:rPr>
              <w:t>.0分；</w:t>
            </w:r>
          </w:p>
        </w:tc>
      </w:tr>
      <w:tr w14:paraId="7BB479BC">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6CA5BCA5">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2D43022D">
            <w:pPr>
              <w:jc w:val="center"/>
              <w:rPr>
                <w:rFonts w:ascii="Times New Roman" w:hAnsi="Times New Roman" w:eastAsia="宋体" w:cs="Times New Roman"/>
                <w:color w:val="auto"/>
                <w:kern w:val="28"/>
                <w:sz w:val="21"/>
                <w:szCs w:val="21"/>
                <w:highlight w:val="none"/>
              </w:rPr>
            </w:pPr>
          </w:p>
        </w:tc>
        <w:tc>
          <w:tcPr>
            <w:tcW w:w="1418" w:type="dxa"/>
            <w:vMerge w:val="continue"/>
            <w:tcBorders>
              <w:left w:val="single" w:color="auto" w:sz="4" w:space="0"/>
              <w:right w:val="single" w:color="auto" w:sz="4" w:space="0"/>
            </w:tcBorders>
            <w:vAlign w:val="center"/>
          </w:tcPr>
          <w:p w14:paraId="7EB7321D">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4" w:space="0"/>
              <w:right w:val="single" w:color="auto" w:sz="4" w:space="0"/>
            </w:tcBorders>
            <w:vAlign w:val="center"/>
          </w:tcPr>
          <w:p w14:paraId="550A8476">
            <w:pPr>
              <w:rPr>
                <w:rFonts w:ascii="Times New Roman" w:hAnsi="Times New Roman" w:eastAsia="宋体" w:cs="Times New Roman"/>
                <w:color w:val="auto"/>
                <w:kern w:val="28"/>
                <w:sz w:val="21"/>
                <w:szCs w:val="21"/>
                <w:highlight w:val="none"/>
              </w:rPr>
            </w:pPr>
          </w:p>
        </w:tc>
        <w:tc>
          <w:tcPr>
            <w:tcW w:w="4784" w:type="dxa"/>
            <w:tcBorders>
              <w:top w:val="single" w:color="auto" w:sz="4" w:space="0"/>
              <w:left w:val="single" w:color="auto" w:sz="4" w:space="0"/>
              <w:bottom w:val="single" w:color="auto" w:sz="4" w:space="0"/>
              <w:right w:val="single" w:color="auto" w:sz="8" w:space="0"/>
            </w:tcBorders>
            <w:vAlign w:val="center"/>
          </w:tcPr>
          <w:p w14:paraId="01F6FF80">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措施较明确、较具体，合理可行，得</w:t>
            </w:r>
            <w:r>
              <w:rPr>
                <w:rFonts w:hint="eastAsia" w:ascii="Times New Roman" w:hAnsi="Times New Roman" w:eastAsia="宋体" w:cs="Times New Roman"/>
                <w:color w:val="auto"/>
                <w:kern w:val="28"/>
                <w:sz w:val="21"/>
                <w:szCs w:val="21"/>
                <w:highlight w:val="none"/>
                <w:lang w:val="en-US" w:eastAsia="zh-CN"/>
              </w:rPr>
              <w:t>3</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4</w:t>
            </w:r>
            <w:r>
              <w:rPr>
                <w:rFonts w:hint="default" w:ascii="Times New Roman" w:hAnsi="Times New Roman" w:eastAsia="宋体" w:cs="Times New Roman"/>
                <w:color w:val="auto"/>
                <w:kern w:val="28"/>
                <w:sz w:val="21"/>
                <w:szCs w:val="21"/>
                <w:highlight w:val="none"/>
              </w:rPr>
              <w:t>.0分；</w:t>
            </w:r>
          </w:p>
        </w:tc>
      </w:tr>
      <w:tr w14:paraId="5BA168A1">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55AF0FE4">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380192A4">
            <w:pPr>
              <w:jc w:val="center"/>
              <w:rPr>
                <w:rFonts w:ascii="Times New Roman" w:hAnsi="Times New Roman" w:eastAsia="宋体" w:cs="Times New Roman"/>
                <w:color w:val="auto"/>
                <w:kern w:val="28"/>
                <w:sz w:val="21"/>
                <w:szCs w:val="21"/>
                <w:highlight w:val="none"/>
              </w:rPr>
            </w:pPr>
          </w:p>
        </w:tc>
        <w:tc>
          <w:tcPr>
            <w:tcW w:w="1418" w:type="dxa"/>
            <w:vMerge w:val="continue"/>
            <w:tcBorders>
              <w:left w:val="single" w:color="auto" w:sz="4" w:space="0"/>
              <w:bottom w:val="single" w:color="auto" w:sz="4" w:space="0"/>
              <w:right w:val="single" w:color="auto" w:sz="4" w:space="0"/>
            </w:tcBorders>
            <w:vAlign w:val="center"/>
          </w:tcPr>
          <w:p w14:paraId="2F637E3D">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4" w:space="0"/>
              <w:bottom w:val="single" w:color="auto" w:sz="4" w:space="0"/>
              <w:right w:val="single" w:color="auto" w:sz="4" w:space="0"/>
            </w:tcBorders>
            <w:vAlign w:val="center"/>
          </w:tcPr>
          <w:p w14:paraId="16EEA9C7">
            <w:pPr>
              <w:rPr>
                <w:rFonts w:ascii="Times New Roman" w:hAnsi="Times New Roman" w:eastAsia="宋体" w:cs="Times New Roman"/>
                <w:color w:val="auto"/>
                <w:kern w:val="28"/>
                <w:sz w:val="21"/>
                <w:szCs w:val="21"/>
                <w:highlight w:val="none"/>
              </w:rPr>
            </w:pPr>
          </w:p>
        </w:tc>
        <w:tc>
          <w:tcPr>
            <w:tcW w:w="4784" w:type="dxa"/>
            <w:tcBorders>
              <w:top w:val="single" w:color="auto" w:sz="4" w:space="0"/>
              <w:left w:val="single" w:color="auto" w:sz="4" w:space="0"/>
              <w:bottom w:val="single" w:color="auto" w:sz="4" w:space="0"/>
              <w:right w:val="single" w:color="auto" w:sz="8" w:space="0"/>
            </w:tcBorders>
            <w:vAlign w:val="center"/>
          </w:tcPr>
          <w:p w14:paraId="15BBAB25">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满足施工要求，得</w:t>
            </w:r>
            <w:r>
              <w:rPr>
                <w:rFonts w:hint="eastAsia" w:ascii="Times New Roman" w:hAnsi="Times New Roman" w:eastAsia="宋体" w:cs="Times New Roman"/>
                <w:color w:val="auto"/>
                <w:kern w:val="28"/>
                <w:sz w:val="21"/>
                <w:szCs w:val="21"/>
                <w:highlight w:val="none"/>
                <w:lang w:val="en-US" w:eastAsia="zh-CN"/>
              </w:rPr>
              <w:t>4</w:t>
            </w:r>
            <w:r>
              <w:rPr>
                <w:rFonts w:hint="default" w:ascii="Times New Roman" w:hAnsi="Times New Roman" w:eastAsia="宋体" w:cs="Times New Roman"/>
                <w:color w:val="auto"/>
                <w:kern w:val="28"/>
                <w:sz w:val="21"/>
                <w:szCs w:val="21"/>
                <w:highlight w:val="none"/>
              </w:rPr>
              <w:t>.0分。</w:t>
            </w:r>
          </w:p>
        </w:tc>
      </w:tr>
      <w:tr w14:paraId="0CF6D279">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5A37DF8C">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2C87EFC0">
            <w:pPr>
              <w:jc w:val="center"/>
              <w:rPr>
                <w:rFonts w:ascii="Times New Roman" w:hAnsi="Times New Roman" w:eastAsia="宋体" w:cs="Times New Roman"/>
                <w:color w:val="auto"/>
                <w:kern w:val="28"/>
                <w:sz w:val="21"/>
                <w:szCs w:val="21"/>
                <w:highlight w:val="none"/>
              </w:rPr>
            </w:pPr>
          </w:p>
        </w:tc>
        <w:tc>
          <w:tcPr>
            <w:tcW w:w="1418" w:type="dxa"/>
            <w:vMerge w:val="restart"/>
            <w:tcBorders>
              <w:left w:val="single" w:color="auto" w:sz="4" w:space="0"/>
              <w:right w:val="single" w:color="auto" w:sz="4" w:space="0"/>
            </w:tcBorders>
            <w:vAlign w:val="center"/>
          </w:tcPr>
          <w:p w14:paraId="7605762F">
            <w:pPr>
              <w:keepNext w:val="0"/>
              <w:keepLines w:val="0"/>
              <w:pageBreakBefore w:val="0"/>
              <w:kinsoku/>
              <w:topLinePunct w:val="0"/>
              <w:bidi w:val="0"/>
              <w:adjustRightInd w:val="0"/>
              <w:snapToGrid w:val="0"/>
              <w:spacing w:line="240" w:lineRule="auto"/>
              <w:ind w:left="0" w:leftChars="0"/>
              <w:jc w:val="center"/>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工期保证措施</w:t>
            </w:r>
          </w:p>
        </w:tc>
        <w:tc>
          <w:tcPr>
            <w:tcW w:w="1134" w:type="dxa"/>
            <w:vMerge w:val="restart"/>
            <w:tcBorders>
              <w:left w:val="single" w:color="auto" w:sz="4" w:space="0"/>
              <w:right w:val="single" w:color="auto" w:sz="4" w:space="0"/>
            </w:tcBorders>
            <w:vAlign w:val="center"/>
          </w:tcPr>
          <w:p w14:paraId="4A93D652">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10</w:t>
            </w:r>
            <w:r>
              <w:rPr>
                <w:rFonts w:hint="eastAsia" w:ascii="Times New Roman" w:hAnsi="Times New Roman" w:eastAsia="宋体" w:cs="Times New Roman"/>
                <w:color w:val="auto"/>
                <w:kern w:val="28"/>
                <w:sz w:val="21"/>
                <w:szCs w:val="21"/>
                <w:highlight w:val="none"/>
              </w:rPr>
              <w:t>分</w:t>
            </w:r>
          </w:p>
        </w:tc>
        <w:tc>
          <w:tcPr>
            <w:tcW w:w="4784" w:type="dxa"/>
            <w:tcBorders>
              <w:top w:val="single" w:color="auto" w:sz="4" w:space="0"/>
              <w:left w:val="single" w:color="auto" w:sz="4" w:space="0"/>
              <w:bottom w:val="single" w:color="auto" w:sz="4" w:space="0"/>
              <w:right w:val="single" w:color="auto" w:sz="8" w:space="0"/>
            </w:tcBorders>
            <w:vAlign w:val="center"/>
          </w:tcPr>
          <w:p w14:paraId="0A983A07">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措施明确详尽，具体完善，科学合理，得</w:t>
            </w:r>
            <w:r>
              <w:rPr>
                <w:rFonts w:hint="eastAsia" w:ascii="Times New Roman" w:hAnsi="Times New Roman" w:eastAsia="宋体" w:cs="Times New Roman"/>
                <w:color w:val="auto"/>
                <w:kern w:val="28"/>
                <w:sz w:val="21"/>
                <w:szCs w:val="21"/>
                <w:highlight w:val="none"/>
                <w:lang w:val="en-US" w:eastAsia="zh-CN"/>
              </w:rPr>
              <w:t>8</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1</w:t>
            </w:r>
            <w:r>
              <w:rPr>
                <w:rFonts w:hint="default" w:ascii="Times New Roman" w:hAnsi="Times New Roman" w:eastAsia="宋体" w:cs="Times New Roman"/>
                <w:color w:val="auto"/>
                <w:kern w:val="28"/>
                <w:sz w:val="21"/>
                <w:szCs w:val="21"/>
                <w:highlight w:val="none"/>
              </w:rPr>
              <w:t>.0分；</w:t>
            </w:r>
          </w:p>
        </w:tc>
      </w:tr>
      <w:tr w14:paraId="2D7DD7BA">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73F51AB6">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1D0E9F25">
            <w:pPr>
              <w:jc w:val="center"/>
              <w:rPr>
                <w:rFonts w:ascii="Times New Roman" w:hAnsi="Times New Roman" w:eastAsia="宋体" w:cs="Times New Roman"/>
                <w:color w:val="auto"/>
                <w:kern w:val="28"/>
                <w:sz w:val="21"/>
                <w:szCs w:val="21"/>
                <w:highlight w:val="none"/>
              </w:rPr>
            </w:pPr>
          </w:p>
        </w:tc>
        <w:tc>
          <w:tcPr>
            <w:tcW w:w="1418" w:type="dxa"/>
            <w:vMerge w:val="continue"/>
            <w:tcBorders>
              <w:left w:val="single" w:color="auto" w:sz="4" w:space="0"/>
              <w:right w:val="single" w:color="auto" w:sz="4" w:space="0"/>
            </w:tcBorders>
            <w:vAlign w:val="center"/>
          </w:tcPr>
          <w:p w14:paraId="54FC1EFD">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4" w:space="0"/>
              <w:right w:val="single" w:color="auto" w:sz="4" w:space="0"/>
            </w:tcBorders>
            <w:vAlign w:val="center"/>
          </w:tcPr>
          <w:p w14:paraId="673DB3DD">
            <w:pPr>
              <w:rPr>
                <w:rFonts w:ascii="Times New Roman" w:hAnsi="Times New Roman" w:eastAsia="宋体" w:cs="Times New Roman"/>
                <w:color w:val="auto"/>
                <w:kern w:val="28"/>
                <w:sz w:val="21"/>
                <w:szCs w:val="21"/>
                <w:highlight w:val="none"/>
              </w:rPr>
            </w:pPr>
          </w:p>
        </w:tc>
        <w:tc>
          <w:tcPr>
            <w:tcW w:w="4784" w:type="dxa"/>
            <w:tcBorders>
              <w:top w:val="single" w:color="auto" w:sz="4" w:space="0"/>
              <w:left w:val="single" w:color="auto" w:sz="4" w:space="0"/>
              <w:bottom w:val="single" w:color="auto" w:sz="4" w:space="0"/>
              <w:right w:val="single" w:color="auto" w:sz="8" w:space="0"/>
            </w:tcBorders>
            <w:vAlign w:val="center"/>
          </w:tcPr>
          <w:p w14:paraId="78F36BDC">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措施较明确、较具体，合理可行，得</w:t>
            </w:r>
            <w:r>
              <w:rPr>
                <w:rFonts w:hint="eastAsia" w:ascii="Times New Roman" w:hAnsi="Times New Roman" w:eastAsia="宋体" w:cs="Times New Roman"/>
                <w:color w:val="auto"/>
                <w:kern w:val="28"/>
                <w:sz w:val="21"/>
                <w:szCs w:val="21"/>
                <w:highlight w:val="none"/>
                <w:lang w:val="en-US" w:eastAsia="zh-CN"/>
              </w:rPr>
              <w:t>6</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8</w:t>
            </w:r>
            <w:r>
              <w:rPr>
                <w:rFonts w:hint="default" w:ascii="Times New Roman" w:hAnsi="Times New Roman" w:eastAsia="宋体" w:cs="Times New Roman"/>
                <w:color w:val="auto"/>
                <w:kern w:val="28"/>
                <w:sz w:val="21"/>
                <w:szCs w:val="21"/>
                <w:highlight w:val="none"/>
              </w:rPr>
              <w:t>.0分；</w:t>
            </w:r>
          </w:p>
        </w:tc>
      </w:tr>
      <w:tr w14:paraId="6E37DA91">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4FC9B756">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088B4400">
            <w:pPr>
              <w:jc w:val="center"/>
              <w:rPr>
                <w:rFonts w:ascii="Times New Roman" w:hAnsi="Times New Roman" w:eastAsia="宋体" w:cs="Times New Roman"/>
                <w:color w:val="auto"/>
                <w:kern w:val="28"/>
                <w:sz w:val="21"/>
                <w:szCs w:val="21"/>
                <w:highlight w:val="none"/>
              </w:rPr>
            </w:pPr>
          </w:p>
        </w:tc>
        <w:tc>
          <w:tcPr>
            <w:tcW w:w="1418" w:type="dxa"/>
            <w:vMerge w:val="continue"/>
            <w:tcBorders>
              <w:left w:val="single" w:color="auto" w:sz="4" w:space="0"/>
              <w:bottom w:val="single" w:color="auto" w:sz="4" w:space="0"/>
              <w:right w:val="single" w:color="auto" w:sz="4" w:space="0"/>
            </w:tcBorders>
            <w:vAlign w:val="center"/>
          </w:tcPr>
          <w:p w14:paraId="61BC5ABC">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4" w:space="0"/>
              <w:bottom w:val="single" w:color="auto" w:sz="4" w:space="0"/>
              <w:right w:val="single" w:color="auto" w:sz="4" w:space="0"/>
            </w:tcBorders>
            <w:vAlign w:val="center"/>
          </w:tcPr>
          <w:p w14:paraId="11F1DAFB">
            <w:pPr>
              <w:rPr>
                <w:rFonts w:ascii="Times New Roman" w:hAnsi="Times New Roman" w:eastAsia="宋体" w:cs="Times New Roman"/>
                <w:color w:val="auto"/>
                <w:kern w:val="28"/>
                <w:sz w:val="21"/>
                <w:szCs w:val="21"/>
                <w:highlight w:val="none"/>
              </w:rPr>
            </w:pPr>
          </w:p>
        </w:tc>
        <w:tc>
          <w:tcPr>
            <w:tcW w:w="4784" w:type="dxa"/>
            <w:tcBorders>
              <w:top w:val="single" w:color="auto" w:sz="4" w:space="0"/>
              <w:left w:val="single" w:color="auto" w:sz="4" w:space="0"/>
              <w:bottom w:val="single" w:color="auto" w:sz="4" w:space="0"/>
              <w:right w:val="single" w:color="auto" w:sz="8" w:space="0"/>
            </w:tcBorders>
            <w:vAlign w:val="center"/>
          </w:tcPr>
          <w:p w14:paraId="40934E83">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满足施工要求，得</w:t>
            </w:r>
            <w:r>
              <w:rPr>
                <w:rFonts w:hint="eastAsia" w:ascii="Times New Roman" w:hAnsi="Times New Roman" w:eastAsia="宋体" w:cs="Times New Roman"/>
                <w:color w:val="auto"/>
                <w:kern w:val="28"/>
                <w:sz w:val="21"/>
                <w:szCs w:val="21"/>
                <w:highlight w:val="none"/>
                <w:lang w:val="en-US" w:eastAsia="zh-CN"/>
              </w:rPr>
              <w:t>6</w:t>
            </w:r>
            <w:r>
              <w:rPr>
                <w:rFonts w:hint="default" w:ascii="Times New Roman" w:hAnsi="Times New Roman" w:eastAsia="宋体" w:cs="Times New Roman"/>
                <w:color w:val="auto"/>
                <w:kern w:val="28"/>
                <w:sz w:val="21"/>
                <w:szCs w:val="21"/>
                <w:highlight w:val="none"/>
              </w:rPr>
              <w:t>.0分。</w:t>
            </w:r>
          </w:p>
        </w:tc>
      </w:tr>
      <w:tr w14:paraId="1BCE4112">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6FC8EADA">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09E6A8E8">
            <w:pPr>
              <w:jc w:val="center"/>
              <w:rPr>
                <w:rFonts w:ascii="Times New Roman" w:hAnsi="Times New Roman" w:eastAsia="宋体" w:cs="Times New Roman"/>
                <w:color w:val="auto"/>
                <w:kern w:val="28"/>
                <w:sz w:val="21"/>
                <w:szCs w:val="21"/>
                <w:highlight w:val="none"/>
              </w:rPr>
            </w:pPr>
          </w:p>
        </w:tc>
        <w:tc>
          <w:tcPr>
            <w:tcW w:w="1418" w:type="dxa"/>
            <w:vMerge w:val="restart"/>
            <w:tcBorders>
              <w:top w:val="single" w:color="auto" w:sz="4" w:space="0"/>
              <w:left w:val="single" w:color="auto" w:sz="4" w:space="0"/>
              <w:right w:val="single" w:color="auto" w:sz="4" w:space="0"/>
            </w:tcBorders>
            <w:vAlign w:val="center"/>
          </w:tcPr>
          <w:p w14:paraId="70EA7B8F">
            <w:pPr>
              <w:keepNext w:val="0"/>
              <w:keepLines w:val="0"/>
              <w:pageBreakBefore w:val="0"/>
              <w:kinsoku/>
              <w:topLinePunct w:val="0"/>
              <w:bidi w:val="0"/>
              <w:adjustRightInd w:val="0"/>
              <w:snapToGrid w:val="0"/>
              <w:spacing w:line="240" w:lineRule="auto"/>
              <w:ind w:left="0" w:leftChars="0"/>
              <w:jc w:val="center"/>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安全生产管理体系及保证措施</w:t>
            </w:r>
          </w:p>
        </w:tc>
        <w:tc>
          <w:tcPr>
            <w:tcW w:w="1134" w:type="dxa"/>
            <w:vMerge w:val="restart"/>
            <w:tcBorders>
              <w:top w:val="single" w:color="auto" w:sz="4" w:space="0"/>
              <w:left w:val="single" w:color="auto" w:sz="4" w:space="0"/>
              <w:right w:val="single" w:color="auto" w:sz="4" w:space="0"/>
            </w:tcBorders>
            <w:vAlign w:val="center"/>
          </w:tcPr>
          <w:p w14:paraId="6E930E63">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10</w:t>
            </w:r>
            <w:r>
              <w:rPr>
                <w:rFonts w:hint="eastAsia" w:ascii="Times New Roman" w:hAnsi="Times New Roman" w:eastAsia="宋体" w:cs="Times New Roman"/>
                <w:color w:val="auto"/>
                <w:kern w:val="28"/>
                <w:sz w:val="21"/>
                <w:szCs w:val="21"/>
                <w:highlight w:val="none"/>
              </w:rPr>
              <w:t>分</w:t>
            </w:r>
          </w:p>
        </w:tc>
        <w:tc>
          <w:tcPr>
            <w:tcW w:w="4784" w:type="dxa"/>
            <w:tcBorders>
              <w:top w:val="single" w:color="auto" w:sz="4" w:space="0"/>
              <w:left w:val="single" w:color="auto" w:sz="4" w:space="0"/>
              <w:bottom w:val="single" w:color="auto" w:sz="4" w:space="0"/>
              <w:right w:val="single" w:color="auto" w:sz="8" w:space="0"/>
            </w:tcBorders>
            <w:vAlign w:val="center"/>
          </w:tcPr>
          <w:p w14:paraId="6ACB7ED9">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措施明确详尽，具体完善，科学合理，得</w:t>
            </w:r>
            <w:r>
              <w:rPr>
                <w:rFonts w:hint="eastAsia" w:ascii="Times New Roman" w:hAnsi="Times New Roman" w:eastAsia="宋体" w:cs="Times New Roman"/>
                <w:color w:val="auto"/>
                <w:kern w:val="28"/>
                <w:sz w:val="21"/>
                <w:szCs w:val="21"/>
                <w:highlight w:val="none"/>
                <w:lang w:val="en-US" w:eastAsia="zh-CN"/>
              </w:rPr>
              <w:t>8</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10</w:t>
            </w:r>
            <w:r>
              <w:rPr>
                <w:rFonts w:hint="default" w:ascii="Times New Roman" w:hAnsi="Times New Roman" w:eastAsia="宋体" w:cs="Times New Roman"/>
                <w:color w:val="auto"/>
                <w:kern w:val="28"/>
                <w:sz w:val="21"/>
                <w:szCs w:val="21"/>
                <w:highlight w:val="none"/>
              </w:rPr>
              <w:t>.0分；</w:t>
            </w:r>
          </w:p>
        </w:tc>
      </w:tr>
      <w:tr w14:paraId="3788C5AE">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52A31B4A">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565AD839">
            <w:pPr>
              <w:jc w:val="center"/>
              <w:rPr>
                <w:rFonts w:ascii="Times New Roman" w:hAnsi="Times New Roman" w:eastAsia="宋体" w:cs="Times New Roman"/>
                <w:color w:val="auto"/>
                <w:kern w:val="28"/>
                <w:sz w:val="21"/>
                <w:szCs w:val="21"/>
                <w:highlight w:val="none"/>
              </w:rPr>
            </w:pPr>
          </w:p>
        </w:tc>
        <w:tc>
          <w:tcPr>
            <w:tcW w:w="1418" w:type="dxa"/>
            <w:vMerge w:val="continue"/>
            <w:tcBorders>
              <w:left w:val="single" w:color="auto" w:sz="4" w:space="0"/>
              <w:right w:val="single" w:color="auto" w:sz="4" w:space="0"/>
            </w:tcBorders>
            <w:vAlign w:val="center"/>
          </w:tcPr>
          <w:p w14:paraId="7625E396">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4" w:space="0"/>
              <w:right w:val="single" w:color="auto" w:sz="4" w:space="0"/>
            </w:tcBorders>
            <w:vAlign w:val="center"/>
          </w:tcPr>
          <w:p w14:paraId="2698EC60">
            <w:pPr>
              <w:rPr>
                <w:rFonts w:ascii="Times New Roman" w:hAnsi="Times New Roman" w:eastAsia="宋体" w:cs="Times New Roman"/>
                <w:color w:val="auto"/>
                <w:kern w:val="28"/>
                <w:sz w:val="21"/>
                <w:szCs w:val="21"/>
                <w:highlight w:val="none"/>
                <w:lang w:bidi="en-US"/>
              </w:rPr>
            </w:pPr>
          </w:p>
        </w:tc>
        <w:tc>
          <w:tcPr>
            <w:tcW w:w="4784" w:type="dxa"/>
            <w:tcBorders>
              <w:top w:val="single" w:color="auto" w:sz="4" w:space="0"/>
              <w:left w:val="single" w:color="auto" w:sz="4" w:space="0"/>
              <w:bottom w:val="single" w:color="auto" w:sz="4" w:space="0"/>
              <w:right w:val="single" w:color="auto" w:sz="8" w:space="0"/>
            </w:tcBorders>
            <w:vAlign w:val="center"/>
          </w:tcPr>
          <w:p w14:paraId="46A15D65">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措施较明确、较具体，合理可行，得</w:t>
            </w:r>
            <w:r>
              <w:rPr>
                <w:rFonts w:hint="eastAsia" w:ascii="Times New Roman" w:hAnsi="Times New Roman" w:eastAsia="宋体" w:cs="Times New Roman"/>
                <w:color w:val="auto"/>
                <w:kern w:val="28"/>
                <w:sz w:val="21"/>
                <w:szCs w:val="21"/>
                <w:highlight w:val="none"/>
                <w:lang w:val="en-US" w:eastAsia="zh-CN"/>
              </w:rPr>
              <w:t>6</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8</w:t>
            </w:r>
            <w:r>
              <w:rPr>
                <w:rFonts w:hint="default" w:ascii="Times New Roman" w:hAnsi="Times New Roman" w:eastAsia="宋体" w:cs="Times New Roman"/>
                <w:color w:val="auto"/>
                <w:kern w:val="28"/>
                <w:sz w:val="21"/>
                <w:szCs w:val="21"/>
                <w:highlight w:val="none"/>
              </w:rPr>
              <w:t>.0分；</w:t>
            </w:r>
          </w:p>
        </w:tc>
      </w:tr>
      <w:tr w14:paraId="2D831D4D">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151483D3">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4F11E070">
            <w:pPr>
              <w:jc w:val="center"/>
              <w:rPr>
                <w:rFonts w:ascii="Times New Roman" w:hAnsi="Times New Roman" w:eastAsia="宋体" w:cs="Times New Roman"/>
                <w:color w:val="auto"/>
                <w:kern w:val="28"/>
                <w:sz w:val="21"/>
                <w:szCs w:val="21"/>
                <w:highlight w:val="none"/>
              </w:rPr>
            </w:pPr>
          </w:p>
        </w:tc>
        <w:tc>
          <w:tcPr>
            <w:tcW w:w="1418" w:type="dxa"/>
            <w:vMerge w:val="continue"/>
            <w:tcBorders>
              <w:left w:val="single" w:color="auto" w:sz="4" w:space="0"/>
              <w:bottom w:val="single" w:color="auto" w:sz="4" w:space="0"/>
              <w:right w:val="single" w:color="auto" w:sz="4" w:space="0"/>
            </w:tcBorders>
            <w:vAlign w:val="center"/>
          </w:tcPr>
          <w:p w14:paraId="7BDBF7A9">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4" w:space="0"/>
              <w:bottom w:val="single" w:color="auto" w:sz="4" w:space="0"/>
              <w:right w:val="single" w:color="auto" w:sz="4" w:space="0"/>
            </w:tcBorders>
            <w:vAlign w:val="center"/>
          </w:tcPr>
          <w:p w14:paraId="40B8F978">
            <w:pPr>
              <w:rPr>
                <w:rFonts w:ascii="Times New Roman" w:hAnsi="Times New Roman" w:eastAsia="宋体" w:cs="Times New Roman"/>
                <w:color w:val="auto"/>
                <w:kern w:val="28"/>
                <w:sz w:val="21"/>
                <w:szCs w:val="21"/>
                <w:highlight w:val="none"/>
                <w:lang w:bidi="en-US"/>
              </w:rPr>
            </w:pPr>
          </w:p>
        </w:tc>
        <w:tc>
          <w:tcPr>
            <w:tcW w:w="4784" w:type="dxa"/>
            <w:tcBorders>
              <w:top w:val="single" w:color="auto" w:sz="4" w:space="0"/>
              <w:left w:val="single" w:color="auto" w:sz="4" w:space="0"/>
              <w:bottom w:val="single" w:color="auto" w:sz="4" w:space="0"/>
              <w:right w:val="single" w:color="auto" w:sz="8" w:space="0"/>
            </w:tcBorders>
            <w:vAlign w:val="center"/>
          </w:tcPr>
          <w:p w14:paraId="2E8132B5">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满足施工要求，得</w:t>
            </w:r>
            <w:r>
              <w:rPr>
                <w:rFonts w:hint="eastAsia" w:ascii="Times New Roman" w:hAnsi="Times New Roman" w:eastAsia="宋体" w:cs="Times New Roman"/>
                <w:color w:val="auto"/>
                <w:kern w:val="28"/>
                <w:sz w:val="21"/>
                <w:szCs w:val="21"/>
                <w:highlight w:val="none"/>
                <w:lang w:val="en-US" w:eastAsia="zh-CN"/>
              </w:rPr>
              <w:t>6.</w:t>
            </w:r>
            <w:r>
              <w:rPr>
                <w:rFonts w:hint="default" w:ascii="Times New Roman" w:hAnsi="Times New Roman" w:eastAsia="宋体" w:cs="Times New Roman"/>
                <w:color w:val="auto"/>
                <w:kern w:val="28"/>
                <w:sz w:val="21"/>
                <w:szCs w:val="21"/>
                <w:highlight w:val="none"/>
              </w:rPr>
              <w:t>0分。</w:t>
            </w:r>
          </w:p>
        </w:tc>
      </w:tr>
      <w:tr w14:paraId="10894356">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1A07DAC2">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3A5FF867">
            <w:pPr>
              <w:jc w:val="center"/>
              <w:rPr>
                <w:rFonts w:ascii="Times New Roman" w:hAnsi="Times New Roman" w:eastAsia="宋体" w:cs="Times New Roman"/>
                <w:color w:val="auto"/>
                <w:kern w:val="28"/>
                <w:sz w:val="21"/>
                <w:szCs w:val="21"/>
                <w:highlight w:val="none"/>
              </w:rPr>
            </w:pPr>
          </w:p>
        </w:tc>
        <w:tc>
          <w:tcPr>
            <w:tcW w:w="1418" w:type="dxa"/>
            <w:vMerge w:val="restart"/>
            <w:tcBorders>
              <w:top w:val="single" w:color="auto" w:sz="4" w:space="0"/>
              <w:left w:val="nil"/>
              <w:right w:val="single" w:color="auto" w:sz="8" w:space="0"/>
            </w:tcBorders>
            <w:vAlign w:val="center"/>
          </w:tcPr>
          <w:p w14:paraId="0EC95C8A">
            <w:pPr>
              <w:keepNext w:val="0"/>
              <w:keepLines w:val="0"/>
              <w:pageBreakBefore w:val="0"/>
              <w:kinsoku/>
              <w:topLinePunct w:val="0"/>
              <w:bidi w:val="0"/>
              <w:adjustRightInd w:val="0"/>
              <w:snapToGrid w:val="0"/>
              <w:spacing w:line="240" w:lineRule="auto"/>
              <w:ind w:left="0" w:leftChars="0"/>
              <w:jc w:val="center"/>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主要施工机</w:t>
            </w:r>
            <w:r>
              <w:rPr>
                <w:rFonts w:hint="default" w:ascii="Times New Roman" w:hAnsi="Times New Roman" w:eastAsia="宋体" w:cs="Times New Roman"/>
                <w:color w:val="auto"/>
                <w:kern w:val="28"/>
                <w:sz w:val="21"/>
                <w:szCs w:val="21"/>
                <w:highlight w:val="none"/>
                <w:lang w:eastAsia="zh-CN"/>
              </w:rPr>
              <w:t>具、劳动力使用计划措施</w:t>
            </w:r>
          </w:p>
        </w:tc>
        <w:tc>
          <w:tcPr>
            <w:tcW w:w="1134" w:type="dxa"/>
            <w:vMerge w:val="restart"/>
            <w:tcBorders>
              <w:top w:val="single" w:color="auto" w:sz="4" w:space="0"/>
              <w:left w:val="single" w:color="auto" w:sz="8" w:space="0"/>
              <w:right w:val="single" w:color="auto" w:sz="4" w:space="0"/>
            </w:tcBorders>
            <w:vAlign w:val="center"/>
          </w:tcPr>
          <w:p w14:paraId="5DEFDACB">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5</w:t>
            </w:r>
            <w:r>
              <w:rPr>
                <w:rFonts w:hint="eastAsia" w:ascii="Times New Roman" w:hAnsi="Times New Roman" w:eastAsia="宋体" w:cs="Times New Roman"/>
                <w:color w:val="auto"/>
                <w:kern w:val="28"/>
                <w:sz w:val="21"/>
                <w:szCs w:val="21"/>
                <w:highlight w:val="none"/>
              </w:rPr>
              <w:t>分</w:t>
            </w:r>
          </w:p>
        </w:tc>
        <w:tc>
          <w:tcPr>
            <w:tcW w:w="4784" w:type="dxa"/>
            <w:tcBorders>
              <w:top w:val="single" w:color="auto" w:sz="4" w:space="0"/>
              <w:left w:val="single" w:color="auto" w:sz="4" w:space="0"/>
              <w:bottom w:val="single" w:color="auto" w:sz="4" w:space="0"/>
              <w:right w:val="single" w:color="auto" w:sz="8" w:space="0"/>
            </w:tcBorders>
            <w:vAlign w:val="center"/>
          </w:tcPr>
          <w:p w14:paraId="65B5F51D">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措施明确详尽，具体完善，科学合理，得</w:t>
            </w:r>
            <w:r>
              <w:rPr>
                <w:rFonts w:hint="eastAsia" w:ascii="Times New Roman" w:hAnsi="Times New Roman" w:eastAsia="宋体" w:cs="Times New Roman"/>
                <w:color w:val="auto"/>
                <w:kern w:val="28"/>
                <w:sz w:val="21"/>
                <w:szCs w:val="21"/>
                <w:highlight w:val="none"/>
                <w:lang w:val="en-US" w:eastAsia="zh-CN"/>
              </w:rPr>
              <w:t>8</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10</w:t>
            </w:r>
            <w:r>
              <w:rPr>
                <w:rFonts w:hint="default" w:ascii="Times New Roman" w:hAnsi="Times New Roman" w:eastAsia="宋体" w:cs="Times New Roman"/>
                <w:color w:val="auto"/>
                <w:kern w:val="28"/>
                <w:sz w:val="21"/>
                <w:szCs w:val="21"/>
                <w:highlight w:val="none"/>
              </w:rPr>
              <w:t>.0分；</w:t>
            </w:r>
          </w:p>
        </w:tc>
      </w:tr>
      <w:tr w14:paraId="79E8474A">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7CE8FFFF">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11B1DDF7">
            <w:pPr>
              <w:jc w:val="center"/>
              <w:rPr>
                <w:rFonts w:ascii="Times New Roman" w:hAnsi="Times New Roman" w:eastAsia="宋体" w:cs="Times New Roman"/>
                <w:color w:val="auto"/>
                <w:kern w:val="28"/>
                <w:sz w:val="21"/>
                <w:szCs w:val="21"/>
                <w:highlight w:val="none"/>
              </w:rPr>
            </w:pPr>
          </w:p>
        </w:tc>
        <w:tc>
          <w:tcPr>
            <w:tcW w:w="1418" w:type="dxa"/>
            <w:vMerge w:val="continue"/>
            <w:tcBorders>
              <w:left w:val="nil"/>
              <w:right w:val="single" w:color="auto" w:sz="8" w:space="0"/>
            </w:tcBorders>
            <w:vAlign w:val="center"/>
          </w:tcPr>
          <w:p w14:paraId="6F9CF7D0">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8" w:space="0"/>
              <w:right w:val="single" w:color="auto" w:sz="4" w:space="0"/>
            </w:tcBorders>
            <w:vAlign w:val="center"/>
          </w:tcPr>
          <w:p w14:paraId="73DBD168">
            <w:pPr>
              <w:rPr>
                <w:rFonts w:ascii="Times New Roman" w:hAnsi="Times New Roman" w:eastAsia="宋体" w:cs="Times New Roman"/>
                <w:color w:val="auto"/>
                <w:kern w:val="28"/>
                <w:sz w:val="21"/>
                <w:szCs w:val="21"/>
                <w:highlight w:val="none"/>
                <w:lang w:bidi="en-US"/>
              </w:rPr>
            </w:pPr>
          </w:p>
        </w:tc>
        <w:tc>
          <w:tcPr>
            <w:tcW w:w="4784" w:type="dxa"/>
            <w:tcBorders>
              <w:top w:val="single" w:color="auto" w:sz="4" w:space="0"/>
              <w:left w:val="single" w:color="auto" w:sz="4" w:space="0"/>
              <w:bottom w:val="single" w:color="auto" w:sz="4" w:space="0"/>
              <w:right w:val="single" w:color="auto" w:sz="8" w:space="0"/>
            </w:tcBorders>
            <w:vAlign w:val="center"/>
          </w:tcPr>
          <w:p w14:paraId="62B94DBD">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措施较明确、较具体，合理可行，得</w:t>
            </w:r>
            <w:r>
              <w:rPr>
                <w:rFonts w:hint="eastAsia" w:ascii="Times New Roman" w:hAnsi="Times New Roman" w:eastAsia="宋体" w:cs="Times New Roman"/>
                <w:color w:val="auto"/>
                <w:kern w:val="28"/>
                <w:sz w:val="21"/>
                <w:szCs w:val="21"/>
                <w:highlight w:val="none"/>
                <w:lang w:val="en-US" w:eastAsia="zh-CN"/>
              </w:rPr>
              <w:t>6</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8</w:t>
            </w:r>
            <w:r>
              <w:rPr>
                <w:rFonts w:hint="default" w:ascii="Times New Roman" w:hAnsi="Times New Roman" w:eastAsia="宋体" w:cs="Times New Roman"/>
                <w:color w:val="auto"/>
                <w:kern w:val="28"/>
                <w:sz w:val="21"/>
                <w:szCs w:val="21"/>
                <w:highlight w:val="none"/>
              </w:rPr>
              <w:t>.0分；</w:t>
            </w:r>
          </w:p>
        </w:tc>
      </w:tr>
      <w:tr w14:paraId="4291A822">
        <w:tblPrEx>
          <w:tblCellMar>
            <w:top w:w="0" w:type="dxa"/>
            <w:left w:w="108" w:type="dxa"/>
            <w:bottom w:w="0" w:type="dxa"/>
            <w:right w:w="108" w:type="dxa"/>
          </w:tblCellMar>
        </w:tblPrEx>
        <w:trPr>
          <w:trHeight w:val="290" w:hRule="atLeast"/>
          <w:jc w:val="center"/>
        </w:trPr>
        <w:tc>
          <w:tcPr>
            <w:tcW w:w="817" w:type="dxa"/>
            <w:vMerge w:val="continue"/>
            <w:tcBorders>
              <w:left w:val="single" w:color="auto" w:sz="8" w:space="0"/>
              <w:right w:val="single" w:color="auto" w:sz="4" w:space="0"/>
            </w:tcBorders>
            <w:vAlign w:val="center"/>
          </w:tcPr>
          <w:p w14:paraId="5F03D6D8">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31560B24">
            <w:pPr>
              <w:jc w:val="center"/>
              <w:rPr>
                <w:rFonts w:ascii="Times New Roman" w:hAnsi="Times New Roman" w:eastAsia="宋体" w:cs="Times New Roman"/>
                <w:color w:val="auto"/>
                <w:kern w:val="28"/>
                <w:sz w:val="21"/>
                <w:szCs w:val="21"/>
                <w:highlight w:val="none"/>
              </w:rPr>
            </w:pPr>
          </w:p>
        </w:tc>
        <w:tc>
          <w:tcPr>
            <w:tcW w:w="1418" w:type="dxa"/>
            <w:vMerge w:val="continue"/>
            <w:tcBorders>
              <w:left w:val="nil"/>
              <w:bottom w:val="single" w:color="auto" w:sz="4" w:space="0"/>
              <w:right w:val="single" w:color="auto" w:sz="8" w:space="0"/>
            </w:tcBorders>
            <w:vAlign w:val="center"/>
          </w:tcPr>
          <w:p w14:paraId="4CF6226B">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8" w:space="0"/>
              <w:bottom w:val="single" w:color="auto" w:sz="4" w:space="0"/>
              <w:right w:val="single" w:color="auto" w:sz="4" w:space="0"/>
            </w:tcBorders>
            <w:vAlign w:val="center"/>
          </w:tcPr>
          <w:p w14:paraId="19934182">
            <w:pPr>
              <w:rPr>
                <w:rFonts w:ascii="Times New Roman" w:hAnsi="Times New Roman" w:eastAsia="宋体" w:cs="Times New Roman"/>
                <w:color w:val="auto"/>
                <w:kern w:val="28"/>
                <w:sz w:val="21"/>
                <w:szCs w:val="21"/>
                <w:highlight w:val="none"/>
                <w:lang w:bidi="en-US"/>
              </w:rPr>
            </w:pPr>
          </w:p>
        </w:tc>
        <w:tc>
          <w:tcPr>
            <w:tcW w:w="4784" w:type="dxa"/>
            <w:tcBorders>
              <w:top w:val="single" w:color="auto" w:sz="4" w:space="0"/>
              <w:left w:val="single" w:color="auto" w:sz="4" w:space="0"/>
              <w:bottom w:val="single" w:color="auto" w:sz="4" w:space="0"/>
              <w:right w:val="single" w:color="auto" w:sz="8" w:space="0"/>
            </w:tcBorders>
            <w:vAlign w:val="center"/>
          </w:tcPr>
          <w:p w14:paraId="09A60EC7">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满足施工要求，得</w:t>
            </w:r>
            <w:r>
              <w:rPr>
                <w:rFonts w:hint="eastAsia" w:ascii="Times New Roman" w:hAnsi="Times New Roman" w:eastAsia="宋体" w:cs="Times New Roman"/>
                <w:color w:val="auto"/>
                <w:kern w:val="28"/>
                <w:sz w:val="21"/>
                <w:szCs w:val="21"/>
                <w:highlight w:val="none"/>
                <w:lang w:val="en-US" w:eastAsia="zh-CN"/>
              </w:rPr>
              <w:t>6</w:t>
            </w:r>
            <w:r>
              <w:rPr>
                <w:rFonts w:hint="default" w:ascii="Times New Roman" w:hAnsi="Times New Roman" w:eastAsia="宋体" w:cs="Times New Roman"/>
                <w:color w:val="auto"/>
                <w:kern w:val="28"/>
                <w:sz w:val="21"/>
                <w:szCs w:val="21"/>
                <w:highlight w:val="none"/>
              </w:rPr>
              <w:t>.0分。</w:t>
            </w:r>
          </w:p>
        </w:tc>
      </w:tr>
      <w:tr w14:paraId="19BB9532">
        <w:tblPrEx>
          <w:tblCellMar>
            <w:top w:w="0" w:type="dxa"/>
            <w:left w:w="108" w:type="dxa"/>
            <w:bottom w:w="0" w:type="dxa"/>
            <w:right w:w="108" w:type="dxa"/>
          </w:tblCellMar>
        </w:tblPrEx>
        <w:trPr>
          <w:trHeight w:val="280" w:hRule="atLeast"/>
          <w:jc w:val="center"/>
        </w:trPr>
        <w:tc>
          <w:tcPr>
            <w:tcW w:w="817" w:type="dxa"/>
            <w:vMerge w:val="continue"/>
            <w:tcBorders>
              <w:left w:val="single" w:color="auto" w:sz="8" w:space="0"/>
              <w:right w:val="single" w:color="auto" w:sz="4" w:space="0"/>
            </w:tcBorders>
            <w:vAlign w:val="center"/>
          </w:tcPr>
          <w:p w14:paraId="0C367B9C">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2130D25C">
            <w:pPr>
              <w:jc w:val="center"/>
              <w:rPr>
                <w:rFonts w:ascii="Times New Roman" w:hAnsi="Times New Roman" w:eastAsia="宋体" w:cs="Times New Roman"/>
                <w:color w:val="auto"/>
                <w:kern w:val="28"/>
                <w:sz w:val="21"/>
                <w:szCs w:val="21"/>
                <w:highlight w:val="none"/>
              </w:rPr>
            </w:pPr>
          </w:p>
        </w:tc>
        <w:tc>
          <w:tcPr>
            <w:tcW w:w="1418" w:type="dxa"/>
            <w:vMerge w:val="restart"/>
            <w:tcBorders>
              <w:left w:val="nil"/>
              <w:right w:val="single" w:color="auto" w:sz="8" w:space="0"/>
            </w:tcBorders>
            <w:vAlign w:val="center"/>
          </w:tcPr>
          <w:p w14:paraId="6902E039">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项目风险预测与防范及应急预案</w:t>
            </w:r>
          </w:p>
        </w:tc>
        <w:tc>
          <w:tcPr>
            <w:tcW w:w="1134" w:type="dxa"/>
            <w:vMerge w:val="restart"/>
            <w:tcBorders>
              <w:left w:val="single" w:color="auto" w:sz="8" w:space="0"/>
              <w:right w:val="single" w:color="auto" w:sz="4" w:space="0"/>
            </w:tcBorders>
            <w:vAlign w:val="center"/>
          </w:tcPr>
          <w:p w14:paraId="2E60CB84">
            <w:pPr>
              <w:jc w:val="center"/>
              <w:rPr>
                <w:rFonts w:ascii="Times New Roman" w:hAnsi="Times New Roman" w:eastAsia="宋体" w:cs="Times New Roman"/>
                <w:color w:val="auto"/>
                <w:kern w:val="28"/>
                <w:sz w:val="21"/>
                <w:szCs w:val="21"/>
                <w:highlight w:val="none"/>
                <w:lang w:bidi="en-US"/>
              </w:rPr>
            </w:pPr>
            <w:r>
              <w:rPr>
                <w:rFonts w:hint="eastAsia" w:ascii="Times New Roman" w:hAnsi="Times New Roman" w:eastAsia="宋体" w:cs="Times New Roman"/>
                <w:color w:val="auto"/>
                <w:kern w:val="28"/>
                <w:sz w:val="21"/>
                <w:szCs w:val="21"/>
                <w:highlight w:val="none"/>
                <w:lang w:val="en-US" w:eastAsia="zh-CN"/>
              </w:rPr>
              <w:t>5</w:t>
            </w:r>
            <w:r>
              <w:rPr>
                <w:rFonts w:hint="eastAsia" w:ascii="Times New Roman" w:hAnsi="Times New Roman" w:eastAsia="宋体" w:cs="Times New Roman"/>
                <w:color w:val="auto"/>
                <w:kern w:val="28"/>
                <w:sz w:val="21"/>
                <w:szCs w:val="21"/>
                <w:highlight w:val="none"/>
              </w:rPr>
              <w:t>分</w:t>
            </w:r>
          </w:p>
        </w:tc>
        <w:tc>
          <w:tcPr>
            <w:tcW w:w="4784" w:type="dxa"/>
            <w:tcBorders>
              <w:top w:val="single" w:color="auto" w:sz="4" w:space="0"/>
              <w:left w:val="single" w:color="auto" w:sz="4" w:space="0"/>
              <w:bottom w:val="single" w:color="auto" w:sz="4" w:space="0"/>
              <w:right w:val="single" w:color="auto" w:sz="8" w:space="0"/>
            </w:tcBorders>
            <w:vAlign w:val="center"/>
          </w:tcPr>
          <w:p w14:paraId="20F2B2A1">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预案</w:t>
            </w:r>
            <w:r>
              <w:rPr>
                <w:rFonts w:hint="default" w:ascii="Times New Roman" w:hAnsi="Times New Roman" w:eastAsia="宋体" w:cs="Times New Roman"/>
                <w:color w:val="auto"/>
                <w:kern w:val="28"/>
                <w:sz w:val="21"/>
                <w:szCs w:val="21"/>
                <w:highlight w:val="none"/>
              </w:rPr>
              <w:t>明确详尽，具体完善，科学合理，得</w:t>
            </w:r>
            <w:r>
              <w:rPr>
                <w:rFonts w:hint="eastAsia" w:ascii="Times New Roman" w:hAnsi="Times New Roman" w:eastAsia="宋体" w:cs="Times New Roman"/>
                <w:color w:val="auto"/>
                <w:kern w:val="28"/>
                <w:sz w:val="21"/>
                <w:szCs w:val="21"/>
                <w:highlight w:val="none"/>
                <w:lang w:val="en-US" w:eastAsia="zh-CN"/>
              </w:rPr>
              <w:t>8</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10</w:t>
            </w:r>
            <w:r>
              <w:rPr>
                <w:rFonts w:hint="default" w:ascii="Times New Roman" w:hAnsi="Times New Roman" w:eastAsia="宋体" w:cs="Times New Roman"/>
                <w:color w:val="auto"/>
                <w:kern w:val="28"/>
                <w:sz w:val="21"/>
                <w:szCs w:val="21"/>
                <w:highlight w:val="none"/>
              </w:rPr>
              <w:t>.0分；</w:t>
            </w:r>
          </w:p>
        </w:tc>
      </w:tr>
      <w:tr w14:paraId="41AC21D4">
        <w:tblPrEx>
          <w:tblCellMar>
            <w:top w:w="0" w:type="dxa"/>
            <w:left w:w="108" w:type="dxa"/>
            <w:bottom w:w="0" w:type="dxa"/>
            <w:right w:w="108" w:type="dxa"/>
          </w:tblCellMar>
        </w:tblPrEx>
        <w:trPr>
          <w:trHeight w:val="280" w:hRule="atLeast"/>
          <w:jc w:val="center"/>
        </w:trPr>
        <w:tc>
          <w:tcPr>
            <w:tcW w:w="817" w:type="dxa"/>
            <w:vMerge w:val="continue"/>
            <w:tcBorders>
              <w:left w:val="single" w:color="auto" w:sz="8" w:space="0"/>
              <w:right w:val="single" w:color="auto" w:sz="4" w:space="0"/>
            </w:tcBorders>
            <w:vAlign w:val="center"/>
          </w:tcPr>
          <w:p w14:paraId="4C575650">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4D9708EA">
            <w:pPr>
              <w:jc w:val="center"/>
              <w:rPr>
                <w:rFonts w:ascii="Times New Roman" w:hAnsi="Times New Roman" w:eastAsia="宋体" w:cs="Times New Roman"/>
                <w:color w:val="auto"/>
                <w:kern w:val="28"/>
                <w:sz w:val="21"/>
                <w:szCs w:val="21"/>
                <w:highlight w:val="none"/>
              </w:rPr>
            </w:pPr>
          </w:p>
        </w:tc>
        <w:tc>
          <w:tcPr>
            <w:tcW w:w="1418" w:type="dxa"/>
            <w:vMerge w:val="continue"/>
            <w:tcBorders>
              <w:left w:val="nil"/>
              <w:right w:val="single" w:color="auto" w:sz="8" w:space="0"/>
            </w:tcBorders>
            <w:vAlign w:val="center"/>
          </w:tcPr>
          <w:p w14:paraId="363DC848">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8" w:space="0"/>
              <w:right w:val="single" w:color="auto" w:sz="4" w:space="0"/>
            </w:tcBorders>
            <w:vAlign w:val="center"/>
          </w:tcPr>
          <w:p w14:paraId="7B3952BC">
            <w:pPr>
              <w:rPr>
                <w:rFonts w:ascii="Times New Roman" w:hAnsi="Times New Roman" w:eastAsia="宋体" w:cs="Times New Roman"/>
                <w:color w:val="auto"/>
                <w:kern w:val="28"/>
                <w:sz w:val="21"/>
                <w:szCs w:val="21"/>
                <w:highlight w:val="none"/>
                <w:lang w:bidi="en-US"/>
              </w:rPr>
            </w:pPr>
          </w:p>
        </w:tc>
        <w:tc>
          <w:tcPr>
            <w:tcW w:w="4784" w:type="dxa"/>
            <w:tcBorders>
              <w:top w:val="single" w:color="auto" w:sz="4" w:space="0"/>
              <w:left w:val="single" w:color="auto" w:sz="4" w:space="0"/>
              <w:bottom w:val="single" w:color="auto" w:sz="4" w:space="0"/>
              <w:right w:val="single" w:color="auto" w:sz="8" w:space="0"/>
            </w:tcBorders>
            <w:vAlign w:val="center"/>
          </w:tcPr>
          <w:p w14:paraId="55EEB53F">
            <w:pPr>
              <w:keepNext w:val="0"/>
              <w:keepLines w:val="0"/>
              <w:pageBreakBefore w:val="0"/>
              <w:kinsoku/>
              <w:topLinePunct w:val="0"/>
              <w:bidi w:val="0"/>
              <w:adjustRightInd w:val="0"/>
              <w:snapToGrid w:val="0"/>
              <w:spacing w:line="240" w:lineRule="auto"/>
              <w:ind w:left="0" w:leftChars="0"/>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预案</w:t>
            </w:r>
            <w:r>
              <w:rPr>
                <w:rFonts w:hint="default" w:ascii="Times New Roman" w:hAnsi="Times New Roman" w:eastAsia="宋体" w:cs="Times New Roman"/>
                <w:color w:val="auto"/>
                <w:kern w:val="28"/>
                <w:sz w:val="21"/>
                <w:szCs w:val="21"/>
                <w:highlight w:val="none"/>
              </w:rPr>
              <w:t>较明确、较具体，合理可行，得</w:t>
            </w:r>
            <w:r>
              <w:rPr>
                <w:rFonts w:hint="eastAsia" w:ascii="Times New Roman" w:hAnsi="Times New Roman" w:eastAsia="宋体" w:cs="Times New Roman"/>
                <w:color w:val="auto"/>
                <w:kern w:val="28"/>
                <w:sz w:val="21"/>
                <w:szCs w:val="21"/>
                <w:highlight w:val="none"/>
                <w:lang w:val="en-US" w:eastAsia="zh-CN"/>
              </w:rPr>
              <w:t>6</w:t>
            </w:r>
            <w:r>
              <w:rPr>
                <w:rFonts w:hint="default" w:ascii="Times New Roman" w:hAnsi="Times New Roman" w:eastAsia="宋体" w:cs="Times New Roman"/>
                <w:color w:val="auto"/>
                <w:kern w:val="28"/>
                <w:sz w:val="21"/>
                <w:szCs w:val="21"/>
                <w:highlight w:val="none"/>
              </w:rPr>
              <w:t>.0-</w:t>
            </w:r>
            <w:r>
              <w:rPr>
                <w:rFonts w:hint="eastAsia" w:ascii="Times New Roman" w:hAnsi="Times New Roman" w:eastAsia="宋体" w:cs="Times New Roman"/>
                <w:color w:val="auto"/>
                <w:kern w:val="28"/>
                <w:sz w:val="21"/>
                <w:szCs w:val="21"/>
                <w:highlight w:val="none"/>
                <w:lang w:val="en-US" w:eastAsia="zh-CN"/>
              </w:rPr>
              <w:t>8</w:t>
            </w:r>
            <w:r>
              <w:rPr>
                <w:rFonts w:hint="default" w:ascii="Times New Roman" w:hAnsi="Times New Roman" w:eastAsia="宋体" w:cs="Times New Roman"/>
                <w:color w:val="auto"/>
                <w:kern w:val="28"/>
                <w:sz w:val="21"/>
                <w:szCs w:val="21"/>
                <w:highlight w:val="none"/>
              </w:rPr>
              <w:t>.0分；</w:t>
            </w:r>
          </w:p>
        </w:tc>
      </w:tr>
      <w:tr w14:paraId="7ABBCDFA">
        <w:tblPrEx>
          <w:tblCellMar>
            <w:top w:w="0" w:type="dxa"/>
            <w:left w:w="108" w:type="dxa"/>
            <w:bottom w:w="0" w:type="dxa"/>
            <w:right w:w="108" w:type="dxa"/>
          </w:tblCellMar>
        </w:tblPrEx>
        <w:trPr>
          <w:trHeight w:val="280" w:hRule="atLeast"/>
          <w:jc w:val="center"/>
        </w:trPr>
        <w:tc>
          <w:tcPr>
            <w:tcW w:w="817" w:type="dxa"/>
            <w:vMerge w:val="continue"/>
            <w:tcBorders>
              <w:left w:val="single" w:color="auto" w:sz="8" w:space="0"/>
              <w:right w:val="single" w:color="auto" w:sz="4" w:space="0"/>
            </w:tcBorders>
            <w:vAlign w:val="center"/>
          </w:tcPr>
          <w:p w14:paraId="039AAA18">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4" w:space="0"/>
              <w:right w:val="single" w:color="auto" w:sz="4" w:space="0"/>
            </w:tcBorders>
            <w:vAlign w:val="center"/>
          </w:tcPr>
          <w:p w14:paraId="5F7C19A8">
            <w:pPr>
              <w:jc w:val="center"/>
              <w:rPr>
                <w:rFonts w:ascii="Times New Roman" w:hAnsi="Times New Roman" w:eastAsia="宋体" w:cs="Times New Roman"/>
                <w:color w:val="auto"/>
                <w:kern w:val="28"/>
                <w:sz w:val="21"/>
                <w:szCs w:val="21"/>
                <w:highlight w:val="none"/>
              </w:rPr>
            </w:pPr>
          </w:p>
        </w:tc>
        <w:tc>
          <w:tcPr>
            <w:tcW w:w="1418" w:type="dxa"/>
            <w:vMerge w:val="continue"/>
            <w:tcBorders>
              <w:left w:val="nil"/>
              <w:bottom w:val="single" w:color="auto" w:sz="4" w:space="0"/>
              <w:right w:val="single" w:color="auto" w:sz="8" w:space="0"/>
            </w:tcBorders>
            <w:vAlign w:val="center"/>
          </w:tcPr>
          <w:p w14:paraId="36F1320D">
            <w:pPr>
              <w:jc w:val="center"/>
              <w:rPr>
                <w:rFonts w:ascii="Times New Roman" w:hAnsi="Times New Roman" w:eastAsia="宋体" w:cs="Times New Roman"/>
                <w:color w:val="auto"/>
                <w:kern w:val="28"/>
                <w:sz w:val="21"/>
                <w:szCs w:val="21"/>
                <w:highlight w:val="none"/>
              </w:rPr>
            </w:pPr>
          </w:p>
        </w:tc>
        <w:tc>
          <w:tcPr>
            <w:tcW w:w="1134" w:type="dxa"/>
            <w:vMerge w:val="continue"/>
            <w:tcBorders>
              <w:left w:val="single" w:color="auto" w:sz="8" w:space="0"/>
              <w:bottom w:val="single" w:color="auto" w:sz="4" w:space="0"/>
              <w:right w:val="single" w:color="auto" w:sz="4" w:space="0"/>
            </w:tcBorders>
            <w:vAlign w:val="center"/>
          </w:tcPr>
          <w:p w14:paraId="5E19E567">
            <w:pPr>
              <w:rPr>
                <w:rFonts w:ascii="Times New Roman" w:hAnsi="Times New Roman" w:eastAsia="宋体" w:cs="Times New Roman"/>
                <w:color w:val="auto"/>
                <w:kern w:val="28"/>
                <w:sz w:val="21"/>
                <w:szCs w:val="21"/>
                <w:highlight w:val="none"/>
                <w:lang w:bidi="en-US"/>
              </w:rPr>
            </w:pPr>
          </w:p>
        </w:tc>
        <w:tc>
          <w:tcPr>
            <w:tcW w:w="4784" w:type="dxa"/>
            <w:tcBorders>
              <w:top w:val="single" w:color="auto" w:sz="4" w:space="0"/>
              <w:left w:val="single" w:color="auto" w:sz="4" w:space="0"/>
              <w:bottom w:val="single" w:color="auto" w:sz="4" w:space="0"/>
              <w:right w:val="single" w:color="auto" w:sz="8" w:space="0"/>
            </w:tcBorders>
            <w:vAlign w:val="center"/>
          </w:tcPr>
          <w:p w14:paraId="03B2BAFA">
            <w:pPr>
              <w:keepNext w:val="0"/>
              <w:keepLines w:val="0"/>
              <w:pageBreakBefore w:val="0"/>
              <w:kinsoku/>
              <w:topLinePunct w:val="0"/>
              <w:bidi w:val="0"/>
              <w:adjustRightInd w:val="0"/>
              <w:snapToGrid w:val="0"/>
              <w:spacing w:line="240" w:lineRule="auto"/>
              <w:ind w:left="0" w:leftChars="0"/>
              <w:jc w:val="left"/>
              <w:rPr>
                <w:rFonts w:ascii="Times New Roman" w:hAnsi="Times New Roman" w:eastAsia="宋体" w:cs="Times New Roman"/>
                <w:color w:val="auto"/>
                <w:kern w:val="28"/>
                <w:sz w:val="21"/>
                <w:szCs w:val="21"/>
                <w:highlight w:val="none"/>
              </w:rPr>
            </w:pPr>
            <w:r>
              <w:rPr>
                <w:rFonts w:hint="default" w:ascii="Times New Roman" w:hAnsi="Times New Roman" w:eastAsia="宋体" w:cs="Times New Roman"/>
                <w:color w:val="auto"/>
                <w:kern w:val="28"/>
                <w:sz w:val="21"/>
                <w:szCs w:val="21"/>
                <w:highlight w:val="none"/>
              </w:rPr>
              <w:t>满足施工要求，得</w:t>
            </w:r>
            <w:r>
              <w:rPr>
                <w:rFonts w:hint="eastAsia" w:ascii="Times New Roman" w:hAnsi="Times New Roman" w:eastAsia="宋体" w:cs="Times New Roman"/>
                <w:color w:val="auto"/>
                <w:kern w:val="28"/>
                <w:sz w:val="21"/>
                <w:szCs w:val="21"/>
                <w:highlight w:val="none"/>
                <w:lang w:val="en-US" w:eastAsia="zh-CN"/>
              </w:rPr>
              <w:t>6</w:t>
            </w:r>
            <w:r>
              <w:rPr>
                <w:rFonts w:hint="default" w:ascii="Times New Roman" w:hAnsi="Times New Roman" w:eastAsia="宋体" w:cs="Times New Roman"/>
                <w:color w:val="auto"/>
                <w:kern w:val="28"/>
                <w:sz w:val="21"/>
                <w:szCs w:val="21"/>
                <w:highlight w:val="none"/>
              </w:rPr>
              <w:t>.0分。</w:t>
            </w:r>
          </w:p>
        </w:tc>
      </w:tr>
      <w:tr w14:paraId="0E16A838">
        <w:tblPrEx>
          <w:tblCellMar>
            <w:top w:w="0" w:type="dxa"/>
            <w:left w:w="108" w:type="dxa"/>
            <w:bottom w:w="0" w:type="dxa"/>
            <w:right w:w="108" w:type="dxa"/>
          </w:tblCellMar>
        </w:tblPrEx>
        <w:trPr>
          <w:trHeight w:val="967" w:hRule="atLeast"/>
          <w:jc w:val="center"/>
        </w:trPr>
        <w:tc>
          <w:tcPr>
            <w:tcW w:w="817" w:type="dxa"/>
            <w:vMerge w:val="restart"/>
            <w:tcBorders>
              <w:top w:val="single" w:color="auto" w:sz="4" w:space="0"/>
              <w:left w:val="single" w:color="auto" w:sz="8" w:space="0"/>
              <w:right w:val="single" w:color="auto" w:sz="8" w:space="0"/>
            </w:tcBorders>
            <w:vAlign w:val="center"/>
          </w:tcPr>
          <w:p w14:paraId="13B91907">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2.2.2（2）</w:t>
            </w:r>
          </w:p>
        </w:tc>
        <w:tc>
          <w:tcPr>
            <w:tcW w:w="1701" w:type="dxa"/>
            <w:vMerge w:val="restart"/>
            <w:tcBorders>
              <w:top w:val="single" w:color="auto" w:sz="4" w:space="0"/>
              <w:left w:val="single" w:color="auto" w:sz="8" w:space="0"/>
              <w:right w:val="single" w:color="auto" w:sz="8" w:space="0"/>
            </w:tcBorders>
            <w:vAlign w:val="center"/>
          </w:tcPr>
          <w:p w14:paraId="76D3A9A1">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主要人员</w:t>
            </w:r>
          </w:p>
          <w:p w14:paraId="2C9DACD6">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w:t>
            </w:r>
            <w:r>
              <w:rPr>
                <w:rFonts w:hint="eastAsia" w:ascii="Times New Roman" w:hAnsi="Times New Roman" w:eastAsia="宋体" w:cs="Times New Roman"/>
                <w:color w:val="auto"/>
                <w:kern w:val="28"/>
                <w:sz w:val="21"/>
                <w:szCs w:val="21"/>
                <w:highlight w:val="none"/>
                <w:lang w:val="en-US" w:eastAsia="zh-CN"/>
              </w:rPr>
              <w:t>3</w:t>
            </w:r>
            <w:r>
              <w:rPr>
                <w:rFonts w:hint="eastAsia" w:ascii="Times New Roman" w:hAnsi="Times New Roman" w:eastAsia="宋体" w:cs="Times New Roman"/>
                <w:color w:val="auto"/>
                <w:kern w:val="28"/>
                <w:sz w:val="21"/>
                <w:szCs w:val="21"/>
                <w:highlight w:val="none"/>
              </w:rPr>
              <w:t>0分）</w:t>
            </w:r>
          </w:p>
        </w:tc>
        <w:tc>
          <w:tcPr>
            <w:tcW w:w="1418" w:type="dxa"/>
            <w:tcBorders>
              <w:top w:val="single" w:color="auto" w:sz="4" w:space="0"/>
              <w:left w:val="nil"/>
              <w:right w:val="single" w:color="auto" w:sz="4" w:space="0"/>
            </w:tcBorders>
            <w:shd w:val="clear" w:color="auto" w:fill="auto"/>
            <w:vAlign w:val="center"/>
          </w:tcPr>
          <w:p w14:paraId="2265D86F">
            <w:pPr>
              <w:ind w:right="113" w:rightChars="0"/>
              <w:jc w:val="center"/>
              <w:rPr>
                <w:rFonts w:hint="eastAsia" w:ascii="Times New Roman" w:hAnsi="Times New Roman" w:eastAsia="宋体" w:cs="Times New Roman"/>
                <w:color w:val="auto"/>
                <w:kern w:val="28"/>
                <w:sz w:val="21"/>
                <w:szCs w:val="21"/>
                <w:highlight w:val="none"/>
                <w:lang w:val="en-US" w:eastAsia="zh-CN" w:bidi="ar-SA"/>
              </w:rPr>
            </w:pPr>
            <w:r>
              <w:rPr>
                <w:rFonts w:hint="eastAsia" w:ascii="Times New Roman" w:hAnsi="Times New Roman" w:eastAsia="宋体" w:cs="Times New Roman"/>
                <w:color w:val="auto"/>
                <w:kern w:val="28"/>
                <w:sz w:val="21"/>
                <w:szCs w:val="21"/>
                <w:highlight w:val="none"/>
                <w:lang w:bidi="en-US"/>
              </w:rPr>
              <w:t>项目经理任职资格</w:t>
            </w:r>
          </w:p>
        </w:tc>
        <w:tc>
          <w:tcPr>
            <w:tcW w:w="1134" w:type="dxa"/>
            <w:tcBorders>
              <w:top w:val="single" w:color="auto" w:sz="4" w:space="0"/>
              <w:left w:val="single" w:color="auto" w:sz="4" w:space="0"/>
              <w:right w:val="single" w:color="auto" w:sz="4" w:space="0"/>
            </w:tcBorders>
            <w:shd w:val="clear" w:color="auto" w:fill="auto"/>
            <w:vAlign w:val="center"/>
          </w:tcPr>
          <w:p w14:paraId="6DA0DFD4">
            <w:pPr>
              <w:jc w:val="center"/>
              <w:rPr>
                <w:rFonts w:hint="eastAsia" w:ascii="Times New Roman" w:hAnsi="Times New Roman" w:eastAsia="宋体" w:cs="Times New Roman"/>
                <w:color w:val="auto"/>
                <w:kern w:val="28"/>
                <w:sz w:val="21"/>
                <w:szCs w:val="21"/>
                <w:highlight w:val="none"/>
                <w:lang w:val="en-US" w:eastAsia="zh-CN" w:bidi="en-US"/>
              </w:rPr>
            </w:pPr>
            <w:r>
              <w:rPr>
                <w:rFonts w:hint="eastAsia" w:ascii="Times New Roman" w:hAnsi="Times New Roman" w:eastAsia="宋体" w:cs="Times New Roman"/>
                <w:color w:val="auto"/>
                <w:kern w:val="28"/>
                <w:sz w:val="21"/>
                <w:szCs w:val="21"/>
                <w:highlight w:val="none"/>
                <w:lang w:val="en-US" w:eastAsia="zh-CN"/>
              </w:rPr>
              <w:t>15</w:t>
            </w:r>
            <w:r>
              <w:rPr>
                <w:rFonts w:hint="eastAsia" w:ascii="Times New Roman" w:hAnsi="Times New Roman" w:eastAsia="宋体" w:cs="Times New Roman"/>
                <w:color w:val="auto"/>
                <w:kern w:val="28"/>
                <w:sz w:val="21"/>
                <w:szCs w:val="21"/>
                <w:highlight w:val="none"/>
              </w:rPr>
              <w:t>分</w:t>
            </w:r>
          </w:p>
        </w:tc>
        <w:tc>
          <w:tcPr>
            <w:tcW w:w="4784" w:type="dxa"/>
            <w:tcBorders>
              <w:top w:val="single" w:color="auto" w:sz="4" w:space="0"/>
              <w:left w:val="single" w:color="auto" w:sz="4" w:space="0"/>
              <w:right w:val="single" w:color="auto" w:sz="8" w:space="0"/>
            </w:tcBorders>
            <w:shd w:val="clear" w:color="auto" w:fill="auto"/>
            <w:vAlign w:val="center"/>
          </w:tcPr>
          <w:p w14:paraId="0085B758">
            <w:pPr>
              <w:ind w:right="113"/>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满足资格审查条件，得</w:t>
            </w:r>
            <w:r>
              <w:rPr>
                <w:rFonts w:hint="eastAsia" w:ascii="Times New Roman" w:hAnsi="Times New Roman" w:eastAsia="宋体" w:cs="Times New Roman"/>
                <w:color w:val="auto"/>
                <w:kern w:val="28"/>
                <w:sz w:val="21"/>
                <w:szCs w:val="21"/>
                <w:highlight w:val="none"/>
                <w:lang w:val="en-US" w:eastAsia="zh-CN"/>
              </w:rPr>
              <w:t>9</w:t>
            </w:r>
            <w:r>
              <w:rPr>
                <w:rFonts w:hint="eastAsia" w:ascii="Times New Roman" w:hAnsi="Times New Roman" w:eastAsia="宋体" w:cs="Times New Roman"/>
                <w:color w:val="auto"/>
                <w:kern w:val="28"/>
                <w:sz w:val="21"/>
                <w:szCs w:val="21"/>
                <w:highlight w:val="none"/>
              </w:rPr>
              <w:t>分；</w:t>
            </w:r>
          </w:p>
          <w:p w14:paraId="2D053DA9">
            <w:pPr>
              <w:jc w:val="left"/>
              <w:rPr>
                <w:rFonts w:hint="eastAsia" w:ascii="Times New Roman" w:hAnsi="Times New Roman" w:eastAsia="宋体" w:cs="Times New Roman"/>
                <w:color w:val="auto"/>
                <w:kern w:val="28"/>
                <w:sz w:val="21"/>
                <w:szCs w:val="21"/>
                <w:highlight w:val="none"/>
                <w:lang w:val="en-US" w:eastAsia="zh-CN" w:bidi="ar-SA"/>
              </w:rPr>
            </w:pPr>
            <w:r>
              <w:rPr>
                <w:rFonts w:hint="eastAsia" w:ascii="Times New Roman" w:hAnsi="Times New Roman" w:eastAsia="宋体" w:cs="Times New Roman"/>
                <w:color w:val="auto"/>
                <w:kern w:val="28"/>
                <w:sz w:val="21"/>
                <w:szCs w:val="21"/>
                <w:highlight w:val="none"/>
              </w:rPr>
              <w:t>每增加1个满足资格审查要求（项目经理最低要求）的业绩加</w:t>
            </w:r>
            <w:r>
              <w:rPr>
                <w:rFonts w:hint="eastAsia" w:ascii="Times New Roman" w:hAnsi="Times New Roman" w:eastAsia="宋体" w:cs="Times New Roman"/>
                <w:color w:val="auto"/>
                <w:kern w:val="28"/>
                <w:sz w:val="21"/>
                <w:szCs w:val="21"/>
                <w:highlight w:val="none"/>
                <w:lang w:val="en-US" w:eastAsia="zh-CN"/>
              </w:rPr>
              <w:t>6</w:t>
            </w:r>
            <w:r>
              <w:rPr>
                <w:rFonts w:hint="eastAsia" w:ascii="Times New Roman" w:hAnsi="Times New Roman" w:eastAsia="宋体" w:cs="Times New Roman"/>
                <w:color w:val="auto"/>
                <w:kern w:val="28"/>
                <w:sz w:val="21"/>
                <w:szCs w:val="21"/>
                <w:highlight w:val="none"/>
              </w:rPr>
              <w:t>分，最多加</w:t>
            </w:r>
            <w:r>
              <w:rPr>
                <w:rFonts w:hint="eastAsia" w:ascii="Times New Roman" w:hAnsi="Times New Roman" w:eastAsia="宋体" w:cs="Times New Roman"/>
                <w:color w:val="auto"/>
                <w:kern w:val="28"/>
                <w:sz w:val="21"/>
                <w:szCs w:val="21"/>
                <w:highlight w:val="none"/>
                <w:lang w:val="en-US" w:eastAsia="zh-CN"/>
              </w:rPr>
              <w:t>6</w:t>
            </w:r>
            <w:r>
              <w:rPr>
                <w:rFonts w:hint="eastAsia" w:ascii="Times New Roman" w:hAnsi="Times New Roman" w:eastAsia="宋体" w:cs="Times New Roman"/>
                <w:color w:val="auto"/>
                <w:kern w:val="28"/>
                <w:sz w:val="21"/>
                <w:szCs w:val="21"/>
                <w:highlight w:val="none"/>
              </w:rPr>
              <w:t>分。</w:t>
            </w:r>
          </w:p>
        </w:tc>
      </w:tr>
      <w:tr w14:paraId="79B22914">
        <w:tblPrEx>
          <w:tblCellMar>
            <w:top w:w="0" w:type="dxa"/>
            <w:left w:w="108" w:type="dxa"/>
            <w:bottom w:w="0" w:type="dxa"/>
            <w:right w:w="108" w:type="dxa"/>
          </w:tblCellMar>
        </w:tblPrEx>
        <w:trPr>
          <w:trHeight w:val="967" w:hRule="atLeast"/>
          <w:jc w:val="center"/>
        </w:trPr>
        <w:tc>
          <w:tcPr>
            <w:tcW w:w="817" w:type="dxa"/>
            <w:vMerge w:val="continue"/>
            <w:tcBorders>
              <w:left w:val="single" w:color="auto" w:sz="8" w:space="0"/>
              <w:bottom w:val="single" w:color="auto" w:sz="4" w:space="0"/>
              <w:right w:val="single" w:color="auto" w:sz="8" w:space="0"/>
            </w:tcBorders>
            <w:vAlign w:val="center"/>
          </w:tcPr>
          <w:p w14:paraId="71F299F9">
            <w:pPr>
              <w:jc w:val="center"/>
              <w:rPr>
                <w:rFonts w:ascii="Times New Roman" w:hAnsi="Times New Roman" w:eastAsia="宋体" w:cs="Times New Roman"/>
                <w:color w:val="auto"/>
                <w:kern w:val="28"/>
                <w:sz w:val="21"/>
                <w:szCs w:val="21"/>
                <w:highlight w:val="none"/>
              </w:rPr>
            </w:pPr>
          </w:p>
        </w:tc>
        <w:tc>
          <w:tcPr>
            <w:tcW w:w="1701" w:type="dxa"/>
            <w:vMerge w:val="continue"/>
            <w:tcBorders>
              <w:left w:val="single" w:color="auto" w:sz="8" w:space="0"/>
              <w:bottom w:val="single" w:color="auto" w:sz="4" w:space="0"/>
              <w:right w:val="single" w:color="auto" w:sz="8" w:space="0"/>
            </w:tcBorders>
            <w:vAlign w:val="center"/>
          </w:tcPr>
          <w:p w14:paraId="2972478C">
            <w:pPr>
              <w:jc w:val="center"/>
              <w:rPr>
                <w:rFonts w:ascii="Times New Roman" w:hAnsi="Times New Roman" w:eastAsia="宋体" w:cs="Times New Roman"/>
                <w:color w:val="auto"/>
                <w:kern w:val="28"/>
                <w:sz w:val="21"/>
                <w:szCs w:val="21"/>
                <w:highlight w:val="none"/>
              </w:rPr>
            </w:pPr>
          </w:p>
        </w:tc>
        <w:tc>
          <w:tcPr>
            <w:tcW w:w="1418" w:type="dxa"/>
            <w:tcBorders>
              <w:top w:val="single" w:color="auto" w:sz="4" w:space="0"/>
              <w:left w:val="nil"/>
              <w:right w:val="single" w:color="auto" w:sz="4" w:space="0"/>
            </w:tcBorders>
            <w:shd w:val="clear" w:color="auto" w:fill="auto"/>
            <w:vAlign w:val="center"/>
          </w:tcPr>
          <w:p w14:paraId="202F8135">
            <w:pPr>
              <w:ind w:right="113" w:rightChars="0"/>
              <w:jc w:val="center"/>
              <w:rPr>
                <w:rFonts w:ascii="Times New Roman" w:hAnsi="Times New Roman" w:eastAsia="宋体" w:cs="Times New Roman"/>
                <w:color w:val="auto"/>
                <w:kern w:val="28"/>
                <w:sz w:val="21"/>
                <w:szCs w:val="21"/>
                <w:highlight w:val="none"/>
                <w:lang w:val="en-US" w:eastAsia="zh-CN" w:bidi="ar-SA"/>
              </w:rPr>
            </w:pPr>
            <w:r>
              <w:rPr>
                <w:rFonts w:hint="eastAsia" w:ascii="Times New Roman" w:hAnsi="Times New Roman" w:eastAsia="宋体" w:cs="Times New Roman"/>
                <w:color w:val="auto"/>
                <w:kern w:val="28"/>
                <w:sz w:val="21"/>
                <w:szCs w:val="21"/>
                <w:highlight w:val="none"/>
                <w:lang w:bidi="en-US"/>
              </w:rPr>
              <w:t>项目</w:t>
            </w:r>
            <w:r>
              <w:rPr>
                <w:rFonts w:hint="eastAsia" w:ascii="Times New Roman" w:hAnsi="Times New Roman" w:eastAsia="宋体" w:cs="Times New Roman"/>
                <w:color w:val="auto"/>
                <w:kern w:val="28"/>
                <w:sz w:val="21"/>
                <w:szCs w:val="21"/>
                <w:highlight w:val="none"/>
                <w:lang w:val="en-US" w:eastAsia="zh-CN" w:bidi="en-US"/>
              </w:rPr>
              <w:t>总工</w:t>
            </w:r>
            <w:r>
              <w:rPr>
                <w:rFonts w:hint="eastAsia" w:ascii="Times New Roman" w:hAnsi="Times New Roman" w:eastAsia="宋体" w:cs="Times New Roman"/>
                <w:color w:val="auto"/>
                <w:kern w:val="28"/>
                <w:sz w:val="21"/>
                <w:szCs w:val="21"/>
                <w:highlight w:val="none"/>
                <w:lang w:bidi="en-US"/>
              </w:rPr>
              <w:t>任职资格</w:t>
            </w:r>
          </w:p>
        </w:tc>
        <w:tc>
          <w:tcPr>
            <w:tcW w:w="1134" w:type="dxa"/>
            <w:tcBorders>
              <w:top w:val="single" w:color="auto" w:sz="4" w:space="0"/>
              <w:left w:val="single" w:color="auto" w:sz="4" w:space="0"/>
              <w:right w:val="single" w:color="auto" w:sz="4" w:space="0"/>
            </w:tcBorders>
            <w:shd w:val="clear" w:color="auto" w:fill="auto"/>
            <w:vAlign w:val="center"/>
          </w:tcPr>
          <w:p w14:paraId="597C9356">
            <w:pPr>
              <w:jc w:val="center"/>
              <w:rPr>
                <w:rFonts w:ascii="Times New Roman" w:hAnsi="Times New Roman" w:eastAsia="宋体" w:cs="Times New Roman"/>
                <w:color w:val="auto"/>
                <w:kern w:val="28"/>
                <w:sz w:val="21"/>
                <w:szCs w:val="21"/>
                <w:highlight w:val="none"/>
                <w:lang w:val="en-US" w:eastAsia="zh-CN" w:bidi="en-US"/>
              </w:rPr>
            </w:pPr>
            <w:r>
              <w:rPr>
                <w:rFonts w:hint="eastAsia" w:ascii="Times New Roman" w:hAnsi="Times New Roman" w:eastAsia="宋体" w:cs="Times New Roman"/>
                <w:color w:val="auto"/>
                <w:kern w:val="28"/>
                <w:sz w:val="21"/>
                <w:szCs w:val="21"/>
                <w:highlight w:val="none"/>
                <w:lang w:val="en-US" w:eastAsia="zh-CN"/>
              </w:rPr>
              <w:t>15</w:t>
            </w:r>
            <w:r>
              <w:rPr>
                <w:rFonts w:hint="eastAsia" w:ascii="Times New Roman" w:hAnsi="Times New Roman" w:eastAsia="宋体" w:cs="Times New Roman"/>
                <w:color w:val="auto"/>
                <w:kern w:val="28"/>
                <w:sz w:val="21"/>
                <w:szCs w:val="21"/>
                <w:highlight w:val="none"/>
              </w:rPr>
              <w:t>分</w:t>
            </w:r>
          </w:p>
        </w:tc>
        <w:tc>
          <w:tcPr>
            <w:tcW w:w="4784" w:type="dxa"/>
            <w:tcBorders>
              <w:top w:val="single" w:color="auto" w:sz="4" w:space="0"/>
              <w:left w:val="single" w:color="auto" w:sz="4" w:space="0"/>
              <w:right w:val="single" w:color="auto" w:sz="8" w:space="0"/>
            </w:tcBorders>
            <w:shd w:val="clear" w:color="auto" w:fill="auto"/>
            <w:vAlign w:val="center"/>
          </w:tcPr>
          <w:p w14:paraId="2185027A">
            <w:pPr>
              <w:ind w:right="113"/>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满足资格审查条件，得</w:t>
            </w:r>
            <w:r>
              <w:rPr>
                <w:rFonts w:hint="eastAsia" w:ascii="Times New Roman" w:hAnsi="Times New Roman" w:eastAsia="宋体" w:cs="Times New Roman"/>
                <w:color w:val="auto"/>
                <w:kern w:val="28"/>
                <w:sz w:val="21"/>
                <w:szCs w:val="21"/>
                <w:highlight w:val="none"/>
                <w:lang w:val="en-US" w:eastAsia="zh-CN"/>
              </w:rPr>
              <w:t>9</w:t>
            </w:r>
            <w:r>
              <w:rPr>
                <w:rFonts w:hint="eastAsia" w:ascii="Times New Roman" w:hAnsi="Times New Roman" w:eastAsia="宋体" w:cs="Times New Roman"/>
                <w:color w:val="auto"/>
                <w:kern w:val="28"/>
                <w:sz w:val="21"/>
                <w:szCs w:val="21"/>
                <w:highlight w:val="none"/>
              </w:rPr>
              <w:t>分；</w:t>
            </w:r>
          </w:p>
          <w:p w14:paraId="3735DE2B">
            <w:pPr>
              <w:jc w:val="left"/>
              <w:rPr>
                <w:rFonts w:ascii="Times New Roman" w:hAnsi="Times New Roman" w:eastAsia="宋体" w:cs="Times New Roman"/>
                <w:color w:val="auto"/>
                <w:kern w:val="28"/>
                <w:sz w:val="21"/>
                <w:szCs w:val="21"/>
                <w:highlight w:val="none"/>
                <w:lang w:val="en-US" w:eastAsia="zh-CN" w:bidi="ar-SA"/>
              </w:rPr>
            </w:pPr>
            <w:r>
              <w:rPr>
                <w:rFonts w:hint="eastAsia" w:ascii="Times New Roman" w:hAnsi="Times New Roman" w:eastAsia="宋体" w:cs="Times New Roman"/>
                <w:color w:val="auto"/>
                <w:kern w:val="28"/>
                <w:sz w:val="21"/>
                <w:szCs w:val="21"/>
                <w:highlight w:val="none"/>
              </w:rPr>
              <w:t>每增加1个满足资格审查要求（项目经理最低要求）的业绩加</w:t>
            </w:r>
            <w:r>
              <w:rPr>
                <w:rFonts w:hint="eastAsia" w:ascii="Times New Roman" w:hAnsi="Times New Roman" w:eastAsia="宋体" w:cs="Times New Roman"/>
                <w:color w:val="auto"/>
                <w:kern w:val="28"/>
                <w:sz w:val="21"/>
                <w:szCs w:val="21"/>
                <w:highlight w:val="none"/>
                <w:lang w:val="en-US" w:eastAsia="zh-CN"/>
              </w:rPr>
              <w:t>6</w:t>
            </w:r>
            <w:r>
              <w:rPr>
                <w:rFonts w:hint="eastAsia" w:ascii="Times New Roman" w:hAnsi="Times New Roman" w:eastAsia="宋体" w:cs="Times New Roman"/>
                <w:color w:val="auto"/>
                <w:kern w:val="28"/>
                <w:sz w:val="21"/>
                <w:szCs w:val="21"/>
                <w:highlight w:val="none"/>
              </w:rPr>
              <w:t>分，最多加</w:t>
            </w:r>
            <w:r>
              <w:rPr>
                <w:rFonts w:hint="eastAsia" w:ascii="Times New Roman" w:hAnsi="Times New Roman" w:eastAsia="宋体" w:cs="Times New Roman"/>
                <w:color w:val="auto"/>
                <w:kern w:val="28"/>
                <w:sz w:val="21"/>
                <w:szCs w:val="21"/>
                <w:highlight w:val="none"/>
                <w:lang w:val="en-US" w:eastAsia="zh-CN"/>
              </w:rPr>
              <w:t>6</w:t>
            </w:r>
            <w:r>
              <w:rPr>
                <w:rFonts w:hint="eastAsia" w:ascii="Times New Roman" w:hAnsi="Times New Roman" w:eastAsia="宋体" w:cs="Times New Roman"/>
                <w:color w:val="auto"/>
                <w:kern w:val="28"/>
                <w:sz w:val="21"/>
                <w:szCs w:val="21"/>
                <w:highlight w:val="none"/>
              </w:rPr>
              <w:t>分。</w:t>
            </w:r>
          </w:p>
        </w:tc>
      </w:tr>
      <w:tr w14:paraId="1C799F41">
        <w:tblPrEx>
          <w:tblCellMar>
            <w:top w:w="0" w:type="dxa"/>
            <w:left w:w="108" w:type="dxa"/>
            <w:bottom w:w="0" w:type="dxa"/>
            <w:right w:w="108" w:type="dxa"/>
          </w:tblCellMar>
        </w:tblPrEx>
        <w:trPr>
          <w:trHeight w:val="1081"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14:paraId="71A1E10F">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2.2.2（3）</w:t>
            </w:r>
          </w:p>
        </w:tc>
        <w:tc>
          <w:tcPr>
            <w:tcW w:w="1701" w:type="dxa"/>
            <w:tcBorders>
              <w:top w:val="single" w:color="auto" w:sz="4" w:space="0"/>
              <w:left w:val="single" w:color="auto" w:sz="4" w:space="0"/>
              <w:bottom w:val="single" w:color="auto" w:sz="4" w:space="0"/>
              <w:right w:val="single" w:color="auto" w:sz="4" w:space="0"/>
            </w:tcBorders>
            <w:vAlign w:val="center"/>
          </w:tcPr>
          <w:p w14:paraId="6A440365">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bidi="en-US"/>
              </w:rPr>
              <w:t>企业业绩（</w:t>
            </w:r>
            <w:r>
              <w:rPr>
                <w:rFonts w:hint="eastAsia" w:ascii="Times New Roman" w:hAnsi="Times New Roman" w:eastAsia="宋体" w:cs="Times New Roman"/>
                <w:color w:val="auto"/>
                <w:kern w:val="28"/>
                <w:sz w:val="21"/>
                <w:szCs w:val="21"/>
                <w:highlight w:val="none"/>
                <w:lang w:val="en-US" w:eastAsia="zh-CN" w:bidi="en-US"/>
              </w:rPr>
              <w:t>3</w:t>
            </w:r>
            <w:r>
              <w:rPr>
                <w:rFonts w:hint="eastAsia" w:ascii="Times New Roman" w:hAnsi="Times New Roman" w:eastAsia="宋体" w:cs="Times New Roman"/>
                <w:color w:val="auto"/>
                <w:kern w:val="28"/>
                <w:sz w:val="21"/>
                <w:szCs w:val="21"/>
                <w:highlight w:val="none"/>
                <w:lang w:bidi="en-US"/>
              </w:rPr>
              <w:t>0分）</w:t>
            </w:r>
          </w:p>
        </w:tc>
        <w:tc>
          <w:tcPr>
            <w:tcW w:w="1418" w:type="dxa"/>
            <w:tcBorders>
              <w:top w:val="single" w:color="auto" w:sz="4" w:space="0"/>
              <w:left w:val="single" w:color="auto" w:sz="4" w:space="0"/>
              <w:bottom w:val="single" w:color="auto" w:sz="4" w:space="0"/>
              <w:right w:val="single" w:color="auto" w:sz="4" w:space="0"/>
            </w:tcBorders>
            <w:vAlign w:val="center"/>
          </w:tcPr>
          <w:p w14:paraId="4E4318C6">
            <w:pPr>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企业业绩</w:t>
            </w:r>
          </w:p>
        </w:tc>
        <w:tc>
          <w:tcPr>
            <w:tcW w:w="1134" w:type="dxa"/>
            <w:tcBorders>
              <w:top w:val="single" w:color="auto" w:sz="4" w:space="0"/>
              <w:left w:val="single" w:color="auto" w:sz="4" w:space="0"/>
              <w:bottom w:val="single" w:color="auto" w:sz="4" w:space="0"/>
              <w:right w:val="single" w:color="auto" w:sz="4" w:space="0"/>
            </w:tcBorders>
            <w:vAlign w:val="center"/>
          </w:tcPr>
          <w:p w14:paraId="7F1A5106">
            <w:pPr>
              <w:ind w:right="113"/>
              <w:jc w:val="cente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lang w:val="en-US" w:eastAsia="zh-CN"/>
              </w:rPr>
              <w:t>3</w:t>
            </w:r>
            <w:r>
              <w:rPr>
                <w:rFonts w:hint="eastAsia" w:ascii="Times New Roman" w:hAnsi="Times New Roman" w:eastAsia="宋体" w:cs="Times New Roman"/>
                <w:color w:val="auto"/>
                <w:kern w:val="28"/>
                <w:sz w:val="21"/>
                <w:szCs w:val="21"/>
                <w:highlight w:val="none"/>
              </w:rPr>
              <w:t>0分</w:t>
            </w:r>
          </w:p>
        </w:tc>
        <w:tc>
          <w:tcPr>
            <w:tcW w:w="4784" w:type="dxa"/>
            <w:tcBorders>
              <w:top w:val="single" w:color="auto" w:sz="4" w:space="0"/>
              <w:left w:val="single" w:color="auto" w:sz="4" w:space="0"/>
              <w:bottom w:val="single" w:color="auto" w:sz="4" w:space="0"/>
              <w:right w:val="single" w:color="auto" w:sz="4" w:space="0"/>
            </w:tcBorders>
            <w:vAlign w:val="center"/>
          </w:tcPr>
          <w:p w14:paraId="2FA33F01">
            <w:pPr>
              <w:ind w:right="113"/>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满足资格审查条件，得1</w:t>
            </w:r>
            <w:r>
              <w:rPr>
                <w:rFonts w:hint="eastAsia" w:ascii="Times New Roman" w:hAnsi="Times New Roman" w:eastAsia="宋体" w:cs="Times New Roman"/>
                <w:color w:val="auto"/>
                <w:kern w:val="28"/>
                <w:sz w:val="21"/>
                <w:szCs w:val="21"/>
                <w:highlight w:val="none"/>
                <w:lang w:val="en-US" w:eastAsia="zh-CN"/>
              </w:rPr>
              <w:t>8</w:t>
            </w:r>
            <w:r>
              <w:rPr>
                <w:rFonts w:hint="eastAsia" w:ascii="Times New Roman" w:hAnsi="Times New Roman" w:eastAsia="宋体" w:cs="Times New Roman"/>
                <w:color w:val="auto"/>
                <w:kern w:val="28"/>
                <w:sz w:val="21"/>
                <w:szCs w:val="21"/>
                <w:highlight w:val="none"/>
              </w:rPr>
              <w:t>分；</w:t>
            </w:r>
          </w:p>
          <w:p w14:paraId="46F0BC6E">
            <w:pPr>
              <w:jc w:val="left"/>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kern w:val="28"/>
                <w:sz w:val="21"/>
                <w:szCs w:val="21"/>
                <w:highlight w:val="none"/>
              </w:rPr>
              <w:t>每增加1个满足资格审查要求的业绩加</w:t>
            </w:r>
            <w:r>
              <w:rPr>
                <w:rFonts w:hint="eastAsia" w:ascii="Times New Roman" w:hAnsi="Times New Roman" w:eastAsia="宋体" w:cs="Times New Roman"/>
                <w:color w:val="auto"/>
                <w:kern w:val="28"/>
                <w:sz w:val="21"/>
                <w:szCs w:val="21"/>
                <w:highlight w:val="none"/>
                <w:lang w:val="en-US" w:eastAsia="zh-CN"/>
              </w:rPr>
              <w:t>6</w:t>
            </w:r>
            <w:r>
              <w:rPr>
                <w:rFonts w:hint="eastAsia" w:ascii="Times New Roman" w:hAnsi="Times New Roman" w:eastAsia="宋体" w:cs="Times New Roman"/>
                <w:color w:val="auto"/>
                <w:kern w:val="28"/>
                <w:sz w:val="21"/>
                <w:szCs w:val="21"/>
                <w:highlight w:val="none"/>
              </w:rPr>
              <w:t>分，最多加</w:t>
            </w:r>
            <w:r>
              <w:rPr>
                <w:rFonts w:hint="eastAsia" w:ascii="Times New Roman" w:hAnsi="Times New Roman" w:eastAsia="宋体" w:cs="Times New Roman"/>
                <w:color w:val="auto"/>
                <w:kern w:val="28"/>
                <w:sz w:val="21"/>
                <w:szCs w:val="21"/>
                <w:highlight w:val="none"/>
                <w:lang w:val="en-US" w:eastAsia="zh-CN"/>
              </w:rPr>
              <w:t>12</w:t>
            </w:r>
            <w:r>
              <w:rPr>
                <w:rFonts w:hint="eastAsia" w:ascii="Times New Roman" w:hAnsi="Times New Roman" w:eastAsia="宋体" w:cs="Times New Roman"/>
                <w:color w:val="auto"/>
                <w:kern w:val="28"/>
                <w:sz w:val="21"/>
                <w:szCs w:val="21"/>
                <w:highlight w:val="none"/>
              </w:rPr>
              <w:t>分。</w:t>
            </w:r>
          </w:p>
        </w:tc>
      </w:tr>
      <w:tr w14:paraId="72C9E5B5">
        <w:tblPrEx>
          <w:tblCellMar>
            <w:top w:w="0" w:type="dxa"/>
            <w:left w:w="108" w:type="dxa"/>
            <w:bottom w:w="0" w:type="dxa"/>
            <w:right w:w="108" w:type="dxa"/>
          </w:tblCellMar>
        </w:tblPrEx>
        <w:trPr>
          <w:trHeight w:val="1081" w:hRule="atLeast"/>
          <w:jc w:val="center"/>
        </w:trPr>
        <w:tc>
          <w:tcPr>
            <w:tcW w:w="9854" w:type="dxa"/>
            <w:gridSpan w:val="5"/>
            <w:tcBorders>
              <w:top w:val="single" w:color="auto" w:sz="4" w:space="0"/>
              <w:left w:val="single" w:color="auto" w:sz="4" w:space="0"/>
              <w:bottom w:val="single" w:color="auto" w:sz="4" w:space="0"/>
              <w:right w:val="single" w:color="auto" w:sz="4" w:space="0"/>
            </w:tcBorders>
            <w:vAlign w:val="center"/>
          </w:tcPr>
          <w:p w14:paraId="00DF4B8C">
            <w:pPr>
              <w:widowControl w:val="0"/>
              <w:autoSpaceDE w:val="0"/>
              <w:autoSpaceDN w:val="0"/>
              <w:spacing w:line="420" w:lineRule="exact"/>
              <w:jc w:val="left"/>
              <w:rPr>
                <w:rFonts w:hint="eastAsia" w:ascii="宋体" w:hAnsi="宋体" w:eastAsia="宋体" w:cs="宋体"/>
                <w:color w:val="auto"/>
                <w:spacing w:val="-2"/>
                <w:kern w:val="0"/>
                <w:sz w:val="21"/>
                <w:szCs w:val="22"/>
                <w:highlight w:val="none"/>
                <w:lang w:val="zh-CN" w:eastAsia="zh-CN" w:bidi="zh-CN"/>
              </w:rPr>
            </w:pPr>
            <w:r>
              <w:rPr>
                <w:rFonts w:hint="eastAsia" w:ascii="宋体" w:hAnsi="宋体" w:eastAsia="宋体" w:cs="宋体"/>
                <w:color w:val="auto"/>
                <w:spacing w:val="-2"/>
                <w:kern w:val="0"/>
                <w:sz w:val="21"/>
                <w:szCs w:val="22"/>
                <w:highlight w:val="none"/>
                <w:lang w:val="zh-CN" w:eastAsia="zh-CN" w:bidi="zh-CN"/>
              </w:rPr>
              <w:t>注：1、</w:t>
            </w:r>
            <w:r>
              <w:rPr>
                <w:rFonts w:ascii="宋体" w:hAnsi="宋体" w:eastAsia="宋体" w:cs="宋体"/>
                <w:color w:val="auto"/>
                <w:kern w:val="0"/>
                <w:sz w:val="21"/>
                <w:szCs w:val="21"/>
                <w:highlight w:val="none"/>
                <w:lang w:val="zh-CN" w:eastAsia="zh-CN" w:bidi="zh-CN"/>
              </w:rPr>
              <w:t>施工组织设计</w:t>
            </w:r>
            <w:r>
              <w:rPr>
                <w:rFonts w:hint="eastAsia" w:ascii="宋体" w:hAnsi="宋体" w:eastAsia="宋体" w:cs="宋体"/>
                <w:color w:val="auto"/>
                <w:spacing w:val="-2"/>
                <w:kern w:val="0"/>
                <w:sz w:val="21"/>
                <w:szCs w:val="22"/>
                <w:highlight w:val="none"/>
                <w:lang w:val="zh-CN" w:eastAsia="zh-CN" w:bidi="zh-CN"/>
              </w:rPr>
              <w:t>评</w:t>
            </w:r>
            <w:r>
              <w:rPr>
                <w:rFonts w:hint="eastAsia" w:ascii="宋体" w:hAnsi="宋体" w:eastAsia="宋体" w:cs="宋体"/>
                <w:color w:val="auto"/>
                <w:spacing w:val="-2"/>
                <w:kern w:val="0"/>
                <w:sz w:val="21"/>
                <w:szCs w:val="22"/>
                <w:highlight w:val="none"/>
                <w:lang w:val="en-US" w:eastAsia="zh-CN" w:bidi="zh-CN"/>
              </w:rPr>
              <w:t>分因素细项</w:t>
            </w:r>
            <w:r>
              <w:rPr>
                <w:rFonts w:hint="eastAsia" w:ascii="宋体" w:hAnsi="宋体" w:eastAsia="宋体" w:cs="宋体"/>
                <w:color w:val="auto"/>
                <w:spacing w:val="-2"/>
                <w:kern w:val="0"/>
                <w:sz w:val="21"/>
                <w:szCs w:val="22"/>
                <w:highlight w:val="none"/>
                <w:lang w:val="zh-CN" w:eastAsia="zh-CN" w:bidi="zh-CN"/>
              </w:rPr>
              <w:t>缺项，</w:t>
            </w:r>
            <w:r>
              <w:rPr>
                <w:rFonts w:hint="eastAsia" w:ascii="宋体" w:hAnsi="宋体" w:eastAsia="宋体" w:cs="宋体"/>
                <w:color w:val="auto"/>
                <w:spacing w:val="-2"/>
                <w:kern w:val="0"/>
                <w:sz w:val="21"/>
                <w:szCs w:val="22"/>
                <w:highlight w:val="none"/>
                <w:lang w:val="en-US" w:eastAsia="zh-CN" w:bidi="zh-CN"/>
              </w:rPr>
              <w:t>则该项</w:t>
            </w:r>
            <w:r>
              <w:rPr>
                <w:rFonts w:hint="eastAsia" w:ascii="宋体" w:hAnsi="宋体" w:eastAsia="宋体" w:cs="宋体"/>
                <w:color w:val="auto"/>
                <w:spacing w:val="-2"/>
                <w:kern w:val="0"/>
                <w:sz w:val="21"/>
                <w:szCs w:val="22"/>
                <w:highlight w:val="none"/>
                <w:lang w:val="zh-CN" w:eastAsia="zh-CN" w:bidi="zh-CN"/>
              </w:rPr>
              <w:t>得</w:t>
            </w:r>
            <w:r>
              <w:rPr>
                <w:rFonts w:ascii="宋体" w:hAnsi="宋体" w:eastAsia="宋体" w:cs="宋体"/>
                <w:color w:val="auto"/>
                <w:spacing w:val="-2"/>
                <w:kern w:val="0"/>
                <w:sz w:val="21"/>
                <w:szCs w:val="22"/>
                <w:highlight w:val="none"/>
                <w:lang w:val="zh-CN" w:eastAsia="zh-CN" w:bidi="zh-CN"/>
              </w:rPr>
              <w:t>0</w:t>
            </w:r>
            <w:r>
              <w:rPr>
                <w:rFonts w:hint="eastAsia" w:ascii="宋体" w:hAnsi="宋体" w:eastAsia="宋体" w:cs="宋体"/>
                <w:color w:val="auto"/>
                <w:spacing w:val="-2"/>
                <w:kern w:val="0"/>
                <w:sz w:val="21"/>
                <w:szCs w:val="22"/>
                <w:highlight w:val="none"/>
                <w:lang w:val="zh-CN" w:eastAsia="zh-CN" w:bidi="zh-CN"/>
              </w:rPr>
              <w:t>分。</w:t>
            </w:r>
          </w:p>
          <w:p w14:paraId="1161DF8D">
            <w:pPr>
              <w:rPr>
                <w:rFonts w:ascii="Times New Roman" w:hAnsi="Times New Roman" w:eastAsia="宋体" w:cs="Times New Roman"/>
                <w:color w:val="auto"/>
                <w:kern w:val="28"/>
                <w:sz w:val="21"/>
                <w:szCs w:val="21"/>
                <w:highlight w:val="none"/>
              </w:rPr>
            </w:pPr>
            <w:r>
              <w:rPr>
                <w:rFonts w:hint="eastAsia" w:ascii="Times New Roman" w:hAnsi="Times New Roman" w:eastAsia="宋体" w:cs="Times New Roman"/>
                <w:color w:val="auto"/>
                <w:spacing w:val="-2"/>
                <w:kern w:val="28"/>
                <w:sz w:val="21"/>
                <w:szCs w:val="20"/>
                <w:highlight w:val="none"/>
              </w:rPr>
              <w:t>2、评委打分保留小数点后1位小数，</w:t>
            </w:r>
            <w:r>
              <w:rPr>
                <w:rFonts w:hint="eastAsia" w:ascii="Times New Roman" w:hAnsi="Times New Roman" w:eastAsia="宋体" w:cs="Times New Roman"/>
                <w:color w:val="auto"/>
                <w:kern w:val="28"/>
                <w:sz w:val="21"/>
                <w:szCs w:val="21"/>
                <w:highlight w:val="none"/>
              </w:rPr>
              <w:t>投标人总得分为各评委得分的算术平均值（四舍五入保留两位小数）。</w:t>
            </w:r>
          </w:p>
        </w:tc>
      </w:tr>
    </w:tbl>
    <w:p w14:paraId="75837D12">
      <w:pPr>
        <w:rPr>
          <w:rFonts w:hint="eastAsia" w:ascii="宋体" w:hAnsi="宋体" w:eastAsia="宋体" w:cs="宋体"/>
          <w:color w:val="auto"/>
          <w:kern w:val="28"/>
          <w:sz w:val="28"/>
          <w:szCs w:val="20"/>
          <w:highlight w:val="none"/>
        </w:rPr>
      </w:pPr>
    </w:p>
    <w:bookmarkEnd w:id="4"/>
    <w:p w14:paraId="7743A53B">
      <w:pPr>
        <w:keepNext/>
        <w:widowControl w:val="0"/>
        <w:spacing w:line="300" w:lineRule="auto"/>
        <w:jc w:val="center"/>
        <w:outlineLvl w:val="0"/>
        <w:rPr>
          <w:rFonts w:hint="eastAsia" w:ascii="宋体" w:hAnsi="宋体" w:eastAsia="宋体" w:cs="宋体"/>
          <w:color w:val="auto"/>
          <w:kern w:val="2"/>
          <w:sz w:val="44"/>
          <w:szCs w:val="44"/>
          <w:highlight w:val="none"/>
          <w:lang w:val="en-US" w:eastAsia="zh-CN" w:bidi="ar-SA"/>
        </w:rPr>
      </w:pPr>
    </w:p>
    <w:p w14:paraId="75A9E54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B1"/>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16B41D9"/>
    <w:rsid w:val="16203E83"/>
    <w:rsid w:val="20871FC0"/>
    <w:rsid w:val="716B41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4833</Words>
  <Characters>5426</Characters>
  <Lines>0</Lines>
  <Paragraphs>0</Paragraphs>
  <TotalTime>581</TotalTime>
  <ScaleCrop>false</ScaleCrop>
  <LinksUpToDate>false</LinksUpToDate>
  <CharactersWithSpaces>5470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2026-10-12T09:40:00Z</dcterms:created>
  <dc:creator>Administrator</dc:creator>
  <cp:lastModifiedBy>冯士峰</cp:lastModifiedBy>
  <dcterms:modified xsi:type="dcterms:W3CDTF">2026-10-13T02:08:35Z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144166FCAC1F407999F577662F162BD8_13</vt:lpwstr>
  </property>
  <property fmtid="{D5CDD505-2E9C-101B-9397-08002B2CF9AE}" pid="4" name="KSOTemplateDocerSaveRecord">
    <vt:lpwstr>eyJoZGlkIjoiMjNhMGNiNzBmYzRmYmU1YWU1ZDVjYzI3MTI0YTIzZjQiLCJ1c2VySWQiOiIxNjg3ODQzOTczIn0=</vt:lpwstr>
  </property>
</Properties>
</file>