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B8AF6">
      <w:pPr>
        <w:pStyle w:val="10"/>
        <w:tabs>
          <w:tab w:val="left" w:pos="8789"/>
        </w:tabs>
        <w:ind w:left="0" w:leftChars="0" w:firstLine="0" w:firstLineChars="0"/>
        <w:jc w:val="left"/>
        <w:rPr>
          <w:rFonts w:hint="eastAsia" w:ascii="宋体" w:hAnsi="宋体" w:eastAsia="宋体" w:cs="宋体"/>
          <w:color w:val="auto"/>
          <w:sz w:val="24"/>
          <w:szCs w:val="24"/>
          <w:highlight w:val="none"/>
        </w:rPr>
      </w:pPr>
      <w:bookmarkStart w:id="0" w:name="_Toc136940439"/>
      <w:bookmarkStart w:id="1" w:name="_Toc136940559"/>
      <w:r>
        <w:rPr>
          <w:rFonts w:hint="eastAsia" w:ascii="宋体" w:hAnsi="宋体" w:eastAsia="宋体" w:cs="宋体"/>
          <w:color w:val="auto"/>
          <w:sz w:val="24"/>
          <w:szCs w:val="24"/>
          <w:highlight w:val="none"/>
        </w:rPr>
        <w:t>附件1：资格审查条件</w:t>
      </w:r>
      <w:bookmarkEnd w:id="0"/>
      <w:bookmarkEnd w:id="1"/>
    </w:p>
    <w:p w14:paraId="40138A80">
      <w:pPr>
        <w:pStyle w:val="11"/>
        <w:adjustRightInd w:val="0"/>
        <w:snapToGrid w:val="0"/>
        <w:spacing w:line="360" w:lineRule="auto"/>
        <w:ind w:firstLine="482"/>
        <w:jc w:val="center"/>
        <w:rPr>
          <w:rFonts w:hint="eastAsia" w:ascii="宋体" w:hAnsi="宋体" w:eastAsia="宋体" w:cs="Times New Roman"/>
          <w:b/>
          <w:color w:val="auto"/>
          <w:sz w:val="21"/>
          <w:szCs w:val="21"/>
          <w:highlight w:val="none"/>
          <w:shd w:val="clear" w:color="auto" w:fill="FFFFFF"/>
        </w:rPr>
      </w:pPr>
    </w:p>
    <w:p w14:paraId="7EB6303C">
      <w:pPr>
        <w:pStyle w:val="11"/>
        <w:adjustRightInd w:val="0"/>
        <w:snapToGrid w:val="0"/>
        <w:spacing w:line="360" w:lineRule="auto"/>
        <w:ind w:firstLine="482"/>
        <w:jc w:val="center"/>
        <w:rPr>
          <w:rFonts w:hint="eastAsia" w:ascii="宋体" w:hAnsi="宋体"/>
          <w:b/>
          <w:color w:val="auto"/>
          <w:sz w:val="21"/>
          <w:szCs w:val="21"/>
          <w:highlight w:val="none"/>
          <w:shd w:val="clear" w:color="auto" w:fill="FFFFFF"/>
        </w:rPr>
      </w:pPr>
      <w:r>
        <w:rPr>
          <w:rFonts w:hint="eastAsia" w:ascii="宋体" w:hAnsi="宋体" w:eastAsia="宋体" w:cs="Times New Roman"/>
          <w:b/>
          <w:bCs w:val="0"/>
          <w:color w:val="auto"/>
          <w:spacing w:val="0"/>
          <w:kern w:val="2"/>
          <w:sz w:val="21"/>
          <w:szCs w:val="21"/>
          <w:highlight w:val="none"/>
          <w:shd w:val="clear" w:color="auto" w:fill="FFFFFF"/>
          <w:lang w:eastAsia="zh-CN"/>
        </w:rPr>
        <w:t>附录1资格审查条件(资质最低要求)</w:t>
      </w:r>
      <w:bookmarkStart w:id="2" w:name="_Hlk44947073"/>
      <w:bookmarkStart w:id="3" w:name="_Toc524343453"/>
    </w:p>
    <w:bookmarkEnd w:id="2"/>
    <w:bookmarkEnd w:id="3"/>
    <w:tbl>
      <w:tblPr>
        <w:tblStyle w:val="8"/>
        <w:tblW w:w="90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28" w:type="dxa"/>
          <w:left w:w="28" w:type="dxa"/>
          <w:bottom w:w="28" w:type="dxa"/>
          <w:right w:w="28" w:type="dxa"/>
        </w:tblCellMar>
      </w:tblPr>
      <w:tblGrid>
        <w:gridCol w:w="9072"/>
      </w:tblGrid>
      <w:tr w14:paraId="1509B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23" w:hRule="atLeast"/>
          <w:tblHeader/>
          <w:jc w:val="center"/>
        </w:trPr>
        <w:tc>
          <w:tcPr>
            <w:tcW w:w="9072" w:type="dxa"/>
            <w:vAlign w:val="center"/>
          </w:tcPr>
          <w:p w14:paraId="453943D2">
            <w:pPr>
              <w:adjustRightInd w:val="0"/>
              <w:snapToGrid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资质要求</w:t>
            </w:r>
          </w:p>
        </w:tc>
      </w:tr>
      <w:tr w14:paraId="7E5C1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220" w:hRule="atLeast"/>
          <w:jc w:val="center"/>
        </w:trPr>
        <w:tc>
          <w:tcPr>
            <w:tcW w:w="9072" w:type="dxa"/>
            <w:vAlign w:val="center"/>
          </w:tcPr>
          <w:p w14:paraId="2B916F0B">
            <w:pPr>
              <w:adjustRightInd w:val="0"/>
              <w:snapToGrid w:val="0"/>
              <w:spacing w:line="360" w:lineRule="auto"/>
              <w:jc w:val="both"/>
              <w:rPr>
                <w:rFonts w:hint="default"/>
                <w:color w:val="auto"/>
                <w:sz w:val="21"/>
                <w:szCs w:val="21"/>
                <w:highlight w:val="none"/>
                <w:lang w:val="en-US" w:eastAsia="zh-CN"/>
              </w:rPr>
            </w:pPr>
            <w:r>
              <w:rPr>
                <w:rFonts w:hint="eastAsia" w:ascii="宋体" w:hAnsi="宋体"/>
                <w:color w:val="auto"/>
                <w:sz w:val="21"/>
                <w:szCs w:val="21"/>
                <w:highlight w:val="none"/>
              </w:rPr>
              <w:t>投标人应是中华人民共和国境内的法人或其他组织</w:t>
            </w:r>
            <w:r>
              <w:rPr>
                <w:rFonts w:hint="eastAsia" w:ascii="宋体" w:hAnsi="宋体"/>
                <w:color w:val="auto"/>
                <w:sz w:val="21"/>
                <w:szCs w:val="21"/>
                <w:highlight w:val="none"/>
                <w:shd w:val="clear" w:color="auto" w:fill="FFFFFF"/>
              </w:rPr>
              <w:t>，持有有效的营业执照</w:t>
            </w:r>
            <w:r>
              <w:rPr>
                <w:rFonts w:hint="eastAsia" w:ascii="宋体" w:hAnsi="宋体"/>
                <w:color w:val="auto"/>
                <w:sz w:val="21"/>
                <w:szCs w:val="21"/>
                <w:highlight w:val="none"/>
                <w:shd w:val="clear" w:color="auto" w:fill="FFFFFF"/>
                <w:lang w:val="en-US" w:eastAsia="zh-CN"/>
              </w:rPr>
              <w:t>。</w:t>
            </w:r>
          </w:p>
        </w:tc>
      </w:tr>
    </w:tbl>
    <w:p w14:paraId="1E088635">
      <w:pPr>
        <w:pStyle w:val="11"/>
        <w:rPr>
          <w:rFonts w:hint="eastAsia" w:ascii="宋体" w:hAnsi="宋体" w:eastAsia="宋体" w:cs="宋体"/>
          <w:color w:val="auto"/>
          <w:sz w:val="18"/>
          <w:szCs w:val="20"/>
          <w:highlight w:val="none"/>
          <w:shd w:val="clear" w:color="auto" w:fill="auto"/>
        </w:rPr>
      </w:pPr>
    </w:p>
    <w:p w14:paraId="2133A5E7">
      <w:pPr>
        <w:pStyle w:val="11"/>
        <w:adjustRightInd w:val="0"/>
        <w:snapToGrid w:val="0"/>
        <w:spacing w:line="360" w:lineRule="auto"/>
        <w:ind w:firstLine="482"/>
        <w:jc w:val="center"/>
        <w:rPr>
          <w:rFonts w:ascii="宋体" w:hAnsi="宋体"/>
          <w:b/>
          <w:color w:val="auto"/>
          <w:sz w:val="21"/>
          <w:szCs w:val="21"/>
          <w:highlight w:val="none"/>
          <w:shd w:val="clear" w:color="auto" w:fill="FFFFFF"/>
        </w:rPr>
      </w:pPr>
      <w:r>
        <w:rPr>
          <w:rFonts w:hint="eastAsia" w:ascii="宋体" w:hAnsi="宋体"/>
          <w:b/>
          <w:color w:val="auto"/>
          <w:sz w:val="21"/>
          <w:szCs w:val="21"/>
          <w:highlight w:val="none"/>
          <w:shd w:val="clear" w:color="auto" w:fill="FFFFFF"/>
        </w:rPr>
        <w:t>附录</w:t>
      </w:r>
      <w:r>
        <w:rPr>
          <w:rFonts w:ascii="宋体" w:hAnsi="宋体"/>
          <w:b/>
          <w:color w:val="auto"/>
          <w:sz w:val="21"/>
          <w:szCs w:val="21"/>
          <w:highlight w:val="none"/>
          <w:shd w:val="clear" w:color="auto" w:fill="FFFFFF"/>
        </w:rPr>
        <w:t xml:space="preserve">2  </w:t>
      </w:r>
      <w:r>
        <w:rPr>
          <w:rFonts w:hint="eastAsia" w:ascii="宋体" w:hAnsi="宋体"/>
          <w:b/>
          <w:color w:val="auto"/>
          <w:sz w:val="21"/>
          <w:szCs w:val="21"/>
          <w:highlight w:val="none"/>
          <w:shd w:val="clear" w:color="auto" w:fill="FFFFFF"/>
        </w:rPr>
        <w:t>资格审查条件</w:t>
      </w:r>
      <w:r>
        <w:rPr>
          <w:rFonts w:ascii="宋体" w:hAnsi="宋体"/>
          <w:b/>
          <w:color w:val="auto"/>
          <w:sz w:val="21"/>
          <w:szCs w:val="21"/>
          <w:highlight w:val="none"/>
          <w:shd w:val="clear" w:color="auto" w:fill="FFFFFF"/>
        </w:rPr>
        <w:t>(</w:t>
      </w:r>
      <w:r>
        <w:rPr>
          <w:rFonts w:hint="eastAsia" w:ascii="宋体" w:hAnsi="宋体"/>
          <w:b/>
          <w:color w:val="auto"/>
          <w:sz w:val="21"/>
          <w:szCs w:val="21"/>
          <w:highlight w:val="none"/>
          <w:shd w:val="clear" w:color="auto" w:fill="FFFFFF"/>
        </w:rPr>
        <w:t>业绩最低要求</w:t>
      </w:r>
      <w:r>
        <w:rPr>
          <w:rFonts w:ascii="宋体" w:hAnsi="宋体"/>
          <w:b/>
          <w:color w:val="auto"/>
          <w:sz w:val="21"/>
          <w:szCs w:val="21"/>
          <w:highlight w:val="none"/>
          <w:shd w:val="clear" w:color="auto" w:fill="FFFFFF"/>
        </w:rPr>
        <w:t>)</w:t>
      </w:r>
    </w:p>
    <w:tbl>
      <w:tblPr>
        <w:tblStyle w:val="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71"/>
      </w:tblGrid>
      <w:tr w14:paraId="6127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7931" w:type="dxa"/>
            <w:noWrap w:val="0"/>
            <w:vAlign w:val="center"/>
          </w:tcPr>
          <w:p w14:paraId="5165661F">
            <w:pPr>
              <w:adjustRightInd w:val="0"/>
              <w:snapToGrid w:val="0"/>
              <w:jc w:val="center"/>
              <w:rPr>
                <w:rFonts w:ascii="宋体" w:hAnsi="宋体" w:cs="宋体"/>
                <w:b/>
                <w:color w:val="auto"/>
                <w:sz w:val="21"/>
                <w:szCs w:val="21"/>
                <w:highlight w:val="none"/>
              </w:rPr>
            </w:pPr>
            <w:r>
              <w:rPr>
                <w:rFonts w:hint="eastAsia" w:ascii="宋体" w:hAnsi="宋体" w:cs="宋体"/>
                <w:b/>
                <w:color w:val="auto"/>
                <w:sz w:val="21"/>
                <w:szCs w:val="21"/>
                <w:highlight w:val="none"/>
              </w:rPr>
              <w:t>业绩要求</w:t>
            </w:r>
          </w:p>
        </w:tc>
      </w:tr>
      <w:tr w14:paraId="2E07B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3" w:hRule="atLeast"/>
          <w:jc w:val="center"/>
        </w:trPr>
        <w:tc>
          <w:tcPr>
            <w:tcW w:w="7931" w:type="dxa"/>
            <w:noWrap w:val="0"/>
            <w:vAlign w:val="center"/>
          </w:tcPr>
          <w:p w14:paraId="1D115804">
            <w:pPr>
              <w:adjustRightInd w:val="0"/>
              <w:snapToGrid w:val="0"/>
              <w:spacing w:line="360" w:lineRule="auto"/>
              <w:jc w:val="left"/>
              <w:rPr>
                <w:rFonts w:hint="eastAsia" w:ascii="宋体" w:hAnsi="宋体" w:cs="宋体" w:eastAsiaTheme="minorEastAsia"/>
                <w:b/>
                <w:color w:val="auto"/>
                <w:sz w:val="21"/>
                <w:szCs w:val="21"/>
                <w:highlight w:val="none"/>
                <w:lang w:eastAsia="zh-CN"/>
              </w:rPr>
            </w:pPr>
            <w:r>
              <w:rPr>
                <w:rFonts w:hint="eastAsia" w:ascii="Times New Roman" w:hAnsi="Times New Roman" w:cs="Times New Roman"/>
                <w:color w:val="auto"/>
                <w:sz w:val="21"/>
                <w:szCs w:val="22"/>
                <w:highlight w:val="none"/>
                <w:lang w:eastAsia="zh-CN"/>
              </w:rPr>
              <w:t>投标人近</w:t>
            </w:r>
            <w:r>
              <w:rPr>
                <w:rFonts w:hint="eastAsia" w:ascii="Times New Roman" w:hAnsi="Times New Roman" w:cs="Times New Roman"/>
                <w:color w:val="auto"/>
                <w:sz w:val="21"/>
                <w:szCs w:val="22"/>
                <w:highlight w:val="none"/>
                <w:lang w:val="en-US" w:eastAsia="zh-CN"/>
              </w:rPr>
              <w:t>5</w:t>
            </w:r>
            <w:r>
              <w:rPr>
                <w:rFonts w:hint="eastAsia" w:ascii="Times New Roman" w:hAnsi="Times New Roman" w:cs="Times New Roman"/>
                <w:color w:val="auto"/>
                <w:sz w:val="21"/>
                <w:szCs w:val="22"/>
                <w:highlight w:val="none"/>
                <w:lang w:eastAsia="zh-CN"/>
              </w:rPr>
              <w:t>年内(202</w:t>
            </w:r>
            <w:r>
              <w:rPr>
                <w:rFonts w:hint="eastAsia" w:ascii="Times New Roman" w:hAnsi="Times New Roman" w:cs="Times New Roman"/>
                <w:color w:val="auto"/>
                <w:sz w:val="21"/>
                <w:szCs w:val="22"/>
                <w:highlight w:val="none"/>
                <w:lang w:val="en-US" w:eastAsia="zh-CN"/>
              </w:rPr>
              <w:t>1</w:t>
            </w:r>
            <w:r>
              <w:rPr>
                <w:rFonts w:hint="eastAsia" w:ascii="Times New Roman" w:hAnsi="Times New Roman" w:cs="Times New Roman"/>
                <w:color w:val="auto"/>
                <w:sz w:val="21"/>
                <w:szCs w:val="22"/>
                <w:highlight w:val="none"/>
                <w:lang w:eastAsia="zh-CN"/>
              </w:rPr>
              <w:t>年</w:t>
            </w:r>
            <w:r>
              <w:rPr>
                <w:rFonts w:hint="eastAsia" w:cs="Times New Roman"/>
                <w:color w:val="auto"/>
                <w:sz w:val="21"/>
                <w:szCs w:val="22"/>
                <w:highlight w:val="none"/>
                <w:lang w:val="en-US" w:eastAsia="zh-CN"/>
              </w:rPr>
              <w:t>10</w:t>
            </w:r>
            <w:r>
              <w:rPr>
                <w:rFonts w:hint="eastAsia" w:ascii="Times New Roman" w:hAnsi="Times New Roman" w:cs="Times New Roman"/>
                <w:color w:val="auto"/>
                <w:sz w:val="21"/>
                <w:szCs w:val="22"/>
                <w:highlight w:val="none"/>
                <w:lang w:val="en-US" w:eastAsia="zh-CN"/>
              </w:rPr>
              <w:t>月</w:t>
            </w:r>
            <w:r>
              <w:rPr>
                <w:rFonts w:hint="eastAsia" w:ascii="Times New Roman" w:hAnsi="Times New Roman" w:cs="Times New Roman"/>
                <w:color w:val="auto"/>
                <w:sz w:val="21"/>
                <w:szCs w:val="22"/>
                <w:highlight w:val="none"/>
                <w:lang w:eastAsia="zh-CN"/>
              </w:rPr>
              <w:t>1日至投标截止时间，以合同签订时间为准)，</w:t>
            </w:r>
            <w:r>
              <w:rPr>
                <w:rFonts w:hint="eastAsia"/>
                <w:color w:val="auto"/>
                <w:highlight w:val="none"/>
                <w:lang w:eastAsia="zh-CN"/>
              </w:rPr>
              <w:t>至少</w:t>
            </w:r>
            <w:r>
              <w:rPr>
                <w:rFonts w:hint="eastAsia"/>
                <w:color w:val="auto"/>
                <w:highlight w:val="none"/>
                <w:lang w:val="en-US" w:eastAsia="zh-CN"/>
              </w:rPr>
              <w:t>完成过1项车辆的</w:t>
            </w:r>
            <w:r>
              <w:rPr>
                <w:rFonts w:hint="eastAsia" w:ascii="Times New Roman" w:hAnsi="Times New Roman" w:cs="Times New Roman"/>
                <w:color w:val="auto"/>
                <w:sz w:val="21"/>
                <w:szCs w:val="22"/>
                <w:highlight w:val="none"/>
                <w:lang w:eastAsia="zh-CN"/>
              </w:rPr>
              <w:t>供货业绩。</w:t>
            </w:r>
          </w:p>
        </w:tc>
      </w:tr>
    </w:tbl>
    <w:p w14:paraId="656302BB">
      <w:pPr>
        <w:pStyle w:val="11"/>
        <w:rPr>
          <w:rFonts w:hint="eastAsia" w:ascii="宋体" w:hAnsi="宋体" w:eastAsia="宋体" w:cs="宋体"/>
          <w:color w:val="auto"/>
          <w:sz w:val="18"/>
          <w:szCs w:val="20"/>
          <w:highlight w:val="none"/>
        </w:rPr>
      </w:pPr>
    </w:p>
    <w:p w14:paraId="1EFAD389">
      <w:pPr>
        <w:pStyle w:val="11"/>
        <w:adjustRightInd w:val="0"/>
        <w:snapToGrid w:val="0"/>
        <w:spacing w:line="360" w:lineRule="auto"/>
        <w:ind w:firstLine="482"/>
        <w:jc w:val="center"/>
        <w:rPr>
          <w:rFonts w:hint="eastAsia" w:ascii="宋体" w:hAnsi="宋体"/>
          <w:b/>
          <w:color w:val="auto"/>
          <w:sz w:val="21"/>
          <w:szCs w:val="21"/>
          <w:highlight w:val="none"/>
          <w:shd w:val="clear" w:color="auto" w:fill="FFFFFF"/>
        </w:rPr>
      </w:pPr>
      <w:r>
        <w:rPr>
          <w:rFonts w:hint="eastAsia" w:ascii="宋体" w:hAnsi="宋体"/>
          <w:b/>
          <w:color w:val="auto"/>
          <w:sz w:val="21"/>
          <w:szCs w:val="21"/>
          <w:highlight w:val="none"/>
          <w:shd w:val="clear" w:color="auto" w:fill="FFFFFF"/>
        </w:rPr>
        <w:t>附录</w:t>
      </w:r>
      <w:r>
        <w:rPr>
          <w:rFonts w:hint="eastAsia" w:ascii="宋体" w:hAnsi="宋体"/>
          <w:b/>
          <w:color w:val="auto"/>
          <w:sz w:val="21"/>
          <w:szCs w:val="21"/>
          <w:highlight w:val="none"/>
          <w:shd w:val="clear" w:color="auto" w:fill="FFFFFF"/>
          <w:lang w:val="en-US" w:eastAsia="zh-CN"/>
        </w:rPr>
        <w:t>3</w:t>
      </w:r>
      <w:r>
        <w:rPr>
          <w:rFonts w:hint="eastAsia" w:ascii="宋体" w:hAnsi="宋体"/>
          <w:b/>
          <w:color w:val="auto"/>
          <w:sz w:val="21"/>
          <w:szCs w:val="21"/>
          <w:highlight w:val="none"/>
          <w:shd w:val="clear" w:color="auto" w:fill="FFFFFF"/>
        </w:rPr>
        <w:t xml:space="preserve">  信誉审查条件(信誉最低要求)</w:t>
      </w:r>
    </w:p>
    <w:tbl>
      <w:tblPr>
        <w:tblStyle w:val="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72"/>
      </w:tblGrid>
      <w:tr w14:paraId="6828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jc w:val="center"/>
        </w:trPr>
        <w:tc>
          <w:tcPr>
            <w:tcW w:w="9798" w:type="dxa"/>
            <w:vAlign w:val="center"/>
          </w:tcPr>
          <w:p w14:paraId="3F3CA767">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eastAsia="zh-CN"/>
              </w:rPr>
              <w:t>信誉要求</w:t>
            </w:r>
          </w:p>
        </w:tc>
      </w:tr>
      <w:tr w14:paraId="70ED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1" w:hRule="atLeast"/>
          <w:jc w:val="center"/>
        </w:trPr>
        <w:tc>
          <w:tcPr>
            <w:tcW w:w="9798" w:type="dxa"/>
            <w:vAlign w:val="center"/>
          </w:tcPr>
          <w:p w14:paraId="5BF2D5A6">
            <w:pPr>
              <w:adjustRightInd w:val="0"/>
              <w:snapToGrid w:val="0"/>
              <w:spacing w:line="360" w:lineRule="auto"/>
              <w:jc w:val="both"/>
              <w:rPr>
                <w:rFonts w:hint="eastAsia" w:ascii="宋体" w:hAnsi="宋体" w:eastAsia="宋体" w:cs="宋体"/>
                <w:b/>
                <w:color w:val="auto"/>
                <w:sz w:val="21"/>
                <w:szCs w:val="21"/>
                <w:highlight w:val="none"/>
                <w:lang w:eastAsia="zh-CN"/>
              </w:rPr>
            </w:pPr>
            <w:r>
              <w:rPr>
                <w:rFonts w:hint="eastAsia" w:ascii="宋体" w:hAnsi="宋体" w:eastAsia="宋体" w:cs="宋体"/>
                <w:color w:val="auto"/>
                <w:sz w:val="21"/>
                <w:szCs w:val="21"/>
                <w:highlight w:val="none"/>
                <w:lang w:eastAsia="zh-CN"/>
              </w:rPr>
              <w:t>投标人在过去1年中(2025年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月1日至</w:t>
            </w:r>
            <w:r>
              <w:rPr>
                <w:rFonts w:hint="eastAsia" w:ascii="宋体" w:hAnsi="宋体"/>
                <w:color w:val="auto"/>
                <w:sz w:val="21"/>
                <w:szCs w:val="21"/>
                <w:highlight w:val="none"/>
              </w:rPr>
              <w:t>投标截止时间</w:t>
            </w:r>
            <w:r>
              <w:rPr>
                <w:rFonts w:hint="eastAsia" w:ascii="宋体" w:hAnsi="宋体" w:eastAsia="宋体" w:cs="宋体"/>
                <w:color w:val="auto"/>
                <w:sz w:val="21"/>
                <w:szCs w:val="21"/>
                <w:highlight w:val="none"/>
                <w:lang w:eastAsia="zh-CN"/>
              </w:rPr>
              <w:t>)不曾在车辆供货合同中违约而被驱逐或因投标人自身的原因而使车辆供货合同被解除。</w:t>
            </w:r>
          </w:p>
        </w:tc>
      </w:tr>
    </w:tbl>
    <w:p w14:paraId="0782D4A9">
      <w:pPr>
        <w:widowControl/>
        <w:rPr>
          <w:rFonts w:hint="eastAsia" w:asciiTheme="minorEastAsia" w:hAnsiTheme="minorEastAsia"/>
          <w:bCs/>
          <w:color w:val="auto"/>
          <w:sz w:val="44"/>
          <w:szCs w:val="44"/>
          <w:highlight w:val="none"/>
          <w:lang w:eastAsia="zh-CN"/>
        </w:rPr>
      </w:pPr>
      <w:bookmarkStart w:id="4" w:name="_Toc519088326"/>
      <w:bookmarkStart w:id="5" w:name="_Toc514681209"/>
      <w:r>
        <w:rPr>
          <w:rFonts w:asciiTheme="minorEastAsia" w:hAnsiTheme="minorEastAsia"/>
          <w:b/>
          <w:color w:val="auto"/>
          <w:sz w:val="44"/>
          <w:szCs w:val="44"/>
          <w:highlight w:val="none"/>
          <w:lang w:eastAsia="zh-CN"/>
        </w:rPr>
        <w:br w:type="page"/>
      </w:r>
    </w:p>
    <w:p w14:paraId="6EFE227B">
      <w:pPr>
        <w:pStyle w:val="10"/>
        <w:tabs>
          <w:tab w:val="left" w:pos="8789"/>
        </w:tabs>
        <w:jc w:val="left"/>
        <w:rPr>
          <w:rFonts w:hint="eastAsia" w:ascii="宋体" w:hAnsi="宋体" w:eastAsia="宋体" w:cs="宋体"/>
          <w:color w:val="auto"/>
          <w:sz w:val="24"/>
          <w:szCs w:val="24"/>
          <w:highlight w:val="none"/>
        </w:rPr>
      </w:pPr>
      <w:bookmarkStart w:id="6" w:name="_Toc509659998"/>
      <w:bookmarkStart w:id="7" w:name="_Toc134890444"/>
      <w:bookmarkStart w:id="8" w:name="_Toc459307890"/>
      <w:bookmarkStart w:id="9" w:name="_Toc134792341"/>
      <w:bookmarkStart w:id="10" w:name="_Toc531949857"/>
      <w:bookmarkStart w:id="11" w:name="_Toc502992691"/>
      <w:bookmarkStart w:id="12" w:name="_Toc509660966"/>
      <w:bookmarkStart w:id="13" w:name="_Toc450319202"/>
      <w:bookmarkStart w:id="14" w:name="_Toc134792409"/>
      <w:bookmarkStart w:id="15" w:name="_Toc134890522"/>
      <w:bookmarkStart w:id="16" w:name="_Toc134792892"/>
      <w:bookmarkStart w:id="17" w:name="_Toc444088432"/>
      <w:bookmarkStart w:id="18" w:name="_Toc445222503"/>
      <w:bookmarkStart w:id="19" w:name="_Toc444271617"/>
      <w:bookmarkStart w:id="20" w:name="_Toc445382083"/>
      <w:bookmarkStart w:id="21" w:name="_Toc28579"/>
      <w:bookmarkStart w:id="22" w:name="_Toc20455"/>
      <w:bookmarkStart w:id="23" w:name="_Toc512534238"/>
      <w:bookmarkStart w:id="24" w:name="_Toc136940560"/>
      <w:r>
        <w:rPr>
          <w:rFonts w:hint="eastAsia" w:ascii="宋体" w:hAnsi="宋体" w:eastAsia="宋体" w:cs="宋体"/>
          <w:color w:val="auto"/>
          <w:sz w:val="24"/>
          <w:szCs w:val="24"/>
          <w:highlight w:val="none"/>
          <w:lang w:val="en-US" w:eastAsia="zh-CN"/>
        </w:rPr>
        <w:t>附件2</w:t>
      </w:r>
      <w:r>
        <w:rPr>
          <w:rFonts w:hint="eastAsia" w:ascii="宋体" w:hAnsi="宋体" w:eastAsia="宋体" w:cs="宋体"/>
          <w:color w:val="auto"/>
          <w:sz w:val="24"/>
          <w:szCs w:val="24"/>
          <w:highlight w:val="none"/>
        </w:rPr>
        <w:t>评标办法（技术评分最低标价法）</w:t>
      </w:r>
      <w:bookmarkEnd w:id="6"/>
      <w:bookmarkEnd w:id="7"/>
      <w:bookmarkEnd w:id="8"/>
      <w:bookmarkEnd w:id="9"/>
      <w:bookmarkEnd w:id="10"/>
      <w:bookmarkEnd w:id="11"/>
      <w:bookmarkEnd w:id="12"/>
      <w:bookmarkEnd w:id="13"/>
      <w:bookmarkEnd w:id="14"/>
      <w:bookmarkEnd w:id="15"/>
      <w:bookmarkEnd w:id="16"/>
    </w:p>
    <w:bookmarkEnd w:id="17"/>
    <w:bookmarkEnd w:id="18"/>
    <w:bookmarkEnd w:id="19"/>
    <w:bookmarkEnd w:id="20"/>
    <w:p w14:paraId="65C47028">
      <w:pPr>
        <w:adjustRightInd w:val="0"/>
        <w:snapToGrid w:val="0"/>
        <w:spacing w:line="360" w:lineRule="auto"/>
        <w:jc w:val="center"/>
        <w:textAlignment w:val="baseline"/>
        <w:rPr>
          <w:rFonts w:ascii="宋体" w:hAnsi="宋体"/>
          <w:b/>
          <w:bCs/>
          <w:snapToGrid w:val="0"/>
          <w:color w:val="auto"/>
          <w:kern w:val="0"/>
          <w:sz w:val="24"/>
          <w:highlight w:val="none"/>
        </w:rPr>
      </w:pPr>
      <w:r>
        <w:rPr>
          <w:rFonts w:hint="eastAsia" w:ascii="宋体" w:hAnsi="宋体"/>
          <w:b/>
          <w:bCs/>
          <w:snapToGrid w:val="0"/>
          <w:color w:val="auto"/>
          <w:kern w:val="0"/>
          <w:sz w:val="24"/>
          <w:highlight w:val="none"/>
        </w:rPr>
        <w:t>评标办法</w:t>
      </w:r>
      <w:r>
        <w:rPr>
          <w:rFonts w:ascii="宋体" w:hAnsi="宋体"/>
          <w:b/>
          <w:bCs/>
          <w:snapToGrid w:val="0"/>
          <w:color w:val="auto"/>
          <w:kern w:val="0"/>
          <w:sz w:val="24"/>
          <w:highlight w:val="none"/>
        </w:rPr>
        <w:t>前附表</w:t>
      </w:r>
    </w:p>
    <w:tbl>
      <w:tblPr>
        <w:tblStyle w:val="8"/>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19D7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noWrap w:val="0"/>
            <w:vAlign w:val="center"/>
          </w:tcPr>
          <w:p w14:paraId="0C63BD4F">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7197" w:type="dxa"/>
            <w:noWrap w:val="0"/>
            <w:vAlign w:val="center"/>
          </w:tcPr>
          <w:p w14:paraId="61F2D9D2">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评审因素与标准</w:t>
            </w:r>
          </w:p>
        </w:tc>
      </w:tr>
      <w:tr w14:paraId="6E62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677" w:hRule="atLeast"/>
          <w:jc w:val="center"/>
        </w:trPr>
        <w:tc>
          <w:tcPr>
            <w:tcW w:w="1143" w:type="dxa"/>
            <w:noWrap w:val="0"/>
            <w:vAlign w:val="center"/>
          </w:tcPr>
          <w:p w14:paraId="4A66E8DE">
            <w:pPr>
              <w:snapToGrid w:val="0"/>
              <w:spacing w:line="360" w:lineRule="auto"/>
              <w:jc w:val="center"/>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1</w:t>
            </w:r>
          </w:p>
        </w:tc>
        <w:tc>
          <w:tcPr>
            <w:tcW w:w="1317" w:type="dxa"/>
            <w:noWrap w:val="0"/>
            <w:vAlign w:val="center"/>
          </w:tcPr>
          <w:p w14:paraId="2E75C0C1">
            <w:pPr>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评标办法</w:t>
            </w:r>
          </w:p>
        </w:tc>
        <w:tc>
          <w:tcPr>
            <w:tcW w:w="7197" w:type="dxa"/>
            <w:noWrap w:val="0"/>
            <w:vAlign w:val="center"/>
          </w:tcPr>
          <w:p w14:paraId="31563677">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本次评标采用技术评分最低标价法，双信封形式。</w:t>
            </w:r>
          </w:p>
          <w:p w14:paraId="7F103331">
            <w:pPr>
              <w:keepNext w:val="0"/>
              <w:keepLines w:val="0"/>
              <w:pageBreakBefore w:val="0"/>
              <w:widowControl w:val="0"/>
              <w:kinsoku/>
              <w:overflowPunct/>
              <w:topLinePunct w:val="0"/>
              <w:bidi w:val="0"/>
              <w:snapToGrid w:val="0"/>
              <w:spacing w:after="0" w:line="320" w:lineRule="exact"/>
              <w:ind w:firstLine="420" w:firstLineChars="200"/>
              <w:jc w:val="both"/>
              <w:rPr>
                <w:rFonts w:hint="eastAsia" w:ascii="宋体" w:hAnsi="宋体" w:eastAsia="宋体" w:cs="Arial"/>
                <w:color w:val="auto"/>
                <w:kern w:val="0"/>
                <w:sz w:val="21"/>
                <w:szCs w:val="21"/>
                <w:highlight w:val="none"/>
                <w:lang w:val="en-US" w:eastAsia="zh-CN" w:bidi="ar-SA"/>
              </w:rPr>
            </w:pPr>
            <w:r>
              <w:rPr>
                <w:rFonts w:hint="eastAsia" w:ascii="宋体" w:hAnsi="宋体" w:eastAsia="宋体" w:cs="宋体"/>
                <w:color w:val="auto"/>
                <w:sz w:val="21"/>
                <w:szCs w:val="21"/>
                <w:highlight w:val="none"/>
              </w:rPr>
              <w:t>评标委员会对满足招标文件实质性要求的投标文件第一个信封，按照本章第2.2款规定的评分标准进行打分，并按</w:t>
            </w:r>
            <w:r>
              <w:rPr>
                <w:rFonts w:hint="eastAsia" w:ascii="宋体" w:hAnsi="宋体" w:eastAsia="宋体" w:cs="宋体"/>
                <w:color w:val="auto"/>
                <w:sz w:val="21"/>
                <w:szCs w:val="21"/>
                <w:highlight w:val="none"/>
                <w:lang w:val="en-US" w:eastAsia="zh-CN"/>
              </w:rPr>
              <w:t>综合</w:t>
            </w:r>
            <w:r>
              <w:rPr>
                <w:rFonts w:hint="eastAsia" w:ascii="宋体" w:hAnsi="宋体" w:eastAsia="宋体" w:cs="宋体"/>
                <w:color w:val="auto"/>
                <w:sz w:val="21"/>
                <w:szCs w:val="21"/>
                <w:highlight w:val="none"/>
              </w:rPr>
              <w:t>得分由高到低顺序确定</w:t>
            </w:r>
            <w:r>
              <w:rPr>
                <w:rFonts w:hint="eastAsia" w:ascii="宋体" w:hAnsi="宋体" w:eastAsia="宋体" w:cs="宋体"/>
                <w:color w:val="auto"/>
                <w:sz w:val="21"/>
                <w:szCs w:val="21"/>
                <w:highlight w:val="none"/>
                <w:lang w:eastAsia="zh-CN"/>
              </w:rPr>
              <w:t>前</w:t>
            </w: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个</w:t>
            </w:r>
            <w:r>
              <w:rPr>
                <w:rFonts w:hint="eastAsia" w:ascii="宋体" w:hAnsi="宋体" w:eastAsia="宋体" w:cs="宋体"/>
                <w:color w:val="auto"/>
                <w:sz w:val="21"/>
                <w:szCs w:val="21"/>
                <w:highlight w:val="none"/>
              </w:rPr>
              <w:t>投标人进入第二个信封评审。若</w:t>
            </w:r>
            <w:r>
              <w:rPr>
                <w:rFonts w:hint="eastAsia" w:ascii="宋体" w:hAnsi="宋体" w:eastAsia="宋体" w:cs="宋体"/>
                <w:color w:val="auto"/>
                <w:sz w:val="21"/>
                <w:szCs w:val="21"/>
                <w:highlight w:val="none"/>
                <w:lang w:val="en-US" w:eastAsia="zh-CN"/>
              </w:rPr>
              <w:t>综合</w:t>
            </w:r>
            <w:r>
              <w:rPr>
                <w:rFonts w:hint="eastAsia" w:ascii="宋体" w:hAnsi="宋体" w:eastAsia="宋体" w:cs="宋体"/>
                <w:color w:val="auto"/>
                <w:sz w:val="21"/>
                <w:szCs w:val="21"/>
                <w:highlight w:val="none"/>
              </w:rPr>
              <w:t>得分相同，以技术</w:t>
            </w:r>
            <w:r>
              <w:rPr>
                <w:rFonts w:hint="eastAsia" w:ascii="宋体" w:hAnsi="宋体" w:eastAsia="宋体" w:cs="宋体"/>
                <w:color w:val="auto"/>
                <w:sz w:val="21"/>
                <w:szCs w:val="21"/>
                <w:highlight w:val="none"/>
                <w:lang w:val="en-US" w:eastAsia="zh-CN"/>
              </w:rPr>
              <w:t>部分</w:t>
            </w:r>
            <w:r>
              <w:rPr>
                <w:rFonts w:hint="eastAsia" w:ascii="宋体" w:hAnsi="宋体" w:eastAsia="宋体" w:cs="宋体"/>
                <w:color w:val="auto"/>
                <w:sz w:val="21"/>
                <w:szCs w:val="21"/>
                <w:highlight w:val="none"/>
              </w:rPr>
              <w:t>得分高的投标人优先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技术部分得分也相同的，以</w:t>
            </w:r>
            <w:r>
              <w:rPr>
                <w:rFonts w:hint="eastAsia" w:ascii="宋体" w:hAnsi="宋体" w:eastAsia="宋体" w:cs="宋体"/>
                <w:color w:val="auto"/>
                <w:sz w:val="21"/>
                <w:szCs w:val="21"/>
                <w:highlight w:val="none"/>
              </w:rPr>
              <w:t>技术</w:t>
            </w:r>
            <w:r>
              <w:rPr>
                <w:rFonts w:hint="eastAsia" w:ascii="宋体" w:hAnsi="宋体" w:eastAsia="宋体" w:cs="宋体"/>
                <w:color w:val="auto"/>
                <w:sz w:val="21"/>
                <w:szCs w:val="21"/>
                <w:highlight w:val="none"/>
                <w:lang w:val="en-US" w:eastAsia="zh-CN"/>
              </w:rPr>
              <w:t>部分（明标）</w:t>
            </w:r>
            <w:r>
              <w:rPr>
                <w:rFonts w:hint="eastAsia" w:ascii="宋体" w:hAnsi="宋体" w:eastAsia="宋体" w:cs="宋体"/>
                <w:color w:val="auto"/>
                <w:sz w:val="21"/>
                <w:szCs w:val="21"/>
                <w:highlight w:val="none"/>
              </w:rPr>
              <w:t>得分高的投标人优先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技术</w:t>
            </w:r>
            <w:r>
              <w:rPr>
                <w:rFonts w:hint="eastAsia" w:ascii="宋体" w:hAnsi="宋体" w:eastAsia="宋体" w:cs="宋体"/>
                <w:color w:val="auto"/>
                <w:sz w:val="21"/>
                <w:szCs w:val="21"/>
                <w:highlight w:val="none"/>
                <w:lang w:val="en-US" w:eastAsia="zh-CN"/>
              </w:rPr>
              <w:t>部分（明标）</w:t>
            </w:r>
            <w:r>
              <w:rPr>
                <w:rFonts w:hint="eastAsia" w:ascii="宋体" w:hAnsi="宋体" w:eastAsia="宋体" w:cs="宋体"/>
                <w:color w:val="auto"/>
                <w:sz w:val="21"/>
                <w:szCs w:val="21"/>
                <w:highlight w:val="none"/>
              </w:rPr>
              <w:t>得分</w:t>
            </w:r>
            <w:r>
              <w:rPr>
                <w:rFonts w:hint="eastAsia" w:ascii="宋体" w:hAnsi="宋体" w:eastAsia="宋体" w:cs="宋体"/>
                <w:color w:val="auto"/>
                <w:sz w:val="21"/>
                <w:szCs w:val="21"/>
                <w:highlight w:val="none"/>
                <w:lang w:eastAsia="zh-CN"/>
              </w:rPr>
              <w:t>也相同的，</w:t>
            </w:r>
            <w:r>
              <w:rPr>
                <w:rFonts w:hint="eastAsia" w:ascii="宋体" w:hAnsi="宋体" w:eastAsia="宋体" w:cs="宋体"/>
                <w:color w:val="auto"/>
                <w:sz w:val="21"/>
                <w:szCs w:val="21"/>
                <w:highlight w:val="none"/>
              </w:rPr>
              <w:t>满足资格审查</w:t>
            </w:r>
            <w:r>
              <w:rPr>
                <w:rFonts w:hint="eastAsia" w:ascii="宋体" w:hAnsi="宋体" w:eastAsia="宋体" w:cs="宋体"/>
                <w:color w:val="auto"/>
                <w:sz w:val="21"/>
                <w:szCs w:val="21"/>
                <w:highlight w:val="none"/>
                <w:lang w:eastAsia="zh-CN"/>
              </w:rPr>
              <w:t>条件（</w:t>
            </w:r>
            <w:r>
              <w:rPr>
                <w:rFonts w:hint="eastAsia" w:ascii="宋体" w:hAnsi="宋体" w:eastAsia="宋体" w:cs="宋体"/>
                <w:color w:val="auto"/>
                <w:sz w:val="21"/>
                <w:szCs w:val="21"/>
                <w:highlight w:val="none"/>
              </w:rPr>
              <w:t>业绩最低要求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累计</w:t>
            </w:r>
            <w:r>
              <w:rPr>
                <w:rFonts w:hint="eastAsia" w:ascii="宋体" w:hAnsi="宋体" w:eastAsia="宋体" w:cs="宋体"/>
                <w:color w:val="auto"/>
                <w:sz w:val="21"/>
                <w:szCs w:val="21"/>
                <w:highlight w:val="none"/>
                <w:lang w:val="en-US" w:eastAsia="zh-CN"/>
              </w:rPr>
              <w:t>合同金额高的</w:t>
            </w:r>
            <w:r>
              <w:rPr>
                <w:rFonts w:hint="eastAsia" w:ascii="宋体" w:hAnsi="宋体" w:eastAsia="宋体" w:cs="宋体"/>
                <w:color w:val="auto"/>
                <w:sz w:val="21"/>
                <w:szCs w:val="21"/>
                <w:highlight w:val="none"/>
              </w:rPr>
              <w:t>投标人优先。未通过第一信封评审</w:t>
            </w:r>
            <w:r>
              <w:rPr>
                <w:rFonts w:hint="eastAsia" w:ascii="宋体" w:hAnsi="宋体" w:eastAsia="宋体" w:cs="宋体"/>
                <w:color w:val="auto"/>
                <w:sz w:val="21"/>
                <w:szCs w:val="21"/>
                <w:highlight w:val="none"/>
                <w:lang w:val="en-US" w:eastAsia="zh-CN"/>
              </w:rPr>
              <w:t>或综合得分</w:t>
            </w:r>
            <w:r>
              <w:rPr>
                <w:rFonts w:hint="eastAsia" w:ascii="宋体" w:hAnsi="宋体" w:eastAsia="宋体" w:cs="宋体"/>
                <w:color w:val="auto"/>
                <w:sz w:val="21"/>
                <w:szCs w:val="21"/>
                <w:highlight w:val="none"/>
              </w:rPr>
              <w:t>未进入</w:t>
            </w:r>
            <w:r>
              <w:rPr>
                <w:rFonts w:hint="eastAsia" w:ascii="宋体" w:hAnsi="宋体" w:cs="宋体"/>
                <w:color w:val="auto"/>
                <w:sz w:val="21"/>
                <w:szCs w:val="21"/>
                <w:highlight w:val="none"/>
                <w:lang w:eastAsia="zh-CN"/>
              </w:rPr>
              <w:t>前3个</w:t>
            </w:r>
            <w:r>
              <w:rPr>
                <w:rFonts w:hint="eastAsia" w:ascii="宋体" w:hAnsi="宋体" w:eastAsia="宋体" w:cs="宋体"/>
                <w:color w:val="auto"/>
                <w:sz w:val="21"/>
                <w:szCs w:val="21"/>
                <w:highlight w:val="none"/>
              </w:rPr>
              <w:t>的投标人，其第二信封在整个评标期间不再开封，不随任何因素发生变化。</w:t>
            </w:r>
            <w:r>
              <w:rPr>
                <w:rFonts w:hint="eastAsia" w:ascii="Times New Roman" w:hAnsi="Times New Roman" w:eastAsia="宋体" w:cs="Times New Roman"/>
                <w:color w:val="auto"/>
                <w:kern w:val="2"/>
                <w:sz w:val="21"/>
                <w:szCs w:val="24"/>
                <w:highlight w:val="none"/>
                <w:lang w:val="en-US" w:eastAsia="zh-CN" w:bidi="ar-SA"/>
              </w:rPr>
              <w:t>当通过第一个信封初步评审的投标人未超过3个时，评标委员</w:t>
            </w:r>
            <w:r>
              <w:rPr>
                <w:rFonts w:hint="eastAsia" w:ascii="宋体" w:hAnsi="宋体" w:eastAsia="宋体" w:cs="Arial"/>
                <w:color w:val="auto"/>
                <w:kern w:val="0"/>
                <w:sz w:val="21"/>
                <w:szCs w:val="21"/>
                <w:highlight w:val="none"/>
                <w:lang w:val="en-US" w:eastAsia="zh-CN" w:bidi="ar-SA"/>
              </w:rPr>
              <w:t>会不再进行打分，均进入第二个信封评审</w:t>
            </w:r>
            <w:r>
              <w:rPr>
                <w:rFonts w:hint="eastAsia" w:ascii="宋体" w:hAnsi="宋体" w:cs="Arial"/>
                <w:color w:val="auto"/>
                <w:kern w:val="0"/>
                <w:sz w:val="21"/>
                <w:szCs w:val="21"/>
                <w:highlight w:val="none"/>
                <w:lang w:val="en-US" w:eastAsia="zh-CN" w:bidi="ar-SA"/>
              </w:rPr>
              <w:t>。</w:t>
            </w:r>
          </w:p>
          <w:p w14:paraId="00B60BB9">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评标委员会按</w:t>
            </w:r>
            <w:r>
              <w:rPr>
                <w:rFonts w:hint="eastAsia" w:ascii="宋体" w:hAnsi="宋体" w:cs="宋体"/>
                <w:color w:val="auto"/>
                <w:sz w:val="21"/>
                <w:szCs w:val="21"/>
                <w:highlight w:val="none"/>
                <w:lang w:val="en-US" w:eastAsia="zh-CN"/>
              </w:rPr>
              <w:t>通过第二信封评审投标人的</w:t>
            </w:r>
            <w:r>
              <w:rPr>
                <w:rFonts w:hint="eastAsia" w:ascii="宋体" w:hAnsi="宋体" w:eastAsia="宋体" w:cs="宋体"/>
                <w:color w:val="auto"/>
                <w:sz w:val="21"/>
                <w:szCs w:val="21"/>
                <w:highlight w:val="none"/>
              </w:rPr>
              <w:t>评标价由低到高的顺序，向招标人推荐</w:t>
            </w:r>
            <w:r>
              <w:rPr>
                <w:rFonts w:hint="eastAsia" w:ascii="宋体" w:hAnsi="宋体" w:cs="宋体"/>
                <w:color w:val="auto"/>
                <w:sz w:val="21"/>
                <w:szCs w:val="21"/>
                <w:highlight w:val="none"/>
                <w:lang w:eastAsia="zh-CN"/>
              </w:rPr>
              <w:t>1-3个</w:t>
            </w:r>
            <w:r>
              <w:rPr>
                <w:rFonts w:hint="eastAsia" w:ascii="宋体" w:hAnsi="宋体" w:eastAsia="宋体" w:cs="宋体"/>
                <w:color w:val="auto"/>
                <w:sz w:val="21"/>
                <w:szCs w:val="21"/>
                <w:highlight w:val="none"/>
              </w:rPr>
              <w:t>中标候选人。</w:t>
            </w:r>
          </w:p>
          <w:p w14:paraId="2E95DF54">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评标价相等时，评标委员会依次按照以下优先顺序推荐中标候选人：</w:t>
            </w:r>
          </w:p>
          <w:p w14:paraId="39260CBF">
            <w:pPr>
              <w:numPr>
                <w:ilvl w:val="0"/>
                <w:numId w:val="2"/>
              </w:num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第一个信封技术</w:t>
            </w:r>
            <w:r>
              <w:rPr>
                <w:rFonts w:hint="eastAsia" w:ascii="宋体" w:hAnsi="宋体" w:eastAsia="宋体" w:cs="宋体"/>
                <w:color w:val="auto"/>
                <w:sz w:val="21"/>
                <w:szCs w:val="21"/>
                <w:highlight w:val="none"/>
                <w:lang w:eastAsia="zh-CN"/>
              </w:rPr>
              <w:t>部分</w:t>
            </w:r>
            <w:r>
              <w:rPr>
                <w:rFonts w:hint="eastAsia" w:ascii="宋体" w:hAnsi="宋体" w:eastAsia="宋体" w:cs="宋体"/>
                <w:color w:val="auto"/>
                <w:sz w:val="21"/>
                <w:szCs w:val="21"/>
                <w:highlight w:val="none"/>
              </w:rPr>
              <w:t>得分较高的优先；</w:t>
            </w:r>
          </w:p>
          <w:p w14:paraId="5BFF5504">
            <w:pPr>
              <w:numPr>
                <w:ilvl w:val="0"/>
                <w:numId w:val="2"/>
              </w:num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第一个信封</w:t>
            </w:r>
            <w:r>
              <w:rPr>
                <w:rFonts w:hint="eastAsia" w:ascii="宋体" w:hAnsi="宋体" w:eastAsia="宋体" w:cs="宋体"/>
                <w:color w:val="auto"/>
                <w:sz w:val="21"/>
                <w:szCs w:val="21"/>
                <w:highlight w:val="none"/>
              </w:rPr>
              <w:t>技术</w:t>
            </w:r>
            <w:r>
              <w:rPr>
                <w:rFonts w:hint="eastAsia" w:ascii="宋体" w:hAnsi="宋体" w:eastAsia="宋体" w:cs="宋体"/>
                <w:color w:val="auto"/>
                <w:sz w:val="21"/>
                <w:szCs w:val="21"/>
                <w:highlight w:val="none"/>
                <w:lang w:eastAsia="zh-CN"/>
              </w:rPr>
              <w:t>部分（明标）得分较高的优先；</w:t>
            </w:r>
          </w:p>
          <w:p w14:paraId="3AF304AC">
            <w:pPr>
              <w:snapToGrid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）满足资格审查</w:t>
            </w:r>
            <w:r>
              <w:rPr>
                <w:rFonts w:hint="eastAsia" w:ascii="宋体" w:hAnsi="宋体" w:eastAsia="宋体" w:cs="宋体"/>
                <w:color w:val="auto"/>
                <w:sz w:val="21"/>
                <w:szCs w:val="21"/>
                <w:highlight w:val="none"/>
                <w:lang w:eastAsia="zh-CN"/>
              </w:rPr>
              <w:t>条件（</w:t>
            </w:r>
            <w:r>
              <w:rPr>
                <w:rFonts w:hint="eastAsia" w:ascii="宋体" w:hAnsi="宋体" w:eastAsia="宋体" w:cs="宋体"/>
                <w:color w:val="auto"/>
                <w:sz w:val="21"/>
                <w:szCs w:val="21"/>
                <w:highlight w:val="none"/>
              </w:rPr>
              <w:t>业绩最低要求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累计</w:t>
            </w:r>
            <w:r>
              <w:rPr>
                <w:rFonts w:hint="eastAsia" w:ascii="宋体" w:hAnsi="宋体" w:eastAsia="宋体" w:cs="宋体"/>
                <w:color w:val="auto"/>
                <w:sz w:val="21"/>
                <w:szCs w:val="21"/>
                <w:highlight w:val="none"/>
                <w:lang w:val="en-US" w:eastAsia="zh-CN"/>
              </w:rPr>
              <w:t>合同金额高</w:t>
            </w:r>
            <w:r>
              <w:rPr>
                <w:rFonts w:hint="eastAsia" w:ascii="宋体" w:hAnsi="宋体" w:eastAsia="宋体" w:cs="宋体"/>
                <w:color w:val="auto"/>
                <w:sz w:val="21"/>
                <w:szCs w:val="21"/>
                <w:highlight w:val="none"/>
              </w:rPr>
              <w:t>的投标人优先；</w:t>
            </w:r>
          </w:p>
        </w:tc>
      </w:tr>
      <w:tr w14:paraId="0F98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noWrap w:val="0"/>
            <w:vAlign w:val="center"/>
          </w:tcPr>
          <w:p w14:paraId="0129EE1D">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w:t>
            </w:r>
          </w:p>
          <w:p w14:paraId="6736A365">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w:t>
            </w:r>
          </w:p>
        </w:tc>
        <w:tc>
          <w:tcPr>
            <w:tcW w:w="1317" w:type="dxa"/>
            <w:noWrap w:val="0"/>
            <w:vAlign w:val="center"/>
          </w:tcPr>
          <w:p w14:paraId="3321A62A">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形式评审与响应性评审标准</w:t>
            </w:r>
          </w:p>
        </w:tc>
        <w:tc>
          <w:tcPr>
            <w:tcW w:w="7197" w:type="dxa"/>
            <w:noWrap w:val="0"/>
            <w:vAlign w:val="center"/>
          </w:tcPr>
          <w:p w14:paraId="06847FDC">
            <w:pPr>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第一个信封（商务文件）评审标准：</w:t>
            </w:r>
          </w:p>
          <w:p w14:paraId="5CCE8DC2">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（1）投标文件按照招标文件规定的格式、内容填写，字迹清晰可辨：</w:t>
            </w:r>
          </w:p>
          <w:p w14:paraId="356ACE58">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a.投标函按照招标文件规定填报了招标人名称、项目名称</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标段、</w:t>
            </w:r>
            <w:r>
              <w:rPr>
                <w:rFonts w:hint="eastAsia" w:ascii="宋体" w:hAnsi="宋体" w:eastAsia="宋体" w:cs="宋体"/>
                <w:color w:val="auto"/>
                <w:sz w:val="21"/>
                <w:szCs w:val="21"/>
                <w:highlight w:val="none"/>
              </w:rPr>
              <w:t>补遗书编号（如有）、交货地点、交货期</w:t>
            </w:r>
            <w:r>
              <w:rPr>
                <w:rFonts w:hint="eastAsia" w:ascii="宋体" w:hAnsi="宋体" w:eastAsia="宋体" w:cs="宋体"/>
                <w:color w:val="auto"/>
                <w:sz w:val="21"/>
                <w:szCs w:val="21"/>
                <w:highlight w:val="none"/>
                <w:lang w:val="en-US" w:eastAsia="zh-CN"/>
              </w:rPr>
              <w:t>和质量标准</w:t>
            </w:r>
            <w:r>
              <w:rPr>
                <w:rFonts w:hint="eastAsia" w:ascii="宋体" w:hAnsi="宋体" w:eastAsia="宋体" w:cs="宋体"/>
                <w:color w:val="auto"/>
                <w:sz w:val="21"/>
                <w:szCs w:val="21"/>
                <w:highlight w:val="none"/>
              </w:rPr>
              <w:t>；</w:t>
            </w:r>
          </w:p>
          <w:p w14:paraId="39AEEC99">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b.投标文件组成齐全完整，内容均按规定填写；</w:t>
            </w:r>
          </w:p>
          <w:p w14:paraId="2C621335">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（2）投标文件上法定代表人或其委托代理人的签字、投标人的单位章盖章齐全，符合招标文件规定：</w:t>
            </w:r>
          </w:p>
          <w:p w14:paraId="4525D239">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（3）投标人按照招标文件的规定提供了投标保证金，满足投标人须知3.4.1规定。</w:t>
            </w:r>
          </w:p>
          <w:p w14:paraId="3F75936D">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（4）投标人法定代表人授权委托代理人签署投标文件的，须提交授权委托书，授权委托书的签字盖章符合招标文件规定。</w:t>
            </w:r>
          </w:p>
          <w:p w14:paraId="67E16511">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（5）投标人法定代表人亲自签署投标文件的，提供了法定代表人身份证明,法定代表人身份证明的签字盖章符合招标文件规定。</w:t>
            </w:r>
          </w:p>
          <w:p w14:paraId="1EE7DAEE">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（6）投标人未以联合体形式投标。</w:t>
            </w:r>
          </w:p>
          <w:p w14:paraId="432BFD58">
            <w:pPr>
              <w:snapToGrid w:val="0"/>
              <w:spacing w:line="360" w:lineRule="auto"/>
              <w:ind w:right="113"/>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（7）投标人未对本项目进行分包。</w:t>
            </w:r>
          </w:p>
          <w:p w14:paraId="1D0501B8">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（8）同一投标人</w:t>
            </w:r>
            <w:r>
              <w:rPr>
                <w:rFonts w:hint="eastAsia" w:ascii="宋体" w:hAnsi="宋体" w:cs="宋体"/>
                <w:color w:val="auto"/>
                <w:sz w:val="21"/>
                <w:szCs w:val="21"/>
                <w:highlight w:val="none"/>
                <w:lang w:val="en-US" w:eastAsia="zh-CN"/>
              </w:rPr>
              <w:t>对同一标段</w:t>
            </w:r>
            <w:r>
              <w:rPr>
                <w:rFonts w:hint="eastAsia" w:ascii="宋体" w:hAnsi="宋体" w:eastAsia="宋体" w:cs="宋体"/>
                <w:color w:val="auto"/>
                <w:sz w:val="21"/>
                <w:szCs w:val="21"/>
                <w:highlight w:val="none"/>
              </w:rPr>
              <w:t>未提交两个以上不同的投标文件。</w:t>
            </w:r>
          </w:p>
          <w:p w14:paraId="6AF6FD7D">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（9）投标文件中未出现有关投标报价的内容。</w:t>
            </w:r>
          </w:p>
          <w:p w14:paraId="154A37D9">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（10）投标文件载明的招标项目完成期限未超过招标文件规定的时限。</w:t>
            </w:r>
          </w:p>
          <w:p w14:paraId="3F16ACC6">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）投标文件对招标文件的实质性要求和条件作出响应。</w:t>
            </w:r>
          </w:p>
          <w:p w14:paraId="02577C7D">
            <w:pPr>
              <w:snapToGrid w:val="0"/>
              <w:spacing w:line="360" w:lineRule="auto"/>
              <w:rPr>
                <w:rFonts w:hint="eastAsia" w:ascii="宋体" w:hAnsi="宋体" w:eastAsia="宋体" w:cs="宋体"/>
                <w:strike w:val="0"/>
                <w:dstrike w:val="0"/>
                <w:color w:val="auto"/>
                <w:sz w:val="21"/>
                <w:szCs w:val="21"/>
                <w:highlight w:val="none"/>
                <w:lang w:eastAsia="zh-CN"/>
              </w:rPr>
            </w:pPr>
            <w:r>
              <w:rPr>
                <w:rFonts w:hint="eastAsia" w:ascii="宋体" w:hAnsi="宋体" w:eastAsia="宋体" w:cs="宋体"/>
                <w:strike w:val="0"/>
                <w:dstrike w:val="0"/>
                <w:color w:val="auto"/>
                <w:sz w:val="21"/>
                <w:szCs w:val="21"/>
                <w:highlight w:val="none"/>
              </w:rPr>
              <w:t>（</w:t>
            </w:r>
            <w:r>
              <w:rPr>
                <w:rFonts w:hint="eastAsia" w:ascii="宋体" w:hAnsi="宋体" w:eastAsia="宋体" w:cs="宋体"/>
                <w:strike w:val="0"/>
                <w:dstrike w:val="0"/>
                <w:color w:val="auto"/>
                <w:sz w:val="21"/>
                <w:szCs w:val="21"/>
                <w:highlight w:val="none"/>
                <w:lang w:val="en-US" w:eastAsia="zh-CN"/>
              </w:rPr>
              <w:t>1</w:t>
            </w:r>
            <w:r>
              <w:rPr>
                <w:rFonts w:hint="eastAsia" w:ascii="宋体" w:hAnsi="宋体" w:cs="宋体"/>
                <w:strike w:val="0"/>
                <w:dstrike w:val="0"/>
                <w:color w:val="auto"/>
                <w:sz w:val="21"/>
                <w:szCs w:val="21"/>
                <w:highlight w:val="none"/>
                <w:lang w:val="en-US" w:eastAsia="zh-CN"/>
              </w:rPr>
              <w:t>2</w:t>
            </w:r>
            <w:r>
              <w:rPr>
                <w:rFonts w:hint="eastAsia" w:ascii="宋体" w:hAnsi="宋体" w:eastAsia="宋体" w:cs="宋体"/>
                <w:strike w:val="0"/>
                <w:dstrike w:val="0"/>
                <w:color w:val="auto"/>
                <w:sz w:val="21"/>
                <w:szCs w:val="21"/>
                <w:highlight w:val="none"/>
              </w:rPr>
              <w:t>）递交的投标文件与所投标段一致</w:t>
            </w:r>
            <w:r>
              <w:rPr>
                <w:rFonts w:hint="eastAsia" w:ascii="宋体" w:hAnsi="宋体" w:eastAsia="宋体" w:cs="宋体"/>
                <w:strike w:val="0"/>
                <w:dstrike w:val="0"/>
                <w:color w:val="auto"/>
                <w:sz w:val="21"/>
                <w:szCs w:val="21"/>
                <w:highlight w:val="none"/>
                <w:lang w:eastAsia="zh-CN"/>
              </w:rPr>
              <w:t>。</w:t>
            </w:r>
          </w:p>
          <w:p w14:paraId="4E1E1D5C">
            <w:pPr>
              <w:snapToGrid w:val="0"/>
              <w:spacing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（1</w:t>
            </w:r>
            <w:r>
              <w:rPr>
                <w:rFonts w:hint="eastAsia" w:ascii="宋体" w:hAnsi="宋体" w:cs="宋体"/>
                <w:strike w:val="0"/>
                <w:dstrike w:val="0"/>
                <w:color w:val="auto"/>
                <w:sz w:val="21"/>
                <w:szCs w:val="21"/>
                <w:highlight w:val="none"/>
                <w:lang w:val="en-US" w:eastAsia="zh-CN"/>
              </w:rPr>
              <w:t>3</w:t>
            </w:r>
            <w:r>
              <w:rPr>
                <w:rFonts w:hint="eastAsia" w:ascii="宋体" w:hAnsi="宋体" w:eastAsia="宋体" w:cs="宋体"/>
                <w:strike w:val="0"/>
                <w:dstrike w:val="0"/>
                <w:color w:val="auto"/>
                <w:sz w:val="21"/>
                <w:szCs w:val="21"/>
                <w:highlight w:val="none"/>
              </w:rPr>
              <w:t>）权利义务符合招标文件规定：</w:t>
            </w:r>
          </w:p>
          <w:p w14:paraId="69F48319">
            <w:pPr>
              <w:snapToGrid w:val="0"/>
              <w:spacing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a．投标人应接受招标文件规定的风险划分原则，未提出新的风险划分办法；</w:t>
            </w:r>
          </w:p>
          <w:p w14:paraId="1ACEAD40">
            <w:pPr>
              <w:snapToGrid w:val="0"/>
              <w:spacing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b．投标人未增加发包人的责任范围，或减少投标人义务；</w:t>
            </w:r>
          </w:p>
          <w:p w14:paraId="1D58A522">
            <w:pPr>
              <w:snapToGrid w:val="0"/>
              <w:spacing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c．投标人未提出不同的验收、计量、支付办法；</w:t>
            </w:r>
          </w:p>
          <w:p w14:paraId="2DEFB7CD">
            <w:pPr>
              <w:snapToGrid w:val="0"/>
              <w:spacing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d．投标人对合同纠纷、事故处理办法未提出异议；</w:t>
            </w:r>
          </w:p>
          <w:p w14:paraId="63A19FA3">
            <w:pPr>
              <w:snapToGrid w:val="0"/>
              <w:spacing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e．投标人在投标活动中无欺诈行为；</w:t>
            </w:r>
          </w:p>
          <w:p w14:paraId="6BE343EF">
            <w:pPr>
              <w:snapToGrid w:val="0"/>
              <w:spacing w:line="360" w:lineRule="auto"/>
              <w:jc w:val="left"/>
              <w:textAlignment w:val="baseline"/>
              <w:rPr>
                <w:rFonts w:hint="eastAsia" w:ascii="宋体" w:hAnsi="宋体" w:eastAsia="宋体" w:cs="宋体"/>
                <w:strike w:val="0"/>
                <w:dstrike w:val="0"/>
                <w:color w:val="auto"/>
                <w:sz w:val="21"/>
                <w:szCs w:val="21"/>
                <w:highlight w:val="none"/>
                <w:lang w:eastAsia="zh-CN"/>
              </w:rPr>
            </w:pPr>
            <w:r>
              <w:rPr>
                <w:rFonts w:hint="eastAsia" w:ascii="宋体" w:hAnsi="宋体" w:eastAsia="宋体" w:cs="宋体"/>
                <w:strike w:val="0"/>
                <w:dstrike w:val="0"/>
                <w:color w:val="auto"/>
                <w:sz w:val="21"/>
                <w:szCs w:val="21"/>
                <w:highlight w:val="none"/>
              </w:rPr>
              <w:t>f．投标人未对合同条款有重要保留</w:t>
            </w:r>
            <w:r>
              <w:rPr>
                <w:rFonts w:hint="eastAsia" w:ascii="宋体" w:hAnsi="宋体" w:eastAsia="宋体" w:cs="宋体"/>
                <w:strike w:val="0"/>
                <w:dstrike w:val="0"/>
                <w:color w:val="auto"/>
                <w:sz w:val="21"/>
                <w:szCs w:val="21"/>
                <w:highlight w:val="none"/>
                <w:lang w:eastAsia="zh-CN"/>
              </w:rPr>
              <w:t>。</w:t>
            </w:r>
          </w:p>
          <w:p w14:paraId="0199018F">
            <w:pPr>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第一个信封（技术文件）评审标准： </w:t>
            </w:r>
          </w:p>
          <w:p w14:paraId="2C7BB2F6">
            <w:pPr>
              <w:widowControl/>
              <w:spacing w:line="360" w:lineRule="auto"/>
              <w:jc w:val="lef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技术部分</w:t>
            </w:r>
            <w:r>
              <w:rPr>
                <w:rFonts w:hint="eastAsia" w:ascii="宋体" w:hAnsi="宋体" w:eastAsia="宋体" w:cs="宋体"/>
                <w:color w:val="auto"/>
                <w:sz w:val="21"/>
                <w:szCs w:val="21"/>
                <w:highlight w:val="none"/>
                <w:lang w:val="en-US" w:eastAsia="zh-CN"/>
              </w:rPr>
              <w:t>（暗标）编制符合招标文件第二章“投标人须知”第</w:t>
            </w:r>
            <w:r>
              <w:rPr>
                <w:rFonts w:hint="eastAsia" w:ascii="宋体" w:hAnsi="宋体" w:cs="宋体"/>
                <w:color w:val="auto"/>
                <w:sz w:val="21"/>
                <w:szCs w:val="21"/>
                <w:highlight w:val="none"/>
                <w:lang w:val="en-US" w:eastAsia="zh-CN"/>
              </w:rPr>
              <w:t>3.7.3</w:t>
            </w:r>
            <w:r>
              <w:rPr>
                <w:rFonts w:hint="eastAsia" w:ascii="宋体" w:hAnsi="宋体" w:eastAsia="宋体" w:cs="宋体"/>
                <w:color w:val="auto"/>
                <w:sz w:val="21"/>
                <w:szCs w:val="21"/>
                <w:highlight w:val="none"/>
                <w:lang w:val="en-US" w:eastAsia="zh-CN"/>
              </w:rPr>
              <w:t>款的规定。</w:t>
            </w:r>
          </w:p>
          <w:p w14:paraId="14518285">
            <w:pPr>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第二个信封（报价文件）评审标准：</w:t>
            </w:r>
          </w:p>
          <w:p w14:paraId="01BCDAA1">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（1）投标文件按照招标文件规定的格式、内容填写，字迹清晰可辨：</w:t>
            </w:r>
          </w:p>
          <w:p w14:paraId="454962E8">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a.投标函按照招标文件规定填报了招标人名称、项目名称</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标段、</w:t>
            </w:r>
            <w:r>
              <w:rPr>
                <w:rFonts w:hint="eastAsia" w:ascii="宋体" w:hAnsi="宋体" w:eastAsia="宋体" w:cs="宋体"/>
                <w:color w:val="auto"/>
                <w:sz w:val="21"/>
                <w:szCs w:val="21"/>
                <w:highlight w:val="none"/>
              </w:rPr>
              <w:t>补遗书编号（如有）、投标</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（包括大写金额和小写金额）；</w:t>
            </w:r>
          </w:p>
          <w:p w14:paraId="545C6702">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b.投标文件组成齐全完整，内容均按规定填写。</w:t>
            </w:r>
          </w:p>
          <w:p w14:paraId="0679942F">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（2）投标文件上法定代表人或委托代理人的签字、投标人的单位章盖章齐全，符合招标文件规定。</w:t>
            </w:r>
          </w:p>
          <w:p w14:paraId="09517EBF">
            <w:pPr>
              <w:snapToGrid w:val="0"/>
              <w:spacing w:line="360" w:lineRule="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（3）投标报价未超过招标文件设定</w:t>
            </w:r>
            <w:r>
              <w:rPr>
                <w:rFonts w:hint="eastAsia" w:ascii="宋体" w:hAnsi="宋体" w:cs="宋体"/>
                <w:color w:val="auto"/>
                <w:szCs w:val="21"/>
                <w:highlight w:val="none"/>
                <w:lang w:val="en-US" w:eastAsia="zh-CN"/>
              </w:rPr>
              <w:t>所投标段</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最高</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限价</w:t>
            </w:r>
            <w:r>
              <w:rPr>
                <w:rFonts w:hint="eastAsia" w:ascii="宋体" w:hAnsi="宋体" w:cs="宋体"/>
                <w:color w:val="auto"/>
                <w:sz w:val="21"/>
                <w:szCs w:val="21"/>
                <w:highlight w:val="none"/>
                <w:lang w:val="en-US" w:eastAsia="zh-CN"/>
              </w:rPr>
              <w:t>或单项限价。</w:t>
            </w:r>
          </w:p>
          <w:p w14:paraId="4C36118B">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（4）投标报价的大写金额能够确定具体数值。</w:t>
            </w:r>
          </w:p>
          <w:p w14:paraId="1E8C89A6">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未提交调价函。</w:t>
            </w:r>
          </w:p>
          <w:p w14:paraId="7E47AA30">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）同一投标人</w:t>
            </w:r>
            <w:r>
              <w:rPr>
                <w:rFonts w:hint="eastAsia" w:ascii="宋体" w:hAnsi="宋体" w:cs="宋体"/>
                <w:color w:val="auto"/>
                <w:sz w:val="21"/>
                <w:szCs w:val="21"/>
                <w:highlight w:val="none"/>
                <w:lang w:val="en-US" w:eastAsia="zh-CN"/>
              </w:rPr>
              <w:t>对同一标段</w:t>
            </w:r>
            <w:r>
              <w:rPr>
                <w:rFonts w:hint="eastAsia" w:ascii="宋体" w:hAnsi="宋体" w:eastAsia="宋体" w:cs="宋体"/>
                <w:color w:val="auto"/>
                <w:sz w:val="21"/>
                <w:szCs w:val="21"/>
                <w:highlight w:val="none"/>
              </w:rPr>
              <w:t>未提交两个</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以上不同的投标报价。</w:t>
            </w:r>
          </w:p>
          <w:p w14:paraId="67F73E12">
            <w:pPr>
              <w:snapToGrid w:val="0"/>
              <w:spacing w:line="360" w:lineRule="auto"/>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w:t>
            </w:r>
            <w:r>
              <w:rPr>
                <w:rFonts w:hint="eastAsia" w:ascii="宋体" w:hAnsi="宋体" w:eastAsia="宋体" w:cs="宋体"/>
                <w:strike w:val="0"/>
                <w:dstrike w:val="0"/>
                <w:color w:val="auto"/>
                <w:sz w:val="21"/>
                <w:szCs w:val="21"/>
                <w:highlight w:val="none"/>
                <w:lang w:val="en-US" w:eastAsia="zh-CN"/>
              </w:rPr>
              <w:t>分项报价表</w:t>
            </w:r>
            <w:r>
              <w:rPr>
                <w:rFonts w:hint="eastAsia" w:ascii="宋体" w:hAnsi="宋体" w:eastAsia="宋体" w:cs="宋体"/>
                <w:color w:val="auto"/>
                <w:sz w:val="21"/>
                <w:szCs w:val="21"/>
                <w:highlight w:val="none"/>
              </w:rPr>
              <w:t>中</w:t>
            </w:r>
            <w:r>
              <w:rPr>
                <w:rFonts w:hint="eastAsia" w:ascii="宋体" w:hAnsi="宋体" w:eastAsia="宋体" w:cs="宋体"/>
                <w:color w:val="auto"/>
                <w:sz w:val="21"/>
                <w:szCs w:val="21"/>
                <w:highlight w:val="none"/>
                <w:lang w:val="en-US" w:eastAsia="zh-CN"/>
              </w:rPr>
              <w:t>合计</w:t>
            </w:r>
            <w:r>
              <w:rPr>
                <w:rFonts w:hint="eastAsia" w:ascii="宋体" w:hAnsi="宋体" w:eastAsia="宋体" w:cs="宋体"/>
                <w:color w:val="auto"/>
                <w:sz w:val="21"/>
                <w:szCs w:val="21"/>
                <w:highlight w:val="none"/>
              </w:rPr>
              <w:t>金额与投标函</w:t>
            </w:r>
            <w:r>
              <w:rPr>
                <w:rFonts w:hint="eastAsia" w:ascii="宋体" w:hAnsi="宋体" w:eastAsia="宋体" w:cs="宋体"/>
                <w:color w:val="auto"/>
                <w:sz w:val="21"/>
                <w:szCs w:val="21"/>
                <w:highlight w:val="none"/>
                <w:lang w:eastAsia="zh-CN"/>
              </w:rPr>
              <w:t>投标报价</w:t>
            </w:r>
            <w:r>
              <w:rPr>
                <w:rFonts w:hint="eastAsia" w:ascii="宋体" w:hAnsi="宋体" w:eastAsia="宋体" w:cs="宋体"/>
                <w:color w:val="auto"/>
                <w:sz w:val="21"/>
                <w:szCs w:val="21"/>
                <w:highlight w:val="none"/>
              </w:rPr>
              <w:t>大写金额一致。</w:t>
            </w:r>
          </w:p>
          <w:p w14:paraId="0A350346">
            <w:pPr>
              <w:snapToGrid w:val="0"/>
              <w:spacing w:line="360" w:lineRule="auto"/>
              <w:jc w:val="left"/>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）递交的投标文件与所投标段一致。</w:t>
            </w:r>
          </w:p>
        </w:tc>
      </w:tr>
      <w:tr w14:paraId="340C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33" w:hRule="atLeast"/>
          <w:jc w:val="center"/>
        </w:trPr>
        <w:tc>
          <w:tcPr>
            <w:tcW w:w="1143" w:type="dxa"/>
            <w:noWrap w:val="0"/>
            <w:vAlign w:val="center"/>
          </w:tcPr>
          <w:p w14:paraId="3B6DD918">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w:t>
            </w:r>
          </w:p>
        </w:tc>
        <w:tc>
          <w:tcPr>
            <w:tcW w:w="1317" w:type="dxa"/>
            <w:noWrap w:val="0"/>
            <w:vAlign w:val="center"/>
          </w:tcPr>
          <w:p w14:paraId="6499C93D">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资格评审标准</w:t>
            </w:r>
          </w:p>
        </w:tc>
        <w:tc>
          <w:tcPr>
            <w:tcW w:w="7197" w:type="dxa"/>
            <w:noWrap w:val="0"/>
            <w:vAlign w:val="center"/>
          </w:tcPr>
          <w:p w14:paraId="1E2C76BF">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（1）投标人具备有效的企业营业执照和基本账户开户许可证（或基本存款账户信息）；</w:t>
            </w:r>
          </w:p>
          <w:p w14:paraId="1A0EC935">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（2）投标人的资质符合招标文件规定；</w:t>
            </w:r>
          </w:p>
          <w:p w14:paraId="4817BA71">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（3）投标人的类似项目业绩符合招标文件规定；</w:t>
            </w:r>
          </w:p>
          <w:p w14:paraId="68A351FC">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（4）投标人的信誉符合招标文件规定；</w:t>
            </w:r>
          </w:p>
          <w:p w14:paraId="206B7BC4">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（5）投标人不存在第二章“投标人须知”第1.4.3项规定的任何一种情形。</w:t>
            </w:r>
          </w:p>
        </w:tc>
      </w:tr>
      <w:tr w14:paraId="38B3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noWrap w:val="0"/>
            <w:vAlign w:val="center"/>
          </w:tcPr>
          <w:p w14:paraId="3498532C">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1317" w:type="dxa"/>
            <w:noWrap w:val="0"/>
            <w:vAlign w:val="center"/>
          </w:tcPr>
          <w:p w14:paraId="10491459">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条款内容</w:t>
            </w:r>
          </w:p>
        </w:tc>
        <w:tc>
          <w:tcPr>
            <w:tcW w:w="7197" w:type="dxa"/>
            <w:noWrap w:val="0"/>
            <w:vAlign w:val="center"/>
          </w:tcPr>
          <w:p w14:paraId="78BA597B">
            <w:pPr>
              <w:adjustRightInd w:val="0"/>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编列内容</w:t>
            </w:r>
          </w:p>
        </w:tc>
      </w:tr>
      <w:tr w14:paraId="7D3D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noWrap w:val="0"/>
            <w:vAlign w:val="center"/>
          </w:tcPr>
          <w:p w14:paraId="2210E139">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1317" w:type="dxa"/>
            <w:noWrap w:val="0"/>
            <w:vAlign w:val="center"/>
          </w:tcPr>
          <w:p w14:paraId="425FDF3D">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第一个信封</w:t>
            </w:r>
            <w:r>
              <w:rPr>
                <w:rFonts w:hint="eastAsia" w:ascii="宋体" w:hAnsi="宋体" w:eastAsia="宋体" w:cs="宋体"/>
                <w:color w:val="auto"/>
                <w:sz w:val="21"/>
                <w:szCs w:val="21"/>
                <w:highlight w:val="none"/>
              </w:rPr>
              <w:t>分值构成</w:t>
            </w:r>
          </w:p>
          <w:p w14:paraId="12304A17">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（总分100分）</w:t>
            </w:r>
          </w:p>
        </w:tc>
        <w:tc>
          <w:tcPr>
            <w:tcW w:w="7197" w:type="dxa"/>
            <w:noWrap w:val="0"/>
            <w:vAlign w:val="center"/>
          </w:tcPr>
          <w:p w14:paraId="2E954D56">
            <w:pPr>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商务部分：</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p w14:paraId="1CA7B4DA">
            <w:pPr>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技术部分：</w:t>
            </w:r>
            <w:r>
              <w:rPr>
                <w:rFonts w:hint="eastAsia" w:ascii="宋体" w:hAnsi="宋体" w:eastAsia="宋体" w:cs="宋体"/>
                <w:color w:val="auto"/>
                <w:sz w:val="21"/>
                <w:szCs w:val="21"/>
                <w:highlight w:val="none"/>
                <w:lang w:val="en-US" w:eastAsia="zh-CN"/>
              </w:rPr>
              <w:t>80</w:t>
            </w:r>
            <w:r>
              <w:rPr>
                <w:rFonts w:hint="eastAsia" w:ascii="宋体" w:hAnsi="宋体" w:eastAsia="宋体" w:cs="宋体"/>
                <w:color w:val="auto"/>
                <w:sz w:val="21"/>
                <w:szCs w:val="21"/>
                <w:highlight w:val="none"/>
              </w:rPr>
              <w:t>分</w:t>
            </w:r>
          </w:p>
          <w:p w14:paraId="107BEC00">
            <w:pPr>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其他评分因素：0分</w:t>
            </w:r>
          </w:p>
        </w:tc>
      </w:tr>
      <w:tr w14:paraId="4828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6D73A480">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w:t>
            </w:r>
          </w:p>
        </w:tc>
        <w:tc>
          <w:tcPr>
            <w:tcW w:w="1317" w:type="dxa"/>
            <w:noWrap w:val="0"/>
            <w:vAlign w:val="center"/>
          </w:tcPr>
          <w:p w14:paraId="23B8A5DE">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第二个信封详细评审标准</w:t>
            </w:r>
          </w:p>
        </w:tc>
        <w:tc>
          <w:tcPr>
            <w:tcW w:w="7197" w:type="dxa"/>
            <w:noWrap w:val="0"/>
            <w:vAlign w:val="center"/>
          </w:tcPr>
          <w:p w14:paraId="31C6DA41">
            <w:pPr>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评标价计算公式：</w:t>
            </w:r>
          </w:p>
          <w:p w14:paraId="07407BF6">
            <w:pPr>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评标价=投标函文字报价。</w:t>
            </w:r>
          </w:p>
        </w:tc>
      </w:tr>
      <w:tr w14:paraId="05E6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35631033">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3.2.4</w:t>
            </w:r>
          </w:p>
        </w:tc>
        <w:tc>
          <w:tcPr>
            <w:tcW w:w="1317" w:type="dxa"/>
            <w:noWrap w:val="0"/>
            <w:vAlign w:val="center"/>
          </w:tcPr>
          <w:p w14:paraId="46F11C7A">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通过第一个信封详细评审的投标人数量</w:t>
            </w:r>
          </w:p>
        </w:tc>
        <w:tc>
          <w:tcPr>
            <w:tcW w:w="7197" w:type="dxa"/>
            <w:noWrap w:val="0"/>
            <w:vAlign w:val="center"/>
          </w:tcPr>
          <w:p w14:paraId="18691402">
            <w:pPr>
              <w:adjustRightInd w:val="0"/>
              <w:snapToGrid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按照投标人的</w:t>
            </w:r>
            <w:r>
              <w:rPr>
                <w:rFonts w:hint="eastAsia" w:ascii="宋体" w:hAnsi="宋体" w:eastAsia="宋体" w:cs="宋体"/>
                <w:color w:val="auto"/>
                <w:sz w:val="21"/>
                <w:szCs w:val="21"/>
                <w:highlight w:val="none"/>
                <w:lang w:val="en-US" w:eastAsia="zh-CN"/>
              </w:rPr>
              <w:t>综合</w:t>
            </w:r>
            <w:r>
              <w:rPr>
                <w:rFonts w:hint="eastAsia" w:ascii="宋体" w:hAnsi="宋体" w:eastAsia="宋体" w:cs="宋体"/>
                <w:color w:val="auto"/>
                <w:sz w:val="21"/>
                <w:szCs w:val="21"/>
                <w:highlight w:val="none"/>
              </w:rPr>
              <w:t>得分由高到低排序，选择</w:t>
            </w:r>
            <w:r>
              <w:rPr>
                <w:rFonts w:hint="eastAsia" w:ascii="宋体" w:hAnsi="宋体" w:cs="宋体"/>
                <w:color w:val="auto"/>
                <w:sz w:val="21"/>
                <w:szCs w:val="21"/>
                <w:highlight w:val="none"/>
                <w:lang w:eastAsia="zh-CN"/>
              </w:rPr>
              <w:t>前3个</w:t>
            </w:r>
            <w:r>
              <w:rPr>
                <w:rFonts w:hint="eastAsia" w:ascii="宋体" w:hAnsi="宋体" w:eastAsia="宋体" w:cs="宋体"/>
                <w:color w:val="auto"/>
                <w:sz w:val="21"/>
                <w:szCs w:val="21"/>
                <w:highlight w:val="none"/>
                <w:lang w:val="en-US" w:eastAsia="zh-CN"/>
              </w:rPr>
              <w:t>进入第二信封</w:t>
            </w:r>
            <w:r>
              <w:rPr>
                <w:rFonts w:hint="eastAsia" w:ascii="宋体" w:hAnsi="宋体" w:eastAsia="宋体" w:cs="宋体"/>
                <w:color w:val="auto"/>
                <w:sz w:val="21"/>
                <w:szCs w:val="21"/>
                <w:highlight w:val="none"/>
              </w:rPr>
              <w:t>评审</w:t>
            </w:r>
            <w:r>
              <w:rPr>
                <w:rFonts w:hint="eastAsia" w:ascii="宋体" w:hAnsi="宋体" w:eastAsia="宋体" w:cs="宋体"/>
                <w:color w:val="auto"/>
                <w:sz w:val="21"/>
                <w:szCs w:val="21"/>
                <w:highlight w:val="none"/>
                <w:lang w:eastAsia="zh-CN"/>
              </w:rPr>
              <w:t>。</w:t>
            </w:r>
          </w:p>
        </w:tc>
      </w:tr>
      <w:tr w14:paraId="06CD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2460" w:type="dxa"/>
            <w:gridSpan w:val="2"/>
            <w:noWrap w:val="0"/>
            <w:vAlign w:val="center"/>
          </w:tcPr>
          <w:p w14:paraId="6A1F8F5B">
            <w:pPr>
              <w:snapToGrid w:val="0"/>
              <w:spacing w:line="360" w:lineRule="auto"/>
              <w:jc w:val="center"/>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lang w:val="en-US" w:eastAsia="zh-CN"/>
              </w:rPr>
              <w:t>3.5.3异常低价评审</w:t>
            </w:r>
          </w:p>
        </w:tc>
        <w:tc>
          <w:tcPr>
            <w:tcW w:w="7197" w:type="dxa"/>
            <w:noWrap w:val="0"/>
            <w:vAlign w:val="center"/>
          </w:tcPr>
          <w:p w14:paraId="0297F68F">
            <w:pPr>
              <w:snapToGrid w:val="0"/>
              <w:spacing w:line="360" w:lineRule="auto"/>
              <w:rPr>
                <w:rFonts w:hint="eastAsia" w:ascii="宋体" w:hAnsi="宋体" w:eastAsia="宋体" w:cs="宋体"/>
                <w:strike w:val="0"/>
                <w:dstrike w:val="0"/>
                <w:color w:val="auto"/>
                <w:sz w:val="21"/>
                <w:szCs w:val="21"/>
                <w:highlight w:val="none"/>
                <w:u w:val="none"/>
                <w:lang w:val="en-US" w:eastAsia="zh-CN"/>
              </w:rPr>
            </w:pPr>
            <w:r>
              <w:rPr>
                <w:rFonts w:hint="eastAsia" w:ascii="宋体" w:hAnsi="宋体" w:eastAsia="宋体" w:cs="宋体"/>
                <w:strike w:val="0"/>
                <w:dstrike w:val="0"/>
                <w:color w:val="auto"/>
                <w:sz w:val="21"/>
                <w:szCs w:val="21"/>
                <w:highlight w:val="none"/>
                <w:u w:val="none"/>
                <w:lang w:val="en-US" w:eastAsia="zh-CN"/>
              </w:rPr>
              <w:t>本款修改为：</w:t>
            </w:r>
          </w:p>
          <w:p w14:paraId="1351EAF6">
            <w:pPr>
              <w:snapToGrid w:val="0"/>
              <w:spacing w:line="360" w:lineRule="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u w:val="none"/>
              </w:rPr>
              <w:t>评标委员会发现投标人的投标报价低于通过第</w:t>
            </w:r>
            <w:r>
              <w:rPr>
                <w:rFonts w:hint="eastAsia" w:ascii="宋体" w:hAnsi="宋体" w:cs="宋体"/>
                <w:strike w:val="0"/>
                <w:dstrike w:val="0"/>
                <w:color w:val="auto"/>
                <w:sz w:val="21"/>
                <w:szCs w:val="21"/>
                <w:highlight w:val="none"/>
                <w:u w:val="none"/>
                <w:lang w:eastAsia="zh-CN"/>
              </w:rPr>
              <w:t>二</w:t>
            </w:r>
            <w:r>
              <w:rPr>
                <w:rFonts w:hint="eastAsia" w:ascii="宋体" w:hAnsi="宋体" w:eastAsia="宋体" w:cs="宋体"/>
                <w:strike w:val="0"/>
                <w:dstrike w:val="0"/>
                <w:color w:val="auto"/>
                <w:sz w:val="21"/>
                <w:szCs w:val="21"/>
                <w:highlight w:val="none"/>
                <w:u w:val="none"/>
              </w:rPr>
              <w:t>信封形式和响应评审的全部投标人投标报价平均值的</w:t>
            </w:r>
            <w:r>
              <w:rPr>
                <w:rFonts w:hint="eastAsia" w:ascii="宋体" w:hAnsi="宋体" w:cs="宋体"/>
                <w:strike w:val="0"/>
                <w:dstrike w:val="0"/>
                <w:color w:val="auto"/>
                <w:sz w:val="21"/>
                <w:szCs w:val="21"/>
                <w:highlight w:val="none"/>
                <w:u w:val="none"/>
                <w:lang w:val="en-US" w:eastAsia="zh-CN"/>
              </w:rPr>
              <w:t>50</w:t>
            </w:r>
            <w:r>
              <w:rPr>
                <w:rFonts w:hint="eastAsia" w:ascii="宋体" w:hAnsi="宋体" w:eastAsia="宋体" w:cs="宋体"/>
                <w:strike w:val="0"/>
                <w:dstrike w:val="0"/>
                <w:color w:val="auto"/>
                <w:sz w:val="21"/>
                <w:szCs w:val="21"/>
                <w:highlight w:val="none"/>
                <w:u w:val="none"/>
              </w:rPr>
              <w:t>%（含）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7F1E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16E3EBAF">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3.6.1</w:t>
            </w:r>
          </w:p>
        </w:tc>
        <w:tc>
          <w:tcPr>
            <w:tcW w:w="1317" w:type="dxa"/>
            <w:noWrap w:val="0"/>
            <w:vAlign w:val="center"/>
          </w:tcPr>
          <w:p w14:paraId="061A5BAB">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信息查询</w:t>
            </w:r>
          </w:p>
        </w:tc>
        <w:tc>
          <w:tcPr>
            <w:tcW w:w="7197" w:type="dxa"/>
            <w:noWrap w:val="0"/>
            <w:vAlign w:val="center"/>
          </w:tcPr>
          <w:p w14:paraId="3C828FC2">
            <w:pPr>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修改为：</w:t>
            </w:r>
          </w:p>
          <w:p w14:paraId="4854F9D5">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在评标过程中，评标委员会应对以下信息进行查询：</w:t>
            </w:r>
          </w:p>
          <w:p w14:paraId="518513B5">
            <w:pPr>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评标委员会在评标过程中将对投标人的信誉情况进行查询。如投标人存在下列情形之一的，评标委员会应否决其投标。</w:t>
            </w:r>
          </w:p>
          <w:p w14:paraId="6A754952">
            <w:pPr>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（1）在国家企业信用信息公示系统（https://www.gsxt.gov.cn/）中被列入严重违法失信名单（黑名单）（不含分公司）；</w:t>
            </w:r>
          </w:p>
          <w:p w14:paraId="2B92ECB1">
            <w:pPr>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（2）在“信用中国”网站（http://www.creditchina.gov.cn/）中被列入</w:t>
            </w:r>
            <w:r>
              <w:rPr>
                <w:rFonts w:hint="eastAsia" w:ascii="宋体" w:hAnsi="宋体" w:cs="宋体"/>
                <w:b w:val="0"/>
                <w:bCs w:val="0"/>
                <w:color w:val="auto"/>
                <w:spacing w:val="1"/>
                <w:kern w:val="0"/>
                <w:sz w:val="21"/>
                <w:szCs w:val="21"/>
                <w:highlight w:val="none"/>
                <w:lang w:eastAsia="zh-CN"/>
              </w:rPr>
              <w:t>失信被执行人、</w:t>
            </w:r>
            <w:r>
              <w:rPr>
                <w:rFonts w:hint="eastAsia" w:ascii="宋体" w:hAnsi="宋体" w:eastAsia="宋体" w:cs="宋体"/>
                <w:color w:val="auto"/>
                <w:sz w:val="21"/>
                <w:szCs w:val="21"/>
                <w:highlight w:val="none"/>
                <w:lang w:val="en-US" w:eastAsia="zh-CN"/>
              </w:rPr>
              <w:t>经营（活动）异常名录、</w:t>
            </w:r>
            <w:r>
              <w:rPr>
                <w:rFonts w:hint="eastAsia" w:ascii="宋体" w:hAnsi="宋体" w:cs="宋体"/>
                <w:b w:val="0"/>
                <w:bCs w:val="0"/>
                <w:color w:val="auto"/>
                <w:spacing w:val="1"/>
                <w:kern w:val="0"/>
                <w:sz w:val="21"/>
                <w:szCs w:val="21"/>
                <w:highlight w:val="none"/>
                <w:lang w:eastAsia="zh-CN"/>
              </w:rPr>
              <w:t>重大税收违法失信主体、政府采购严重违法失信行为记录名单和安全生产严重失信主体名单（均不含分公司）</w:t>
            </w:r>
            <w:r>
              <w:rPr>
                <w:rFonts w:hint="eastAsia" w:ascii="宋体" w:hAnsi="宋体" w:eastAsia="宋体" w:cs="宋体"/>
                <w:color w:val="auto"/>
                <w:sz w:val="21"/>
                <w:szCs w:val="21"/>
                <w:highlight w:val="none"/>
                <w:lang w:val="en-US" w:eastAsia="zh-CN"/>
              </w:rPr>
              <w:t>；</w:t>
            </w:r>
          </w:p>
          <w:p w14:paraId="7FEA4F66">
            <w:pPr>
              <w:snapToGrid w:val="0"/>
              <w:spacing w:line="360" w:lineRule="auto"/>
              <w:rPr>
                <w:rFonts w:hint="eastAsia" w:ascii="宋体" w:hAnsi="宋体" w:eastAsia="宋体" w:cs="宋体"/>
                <w:strike/>
                <w:dstrike w:val="0"/>
                <w:color w:val="auto"/>
                <w:sz w:val="21"/>
                <w:szCs w:val="21"/>
                <w:highlight w:val="none"/>
              </w:rPr>
            </w:pPr>
            <w:r>
              <w:rPr>
                <w:rFonts w:hint="eastAsia" w:ascii="宋体" w:hAnsi="宋体" w:eastAsia="宋体" w:cs="宋体"/>
                <w:color w:val="auto"/>
                <w:sz w:val="21"/>
                <w:szCs w:val="21"/>
                <w:highlight w:val="none"/>
                <w:lang w:val="en-US" w:eastAsia="zh-CN"/>
              </w:rPr>
              <w:t xml:space="preserve">注:以上查询结果以开标当日查询结果为准。 </w:t>
            </w:r>
          </w:p>
        </w:tc>
      </w:tr>
      <w:tr w14:paraId="1DB37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648660B7">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3.6.3</w:t>
            </w:r>
          </w:p>
        </w:tc>
        <w:tc>
          <w:tcPr>
            <w:tcW w:w="1317" w:type="dxa"/>
            <w:noWrap w:val="0"/>
            <w:vAlign w:val="center"/>
          </w:tcPr>
          <w:p w14:paraId="5D87B5DA">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投标人其他异常投标情形</w:t>
            </w:r>
          </w:p>
        </w:tc>
        <w:tc>
          <w:tcPr>
            <w:tcW w:w="7197" w:type="dxa"/>
            <w:noWrap w:val="0"/>
            <w:vAlign w:val="center"/>
          </w:tcPr>
          <w:p w14:paraId="2D08EE75">
            <w:pPr>
              <w:snapToGrid w:val="0"/>
              <w:spacing w:line="360" w:lineRule="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评标委员会在评标过程中发现存在投标文件异常一致或投标活动异常关联等异常投标情形的，</w:t>
            </w:r>
            <w:r>
              <w:rPr>
                <w:rFonts w:hint="eastAsia" w:ascii="宋体" w:hAnsi="宋体" w:eastAsia="宋体" w:cs="宋体"/>
                <w:strike w:val="0"/>
                <w:dstrike w:val="0"/>
                <w:color w:val="auto"/>
                <w:sz w:val="21"/>
                <w:szCs w:val="21"/>
                <w:highlight w:val="none"/>
                <w:u w:val="none"/>
              </w:rPr>
              <w:t>应当要求投标人在规定时间内作出书面说明并提供相应的证明材料。投标人不能合理说明或者不能提供相应证明材料的，评标委员会应当认定投标人</w:t>
            </w:r>
            <w:r>
              <w:rPr>
                <w:rFonts w:hint="eastAsia" w:ascii="宋体" w:hAnsi="宋体" w:eastAsia="宋体" w:cs="宋体"/>
                <w:strike w:val="0"/>
                <w:dstrike w:val="0"/>
                <w:color w:val="auto"/>
                <w:sz w:val="21"/>
                <w:szCs w:val="21"/>
                <w:highlight w:val="none"/>
                <w:lang w:val="en-US" w:eastAsia="zh-CN"/>
              </w:rPr>
              <w:t>存在串通投标等违法行为，并否决其投标。</w:t>
            </w:r>
          </w:p>
          <w:p w14:paraId="6C3352F4">
            <w:pPr>
              <w:snapToGrid w:val="0"/>
              <w:spacing w:line="360" w:lineRule="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有下列情形之一的，属于投标文件异常一致或投标活动异常关联等异常投标情形：</w:t>
            </w:r>
          </w:p>
          <w:p w14:paraId="46FCBA9D">
            <w:pPr>
              <w:snapToGrid w:val="0"/>
              <w:spacing w:line="360" w:lineRule="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（1）投标人投标文件制作机器码雷同；</w:t>
            </w:r>
          </w:p>
          <w:p w14:paraId="669CB213">
            <w:pPr>
              <w:snapToGrid w:val="0"/>
              <w:spacing w:line="360" w:lineRule="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（2）投标文件创建标识码雷同；</w:t>
            </w:r>
          </w:p>
          <w:p w14:paraId="7764FE70">
            <w:pPr>
              <w:snapToGrid w:val="0"/>
              <w:spacing w:line="360" w:lineRule="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（3）投标文件制作计算机MAC地址雷同；</w:t>
            </w:r>
          </w:p>
          <w:p w14:paraId="7D36871A">
            <w:pPr>
              <w:snapToGrid w:val="0"/>
              <w:spacing w:line="360" w:lineRule="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（4）投标文件制作计算机硬盘序列号雷同；</w:t>
            </w:r>
          </w:p>
          <w:p w14:paraId="73B3949F">
            <w:pPr>
              <w:snapToGrid w:val="0"/>
              <w:spacing w:line="360" w:lineRule="auto"/>
              <w:rPr>
                <w:rFonts w:hint="eastAsia" w:ascii="宋体" w:hAnsi="宋体" w:eastAsia="宋体" w:cs="宋体"/>
                <w:strike w:val="0"/>
                <w:dstrike w:val="0"/>
                <w:color w:val="auto"/>
                <w:sz w:val="21"/>
                <w:szCs w:val="21"/>
                <w:highlight w:val="none"/>
                <w:lang w:val="en-US" w:eastAsia="zh-CN"/>
              </w:rPr>
            </w:pPr>
            <w:r>
              <w:rPr>
                <w:rFonts w:hint="eastAsia" w:ascii="宋体" w:hAnsi="宋体" w:cs="宋体"/>
                <w:strike w:val="0"/>
                <w:dstrike w:val="0"/>
                <w:color w:val="auto"/>
                <w:sz w:val="21"/>
                <w:szCs w:val="21"/>
                <w:highlight w:val="none"/>
                <w:lang w:val="en-US" w:eastAsia="zh-CN"/>
              </w:rPr>
              <w:t>（5）</w:t>
            </w:r>
            <w:r>
              <w:rPr>
                <w:rFonts w:hint="eastAsia" w:ascii="宋体" w:hAnsi="宋体" w:eastAsia="宋体" w:cs="宋体"/>
                <w:strike w:val="0"/>
                <w:dstrike w:val="0"/>
                <w:color w:val="auto"/>
                <w:sz w:val="21"/>
                <w:szCs w:val="21"/>
                <w:highlight w:val="none"/>
                <w:lang w:val="en-US" w:eastAsia="zh-CN"/>
              </w:rPr>
              <w:t>投标文件上传IP地址雷同；</w:t>
            </w:r>
          </w:p>
          <w:p w14:paraId="1878B025">
            <w:pPr>
              <w:snapToGrid w:val="0"/>
              <w:spacing w:line="360" w:lineRule="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w:t>
            </w:r>
            <w:r>
              <w:rPr>
                <w:rFonts w:hint="eastAsia" w:ascii="宋体" w:hAnsi="宋体" w:cs="宋体"/>
                <w:strike w:val="0"/>
                <w:dstrike w:val="0"/>
                <w:color w:val="auto"/>
                <w:sz w:val="21"/>
                <w:szCs w:val="21"/>
                <w:highlight w:val="none"/>
                <w:lang w:val="en-US" w:eastAsia="zh-CN"/>
              </w:rPr>
              <w:t>6</w:t>
            </w:r>
            <w:r>
              <w:rPr>
                <w:rFonts w:hint="eastAsia" w:ascii="宋体" w:hAnsi="宋体" w:eastAsia="宋体" w:cs="宋体"/>
                <w:strike w:val="0"/>
                <w:dstrike w:val="0"/>
                <w:color w:val="auto"/>
                <w:sz w:val="21"/>
                <w:szCs w:val="21"/>
                <w:highlight w:val="none"/>
                <w:lang w:val="en-US" w:eastAsia="zh-CN"/>
              </w:rPr>
              <w:t>）投标文件解密IP地址雷同。</w:t>
            </w:r>
          </w:p>
        </w:tc>
      </w:tr>
    </w:tbl>
    <w:p w14:paraId="196F5469">
      <w:pPr>
        <w:adjustRightInd w:val="0"/>
        <w:snapToGrid w:val="0"/>
        <w:spacing w:line="360" w:lineRule="auto"/>
        <w:textAlignment w:val="baseline"/>
        <w:rPr>
          <w:rFonts w:ascii="宋体" w:hAnsi="宋体"/>
          <w:b/>
          <w:bCs/>
          <w:snapToGrid w:val="0"/>
          <w:color w:val="auto"/>
          <w:kern w:val="0"/>
          <w:sz w:val="28"/>
          <w:szCs w:val="24"/>
          <w:highlight w:val="none"/>
        </w:rPr>
      </w:pPr>
      <w:r>
        <w:rPr>
          <w:rFonts w:hint="eastAsia" w:ascii="宋体" w:hAnsi="宋体"/>
          <w:b/>
          <w:bCs/>
          <w:snapToGrid w:val="0"/>
          <w:color w:val="auto"/>
          <w:kern w:val="0"/>
          <w:sz w:val="28"/>
          <w:szCs w:val="24"/>
          <w:highlight w:val="none"/>
        </w:rPr>
        <w:br w:type="page"/>
      </w:r>
      <w:r>
        <w:rPr>
          <w:rFonts w:hint="eastAsia" w:ascii="宋体" w:hAnsi="宋体"/>
          <w:b/>
          <w:bCs/>
          <w:snapToGrid w:val="0"/>
          <w:color w:val="auto"/>
          <w:kern w:val="0"/>
          <w:sz w:val="28"/>
          <w:szCs w:val="24"/>
          <w:highlight w:val="none"/>
        </w:rPr>
        <w:t>评分标准</w:t>
      </w:r>
    </w:p>
    <w:tbl>
      <w:tblPr>
        <w:tblStyle w:val="8"/>
        <w:tblpPr w:leftFromText="180" w:rightFromText="180" w:vertAnchor="text" w:tblpXSpec="center" w:tblpY="1"/>
        <w:tblOverlap w:val="never"/>
        <w:tblW w:w="9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86"/>
        <w:gridCol w:w="1507"/>
        <w:gridCol w:w="787"/>
        <w:gridCol w:w="4935"/>
      </w:tblGrid>
      <w:tr w14:paraId="0CCE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59" w:type="dxa"/>
            <w:noWrap w:val="0"/>
            <w:vAlign w:val="center"/>
          </w:tcPr>
          <w:p w14:paraId="06DD6880">
            <w:pPr>
              <w:pStyle w:val="4"/>
              <w:spacing w:line="360" w:lineRule="auto"/>
              <w:jc w:val="center"/>
              <w:textAlignment w:val="baseline"/>
              <w:rPr>
                <w:rFonts w:hint="eastAsia" w:hAnsi="宋体" w:cs="宋体"/>
                <w:color w:val="auto"/>
                <w:kern w:val="0"/>
                <w:sz w:val="21"/>
                <w:szCs w:val="21"/>
                <w:highlight w:val="none"/>
              </w:rPr>
            </w:pPr>
            <w:r>
              <w:rPr>
                <w:rFonts w:hint="eastAsia" w:hAnsi="宋体" w:cs="宋体"/>
                <w:color w:val="auto"/>
                <w:sz w:val="21"/>
                <w:szCs w:val="21"/>
                <w:highlight w:val="none"/>
              </w:rPr>
              <w:t>条款号</w:t>
            </w:r>
          </w:p>
        </w:tc>
        <w:tc>
          <w:tcPr>
            <w:tcW w:w="1186" w:type="dxa"/>
            <w:noWrap w:val="0"/>
            <w:vAlign w:val="center"/>
          </w:tcPr>
          <w:p w14:paraId="67B67F27">
            <w:pPr>
              <w:pStyle w:val="4"/>
              <w:spacing w:line="360" w:lineRule="auto"/>
              <w:jc w:val="center"/>
              <w:textAlignment w:val="baseline"/>
              <w:rPr>
                <w:rFonts w:hAnsi="宋体" w:cs="宋体"/>
                <w:color w:val="auto"/>
                <w:sz w:val="21"/>
                <w:szCs w:val="21"/>
                <w:highlight w:val="none"/>
              </w:rPr>
            </w:pPr>
            <w:r>
              <w:rPr>
                <w:rFonts w:hint="eastAsia" w:hAnsi="宋体" w:cs="宋体"/>
                <w:color w:val="auto"/>
                <w:sz w:val="21"/>
                <w:szCs w:val="21"/>
                <w:highlight w:val="none"/>
              </w:rPr>
              <w:t>评分</w:t>
            </w:r>
          </w:p>
          <w:p w14:paraId="5C4F5707">
            <w:pPr>
              <w:pStyle w:val="4"/>
              <w:spacing w:line="360" w:lineRule="auto"/>
              <w:jc w:val="center"/>
              <w:textAlignment w:val="baseline"/>
              <w:rPr>
                <w:rFonts w:hint="eastAsia" w:hAnsi="宋体" w:cs="宋体"/>
                <w:color w:val="auto"/>
                <w:sz w:val="21"/>
                <w:szCs w:val="21"/>
                <w:highlight w:val="none"/>
              </w:rPr>
            </w:pPr>
            <w:r>
              <w:rPr>
                <w:rFonts w:hint="eastAsia" w:hAnsi="宋体" w:cs="宋体"/>
                <w:color w:val="auto"/>
                <w:sz w:val="21"/>
                <w:szCs w:val="21"/>
                <w:highlight w:val="none"/>
              </w:rPr>
              <w:t>因素</w:t>
            </w:r>
          </w:p>
        </w:tc>
        <w:tc>
          <w:tcPr>
            <w:tcW w:w="1507" w:type="dxa"/>
            <w:noWrap w:val="0"/>
            <w:vAlign w:val="center"/>
          </w:tcPr>
          <w:p w14:paraId="3A651958">
            <w:pPr>
              <w:adjustRightInd w:val="0"/>
              <w:snapToGrid w:val="0"/>
              <w:spacing w:line="360" w:lineRule="auto"/>
              <w:jc w:val="center"/>
              <w:rPr>
                <w:rFonts w:ascii="宋体" w:hAnsi="宋体" w:cs="宋体"/>
                <w:color w:val="auto"/>
                <w:sz w:val="21"/>
                <w:szCs w:val="21"/>
                <w:highlight w:val="none"/>
                <w:u w:val="single"/>
              </w:rPr>
            </w:pPr>
            <w:r>
              <w:rPr>
                <w:rFonts w:hint="eastAsia" w:ascii="宋体" w:hAnsi="宋体" w:cs="宋体"/>
                <w:color w:val="auto"/>
                <w:sz w:val="21"/>
                <w:szCs w:val="21"/>
                <w:highlight w:val="none"/>
              </w:rPr>
              <w:t>评分因素</w:t>
            </w:r>
          </w:p>
        </w:tc>
        <w:tc>
          <w:tcPr>
            <w:tcW w:w="787" w:type="dxa"/>
            <w:noWrap w:val="0"/>
            <w:vAlign w:val="center"/>
          </w:tcPr>
          <w:p w14:paraId="450C3D25">
            <w:pPr>
              <w:spacing w:line="360" w:lineRule="auto"/>
              <w:jc w:val="center"/>
              <w:rPr>
                <w:rFonts w:ascii="宋体" w:hAnsi="宋体" w:cs="宋体"/>
                <w:color w:val="auto"/>
                <w:sz w:val="21"/>
                <w:szCs w:val="21"/>
                <w:highlight w:val="none"/>
              </w:rPr>
            </w:pPr>
            <w:r>
              <w:rPr>
                <w:rFonts w:ascii="宋体" w:hAnsi="宋体" w:cs="宋体"/>
                <w:color w:val="auto"/>
                <w:spacing w:val="-3"/>
                <w:sz w:val="21"/>
                <w:szCs w:val="21"/>
                <w:highlight w:val="none"/>
              </w:rPr>
              <w:t>分</w:t>
            </w:r>
            <w:r>
              <w:rPr>
                <w:rFonts w:ascii="宋体" w:hAnsi="宋体" w:cs="宋体"/>
                <w:color w:val="auto"/>
                <w:spacing w:val="-2"/>
                <w:sz w:val="21"/>
                <w:szCs w:val="21"/>
                <w:highlight w:val="none"/>
              </w:rPr>
              <w:t>值</w:t>
            </w:r>
          </w:p>
        </w:tc>
        <w:tc>
          <w:tcPr>
            <w:tcW w:w="4935" w:type="dxa"/>
            <w:noWrap w:val="0"/>
            <w:vAlign w:val="center"/>
          </w:tcPr>
          <w:p w14:paraId="165B730C">
            <w:pPr>
              <w:spacing w:line="360" w:lineRule="auto"/>
              <w:jc w:val="center"/>
              <w:rPr>
                <w:rFonts w:ascii="宋体" w:hAnsi="宋体" w:cs="宋体"/>
                <w:color w:val="auto"/>
                <w:spacing w:val="-3"/>
                <w:sz w:val="21"/>
                <w:szCs w:val="21"/>
                <w:highlight w:val="none"/>
              </w:rPr>
            </w:pPr>
            <w:r>
              <w:rPr>
                <w:rFonts w:ascii="宋体" w:hAnsi="宋体" w:cs="宋体"/>
                <w:color w:val="auto"/>
                <w:spacing w:val="-1"/>
                <w:sz w:val="21"/>
                <w:szCs w:val="21"/>
                <w:highlight w:val="none"/>
              </w:rPr>
              <w:t>评分</w:t>
            </w:r>
            <w:r>
              <w:rPr>
                <w:rFonts w:ascii="宋体" w:hAnsi="宋体" w:cs="宋体"/>
                <w:color w:val="auto"/>
                <w:sz w:val="21"/>
                <w:szCs w:val="21"/>
                <w:highlight w:val="none"/>
              </w:rPr>
              <w:t>标准</w:t>
            </w:r>
          </w:p>
        </w:tc>
      </w:tr>
      <w:tr w14:paraId="1B60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959" w:type="dxa"/>
            <w:vMerge w:val="restart"/>
            <w:noWrap w:val="0"/>
            <w:vAlign w:val="center"/>
          </w:tcPr>
          <w:p w14:paraId="71E4AC21">
            <w:pPr>
              <w:spacing w:line="360" w:lineRule="auto"/>
              <w:jc w:val="center"/>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rPr>
              <w:t>2.2.</w:t>
            </w:r>
            <w:r>
              <w:rPr>
                <w:rFonts w:hint="eastAsia" w:ascii="宋体" w:hAnsi="宋体" w:cs="宋体"/>
                <w:color w:val="auto"/>
                <w:kern w:val="0"/>
                <w:sz w:val="21"/>
                <w:szCs w:val="21"/>
                <w:highlight w:val="none"/>
                <w:lang w:val="en-US" w:eastAsia="zh-CN"/>
              </w:rPr>
              <w:t>1</w:t>
            </w:r>
          </w:p>
          <w:p w14:paraId="03D6649E">
            <w:pPr>
              <w:spacing w:line="360" w:lineRule="auto"/>
              <w:jc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rPr>
              <w:t>(1)</w:t>
            </w:r>
          </w:p>
        </w:tc>
        <w:tc>
          <w:tcPr>
            <w:tcW w:w="1186" w:type="dxa"/>
            <w:vMerge w:val="restart"/>
            <w:noWrap w:val="0"/>
            <w:vAlign w:val="center"/>
          </w:tcPr>
          <w:p w14:paraId="3D5AB274">
            <w:pPr>
              <w:spacing w:line="360" w:lineRule="auto"/>
              <w:jc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rPr>
              <w:t>商务部分</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20</w:t>
            </w:r>
            <w:r>
              <w:rPr>
                <w:rFonts w:hint="eastAsia" w:ascii="宋体" w:hAnsi="宋体" w:cs="宋体"/>
                <w:color w:val="auto"/>
                <w:sz w:val="21"/>
                <w:szCs w:val="21"/>
                <w:highlight w:val="none"/>
              </w:rPr>
              <w:t>分）</w:t>
            </w:r>
          </w:p>
        </w:tc>
        <w:tc>
          <w:tcPr>
            <w:tcW w:w="1507" w:type="dxa"/>
            <w:vMerge w:val="restart"/>
            <w:noWrap w:val="0"/>
            <w:vAlign w:val="center"/>
          </w:tcPr>
          <w:p w14:paraId="40FB5071">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业绩</w:t>
            </w:r>
          </w:p>
        </w:tc>
        <w:tc>
          <w:tcPr>
            <w:tcW w:w="787" w:type="dxa"/>
            <w:vMerge w:val="restart"/>
            <w:noWrap w:val="0"/>
            <w:vAlign w:val="center"/>
          </w:tcPr>
          <w:p w14:paraId="67A67C42">
            <w:pPr>
              <w:spacing w:line="360" w:lineRule="auto"/>
              <w:jc w:val="center"/>
              <w:rPr>
                <w:rFonts w:ascii="宋体" w:hAnsi="宋体" w:cs="宋体"/>
                <w:color w:val="auto"/>
                <w:sz w:val="21"/>
                <w:szCs w:val="21"/>
                <w:highlight w:val="none"/>
              </w:rPr>
            </w:pPr>
            <w:r>
              <w:rPr>
                <w:rFonts w:hint="eastAsia" w:ascii="宋体" w:hAnsi="宋体" w:cs="宋体"/>
                <w:color w:val="auto"/>
                <w:kern w:val="0"/>
                <w:sz w:val="21"/>
                <w:szCs w:val="21"/>
                <w:highlight w:val="none"/>
                <w:lang w:val="en-US" w:eastAsia="zh-CN"/>
              </w:rPr>
              <w:t>2</w:t>
            </w:r>
            <w:r>
              <w:rPr>
                <w:rFonts w:hint="eastAsia" w:ascii="宋体" w:hAnsi="宋体" w:cs="宋体"/>
                <w:color w:val="auto"/>
                <w:kern w:val="0"/>
                <w:sz w:val="21"/>
                <w:szCs w:val="21"/>
                <w:highlight w:val="none"/>
              </w:rPr>
              <w:t>0分</w:t>
            </w:r>
          </w:p>
        </w:tc>
        <w:tc>
          <w:tcPr>
            <w:tcW w:w="4935" w:type="dxa"/>
            <w:noWrap w:val="0"/>
            <w:vAlign w:val="center"/>
          </w:tcPr>
          <w:p w14:paraId="1D44307F">
            <w:pPr>
              <w:spacing w:line="360" w:lineRule="auto"/>
              <w:ind w:right="113"/>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满足资格审查条件(业绩最低要求)得</w:t>
            </w:r>
            <w:r>
              <w:rPr>
                <w:rFonts w:hint="eastAsia" w:ascii="宋体" w:hAnsi="宋体" w:cs="宋体"/>
                <w:color w:val="auto"/>
                <w:sz w:val="21"/>
                <w:szCs w:val="21"/>
                <w:highlight w:val="none"/>
                <w:lang w:val="en-US" w:eastAsia="zh-CN"/>
              </w:rPr>
              <w:t>12</w:t>
            </w:r>
            <w:r>
              <w:rPr>
                <w:rFonts w:hint="eastAsia" w:ascii="宋体" w:hAnsi="宋体" w:cs="宋体"/>
                <w:color w:val="auto"/>
                <w:sz w:val="21"/>
                <w:szCs w:val="21"/>
                <w:highlight w:val="none"/>
              </w:rPr>
              <w:t>分；</w:t>
            </w:r>
          </w:p>
        </w:tc>
      </w:tr>
      <w:tr w14:paraId="06475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959" w:type="dxa"/>
            <w:vMerge w:val="continue"/>
            <w:noWrap w:val="0"/>
            <w:vAlign w:val="center"/>
          </w:tcPr>
          <w:p w14:paraId="6608EB42">
            <w:pPr>
              <w:spacing w:line="360" w:lineRule="auto"/>
              <w:jc w:val="center"/>
              <w:rPr>
                <w:rFonts w:hint="eastAsia" w:ascii="宋体" w:hAnsi="宋体" w:cs="宋体"/>
                <w:color w:val="auto"/>
                <w:kern w:val="0"/>
                <w:sz w:val="21"/>
                <w:szCs w:val="21"/>
                <w:highlight w:val="none"/>
              </w:rPr>
            </w:pPr>
          </w:p>
        </w:tc>
        <w:tc>
          <w:tcPr>
            <w:tcW w:w="1186" w:type="dxa"/>
            <w:vMerge w:val="continue"/>
            <w:noWrap w:val="0"/>
            <w:vAlign w:val="center"/>
          </w:tcPr>
          <w:p w14:paraId="2058A23F">
            <w:pPr>
              <w:spacing w:line="360" w:lineRule="auto"/>
              <w:jc w:val="center"/>
              <w:rPr>
                <w:rFonts w:hint="eastAsia" w:ascii="宋体" w:hAnsi="宋体" w:cs="宋体"/>
                <w:color w:val="auto"/>
                <w:kern w:val="0"/>
                <w:sz w:val="21"/>
                <w:szCs w:val="21"/>
                <w:highlight w:val="none"/>
              </w:rPr>
            </w:pPr>
          </w:p>
        </w:tc>
        <w:tc>
          <w:tcPr>
            <w:tcW w:w="1507" w:type="dxa"/>
            <w:vMerge w:val="continue"/>
            <w:noWrap w:val="0"/>
            <w:vAlign w:val="center"/>
          </w:tcPr>
          <w:p w14:paraId="15DAA4C2">
            <w:pPr>
              <w:adjustRightInd w:val="0"/>
              <w:snapToGrid w:val="0"/>
              <w:spacing w:line="360" w:lineRule="auto"/>
              <w:jc w:val="center"/>
              <w:rPr>
                <w:rFonts w:hint="eastAsia" w:ascii="宋体" w:hAnsi="宋体" w:eastAsia="宋体" w:cs="宋体"/>
                <w:color w:val="auto"/>
                <w:sz w:val="21"/>
                <w:szCs w:val="21"/>
                <w:highlight w:val="none"/>
              </w:rPr>
            </w:pPr>
          </w:p>
        </w:tc>
        <w:tc>
          <w:tcPr>
            <w:tcW w:w="787" w:type="dxa"/>
            <w:vMerge w:val="continue"/>
            <w:noWrap w:val="0"/>
            <w:vAlign w:val="center"/>
          </w:tcPr>
          <w:p w14:paraId="2C783092">
            <w:pPr>
              <w:spacing w:line="360" w:lineRule="auto"/>
              <w:jc w:val="center"/>
              <w:rPr>
                <w:rFonts w:hint="eastAsia" w:ascii="宋体" w:hAnsi="宋体" w:cs="宋体"/>
                <w:color w:val="auto"/>
                <w:kern w:val="0"/>
                <w:sz w:val="21"/>
                <w:szCs w:val="21"/>
                <w:highlight w:val="none"/>
                <w:lang w:val="en-US" w:eastAsia="zh-CN"/>
              </w:rPr>
            </w:pPr>
          </w:p>
        </w:tc>
        <w:tc>
          <w:tcPr>
            <w:tcW w:w="4935" w:type="dxa"/>
            <w:noWrap w:val="0"/>
            <w:vAlign w:val="center"/>
          </w:tcPr>
          <w:p w14:paraId="7889768E">
            <w:pPr>
              <w:snapToGrid w:val="0"/>
              <w:spacing w:line="360" w:lineRule="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1标段：</w:t>
            </w:r>
          </w:p>
          <w:p w14:paraId="6FFD1BC3">
            <w:pPr>
              <w:snapToGrid w:val="0"/>
              <w:spacing w:line="360" w:lineRule="auto"/>
              <w:ind w:right="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投标人每增加1项满足资格审查条件（业绩最低要求）的业绩加2分，如该项业绩中含 27座及以上通勤车则加4分。</w:t>
            </w:r>
          </w:p>
          <w:p w14:paraId="6F4D71C2">
            <w:pPr>
              <w:snapToGrid w:val="0"/>
              <w:spacing w:line="360" w:lineRule="auto"/>
              <w:ind w:right="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本项最多加8分。</w:t>
            </w:r>
          </w:p>
        </w:tc>
      </w:tr>
      <w:tr w14:paraId="6558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959" w:type="dxa"/>
            <w:vMerge w:val="continue"/>
            <w:noWrap w:val="0"/>
            <w:vAlign w:val="center"/>
          </w:tcPr>
          <w:p w14:paraId="71C14CFF">
            <w:pPr>
              <w:spacing w:line="360" w:lineRule="auto"/>
              <w:jc w:val="center"/>
              <w:rPr>
                <w:rFonts w:hint="eastAsia" w:ascii="宋体" w:hAnsi="宋体" w:cs="宋体"/>
                <w:color w:val="auto"/>
                <w:kern w:val="0"/>
                <w:sz w:val="21"/>
                <w:szCs w:val="21"/>
                <w:highlight w:val="none"/>
              </w:rPr>
            </w:pPr>
          </w:p>
        </w:tc>
        <w:tc>
          <w:tcPr>
            <w:tcW w:w="1186" w:type="dxa"/>
            <w:vMerge w:val="continue"/>
            <w:noWrap w:val="0"/>
            <w:vAlign w:val="center"/>
          </w:tcPr>
          <w:p w14:paraId="720724A0">
            <w:pPr>
              <w:spacing w:line="360" w:lineRule="auto"/>
              <w:jc w:val="center"/>
              <w:rPr>
                <w:rFonts w:hint="eastAsia" w:ascii="宋体" w:hAnsi="宋体" w:cs="宋体"/>
                <w:color w:val="auto"/>
                <w:kern w:val="0"/>
                <w:sz w:val="21"/>
                <w:szCs w:val="21"/>
                <w:highlight w:val="none"/>
              </w:rPr>
            </w:pPr>
          </w:p>
        </w:tc>
        <w:tc>
          <w:tcPr>
            <w:tcW w:w="1507" w:type="dxa"/>
            <w:vMerge w:val="continue"/>
            <w:noWrap w:val="0"/>
            <w:vAlign w:val="center"/>
          </w:tcPr>
          <w:p w14:paraId="326924F9">
            <w:pPr>
              <w:adjustRightInd w:val="0"/>
              <w:snapToGrid w:val="0"/>
              <w:spacing w:line="360" w:lineRule="auto"/>
              <w:jc w:val="center"/>
              <w:rPr>
                <w:rFonts w:hint="eastAsia" w:ascii="宋体" w:hAnsi="宋体" w:eastAsia="宋体" w:cs="宋体"/>
                <w:color w:val="auto"/>
                <w:sz w:val="21"/>
                <w:szCs w:val="21"/>
                <w:highlight w:val="none"/>
              </w:rPr>
            </w:pPr>
          </w:p>
        </w:tc>
        <w:tc>
          <w:tcPr>
            <w:tcW w:w="787" w:type="dxa"/>
            <w:vMerge w:val="continue"/>
            <w:noWrap w:val="0"/>
            <w:vAlign w:val="center"/>
          </w:tcPr>
          <w:p w14:paraId="7B6FA925">
            <w:pPr>
              <w:spacing w:line="360" w:lineRule="auto"/>
              <w:jc w:val="center"/>
              <w:rPr>
                <w:rFonts w:hint="eastAsia" w:ascii="宋体" w:hAnsi="宋体" w:cs="宋体"/>
                <w:color w:val="auto"/>
                <w:kern w:val="0"/>
                <w:sz w:val="21"/>
                <w:szCs w:val="21"/>
                <w:highlight w:val="none"/>
                <w:lang w:val="en-US" w:eastAsia="zh-CN"/>
              </w:rPr>
            </w:pPr>
          </w:p>
        </w:tc>
        <w:tc>
          <w:tcPr>
            <w:tcW w:w="4935" w:type="dxa"/>
            <w:noWrap w:val="0"/>
            <w:vAlign w:val="center"/>
          </w:tcPr>
          <w:p w14:paraId="63F8A3A3">
            <w:pPr>
              <w:snapToGrid w:val="0"/>
              <w:spacing w:line="360" w:lineRule="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2标段：</w:t>
            </w:r>
          </w:p>
          <w:p w14:paraId="461C6929">
            <w:pPr>
              <w:snapToGrid w:val="0"/>
              <w:spacing w:line="360" w:lineRule="auto"/>
              <w:ind w:right="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投标人每增加1项满足资格审查条件（业绩最低要求）的业绩加2分，如该项业绩中含皮卡车则加4分。</w:t>
            </w:r>
          </w:p>
          <w:p w14:paraId="11146E93">
            <w:pPr>
              <w:spacing w:line="360" w:lineRule="auto"/>
              <w:ind w:right="113"/>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本项最多加8分。</w:t>
            </w:r>
          </w:p>
        </w:tc>
      </w:tr>
      <w:tr w14:paraId="2BB20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959" w:type="dxa"/>
            <w:vMerge w:val="continue"/>
            <w:noWrap w:val="0"/>
            <w:vAlign w:val="center"/>
          </w:tcPr>
          <w:p w14:paraId="08D643DC">
            <w:pPr>
              <w:spacing w:line="360" w:lineRule="auto"/>
              <w:jc w:val="center"/>
              <w:rPr>
                <w:rFonts w:hint="eastAsia" w:ascii="宋体" w:hAnsi="宋体" w:cs="宋体"/>
                <w:color w:val="auto"/>
                <w:kern w:val="0"/>
                <w:sz w:val="21"/>
                <w:szCs w:val="21"/>
                <w:highlight w:val="none"/>
              </w:rPr>
            </w:pPr>
          </w:p>
        </w:tc>
        <w:tc>
          <w:tcPr>
            <w:tcW w:w="1186" w:type="dxa"/>
            <w:vMerge w:val="continue"/>
            <w:noWrap w:val="0"/>
            <w:vAlign w:val="center"/>
          </w:tcPr>
          <w:p w14:paraId="0EC3D503">
            <w:pPr>
              <w:spacing w:line="360" w:lineRule="auto"/>
              <w:jc w:val="center"/>
              <w:rPr>
                <w:rFonts w:hint="eastAsia" w:ascii="宋体" w:hAnsi="宋体" w:cs="宋体"/>
                <w:color w:val="auto"/>
                <w:kern w:val="0"/>
                <w:sz w:val="21"/>
                <w:szCs w:val="21"/>
                <w:highlight w:val="none"/>
              </w:rPr>
            </w:pPr>
          </w:p>
        </w:tc>
        <w:tc>
          <w:tcPr>
            <w:tcW w:w="1507" w:type="dxa"/>
            <w:vMerge w:val="continue"/>
            <w:noWrap w:val="0"/>
            <w:vAlign w:val="center"/>
          </w:tcPr>
          <w:p w14:paraId="46FF6141">
            <w:pPr>
              <w:adjustRightInd w:val="0"/>
              <w:snapToGrid w:val="0"/>
              <w:spacing w:line="360" w:lineRule="auto"/>
              <w:jc w:val="center"/>
              <w:rPr>
                <w:rFonts w:hint="eastAsia" w:ascii="宋体" w:hAnsi="宋体" w:eastAsia="宋体" w:cs="宋体"/>
                <w:color w:val="auto"/>
                <w:sz w:val="21"/>
                <w:szCs w:val="21"/>
                <w:highlight w:val="none"/>
              </w:rPr>
            </w:pPr>
          </w:p>
        </w:tc>
        <w:tc>
          <w:tcPr>
            <w:tcW w:w="787" w:type="dxa"/>
            <w:vMerge w:val="continue"/>
            <w:noWrap w:val="0"/>
            <w:vAlign w:val="center"/>
          </w:tcPr>
          <w:p w14:paraId="6D7B8401">
            <w:pPr>
              <w:spacing w:line="360" w:lineRule="auto"/>
              <w:jc w:val="center"/>
              <w:rPr>
                <w:rFonts w:hint="eastAsia" w:ascii="宋体" w:hAnsi="宋体" w:cs="宋体"/>
                <w:color w:val="auto"/>
                <w:kern w:val="0"/>
                <w:sz w:val="21"/>
                <w:szCs w:val="21"/>
                <w:highlight w:val="none"/>
                <w:lang w:val="en-US" w:eastAsia="zh-CN"/>
              </w:rPr>
            </w:pPr>
          </w:p>
        </w:tc>
        <w:tc>
          <w:tcPr>
            <w:tcW w:w="4935" w:type="dxa"/>
            <w:noWrap w:val="0"/>
            <w:vAlign w:val="center"/>
          </w:tcPr>
          <w:p w14:paraId="1B4FAE11">
            <w:pPr>
              <w:snapToGrid w:val="0"/>
              <w:spacing w:line="360" w:lineRule="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3标段：</w:t>
            </w:r>
          </w:p>
          <w:p w14:paraId="1135FF5D">
            <w:pPr>
              <w:snapToGrid w:val="0"/>
              <w:spacing w:line="360" w:lineRule="auto"/>
              <w:ind w:right="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投标人每增加1项满足资格审查条件（业绩最低要求）的业绩加2分，如该项业绩中含轿车则加4分。</w:t>
            </w:r>
          </w:p>
          <w:p w14:paraId="2AC3CB1E">
            <w:pPr>
              <w:spacing w:line="360" w:lineRule="auto"/>
              <w:ind w:right="113"/>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本项最多加8分。</w:t>
            </w:r>
          </w:p>
        </w:tc>
      </w:tr>
      <w:tr w14:paraId="7A0E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959" w:type="dxa"/>
            <w:vMerge w:val="restart"/>
            <w:noWrap w:val="0"/>
            <w:vAlign w:val="center"/>
          </w:tcPr>
          <w:p w14:paraId="7C347ED2">
            <w:pPr>
              <w:spacing w:line="360" w:lineRule="auto"/>
              <w:jc w:val="center"/>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rPr>
              <w:t>2.2.</w:t>
            </w:r>
            <w:r>
              <w:rPr>
                <w:rFonts w:hint="eastAsia" w:ascii="宋体" w:hAnsi="宋体" w:cs="宋体"/>
                <w:color w:val="auto"/>
                <w:kern w:val="0"/>
                <w:sz w:val="21"/>
                <w:szCs w:val="21"/>
                <w:highlight w:val="none"/>
                <w:lang w:val="en-US" w:eastAsia="zh-CN"/>
              </w:rPr>
              <w:t>1</w:t>
            </w:r>
          </w:p>
          <w:p w14:paraId="15B052F1">
            <w:pPr>
              <w:spacing w:line="360" w:lineRule="auto"/>
              <w:jc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rPr>
              <w:t>(2)</w:t>
            </w:r>
          </w:p>
        </w:tc>
        <w:tc>
          <w:tcPr>
            <w:tcW w:w="1186" w:type="dxa"/>
            <w:vMerge w:val="restart"/>
            <w:noWrap w:val="0"/>
            <w:vAlign w:val="center"/>
          </w:tcPr>
          <w:p w14:paraId="24CD4470">
            <w:pPr>
              <w:spacing w:line="360" w:lineRule="auto"/>
              <w:jc w:val="center"/>
              <w:rPr>
                <w:rFonts w:ascii="宋体" w:hAnsi="宋体" w:cs="宋体"/>
                <w:color w:val="auto"/>
                <w:kern w:val="0"/>
                <w:sz w:val="21"/>
                <w:szCs w:val="21"/>
                <w:highlight w:val="none"/>
              </w:rPr>
            </w:pPr>
            <w:r>
              <w:rPr>
                <w:rFonts w:hint="eastAsia" w:ascii="宋体" w:hAnsi="宋体" w:cs="宋体"/>
                <w:color w:val="auto"/>
                <w:kern w:val="0"/>
                <w:sz w:val="21"/>
                <w:szCs w:val="21"/>
                <w:highlight w:val="none"/>
              </w:rPr>
              <w:t>技术部分</w:t>
            </w:r>
          </w:p>
          <w:p w14:paraId="2F735311">
            <w:pPr>
              <w:pStyle w:val="3"/>
              <w:spacing w:line="360" w:lineRule="auto"/>
              <w:jc w:val="both"/>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8</w:t>
            </w:r>
            <w:r>
              <w:rPr>
                <w:color w:val="auto"/>
                <w:sz w:val="21"/>
                <w:szCs w:val="21"/>
                <w:highlight w:val="none"/>
                <w:lang w:eastAsia="zh-CN"/>
              </w:rPr>
              <w:t>0</w:t>
            </w:r>
            <w:r>
              <w:rPr>
                <w:rFonts w:hint="eastAsia"/>
                <w:color w:val="auto"/>
                <w:sz w:val="21"/>
                <w:szCs w:val="21"/>
                <w:highlight w:val="none"/>
                <w:lang w:eastAsia="zh-CN"/>
              </w:rPr>
              <w:t>分）</w:t>
            </w:r>
          </w:p>
        </w:tc>
        <w:tc>
          <w:tcPr>
            <w:tcW w:w="1507" w:type="dxa"/>
            <w:noWrap w:val="0"/>
            <w:vAlign w:val="center"/>
          </w:tcPr>
          <w:p w14:paraId="191B6578">
            <w:pPr>
              <w:adjustRightInd w:val="0"/>
              <w:snapToGrid w:val="0"/>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投标设备整体评价</w:t>
            </w:r>
          </w:p>
        </w:tc>
        <w:tc>
          <w:tcPr>
            <w:tcW w:w="787" w:type="dxa"/>
            <w:noWrap w:val="0"/>
            <w:vAlign w:val="center"/>
          </w:tcPr>
          <w:p w14:paraId="75D63C5F">
            <w:pPr>
              <w:spacing w:line="360" w:lineRule="auto"/>
              <w:jc w:val="center"/>
              <w:rPr>
                <w:rFonts w:ascii="宋体" w:hAnsi="宋体" w:cs="宋体"/>
                <w:color w:val="auto"/>
                <w:sz w:val="21"/>
                <w:szCs w:val="21"/>
                <w:highlight w:val="none"/>
              </w:rPr>
            </w:pPr>
            <w:r>
              <w:rPr>
                <w:rFonts w:hint="eastAsia" w:ascii="宋体" w:hAnsi="宋体" w:cs="宋体"/>
                <w:color w:val="auto"/>
                <w:kern w:val="0"/>
                <w:sz w:val="21"/>
                <w:szCs w:val="21"/>
                <w:highlight w:val="none"/>
                <w:lang w:val="en-US" w:eastAsia="zh-CN"/>
              </w:rPr>
              <w:t>2</w:t>
            </w:r>
            <w:r>
              <w:rPr>
                <w:rFonts w:ascii="宋体" w:hAnsi="宋体" w:cs="宋体"/>
                <w:color w:val="auto"/>
                <w:kern w:val="0"/>
                <w:sz w:val="21"/>
                <w:szCs w:val="21"/>
                <w:highlight w:val="none"/>
              </w:rPr>
              <w:t>0</w:t>
            </w:r>
            <w:r>
              <w:rPr>
                <w:rFonts w:hint="eastAsia" w:ascii="宋体" w:hAnsi="宋体" w:cs="宋体"/>
                <w:color w:val="auto"/>
                <w:kern w:val="0"/>
                <w:sz w:val="21"/>
                <w:szCs w:val="21"/>
                <w:highlight w:val="none"/>
              </w:rPr>
              <w:t>分</w:t>
            </w:r>
          </w:p>
        </w:tc>
        <w:tc>
          <w:tcPr>
            <w:tcW w:w="4935" w:type="dxa"/>
            <w:noWrap w:val="0"/>
            <w:vAlign w:val="center"/>
          </w:tcPr>
          <w:p w14:paraId="2490800A">
            <w:pPr>
              <w:spacing w:line="360" w:lineRule="auto"/>
              <w:ind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1.设备整体性能优越、功能齐全、完善，自动化水平高，完全满足招标文件要求，得</w:t>
            </w:r>
            <w:r>
              <w:rPr>
                <w:rFonts w:hint="eastAsia" w:ascii="宋体" w:hAnsi="宋体" w:cs="宋体"/>
                <w:color w:val="auto"/>
                <w:sz w:val="21"/>
                <w:szCs w:val="21"/>
                <w:highlight w:val="none"/>
                <w:lang w:val="en-US" w:eastAsia="zh-CN"/>
              </w:rPr>
              <w:t>16-20</w:t>
            </w:r>
            <w:r>
              <w:rPr>
                <w:rFonts w:hint="eastAsia" w:ascii="宋体" w:hAnsi="宋体" w:eastAsia="宋体" w:cs="宋体"/>
                <w:color w:val="auto"/>
                <w:sz w:val="21"/>
                <w:szCs w:val="21"/>
                <w:highlight w:val="none"/>
              </w:rPr>
              <w:t>分；</w:t>
            </w:r>
          </w:p>
          <w:p w14:paraId="468C9DC1">
            <w:pPr>
              <w:spacing w:line="360" w:lineRule="auto"/>
              <w:ind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2.设备整体性能较高、功能较齐全、较完善，自动化水平较高，满足招标文件要求，得</w:t>
            </w:r>
            <w:r>
              <w:rPr>
                <w:rFonts w:hint="eastAsia" w:ascii="宋体" w:hAnsi="宋体" w:cs="宋体"/>
                <w:color w:val="auto"/>
                <w:sz w:val="21"/>
                <w:szCs w:val="21"/>
                <w:highlight w:val="none"/>
                <w:lang w:val="en-US" w:eastAsia="zh-CN"/>
              </w:rPr>
              <w:t>12-16</w:t>
            </w:r>
            <w:r>
              <w:rPr>
                <w:rFonts w:hint="eastAsia" w:ascii="宋体" w:hAnsi="宋体" w:eastAsia="宋体" w:cs="宋体"/>
                <w:color w:val="auto"/>
                <w:sz w:val="21"/>
                <w:szCs w:val="21"/>
                <w:highlight w:val="none"/>
              </w:rPr>
              <w:t>分；</w:t>
            </w:r>
          </w:p>
          <w:p w14:paraId="76CB4AD5">
            <w:pPr>
              <w:spacing w:line="360" w:lineRule="auto"/>
              <w:ind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3.设备整体性能一般，功能一般，自动化水平一般，基本满足招标文件要求，得</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r>
      <w:tr w14:paraId="3B2D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959" w:type="dxa"/>
            <w:vMerge w:val="continue"/>
            <w:noWrap w:val="0"/>
            <w:vAlign w:val="center"/>
          </w:tcPr>
          <w:p w14:paraId="550FC127">
            <w:pPr>
              <w:spacing w:line="360" w:lineRule="auto"/>
              <w:jc w:val="center"/>
              <w:rPr>
                <w:rFonts w:hint="eastAsia" w:ascii="宋体" w:hAnsi="宋体" w:cs="宋体"/>
                <w:color w:val="auto"/>
                <w:kern w:val="0"/>
                <w:sz w:val="21"/>
                <w:szCs w:val="21"/>
                <w:highlight w:val="none"/>
              </w:rPr>
            </w:pPr>
          </w:p>
        </w:tc>
        <w:tc>
          <w:tcPr>
            <w:tcW w:w="1186" w:type="dxa"/>
            <w:vMerge w:val="continue"/>
            <w:noWrap w:val="0"/>
            <w:vAlign w:val="center"/>
          </w:tcPr>
          <w:p w14:paraId="144041B6">
            <w:pPr>
              <w:spacing w:line="360" w:lineRule="auto"/>
              <w:jc w:val="center"/>
              <w:rPr>
                <w:rFonts w:hint="eastAsia" w:ascii="宋体" w:hAnsi="宋体" w:cs="宋体"/>
                <w:color w:val="auto"/>
                <w:kern w:val="0"/>
                <w:sz w:val="21"/>
                <w:szCs w:val="21"/>
                <w:highlight w:val="none"/>
              </w:rPr>
            </w:pPr>
          </w:p>
        </w:tc>
        <w:tc>
          <w:tcPr>
            <w:tcW w:w="1507" w:type="dxa"/>
            <w:noWrap w:val="0"/>
            <w:vAlign w:val="center"/>
          </w:tcPr>
          <w:p w14:paraId="43A86475">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投标设备技术性能指标响应程度</w:t>
            </w:r>
          </w:p>
        </w:tc>
        <w:tc>
          <w:tcPr>
            <w:tcW w:w="787" w:type="dxa"/>
            <w:noWrap w:val="0"/>
            <w:vAlign w:val="center"/>
          </w:tcPr>
          <w:p w14:paraId="2E25541C">
            <w:pPr>
              <w:spacing w:line="360" w:lineRule="auto"/>
              <w:jc w:val="center"/>
              <w:rPr>
                <w:rFonts w:hint="eastAsia" w:ascii="宋体" w:hAnsi="宋体" w:cs="宋体"/>
                <w:color w:val="auto"/>
                <w:kern w:val="0"/>
                <w:sz w:val="21"/>
                <w:szCs w:val="21"/>
                <w:highlight w:val="none"/>
                <w:u w:val="single"/>
              </w:rPr>
            </w:pPr>
            <w:r>
              <w:rPr>
                <w:rFonts w:ascii="宋体" w:hAnsi="宋体" w:cs="宋体"/>
                <w:color w:val="auto"/>
                <w:kern w:val="0"/>
                <w:sz w:val="21"/>
                <w:szCs w:val="21"/>
                <w:highlight w:val="none"/>
              </w:rPr>
              <w:t>20</w:t>
            </w:r>
            <w:r>
              <w:rPr>
                <w:rFonts w:hint="eastAsia" w:ascii="宋体" w:hAnsi="宋体" w:cs="宋体"/>
                <w:color w:val="auto"/>
                <w:kern w:val="0"/>
                <w:sz w:val="21"/>
                <w:szCs w:val="21"/>
                <w:highlight w:val="none"/>
              </w:rPr>
              <w:t>分</w:t>
            </w:r>
          </w:p>
        </w:tc>
        <w:tc>
          <w:tcPr>
            <w:tcW w:w="4935" w:type="dxa"/>
            <w:noWrap w:val="0"/>
            <w:vAlign w:val="top"/>
          </w:tcPr>
          <w:p w14:paraId="00F040F7">
            <w:pPr>
              <w:spacing w:line="360" w:lineRule="auto"/>
              <w:ind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1.投标产品选型合理，主要组成部件的技术性能参数及功能参数指标高，实用性强、产品设计科学合理、质量可靠，得</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0分；</w:t>
            </w:r>
          </w:p>
          <w:p w14:paraId="68CCC702">
            <w:pPr>
              <w:spacing w:line="360" w:lineRule="auto"/>
              <w:ind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2.投标产品选型较合理，主要组成部件的技术性能参数及功能参数指标较高，实用性较强、产品设计较合理、质量较可靠，得</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分；</w:t>
            </w:r>
          </w:p>
          <w:p w14:paraId="4546223F">
            <w:pPr>
              <w:spacing w:line="360" w:lineRule="auto"/>
              <w:ind w:right="113"/>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3.投标产品选型一般，主要组成部件的技术性能参数及功能参数指标一般，实用性一般、产品设计一般、质量一般，得</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r>
      <w:tr w14:paraId="2789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5" w:hRule="atLeast"/>
          <w:jc w:val="center"/>
        </w:trPr>
        <w:tc>
          <w:tcPr>
            <w:tcW w:w="959" w:type="dxa"/>
            <w:vMerge w:val="continue"/>
            <w:noWrap w:val="0"/>
            <w:vAlign w:val="center"/>
          </w:tcPr>
          <w:p w14:paraId="789CF3C4">
            <w:pPr>
              <w:spacing w:line="360" w:lineRule="auto"/>
              <w:jc w:val="center"/>
              <w:rPr>
                <w:rFonts w:hint="eastAsia" w:ascii="宋体" w:hAnsi="宋体" w:cs="宋体"/>
                <w:color w:val="auto"/>
                <w:kern w:val="0"/>
                <w:sz w:val="21"/>
                <w:szCs w:val="21"/>
                <w:highlight w:val="none"/>
              </w:rPr>
            </w:pPr>
          </w:p>
        </w:tc>
        <w:tc>
          <w:tcPr>
            <w:tcW w:w="1186" w:type="dxa"/>
            <w:vMerge w:val="continue"/>
            <w:noWrap w:val="0"/>
            <w:vAlign w:val="center"/>
          </w:tcPr>
          <w:p w14:paraId="4BA45C7D">
            <w:pPr>
              <w:spacing w:line="360" w:lineRule="auto"/>
              <w:jc w:val="center"/>
              <w:rPr>
                <w:rFonts w:hint="eastAsia" w:ascii="宋体" w:hAnsi="宋体" w:cs="宋体"/>
                <w:color w:val="auto"/>
                <w:kern w:val="0"/>
                <w:sz w:val="21"/>
                <w:szCs w:val="21"/>
                <w:highlight w:val="none"/>
              </w:rPr>
            </w:pPr>
          </w:p>
        </w:tc>
        <w:tc>
          <w:tcPr>
            <w:tcW w:w="1507" w:type="dxa"/>
            <w:noWrap w:val="0"/>
            <w:vAlign w:val="center"/>
          </w:tcPr>
          <w:p w14:paraId="09840C4E">
            <w:pPr>
              <w:adjustRightInd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供货能力及进度保障（暗标）</w:t>
            </w:r>
          </w:p>
        </w:tc>
        <w:tc>
          <w:tcPr>
            <w:tcW w:w="787" w:type="dxa"/>
            <w:noWrap w:val="0"/>
            <w:vAlign w:val="center"/>
          </w:tcPr>
          <w:p w14:paraId="0018FC0E">
            <w:pPr>
              <w:spacing w:line="360" w:lineRule="auto"/>
              <w:ind w:right="113"/>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0分</w:t>
            </w:r>
          </w:p>
        </w:tc>
        <w:tc>
          <w:tcPr>
            <w:tcW w:w="4935" w:type="dxa"/>
            <w:noWrap w:val="0"/>
            <w:vAlign w:val="top"/>
          </w:tcPr>
          <w:p w14:paraId="158BD368">
            <w:pPr>
              <w:spacing w:line="360" w:lineRule="auto"/>
              <w:ind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1.投标人提供的供货方案切实可行、供货能力强、交货进度有保障、能够保质保量的完成供货，针对供货过程中的特殊情况有预案，得16-20分；</w:t>
            </w:r>
          </w:p>
          <w:p w14:paraId="613FC940">
            <w:pPr>
              <w:spacing w:line="360" w:lineRule="auto"/>
              <w:ind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2.投标人提供的供货方案可行、供货能力较强、交货进度满足招标文件要求，得12-16分；</w:t>
            </w:r>
          </w:p>
          <w:p w14:paraId="730BA81E">
            <w:pPr>
              <w:spacing w:line="360" w:lineRule="auto"/>
              <w:ind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3.投标人提供的供货方案一般、供货能力一般、交货进度基本满足招标文件要求，得12分。</w:t>
            </w:r>
          </w:p>
        </w:tc>
      </w:tr>
      <w:tr w14:paraId="6057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jc w:val="center"/>
        </w:trPr>
        <w:tc>
          <w:tcPr>
            <w:tcW w:w="959" w:type="dxa"/>
            <w:vMerge w:val="continue"/>
            <w:noWrap w:val="0"/>
            <w:vAlign w:val="center"/>
          </w:tcPr>
          <w:p w14:paraId="16AF6A0F">
            <w:pPr>
              <w:spacing w:line="360" w:lineRule="auto"/>
              <w:jc w:val="center"/>
              <w:rPr>
                <w:rFonts w:hint="eastAsia" w:ascii="宋体" w:hAnsi="宋体" w:cs="宋体"/>
                <w:color w:val="auto"/>
                <w:kern w:val="0"/>
                <w:sz w:val="21"/>
                <w:szCs w:val="21"/>
                <w:highlight w:val="none"/>
              </w:rPr>
            </w:pPr>
          </w:p>
        </w:tc>
        <w:tc>
          <w:tcPr>
            <w:tcW w:w="1186" w:type="dxa"/>
            <w:vMerge w:val="continue"/>
            <w:noWrap w:val="0"/>
            <w:vAlign w:val="center"/>
          </w:tcPr>
          <w:p w14:paraId="25905584">
            <w:pPr>
              <w:spacing w:line="360" w:lineRule="auto"/>
              <w:jc w:val="center"/>
              <w:rPr>
                <w:rFonts w:hint="eastAsia" w:ascii="宋体" w:hAnsi="宋体" w:cs="宋体"/>
                <w:color w:val="auto"/>
                <w:kern w:val="0"/>
                <w:sz w:val="21"/>
                <w:szCs w:val="21"/>
                <w:highlight w:val="none"/>
              </w:rPr>
            </w:pPr>
          </w:p>
        </w:tc>
        <w:tc>
          <w:tcPr>
            <w:tcW w:w="1507" w:type="dxa"/>
            <w:noWrap w:val="0"/>
            <w:vAlign w:val="center"/>
          </w:tcPr>
          <w:p w14:paraId="1939BE8A">
            <w:pPr>
              <w:pStyle w:val="12"/>
              <w:snapToGrid w:val="0"/>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技术服务及质保期服务</w:t>
            </w:r>
          </w:p>
          <w:p w14:paraId="2EDC6CC7">
            <w:pPr>
              <w:pStyle w:val="12"/>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（暗标）</w:t>
            </w:r>
          </w:p>
        </w:tc>
        <w:tc>
          <w:tcPr>
            <w:tcW w:w="787" w:type="dxa"/>
            <w:noWrap w:val="0"/>
            <w:vAlign w:val="center"/>
          </w:tcPr>
          <w:p w14:paraId="7F2EA7E9">
            <w:pPr>
              <w:spacing w:line="360" w:lineRule="auto"/>
              <w:ind w:right="113"/>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0分</w:t>
            </w:r>
          </w:p>
        </w:tc>
        <w:tc>
          <w:tcPr>
            <w:tcW w:w="4935" w:type="dxa"/>
            <w:noWrap w:val="0"/>
            <w:vAlign w:val="center"/>
          </w:tcPr>
          <w:p w14:paraId="6B62CA0B">
            <w:pPr>
              <w:spacing w:line="360" w:lineRule="auto"/>
              <w:ind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服务方案切实可行，针对性强，</w:t>
            </w:r>
            <w:r>
              <w:rPr>
                <w:rFonts w:hint="eastAsia" w:ascii="宋体" w:hAnsi="宋体" w:eastAsia="宋体" w:cs="宋体"/>
                <w:color w:val="auto"/>
                <w:sz w:val="21"/>
                <w:szCs w:val="21"/>
                <w:highlight w:val="none"/>
              </w:rPr>
              <w:t>服务体系完善</w:t>
            </w:r>
            <w:r>
              <w:rPr>
                <w:rFonts w:hint="eastAsia" w:ascii="宋体" w:hAnsi="宋体" w:eastAsia="宋体" w:cs="宋体"/>
                <w:color w:val="auto"/>
                <w:sz w:val="21"/>
                <w:szCs w:val="21"/>
                <w:highlight w:val="none"/>
                <w:lang w:val="zh-CN"/>
              </w:rPr>
              <w:t>，得</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lang w:val="zh-CN"/>
              </w:rPr>
              <w:t>分；</w:t>
            </w:r>
          </w:p>
          <w:p w14:paraId="7A90BDA0">
            <w:pPr>
              <w:spacing w:line="360" w:lineRule="auto"/>
              <w:ind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服务方案较切实可行，针对性较强，</w:t>
            </w:r>
            <w:r>
              <w:rPr>
                <w:rFonts w:hint="eastAsia" w:ascii="宋体" w:hAnsi="宋体" w:eastAsia="宋体" w:cs="宋体"/>
                <w:color w:val="auto"/>
                <w:sz w:val="21"/>
                <w:szCs w:val="21"/>
                <w:highlight w:val="none"/>
              </w:rPr>
              <w:t>服务体系较完善</w:t>
            </w:r>
            <w:r>
              <w:rPr>
                <w:rFonts w:hint="eastAsia" w:ascii="宋体" w:hAnsi="宋体" w:eastAsia="宋体" w:cs="宋体"/>
                <w:color w:val="auto"/>
                <w:sz w:val="21"/>
                <w:szCs w:val="21"/>
                <w:highlight w:val="none"/>
                <w:lang w:val="zh-CN"/>
              </w:rPr>
              <w:t>，得</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lang w:val="zh-CN"/>
              </w:rPr>
              <w:t>分；</w:t>
            </w:r>
          </w:p>
          <w:p w14:paraId="3644ACBF">
            <w:pPr>
              <w:spacing w:line="360" w:lineRule="auto"/>
              <w:ind w:right="1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服务方案基本可行，</w:t>
            </w:r>
            <w:r>
              <w:rPr>
                <w:rFonts w:hint="eastAsia" w:ascii="宋体" w:hAnsi="宋体" w:eastAsia="宋体" w:cs="宋体"/>
                <w:color w:val="auto"/>
                <w:sz w:val="21"/>
                <w:szCs w:val="21"/>
                <w:highlight w:val="none"/>
              </w:rPr>
              <w:t>服务体系基本完善</w:t>
            </w:r>
            <w:r>
              <w:rPr>
                <w:rFonts w:hint="eastAsia" w:ascii="宋体" w:hAnsi="宋体" w:eastAsia="宋体" w:cs="宋体"/>
                <w:color w:val="auto"/>
                <w:sz w:val="21"/>
                <w:szCs w:val="21"/>
                <w:highlight w:val="none"/>
                <w:lang w:val="zh-CN"/>
              </w:rPr>
              <w:t>，得</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lang w:val="zh-CN"/>
              </w:rPr>
              <w:t>分；</w:t>
            </w:r>
          </w:p>
        </w:tc>
      </w:tr>
      <w:tr w14:paraId="0807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959" w:type="dxa"/>
            <w:tcBorders>
              <w:bottom w:val="single" w:color="auto" w:sz="4" w:space="0"/>
            </w:tcBorders>
            <w:noWrap w:val="0"/>
            <w:vAlign w:val="center"/>
          </w:tcPr>
          <w:p w14:paraId="6CACC853">
            <w:pPr>
              <w:spacing w:line="360" w:lineRule="auto"/>
              <w:jc w:val="center"/>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rPr>
              <w:t>2.2.</w:t>
            </w:r>
            <w:r>
              <w:rPr>
                <w:rFonts w:hint="eastAsia" w:ascii="宋体" w:hAnsi="宋体" w:cs="宋体"/>
                <w:color w:val="auto"/>
                <w:kern w:val="0"/>
                <w:sz w:val="21"/>
                <w:szCs w:val="21"/>
                <w:highlight w:val="none"/>
                <w:lang w:val="en-US" w:eastAsia="zh-CN"/>
              </w:rPr>
              <w:t>1</w:t>
            </w:r>
          </w:p>
          <w:p w14:paraId="65DCA605">
            <w:pPr>
              <w:spacing w:line="360" w:lineRule="auto"/>
              <w:jc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rPr>
              <w:t>(3)</w:t>
            </w:r>
          </w:p>
        </w:tc>
        <w:tc>
          <w:tcPr>
            <w:tcW w:w="1186" w:type="dxa"/>
            <w:tcBorders>
              <w:bottom w:val="single" w:color="auto" w:sz="4" w:space="0"/>
            </w:tcBorders>
            <w:noWrap w:val="0"/>
            <w:vAlign w:val="center"/>
          </w:tcPr>
          <w:p w14:paraId="50E61056">
            <w:pPr>
              <w:spacing w:line="360" w:lineRule="auto"/>
              <w:ind w:left="144" w:hanging="126" w:hangingChars="60"/>
              <w:jc w:val="center"/>
              <w:rPr>
                <w:rFonts w:hint="eastAsia" w:ascii="宋体" w:hAnsi="宋体" w:cs="宋体"/>
                <w:color w:val="auto"/>
                <w:sz w:val="21"/>
                <w:szCs w:val="21"/>
                <w:highlight w:val="none"/>
              </w:rPr>
            </w:pPr>
            <w:r>
              <w:rPr>
                <w:rFonts w:hint="eastAsia" w:ascii="宋体" w:hAnsi="宋体" w:cs="宋体"/>
                <w:color w:val="auto"/>
                <w:kern w:val="0"/>
                <w:sz w:val="21"/>
                <w:szCs w:val="21"/>
                <w:highlight w:val="none"/>
              </w:rPr>
              <w:t>其他</w:t>
            </w:r>
            <w:r>
              <w:rPr>
                <w:rFonts w:hint="eastAsia" w:ascii="宋体" w:hAnsi="宋体" w:cs="宋体"/>
                <w:color w:val="auto"/>
                <w:kern w:val="0"/>
                <w:sz w:val="21"/>
                <w:szCs w:val="21"/>
                <w:highlight w:val="none"/>
                <w:lang w:val="en-US" w:eastAsia="zh-CN"/>
              </w:rPr>
              <w:t>评分</w:t>
            </w:r>
            <w:r>
              <w:rPr>
                <w:rFonts w:hint="eastAsia" w:ascii="宋体" w:hAnsi="宋体" w:cs="宋体"/>
                <w:color w:val="auto"/>
                <w:kern w:val="0"/>
                <w:sz w:val="21"/>
                <w:szCs w:val="21"/>
                <w:highlight w:val="none"/>
              </w:rPr>
              <w:t>因素</w:t>
            </w:r>
          </w:p>
        </w:tc>
        <w:tc>
          <w:tcPr>
            <w:tcW w:w="7229" w:type="dxa"/>
            <w:gridSpan w:val="3"/>
            <w:tcBorders>
              <w:bottom w:val="single" w:color="auto" w:sz="4" w:space="0"/>
            </w:tcBorders>
            <w:noWrap w:val="0"/>
            <w:vAlign w:val="center"/>
          </w:tcPr>
          <w:p w14:paraId="720F304D">
            <w:pPr>
              <w:spacing w:line="360" w:lineRule="auto"/>
              <w:jc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无</w:t>
            </w:r>
          </w:p>
        </w:tc>
      </w:tr>
    </w:tbl>
    <w:p w14:paraId="46ED200A">
      <w:pPr>
        <w:pStyle w:val="4"/>
        <w:adjustRightInd w:val="0"/>
        <w:snapToGrid w:val="0"/>
        <w:spacing w:line="360" w:lineRule="auto"/>
        <w:jc w:val="left"/>
        <w:textAlignment w:val="baseline"/>
        <w:rPr>
          <w:rFonts w:hint="eastAsia" w:hAnsi="宋体" w:eastAsia="宋体"/>
          <w:snapToGrid w:val="0"/>
          <w:color w:val="auto"/>
          <w:kern w:val="0"/>
          <w:sz w:val="21"/>
          <w:szCs w:val="21"/>
          <w:highlight w:val="none"/>
          <w:lang w:eastAsia="zh-CN"/>
        </w:rPr>
      </w:pPr>
      <w:r>
        <w:rPr>
          <w:rFonts w:hAnsi="宋体"/>
          <w:snapToGrid w:val="0"/>
          <w:color w:val="auto"/>
          <w:kern w:val="0"/>
          <w:sz w:val="21"/>
          <w:szCs w:val="21"/>
          <w:highlight w:val="none"/>
        </w:rPr>
        <w:t>注：1、评委打分保留1位小数</w:t>
      </w:r>
      <w:r>
        <w:rPr>
          <w:rFonts w:hint="eastAsia" w:hAnsi="宋体"/>
          <w:snapToGrid w:val="0"/>
          <w:color w:val="auto"/>
          <w:kern w:val="0"/>
          <w:sz w:val="21"/>
          <w:szCs w:val="21"/>
          <w:highlight w:val="none"/>
        </w:rPr>
        <w:t>，各评分因素得分应以评标委员会各成员的打分平均值确定，保留两位小数，第三位四舍五入。</w:t>
      </w:r>
    </w:p>
    <w:p w14:paraId="3DF6A1FF">
      <w:pPr>
        <w:pStyle w:val="4"/>
        <w:adjustRightInd w:val="0"/>
        <w:snapToGrid w:val="0"/>
        <w:spacing w:line="360" w:lineRule="auto"/>
        <w:jc w:val="left"/>
        <w:textAlignment w:val="baseline"/>
        <w:rPr>
          <w:rFonts w:hAnsi="宋体"/>
          <w:snapToGrid w:val="0"/>
          <w:color w:val="auto"/>
          <w:kern w:val="0"/>
          <w:sz w:val="21"/>
          <w:szCs w:val="21"/>
          <w:highlight w:val="none"/>
        </w:rPr>
      </w:pPr>
      <w:r>
        <w:rPr>
          <w:rFonts w:hAnsi="宋体"/>
          <w:snapToGrid w:val="0"/>
          <w:color w:val="auto"/>
          <w:kern w:val="0"/>
          <w:sz w:val="21"/>
          <w:szCs w:val="21"/>
          <w:highlight w:val="none"/>
        </w:rPr>
        <w:t>2、</w:t>
      </w:r>
      <w:r>
        <w:rPr>
          <w:rFonts w:hint="eastAsia" w:hAnsi="宋体"/>
          <w:snapToGrid w:val="0"/>
          <w:color w:val="auto"/>
          <w:kern w:val="0"/>
          <w:sz w:val="21"/>
          <w:szCs w:val="21"/>
          <w:highlight w:val="none"/>
        </w:rPr>
        <w:t>第2.2.</w:t>
      </w:r>
      <w:r>
        <w:rPr>
          <w:rFonts w:hint="eastAsia" w:hAnsi="宋体"/>
          <w:snapToGrid w:val="0"/>
          <w:color w:val="auto"/>
          <w:kern w:val="0"/>
          <w:sz w:val="21"/>
          <w:szCs w:val="21"/>
          <w:highlight w:val="none"/>
          <w:lang w:val="en-US" w:eastAsia="zh-CN"/>
        </w:rPr>
        <w:t>1</w:t>
      </w:r>
      <w:r>
        <w:rPr>
          <w:rFonts w:hint="eastAsia" w:hAnsi="宋体"/>
          <w:snapToGrid w:val="0"/>
          <w:color w:val="auto"/>
          <w:kern w:val="0"/>
          <w:sz w:val="21"/>
          <w:szCs w:val="21"/>
          <w:highlight w:val="none"/>
        </w:rPr>
        <w:t>（</w:t>
      </w:r>
      <w:r>
        <w:rPr>
          <w:rFonts w:hint="eastAsia" w:hAnsi="宋体"/>
          <w:snapToGrid w:val="0"/>
          <w:color w:val="auto"/>
          <w:kern w:val="0"/>
          <w:sz w:val="21"/>
          <w:szCs w:val="21"/>
          <w:highlight w:val="none"/>
          <w:lang w:val="en-US" w:eastAsia="zh-CN"/>
        </w:rPr>
        <w:t>2</w:t>
      </w:r>
      <w:r>
        <w:rPr>
          <w:rFonts w:hint="eastAsia" w:hAnsi="宋体"/>
          <w:snapToGrid w:val="0"/>
          <w:color w:val="auto"/>
          <w:kern w:val="0"/>
          <w:sz w:val="21"/>
          <w:szCs w:val="21"/>
          <w:highlight w:val="none"/>
        </w:rPr>
        <w:t>）项评标委员会成员对某一项评分因素的评分低于权重分值 60%的，应在评标报告中作出说明。评审</w:t>
      </w:r>
      <w:r>
        <w:rPr>
          <w:rFonts w:hint="eastAsia" w:hAnsi="宋体"/>
          <w:snapToGrid w:val="0"/>
          <w:color w:val="auto"/>
          <w:kern w:val="0"/>
          <w:sz w:val="21"/>
          <w:szCs w:val="21"/>
          <w:highlight w:val="none"/>
          <w:lang w:val="en-US" w:eastAsia="zh-CN"/>
        </w:rPr>
        <w:t>因素</w:t>
      </w:r>
      <w:r>
        <w:rPr>
          <w:rFonts w:hint="eastAsia" w:hAnsi="宋体"/>
          <w:snapToGrid w:val="0"/>
          <w:color w:val="auto"/>
          <w:kern w:val="0"/>
          <w:sz w:val="21"/>
          <w:szCs w:val="21"/>
          <w:highlight w:val="none"/>
        </w:rPr>
        <w:t>缺项则该项得0分。</w:t>
      </w:r>
    </w:p>
    <w:p w14:paraId="612620E6">
      <w:pPr>
        <w:rPr>
          <w:rFonts w:hint="eastAsia" w:ascii="宋体" w:hAnsi="宋体"/>
          <w:b/>
          <w:bCs/>
          <w:snapToGrid w:val="0"/>
          <w:color w:val="auto"/>
          <w:kern w:val="0"/>
          <w:sz w:val="24"/>
          <w:highlight w:val="none"/>
          <w:lang w:val="en-US" w:eastAsia="zh-CN"/>
        </w:rPr>
      </w:pPr>
      <w:r>
        <w:rPr>
          <w:rFonts w:hint="eastAsia" w:ascii="宋体" w:hAnsi="宋体"/>
          <w:b/>
          <w:bCs/>
          <w:snapToGrid w:val="0"/>
          <w:color w:val="auto"/>
          <w:kern w:val="0"/>
          <w:sz w:val="24"/>
          <w:highlight w:val="none"/>
          <w:lang w:val="en-US" w:eastAsia="zh-CN"/>
        </w:rPr>
        <w:br w:type="page"/>
      </w:r>
    </w:p>
    <w:p w14:paraId="2CD7D454">
      <w:pPr>
        <w:pStyle w:val="10"/>
        <w:tabs>
          <w:tab w:val="left" w:pos="8789"/>
        </w:tabs>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附件3：</w:t>
      </w:r>
      <w:bookmarkEnd w:id="21"/>
      <w:bookmarkEnd w:id="22"/>
      <w:r>
        <w:rPr>
          <w:rFonts w:hint="eastAsia" w:ascii="宋体" w:hAnsi="宋体" w:eastAsia="宋体" w:cs="宋体"/>
          <w:color w:val="auto"/>
          <w:sz w:val="24"/>
          <w:szCs w:val="24"/>
          <w:highlight w:val="none"/>
          <w:lang w:val="en-US" w:eastAsia="zh-CN"/>
        </w:rPr>
        <w:t>设备采购清单</w:t>
      </w:r>
    </w:p>
    <w:tbl>
      <w:tblPr>
        <w:tblStyle w:val="8"/>
        <w:tblW w:w="94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1"/>
        <w:gridCol w:w="848"/>
        <w:gridCol w:w="870"/>
        <w:gridCol w:w="615"/>
        <w:gridCol w:w="6570"/>
      </w:tblGrid>
      <w:tr w14:paraId="2888A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5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DBD6D">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bookmarkStart w:id="25" w:name="_GoBack"/>
            <w:r>
              <w:rPr>
                <w:rFonts w:hint="eastAsia" w:ascii="宋体" w:hAnsi="宋体" w:eastAsia="宋体" w:cs="宋体"/>
                <w:b/>
                <w:bCs/>
                <w:i w:val="0"/>
                <w:iCs w:val="0"/>
                <w:color w:val="auto"/>
                <w:kern w:val="0"/>
                <w:sz w:val="21"/>
                <w:szCs w:val="21"/>
                <w:highlight w:val="none"/>
                <w:u w:val="none"/>
                <w:lang w:val="en-US" w:eastAsia="zh-CN" w:bidi="ar"/>
              </w:rPr>
              <w:t>序号</w:t>
            </w:r>
          </w:p>
        </w:tc>
        <w:tc>
          <w:tcPr>
            <w:tcW w:w="8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B3D4B">
            <w:pPr>
              <w:keepNext w:val="0"/>
              <w:keepLines w:val="0"/>
              <w:widowControl/>
              <w:suppressLineNumbers w:val="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cs="宋体"/>
                <w:b/>
                <w:bCs/>
                <w:i w:val="0"/>
                <w:iCs w:val="0"/>
                <w:color w:val="auto"/>
                <w:kern w:val="0"/>
                <w:sz w:val="21"/>
                <w:szCs w:val="21"/>
                <w:highlight w:val="none"/>
                <w:u w:val="none"/>
                <w:lang w:val="en-US" w:eastAsia="zh-CN" w:bidi="ar"/>
              </w:rPr>
              <w:t>标段</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25A08">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车型</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BB8BC">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6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091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参数</w:t>
            </w:r>
          </w:p>
        </w:tc>
      </w:tr>
      <w:tr w14:paraId="7808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0" w:hRule="atLeast"/>
          <w:jc w:val="center"/>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01B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848" w:type="dxa"/>
            <w:vMerge w:val="restart"/>
            <w:tcBorders>
              <w:top w:val="single" w:color="000000" w:sz="4" w:space="0"/>
              <w:left w:val="single" w:color="000000" w:sz="4" w:space="0"/>
              <w:right w:val="single" w:color="000000" w:sz="4" w:space="0"/>
            </w:tcBorders>
            <w:shd w:val="clear" w:color="auto" w:fill="FFFFFF"/>
            <w:noWrap/>
            <w:vAlign w:val="center"/>
          </w:tcPr>
          <w:p w14:paraId="176A168B">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1标段</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D00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商务车</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552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890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车型：5 门 7 座MPV。能源类型：插电式混合动力。驱动方式：两驱自动挡。外观尺寸：长度≥5050毫米，宽度 ≥1870 毫米，高度≥ 1800 毫米，轴距≥ 3070 毫米。发动机排量、马力、功率：排量 ≥1498ml，动力 ≥156马力，发动机额定功率 ≥115kw，最大扭矩 ≥230N.m，进气形式：涡轮增压。驱动电机最大扭矩≥275N.m、电机最大功率≥160kw。 悬架形式：前置麦弗逊独立悬架，后置多连杆独立悬架。其他配置：主 / 副驾双安全气囊、ABS+EBD、倒车雷达、倒车影像、LED 前灯、主 / 副驾座椅调节、触控液晶屏、外后视镜电动调节、双侧电动门、L2级辅助驾驶。</w:t>
            </w:r>
          </w:p>
        </w:tc>
      </w:tr>
      <w:tr w14:paraId="5195D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2" w:hRule="atLeast"/>
          <w:jc w:val="center"/>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E33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w:t>
            </w:r>
          </w:p>
        </w:tc>
        <w:tc>
          <w:tcPr>
            <w:tcW w:w="848" w:type="dxa"/>
            <w:vMerge w:val="continue"/>
            <w:tcBorders>
              <w:left w:val="single" w:color="000000" w:sz="4" w:space="0"/>
              <w:right w:val="single" w:color="000000" w:sz="4" w:space="0"/>
            </w:tcBorders>
            <w:shd w:val="clear" w:color="auto" w:fill="FFFFFF"/>
            <w:noWrap/>
            <w:vAlign w:val="center"/>
          </w:tcPr>
          <w:p w14:paraId="7898B9FA">
            <w:pPr>
              <w:keepNext w:val="0"/>
              <w:keepLines w:val="0"/>
              <w:widowControl/>
              <w:suppressLineNumbers w:val="0"/>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8C0E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客车</w:t>
            </w:r>
          </w:p>
          <w:p w14:paraId="46E051E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9座</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74CD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23C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车型：9座轻客车型。燃油类型：柴油。驱动方式：两驱手动挡。外观尺寸：长度≥ 4950 毫米，宽度 ≥1970毫米，高度≥ 2160 毫米，轴距 ≥2930 毫米。排量、功率：排量 ≥1990ml，动力≥125 马力，发动机额定功率 ≥93kw，最大扭矩≥ 320N.m。发动机进气形式：涡轮增压。悬架形式：前置独立悬架，后置非独立悬架。其他配置：主驾驶 安全气囊、ABS+EBD、倒车雷达、卤素大灯、主驾座椅调节，定速巡航，手动空调。</w:t>
            </w:r>
          </w:p>
        </w:tc>
      </w:tr>
      <w:tr w14:paraId="03390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2" w:hRule="atLeast"/>
          <w:jc w:val="center"/>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29D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w:t>
            </w:r>
          </w:p>
        </w:tc>
        <w:tc>
          <w:tcPr>
            <w:tcW w:w="848" w:type="dxa"/>
            <w:vMerge w:val="continue"/>
            <w:tcBorders>
              <w:left w:val="single" w:color="000000" w:sz="4" w:space="0"/>
              <w:right w:val="single" w:color="000000" w:sz="4" w:space="0"/>
            </w:tcBorders>
            <w:shd w:val="clear" w:color="auto" w:fill="FFFFFF"/>
            <w:noWrap/>
            <w:vAlign w:val="center"/>
          </w:tcPr>
          <w:p w14:paraId="6910EDC1">
            <w:pPr>
              <w:keepNext w:val="0"/>
              <w:keepLines w:val="0"/>
              <w:widowControl/>
              <w:suppressLineNumbers w:val="0"/>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7032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通勤车27座</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F911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B1E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一、提供的客车必须获得国家发改委车辆生产企业及产品公告文本。</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二、提供的客车必须获得国家质量监督认证机构颁发的“3C”认证文函。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三、提供的车辆须满足北方地区高寒、高热气候条件使用要求。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四、客车主要技术参数及配置要求：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1、外形尺寸：车长≥7150mm，车宽≥2200mm，车高≥3000mm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2、轴距：轴距≥3900mm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3、座位数：≥27座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5、发动机：选用柴油系列发动机，国六排放，发动机额定功率≥121kW，满足动力性及夏季空调负荷要求，匹配发动机热管理系统，匹配节油系统。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6、变速器：六档变速箱</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7、缓速器：排气制动系统。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8、制动系统：前盘后鼓式制动器，匹配品牌ABS、ESC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9、离合器：优质品牌离合器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10、悬架系统：板簧悬架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11、空调系统：顶置空调（制冷量≥16000Kcal/h）</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12、暖气系统：独立燃油锅炉，乘客区安装不少于三个强制散热器，安装大功率水暖除霜（内、外进风）</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13、选用底盘外漏部分插接件为防水插接件，整车线束采用阻燃镀锡铜线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14、倒车系统：彩色倒车监视器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15、营运车阻燃等级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16、防腐蚀工艺：骨架及车架采用进口阴极电泳防腐工艺处理</w:t>
            </w:r>
          </w:p>
        </w:tc>
      </w:tr>
      <w:tr w14:paraId="4F8DA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2" w:hRule="atLeast"/>
          <w:jc w:val="center"/>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3CC8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4</w:t>
            </w:r>
          </w:p>
        </w:tc>
        <w:tc>
          <w:tcPr>
            <w:tcW w:w="848" w:type="dxa"/>
            <w:vMerge w:val="continue"/>
            <w:tcBorders>
              <w:left w:val="single" w:color="000000" w:sz="4" w:space="0"/>
              <w:right w:val="single" w:color="000000" w:sz="4" w:space="0"/>
            </w:tcBorders>
            <w:shd w:val="clear" w:color="auto" w:fill="FFFFFF"/>
            <w:noWrap/>
            <w:vAlign w:val="center"/>
          </w:tcPr>
          <w:p w14:paraId="1A118B4E">
            <w:pPr>
              <w:keepNext w:val="0"/>
              <w:keepLines w:val="0"/>
              <w:widowControl/>
              <w:suppressLineNumbers w:val="0"/>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7FFB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通勤车35座</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212A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D78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一、提供的客车必须获得国家发改委车辆生产企业及产品公告文本。</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二、提供的客车必须获得国家质量监督认证机构颁发的“3C”认证文函。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三、提供的车辆须满足北方地区高寒、高热气候条件使用要求。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四、客车主要技术参数及配置要求：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1、外形尺寸：车长≥8150mm，车宽≥2500mm，车高≥3400mm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2、座位数：≥35座（前开门）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5、发动机：选用柴油系列发动机，国六排放，发动机额定功率≥169kW，满足动力性及夏季空调负荷要求，有发动机进气预热系统，匹配发动机热管理系统，匹配智能节油系统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6、变速器：六档手动变速箱，两软轴操纵（带气助力）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7、缓速器：电涡流缓速器，最大制动扭矩≥1200N·m，有高温报警装置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8、前后桥：优质品牌前后车桥，车桥轮边采用一体化免维护轴承单元结构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9、制动系统：前盘后鼓式制动器，匹配品牌ABS、ESC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10、转向系统：配置整体式动力转向系统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11、离合器：优质品牌离合器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12、悬架系统：板簧悬架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13、轮胎：255/70R22.5型真空轮胎，随车安装备胎</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14、司机椅：气囊减震司机椅（带通风、加热功能），匹配三点式安全带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15、空调系统：顶置空调（制冷量≥20000Kcal/h）</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16、暖气系统：独立燃油锅炉，乘客区安装不少于四个强制散热器，安装大功率水暖除霜（内、外进风）</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17、选用底盘外漏部分插接件为优质防水插接件，整车线束采用阻燃镀锡铜线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18、倒车系统：彩色倒车监视器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19、后视镜：电动兔耳外后视镜，电加热除霜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20、防腐蚀工艺：骨架及车架采用进口阴极电泳防腐工艺处理</w:t>
            </w:r>
          </w:p>
        </w:tc>
      </w:tr>
      <w:tr w14:paraId="67391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2" w:hRule="atLeast"/>
          <w:jc w:val="center"/>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BA3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5</w:t>
            </w:r>
          </w:p>
        </w:tc>
        <w:tc>
          <w:tcPr>
            <w:tcW w:w="848" w:type="dxa"/>
            <w:vMerge w:val="continue"/>
            <w:tcBorders>
              <w:left w:val="single" w:color="000000" w:sz="4" w:space="0"/>
              <w:right w:val="single" w:color="000000" w:sz="4" w:space="0"/>
            </w:tcBorders>
            <w:shd w:val="clear" w:color="auto" w:fill="FFFFFF"/>
            <w:noWrap/>
            <w:vAlign w:val="center"/>
          </w:tcPr>
          <w:p w14:paraId="0A32F196">
            <w:pPr>
              <w:keepNext w:val="0"/>
              <w:keepLines w:val="0"/>
              <w:widowControl/>
              <w:suppressLineNumbers w:val="0"/>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1FF1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通勤车37座</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68A7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CED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一、提供的客车必须获得国家发改委车辆生产企业及产品公告文本。</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二、提供的客车必须获得国家质量监督认证机构颁发的“3C”认证文函。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三、提供的车辆须满足北方地区高寒、高热气候条件使用要求。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四、客车主要技术参数及配置要求：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1、外形尺寸：车长≥8900mm，车宽≥2500mm，车高≥3400mm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2、座位数：≥37座（前开门）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5、发动机：选用柴油系列发动机，国六排放，发动机额定功率≥199kW，满足动力性及夏季空调负荷要求，有发动机进气预热系统，匹配发动机热管理系统，匹配智能节油系统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6、变速器：六档手动变速箱，两软轴操纵（带气助力）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7、缓速器：电涡流缓速器，最大制动扭矩≥1500N·m，有高温报警装置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8、前后桥：优质品牌前后车桥，车桥轮边采用一体化免维护轴承单元结构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9、制动系统：前盘后鼓制动器，匹配ESC系统，安装制动冷凝器。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10、转向系统：配置整体式动力转向系统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11、离合器：优质品牌离合器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12、悬架系统：板簧悬架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13、轮胎：255/70R22.5型真空轮胎，随车安装备胎</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14、司机椅：气囊减震司机椅（带通风、加热功能），匹配三点式安全带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15、空调系统：顶置空调（制冷量≥24000Kcal/h）</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16、暖气系统：独立燃油锅炉，乘客区安装不少于四个强制散热器，安装大功率水暖除霜（内、外进风）。</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17、选用底盘外漏部分插接件为优质防水插接件，整车线束采用阻燃镀锡铜线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18、倒车系统：彩色倒车监视器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19、后视镜：电动兔耳外后视镜，电加热除霜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20、防腐蚀工艺：骨架及车架采用进口阴极电泳防腐工艺处理</w:t>
            </w:r>
          </w:p>
        </w:tc>
      </w:tr>
      <w:tr w14:paraId="66B66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2" w:hRule="atLeast"/>
          <w:jc w:val="center"/>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9395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6</w:t>
            </w:r>
          </w:p>
        </w:tc>
        <w:tc>
          <w:tcPr>
            <w:tcW w:w="848" w:type="dxa"/>
            <w:vMerge w:val="continue"/>
            <w:tcBorders>
              <w:left w:val="single" w:color="000000" w:sz="4" w:space="0"/>
              <w:bottom w:val="single" w:color="000000" w:sz="4" w:space="0"/>
              <w:right w:val="single" w:color="000000" w:sz="4" w:space="0"/>
            </w:tcBorders>
            <w:shd w:val="clear" w:color="auto" w:fill="FFFFFF"/>
            <w:noWrap/>
            <w:vAlign w:val="center"/>
          </w:tcPr>
          <w:p w14:paraId="298CA7E8">
            <w:pPr>
              <w:keepNext w:val="0"/>
              <w:keepLines w:val="0"/>
              <w:widowControl/>
              <w:suppressLineNumbers w:val="0"/>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2A13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通勤车39座</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F3FC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374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一、提供的客车必须获得国家发改委车辆生产企业及产品公告文本。</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二、提供的客车必须获得国家质量监督认证机构颁发的“3C”认证文函。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三、提供的车辆须满足北方地区高寒、高热气候条件使用要求。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四、客车主要技术参数及配置要求：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1、外形尺寸：车长≥8900mm，车宽≥2500mm，车高≥3400mm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2、座位数：≥39座（前开门）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5、发动机：选用柴油系列发动机，国六排放，发动机额定功率≥199kW，满足动力性及夏季空调负荷要求，有发动机进气预热系统，匹配发动机热管理系统，匹配智能节油系统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6、变速器：六档手动变速箱，两软轴操纵（带气助力）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7、缓速器：电涡流缓速器，最大制动扭矩≥1500N·m，有高温报警装置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8、前后桥：优质品牌前后车桥，车桥轮边采用一体化免维护轴承单元结构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9、制动系统：前盘后鼓制动器，匹配ESC系统，安装制动冷凝器。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10、转向系统：配置整体式动力转向系统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11、离合器：优质品牌离合器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12、悬架系统：板簧悬架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13、轮胎：255/70R22.5型真空轮胎，随车安装备胎</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14、司机椅：气囊减震司机椅（带通风、加热功能），匹配三点式安全带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15、空调系统：顶置空调（制冷量≥24000Kcal/h）</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16、暖气系统：独立燃油锅炉，乘客区安装不少于四个强制散热器，安装大功率水暖除霜（内、外进风）。</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17、选用底盘外漏部分插接件为优质防水插接件，整车线束采用阻燃镀锡铜线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18、倒车系统：彩色倒车监视器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19、后视镜：电动兔耳外后视镜，电加热除霜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20、防腐蚀工艺：骨架及车架采用进口阴极电泳防腐工艺处理</w:t>
            </w:r>
          </w:p>
        </w:tc>
      </w:tr>
      <w:tr w14:paraId="35C37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2" w:hRule="atLeast"/>
          <w:jc w:val="center"/>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D39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7</w:t>
            </w:r>
          </w:p>
        </w:tc>
        <w:tc>
          <w:tcPr>
            <w:tcW w:w="8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C623A">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2标段</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379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皮卡车</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EEC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AD2AE">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车型：4 门 5 座皮卡车。燃油类型：汽油。驱动方式：两驱自动挡。外观尺寸：长度≥5600 毫米，宽度≥1800 毫米，高度≥1780 毫米，轴距≥3400 毫米。排量、功率：排量≥1960ml，动力≥150 马力，发动机额定功率≥135kw，最大扭矩≥330N.m。悬架形式：前置双横臂独立悬架，后置非独立悬架。其他配置：主/副驾双安全气囊、ABS+EBD、倒车雷达、倒车影像、高亮度货箱照明、卤素+透镜前灯、防滚架、喷涂车箱宝、主/副驾座椅调节、液晶悬浮仪表、外后视镜电动调节。</w:t>
            </w:r>
          </w:p>
        </w:tc>
      </w:tr>
      <w:tr w14:paraId="1F9A2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D6D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8</w:t>
            </w:r>
          </w:p>
        </w:tc>
        <w:tc>
          <w:tcPr>
            <w:tcW w:w="848" w:type="dxa"/>
            <w:vMerge w:val="restart"/>
            <w:tcBorders>
              <w:top w:val="single" w:color="000000" w:sz="4" w:space="0"/>
              <w:left w:val="single" w:color="000000" w:sz="4" w:space="0"/>
              <w:right w:val="single" w:color="000000" w:sz="4" w:space="0"/>
            </w:tcBorders>
            <w:shd w:val="clear" w:color="auto" w:fill="FFFFFF"/>
            <w:noWrap/>
            <w:vAlign w:val="center"/>
          </w:tcPr>
          <w:p w14:paraId="7C0F8432">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3标段</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553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轿车</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AEF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1A8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车型：4 门 5 座三厢轿车。燃油类型：汽油。驱动方式：两驱自动挡。外观尺寸：长度≥ 4860 毫米，宽度 ≥1830 毫米，高度≥ 1440 毫米，轴距≥ 2830 毫米。排量、功率：排量 ≥1498ml，动力 ≥150 马力，发动机额定功率 ≥118kw，最大扭矩 ≥250N.m。悬架形式：前置麦弗逊独立悬架，后置多连杆独立悬架。其他配置：主 / 副驾双安全气囊、ABS+EBD、倒车雷达、倒车影像、LED 前灯、主 / 副驾座椅调节、触控液晶屏、外后视镜电动调节。</w:t>
            </w:r>
          </w:p>
        </w:tc>
      </w:tr>
      <w:tr w14:paraId="7383C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jc w:val="center"/>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DF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9</w:t>
            </w:r>
          </w:p>
        </w:tc>
        <w:tc>
          <w:tcPr>
            <w:tcW w:w="848" w:type="dxa"/>
            <w:vMerge w:val="continue"/>
            <w:tcBorders>
              <w:left w:val="single" w:color="000000" w:sz="4" w:space="0"/>
              <w:right w:val="single" w:color="000000" w:sz="4" w:space="0"/>
            </w:tcBorders>
            <w:shd w:val="clear" w:color="auto" w:fill="FFFFFF"/>
            <w:noWrap/>
            <w:vAlign w:val="center"/>
          </w:tcPr>
          <w:p w14:paraId="66972B3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02A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轿车</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91B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52A06">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车型：4 门 5 座三厢轿车。燃油类型：汽油。驱动方式：两驱自动挡。外观尺寸：长度≥ 4650 毫米，宽度 ≥1800毫米，高度≥ 1450 毫米，轴距 ≥2685 毫米。排量、功率：排量 ≥1498ml，动力≥110 马力，发动机额定功率 ≥80kw，最大扭矩≥ 140N.m。悬架形式：前置麦弗逊独立悬架，后置扭力梁非独立悬架。其他配置：主 / 副驾双安全气囊、ABS+EBD、倒车雷达、倒车影像、LED 前灯、主 / 副驾座椅调节、液晶仪表、外后视镜电动调节。</w:t>
            </w:r>
          </w:p>
        </w:tc>
      </w:tr>
      <w:tr w14:paraId="53670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jc w:val="center"/>
        </w:trPr>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F3796">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cs="宋体"/>
                <w:i w:val="0"/>
                <w:iCs w:val="0"/>
                <w:color w:val="auto"/>
                <w:kern w:val="0"/>
                <w:sz w:val="21"/>
                <w:szCs w:val="21"/>
                <w:highlight w:val="none"/>
                <w:u w:val="none"/>
                <w:lang w:val="en-US" w:eastAsia="zh-CN" w:bidi="ar"/>
              </w:rPr>
              <w:t>10</w:t>
            </w:r>
          </w:p>
        </w:tc>
        <w:tc>
          <w:tcPr>
            <w:tcW w:w="848" w:type="dxa"/>
            <w:vMerge w:val="continue"/>
            <w:tcBorders>
              <w:left w:val="single" w:color="000000" w:sz="4" w:space="0"/>
              <w:bottom w:val="single" w:color="000000" w:sz="4" w:space="0"/>
              <w:right w:val="single" w:color="000000" w:sz="4" w:space="0"/>
            </w:tcBorders>
            <w:shd w:val="clear" w:color="auto" w:fill="FFFFFF"/>
            <w:noWrap/>
            <w:vAlign w:val="center"/>
          </w:tcPr>
          <w:p w14:paraId="5326D8E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0685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面包车</w:t>
            </w:r>
          </w:p>
          <w:p w14:paraId="5B247C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7座</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39C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6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0984">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车型：7 座MPV车型。燃油类型：汽油。驱动方式：两驱手动挡。外观尺寸：长度≥ 4825 毫米，宽度 ≥1720毫米，高度≥ 1778 毫米，轴距 ≥2800 毫米。排量、功率：排量 ≥1490ml，动力≥116 马力，发动机额定功率 ≥85kw，最大扭矩≥ 160N.m。悬架形式：前置独立悬架，后置非独立悬架。其他配置：主 / 副驾双安全气囊、ABS+EBD、倒车雷达、倒车影像、LED 前灯、主 / 副驾座椅调节、液晶仪表、外后视镜电动调节。</w:t>
            </w:r>
          </w:p>
        </w:tc>
      </w:tr>
      <w:bookmarkEnd w:id="25"/>
      <w:bookmarkEnd w:id="4"/>
      <w:bookmarkEnd w:id="5"/>
      <w:bookmarkEnd w:id="23"/>
      <w:bookmarkEnd w:id="24"/>
    </w:tbl>
    <w:p w14:paraId="68FDC94C"/>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JhengHei">
    <w:panose1 w:val="020B0604030504040204"/>
    <w:charset w:val="88"/>
    <w:family w:val="swiss"/>
    <w:pitch w:val="default"/>
    <w:sig w:usb0="00000087" w:usb1="28AF4000" w:usb2="00000016" w:usb3="00000000" w:csb0="00100009"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DE75B">
    <w:pPr>
      <w:autoSpaceDE w:val="0"/>
      <w:autoSpaceDN w:val="0"/>
      <w:adjustRightInd w:val="0"/>
      <w:spacing w:line="200" w:lineRule="exact"/>
      <w:jc w:val="left"/>
      <w:rPr>
        <w:kern w:val="0"/>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posOffset>2852420</wp:posOffset>
              </wp:positionH>
              <wp:positionV relativeFrom="paragraph">
                <wp:posOffset>3810</wp:posOffset>
              </wp:positionV>
              <wp:extent cx="180975" cy="142875"/>
              <wp:effectExtent l="0" t="0" r="0" b="0"/>
              <wp:wrapNone/>
              <wp:docPr id="7" name="文本框 15"/>
              <wp:cNvGraphicFramePr/>
              <a:graphic xmlns:a="http://schemas.openxmlformats.org/drawingml/2006/main">
                <a:graphicData uri="http://schemas.microsoft.com/office/word/2010/wordprocessingShape">
                  <wps:wsp>
                    <wps:cNvSpPr txBox="1"/>
                    <wps:spPr>
                      <a:xfrm>
                        <a:off x="0" y="0"/>
                        <a:ext cx="180975" cy="142875"/>
                      </a:xfrm>
                      <a:prstGeom prst="rect">
                        <a:avLst/>
                      </a:prstGeom>
                      <a:noFill/>
                      <a:ln>
                        <a:noFill/>
                      </a:ln>
                    </wps:spPr>
                    <wps:txbx>
                      <w:txbxContent>
                        <w:p w14:paraId="2AE7C9D1">
                          <w:pPr>
                            <w:pStyle w:val="6"/>
                          </w:pPr>
                          <w:r>
                            <w:fldChar w:fldCharType="begin"/>
                          </w:r>
                          <w:r>
                            <w:instrText xml:space="preserve"> PAGE  \* MERGEFORMAT </w:instrText>
                          </w:r>
                          <w:r>
                            <w:fldChar w:fldCharType="separate"/>
                          </w:r>
                          <w:r>
                            <w:t>23</w:t>
                          </w:r>
                          <w:r>
                            <w:fldChar w:fldCharType="end"/>
                          </w:r>
                        </w:p>
                      </w:txbxContent>
                    </wps:txbx>
                    <wps:bodyPr wrap="square" lIns="0" tIns="0" rIns="0" bIns="0" upright="1">
                      <a:noAutofit/>
                    </wps:bodyPr>
                  </wps:wsp>
                </a:graphicData>
              </a:graphic>
            </wp:anchor>
          </w:drawing>
        </mc:Choice>
        <mc:Fallback>
          <w:pict>
            <v:shape id="文本框 15" o:spid="_x0000_s1026" o:spt="202" type="#_x0000_t202" style="position:absolute;left:0pt;margin-left:224.6pt;margin-top:0.3pt;height:11.25pt;width:14.25pt;mso-position-horizontal-relative:margin;z-index:251659264;mso-width-relative:page;mso-height-relative:page;" filled="f" stroked="f" coordsize="21600,21600" o:gfxdata="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Gbd61gAAAAcBAAAPAAAAAAAAAAEAIAAAACIAAABk&#10;cnMvZG93bnJldi54bWxQSwECFAAUAAAACACHTuJAr2S2oc8BAACaAwAADgAAAAAAAAABACAAAAAl&#10;AQAAZHJzL2Uyb0RvYy54bWxQSwUGAAAAAAYABgBZAQAAZgUAAAAA&#10;">
              <v:fill on="f" focussize="0,0"/>
              <v:stroke on="f"/>
              <v:imagedata o:title=""/>
              <o:lock v:ext="edit" aspectratio="f"/>
              <v:textbox inset="0mm,0mm,0mm,0mm">
                <w:txbxContent>
                  <w:p w14:paraId="2AE7C9D1">
                    <w:pPr>
                      <w:pStyle w:val="6"/>
                    </w:pPr>
                    <w:r>
                      <w:fldChar w:fldCharType="begin"/>
                    </w:r>
                    <w:r>
                      <w:instrText xml:space="preserve"> PAGE  \* MERGEFORMAT </w:instrText>
                    </w:r>
                    <w:r>
                      <w:fldChar w:fldCharType="separate"/>
                    </w:r>
                    <w:r>
                      <w:t>23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17D1B">
    <w:pPr>
      <w:pStyle w:val="7"/>
      <w:jc w:val="left"/>
      <w:rPr>
        <w:lang w:eastAsia="zh-CN"/>
      </w:rPr>
    </w:pPr>
    <w:r>
      <w:rPr>
        <w:rFonts w:hint="eastAsia"/>
        <w:lang w:eastAsia="zh-CN"/>
      </w:rPr>
      <w:t>河北高速公路集团有限公司2026年度公务用车集中采购</w:t>
    </w:r>
    <w:r>
      <w:rPr>
        <w:rFonts w:hint="eastAsia"/>
        <w:lang w:val="en-US" w:eastAsia="zh-CN"/>
      </w:rPr>
      <w:t xml:space="preserve">                              </w:t>
    </w:r>
    <w:r>
      <w:rPr>
        <w:rFonts w:hint="eastAsia"/>
        <w:lang w:eastAsia="zh-CN"/>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608B93"/>
    <w:multiLevelType w:val="singleLevel"/>
    <w:tmpl w:val="9D608B93"/>
    <w:lvl w:ilvl="0" w:tentative="0">
      <w:start w:val="1"/>
      <w:numFmt w:val="decimal"/>
      <w:pStyle w:val="5"/>
      <w:lvlText w:val="%1."/>
      <w:lvlJc w:val="left"/>
      <w:pPr>
        <w:tabs>
          <w:tab w:val="left" w:pos="2040"/>
        </w:tabs>
        <w:ind w:left="2040" w:hanging="360"/>
      </w:pPr>
    </w:lvl>
  </w:abstractNum>
  <w:abstractNum w:abstractNumId="1">
    <w:nsid w:val="0A974297"/>
    <w:multiLevelType w:val="singleLevel"/>
    <w:tmpl w:val="0A974297"/>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BF6EE2"/>
    <w:rsid w:val="24860D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3"/>
    <w:basedOn w:val="1"/>
    <w:next w:val="1"/>
    <w:qFormat/>
    <w:uiPriority w:val="9"/>
    <w:pPr>
      <w:keepNext/>
      <w:keepLines/>
      <w:spacing w:before="50" w:beforeLines="50" w:line="415" w:lineRule="auto"/>
      <w:outlineLvl w:val="2"/>
    </w:pPr>
    <w:rPr>
      <w:b/>
      <w:bCs/>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ind w:left="100"/>
      <w:jc w:val="left"/>
    </w:pPr>
    <w:rPr>
      <w:rFonts w:ascii="宋体" w:hAnsi="宋体"/>
      <w:kern w:val="0"/>
      <w:szCs w:val="21"/>
      <w:lang w:eastAsia="en-US"/>
    </w:rPr>
  </w:style>
  <w:style w:type="paragraph" w:styleId="4">
    <w:name w:val="Plain Text"/>
    <w:basedOn w:val="1"/>
    <w:next w:val="5"/>
    <w:qFormat/>
    <w:uiPriority w:val="0"/>
    <w:rPr>
      <w:rFonts w:ascii="宋体" w:hAnsi="Courier New"/>
      <w:szCs w:val="20"/>
    </w:rPr>
  </w:style>
  <w:style w:type="paragraph" w:styleId="5">
    <w:name w:val="List Number 5"/>
    <w:basedOn w:val="1"/>
    <w:qFormat/>
    <w:uiPriority w:val="0"/>
    <w:pPr>
      <w:numPr>
        <w:ilvl w:val="0"/>
        <w:numId w:val="1"/>
      </w:numPr>
    </w:pPr>
  </w:style>
  <w:style w:type="paragraph" w:styleId="6">
    <w:name w:val="footer"/>
    <w:basedOn w:val="1"/>
    <w:unhideWhenUsed/>
    <w:qFormat/>
    <w:uiPriority w:val="99"/>
    <w:pPr>
      <w:tabs>
        <w:tab w:val="center" w:pos="4153"/>
        <w:tab w:val="right" w:pos="8306"/>
      </w:tabs>
      <w:snapToGrid w:val="0"/>
      <w:jc w:val="left"/>
    </w:pPr>
    <w:rPr>
      <w:kern w:val="0"/>
      <w:sz w:val="18"/>
      <w:szCs w:val="18"/>
    </w:rPr>
  </w:style>
  <w:style w:type="paragraph" w:styleId="7">
    <w:name w:val="header"/>
    <w:basedOn w:val="1"/>
    <w:next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10">
    <w:name w:val="标题 31"/>
    <w:basedOn w:val="1"/>
    <w:qFormat/>
    <w:uiPriority w:val="1"/>
    <w:pPr>
      <w:ind w:left="100"/>
      <w:jc w:val="left"/>
      <w:outlineLvl w:val="3"/>
    </w:pPr>
    <w:rPr>
      <w:rFonts w:ascii="Microsoft JhengHei" w:hAnsi="Microsoft JhengHei" w:eastAsia="Microsoft JhengHei"/>
      <w:b/>
      <w:bCs/>
      <w:kern w:val="0"/>
      <w:sz w:val="32"/>
      <w:szCs w:val="32"/>
      <w:lang w:eastAsia="en-US"/>
    </w:rPr>
  </w:style>
  <w:style w:type="paragraph" w:styleId="11">
    <w:name w:val="List Paragraph"/>
    <w:basedOn w:val="1"/>
    <w:qFormat/>
    <w:uiPriority w:val="34"/>
    <w:pPr>
      <w:ind w:firstLine="420" w:firstLineChars="200"/>
    </w:pPr>
  </w:style>
  <w:style w:type="paragraph" w:customStyle="1" w:styleId="12">
    <w:name w:val="Table Paragraph"/>
    <w:basedOn w:val="1"/>
    <w:qFormat/>
    <w:uiPriority w:val="1"/>
    <w:pPr>
      <w:jc w:val="left"/>
    </w:pPr>
    <w:rPr>
      <w:rFonts w:ascii="Calibri" w:hAnsi="Calibri"/>
      <w:kern w:val="0"/>
      <w:sz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8515</Words>
  <Characters>9424</Characters>
  <Lines>0</Lines>
  <Paragraphs>0</Paragraphs>
  <TotalTime>1</TotalTime>
  <ScaleCrop>false</ScaleCrop>
  <LinksUpToDate>false</LinksUpToDate>
  <CharactersWithSpaces>9585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2026-10-12T09:47:00Z</dcterms:created>
  <dc:creator>86133</dc:creator>
  <cp:lastModifiedBy>李娜</cp:lastModifiedBy>
  <dcterms:modified xsi:type="dcterms:W3CDTF">2026-10-13T00:23:44Z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eyJoZGlkIjoiOWYyZDYxNTJjZmI2NmVkYTMyOWVjMGFiZjEzZGM5NjgiLCJ1c2VySWQiOiIxNTI1NDExOTAzIn0=</vt:lpwstr>
  </property>
  <property fmtid="{D5CDD505-2E9C-101B-9397-08002B2CF9AE}" pid="4" name="ICV">
    <vt:lpwstr>895030DB3C214ACCA783B40968F12E0D_12</vt:lpwstr>
  </property>
</Properties>
</file>