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167CA">
      <w:pPr>
        <w:rPr>
          <w:rFonts w:hint="eastAsia" w:ascii="宋体" w:hAnsi="宋体" w:cs="宋体"/>
          <w:b/>
          <w:color w:val="auto"/>
          <w:sz w:val="28"/>
          <w:szCs w:val="28"/>
          <w:highlight w:val="none"/>
        </w:rPr>
      </w:pPr>
      <w:bookmarkStart w:id="20" w:name="_GoBack"/>
      <w:bookmarkEnd w:id="20"/>
      <w:r>
        <w:rPr>
          <w:rFonts w:hint="eastAsia" w:ascii="宋体" w:hAnsi="宋体" w:cs="宋体"/>
          <w:b/>
          <w:color w:val="auto"/>
          <w:sz w:val="28"/>
          <w:szCs w:val="28"/>
          <w:highlight w:val="none"/>
        </w:rPr>
        <w:t>附件1：资格审查条件</w:t>
      </w:r>
    </w:p>
    <w:p w14:paraId="2E43CEF7">
      <w:pPr>
        <w:adjustRightInd w:val="0"/>
        <w:snapToGrid w:val="0"/>
        <w:spacing w:line="360" w:lineRule="auto"/>
        <w:jc w:val="both"/>
        <w:rPr>
          <w:rFonts w:ascii="宋体" w:hAnsi="宋体"/>
          <w:b/>
          <w:bCs/>
          <w:snapToGrid w:val="0"/>
          <w:color w:val="auto"/>
          <w:kern w:val="0"/>
          <w:sz w:val="24"/>
          <w:szCs w:val="24"/>
          <w:highlight w:val="none"/>
        </w:rPr>
      </w:pPr>
    </w:p>
    <w:p w14:paraId="3B1066B4">
      <w:pPr>
        <w:adjustRightInd w:val="0"/>
        <w:snapToGrid w:val="0"/>
        <w:spacing w:line="360" w:lineRule="auto"/>
        <w:jc w:val="center"/>
        <w:rPr>
          <w:rFonts w:ascii="宋体" w:hAnsi="宋体"/>
          <w:b/>
          <w:bCs/>
          <w:snapToGrid w:val="0"/>
          <w:color w:val="auto"/>
          <w:kern w:val="0"/>
          <w:sz w:val="24"/>
          <w:szCs w:val="24"/>
          <w:highlight w:val="none"/>
        </w:rPr>
      </w:pPr>
      <w:r>
        <w:rPr>
          <w:rFonts w:ascii="宋体" w:hAnsi="宋体"/>
          <w:b/>
          <w:bCs/>
          <w:snapToGrid w:val="0"/>
          <w:color w:val="auto"/>
          <w:kern w:val="0"/>
          <w:sz w:val="24"/>
          <w:szCs w:val="24"/>
          <w:highlight w:val="none"/>
        </w:rPr>
        <w:t>附录1  资格审查条件（资质最低要求）</w:t>
      </w:r>
    </w:p>
    <w:tbl>
      <w:tblPr>
        <w:tblStyle w:val="9"/>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357"/>
        <w:gridCol w:w="7165"/>
      </w:tblGrid>
      <w:tr w14:paraId="7BCB82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1451" w:type="dxa"/>
            <w:tcBorders>
              <w:top w:val="single" w:color="000000" w:sz="2" w:space="0"/>
              <w:left w:val="single" w:color="auto" w:sz="4" w:space="0"/>
              <w:bottom w:val="single" w:color="000000" w:sz="4" w:space="0"/>
              <w:right w:val="single" w:color="000000" w:sz="2" w:space="0"/>
            </w:tcBorders>
            <w:noWrap w:val="0"/>
            <w:vAlign w:val="center"/>
          </w:tcPr>
          <w:p w14:paraId="4E6D284E">
            <w:pPr>
              <w:adjustRightInd w:val="0"/>
              <w:snapToGrid w:val="0"/>
              <w:spacing w:line="240" w:lineRule="auto"/>
              <w:jc w:val="center"/>
              <w:textAlignment w:val="baseline"/>
              <w:rPr>
                <w:rStyle w:val="13"/>
                <w:rFonts w:hint="eastAsia" w:ascii="宋体" w:hAnsi="宋体" w:eastAsia="宋体"/>
                <w:b w:val="0"/>
                <w:bCs w:val="0"/>
                <w:snapToGrid w:val="0"/>
                <w:color w:val="auto"/>
                <w:kern w:val="0"/>
                <w:sz w:val="24"/>
                <w:szCs w:val="24"/>
                <w:highlight w:val="none"/>
                <w:lang w:eastAsia="zh-CN"/>
              </w:rPr>
            </w:pPr>
            <w:r>
              <w:rPr>
                <w:rFonts w:hint="eastAsia" w:ascii="宋体" w:hAnsi="宋体" w:cs="宋体"/>
                <w:b w:val="0"/>
                <w:bCs w:val="0"/>
                <w:color w:val="auto"/>
                <w:sz w:val="24"/>
                <w:szCs w:val="24"/>
                <w:highlight w:val="none"/>
                <w:lang w:val="en-US" w:eastAsia="zh-CN"/>
              </w:rPr>
              <w:t>标段号</w:t>
            </w:r>
          </w:p>
        </w:tc>
        <w:tc>
          <w:tcPr>
            <w:tcW w:w="7836" w:type="dxa"/>
            <w:tcBorders>
              <w:top w:val="single" w:color="000000" w:sz="2" w:space="0"/>
              <w:left w:val="single" w:color="auto" w:sz="4" w:space="0"/>
              <w:bottom w:val="single" w:color="000000" w:sz="4" w:space="0"/>
              <w:right w:val="single" w:color="000000" w:sz="2" w:space="0"/>
            </w:tcBorders>
            <w:noWrap w:val="0"/>
            <w:vAlign w:val="center"/>
          </w:tcPr>
          <w:p w14:paraId="71D46251">
            <w:pPr>
              <w:adjustRightInd w:val="0"/>
              <w:snapToGrid w:val="0"/>
              <w:spacing w:line="240" w:lineRule="auto"/>
              <w:jc w:val="center"/>
              <w:textAlignment w:val="baseline"/>
              <w:rPr>
                <w:rStyle w:val="13"/>
                <w:rFonts w:ascii="宋体" w:hAnsi="宋体"/>
                <w:b w:val="0"/>
                <w:bCs w:val="0"/>
                <w:snapToGrid w:val="0"/>
                <w:color w:val="auto"/>
                <w:kern w:val="0"/>
                <w:sz w:val="24"/>
                <w:szCs w:val="24"/>
                <w:highlight w:val="none"/>
              </w:rPr>
            </w:pPr>
            <w:r>
              <w:rPr>
                <w:rStyle w:val="13"/>
                <w:rFonts w:ascii="宋体" w:hAnsi="宋体"/>
                <w:b w:val="0"/>
                <w:bCs w:val="0"/>
                <w:snapToGrid w:val="0"/>
                <w:color w:val="auto"/>
                <w:kern w:val="0"/>
                <w:sz w:val="24"/>
                <w:szCs w:val="24"/>
                <w:highlight w:val="none"/>
              </w:rPr>
              <w:t>资质要求</w:t>
            </w:r>
          </w:p>
        </w:tc>
      </w:tr>
      <w:tr w14:paraId="64BBF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824" w:hRule="atLeast"/>
          <w:jc w:val="center"/>
        </w:trPr>
        <w:tc>
          <w:tcPr>
            <w:tcW w:w="1451" w:type="dxa"/>
            <w:tcBorders>
              <w:top w:val="single" w:color="000000" w:sz="2" w:space="0"/>
              <w:left w:val="single" w:color="auto" w:sz="4" w:space="0"/>
              <w:bottom w:val="single" w:color="000000" w:sz="2" w:space="0"/>
              <w:right w:val="single" w:color="000000" w:sz="2" w:space="0"/>
            </w:tcBorders>
            <w:noWrap w:val="0"/>
            <w:vAlign w:val="center"/>
          </w:tcPr>
          <w:p w14:paraId="43048103">
            <w:pPr>
              <w:pStyle w:val="15"/>
              <w:adjustRightInd w:val="0"/>
              <w:snapToGrid w:val="0"/>
              <w:spacing w:line="240" w:lineRule="auto"/>
              <w:jc w:val="center"/>
              <w:rPr>
                <w:rStyle w:val="13"/>
                <w:rFonts w:hint="eastAsia" w:hAnsi="宋体" w:eastAsia="宋体"/>
                <w:bCs w:val="0"/>
                <w:snapToGrid w:val="0"/>
                <w:color w:val="auto"/>
                <w:sz w:val="24"/>
                <w:szCs w:val="24"/>
                <w:highlight w:val="none"/>
                <w:lang w:val="en-US" w:eastAsia="zh-CN"/>
              </w:rPr>
            </w:pPr>
            <w:r>
              <w:rPr>
                <w:rStyle w:val="13"/>
                <w:rFonts w:hint="eastAsia" w:hAnsi="宋体"/>
                <w:bCs w:val="0"/>
                <w:snapToGrid w:val="0"/>
                <w:color w:val="auto"/>
                <w:sz w:val="24"/>
                <w:szCs w:val="24"/>
                <w:highlight w:val="none"/>
                <w:lang w:val="en-US" w:eastAsia="zh-CN"/>
              </w:rPr>
              <w:t>全部标段</w:t>
            </w:r>
          </w:p>
        </w:tc>
        <w:tc>
          <w:tcPr>
            <w:tcW w:w="7836" w:type="dxa"/>
            <w:tcBorders>
              <w:top w:val="single" w:color="000000" w:sz="2" w:space="0"/>
              <w:left w:val="single" w:color="auto" w:sz="4" w:space="0"/>
              <w:bottom w:val="single" w:color="000000" w:sz="2" w:space="0"/>
              <w:right w:val="single" w:color="000000" w:sz="2" w:space="0"/>
            </w:tcBorders>
            <w:noWrap w:val="0"/>
            <w:vAlign w:val="center"/>
          </w:tcPr>
          <w:p w14:paraId="5DD0B503">
            <w:pPr>
              <w:pStyle w:val="15"/>
              <w:adjustRightInd w:val="0"/>
              <w:snapToGrid w:val="0"/>
              <w:spacing w:line="240" w:lineRule="auto"/>
              <w:jc w:val="both"/>
              <w:rPr>
                <w:rStyle w:val="13"/>
                <w:rFonts w:hint="eastAsia" w:hAnsi="宋体"/>
                <w:bCs w:val="0"/>
                <w:snapToGrid w:val="0"/>
                <w:color w:val="auto"/>
                <w:sz w:val="24"/>
                <w:szCs w:val="24"/>
                <w:highlight w:val="none"/>
              </w:rPr>
            </w:pPr>
            <w:r>
              <w:rPr>
                <w:rFonts w:hint="eastAsia" w:hAnsi="宋体"/>
                <w:color w:val="auto"/>
                <w:sz w:val="24"/>
                <w:szCs w:val="24"/>
                <w:highlight w:val="none"/>
                <w:lang w:eastAsia="zh-CN"/>
              </w:rPr>
              <w:t>投标人应是中华人民共和国境内的法人或其他组织，</w:t>
            </w:r>
            <w:r>
              <w:rPr>
                <w:rFonts w:hint="eastAsia" w:ascii="宋体" w:hAnsi="宋体" w:cs="宋体"/>
                <w:snapToGrid w:val="0"/>
                <w:kern w:val="0"/>
                <w:sz w:val="24"/>
                <w:szCs w:val="24"/>
              </w:rPr>
              <w:t>持有有效营业执照的所投</w:t>
            </w:r>
            <w:r>
              <w:rPr>
                <w:rFonts w:hint="eastAsia" w:ascii="宋体" w:hAnsi="宋体" w:cs="宋体"/>
                <w:snapToGrid w:val="0"/>
                <w:kern w:val="0"/>
                <w:sz w:val="24"/>
                <w:szCs w:val="24"/>
                <w:lang w:val="en-US" w:eastAsia="zh-CN"/>
              </w:rPr>
              <w:t>设备</w:t>
            </w:r>
            <w:r>
              <w:rPr>
                <w:rFonts w:hint="eastAsia" w:ascii="宋体" w:hAnsi="宋体" w:cs="宋体"/>
                <w:snapToGrid w:val="0"/>
                <w:kern w:val="0"/>
                <w:sz w:val="24"/>
                <w:szCs w:val="24"/>
              </w:rPr>
              <w:t>制造商</w:t>
            </w:r>
            <w:r>
              <w:rPr>
                <w:rFonts w:hint="eastAsia" w:hAnsi="宋体"/>
                <w:color w:val="auto"/>
                <w:sz w:val="24"/>
                <w:szCs w:val="24"/>
                <w:highlight w:val="none"/>
                <w:lang w:eastAsia="zh-CN"/>
              </w:rPr>
              <w:t>。</w:t>
            </w:r>
          </w:p>
        </w:tc>
      </w:tr>
    </w:tbl>
    <w:p w14:paraId="7BD4D5A1">
      <w:pPr>
        <w:pStyle w:val="4"/>
        <w:spacing w:line="240" w:lineRule="auto"/>
        <w:ind w:left="0" w:leftChars="0" w:firstLine="0" w:firstLineChars="0"/>
        <w:jc w:val="center"/>
        <w:rPr>
          <w:rFonts w:hint="eastAsia"/>
          <w:color w:val="auto"/>
          <w:sz w:val="24"/>
          <w:szCs w:val="24"/>
          <w:highlight w:val="none"/>
        </w:rPr>
      </w:pPr>
    </w:p>
    <w:p w14:paraId="68D1E60F">
      <w:pPr>
        <w:spacing w:line="240" w:lineRule="auto"/>
        <w:jc w:val="center"/>
        <w:rPr>
          <w:rFonts w:ascii="宋体" w:hAnsi="宋体"/>
          <w:b/>
          <w:bCs/>
          <w:snapToGrid w:val="0"/>
          <w:color w:val="auto"/>
          <w:kern w:val="0"/>
          <w:sz w:val="24"/>
          <w:szCs w:val="24"/>
          <w:highlight w:val="none"/>
        </w:rPr>
      </w:pPr>
    </w:p>
    <w:p w14:paraId="4B0530EE">
      <w:pPr>
        <w:spacing w:line="240" w:lineRule="auto"/>
        <w:jc w:val="center"/>
        <w:rPr>
          <w:rFonts w:ascii="宋体" w:hAnsi="宋体"/>
          <w:b/>
          <w:bCs/>
          <w:snapToGrid w:val="0"/>
          <w:color w:val="auto"/>
          <w:kern w:val="0"/>
          <w:sz w:val="24"/>
          <w:szCs w:val="24"/>
          <w:highlight w:val="none"/>
        </w:rPr>
      </w:pPr>
    </w:p>
    <w:p w14:paraId="2312B167">
      <w:pPr>
        <w:spacing w:line="240" w:lineRule="auto"/>
        <w:jc w:val="center"/>
        <w:rPr>
          <w:rFonts w:ascii="宋体" w:hAnsi="宋体"/>
          <w:b/>
          <w:bCs/>
          <w:snapToGrid w:val="0"/>
          <w:color w:val="auto"/>
          <w:kern w:val="0"/>
          <w:sz w:val="24"/>
          <w:szCs w:val="24"/>
          <w:highlight w:val="none"/>
        </w:rPr>
      </w:pPr>
    </w:p>
    <w:p w14:paraId="01050738">
      <w:pPr>
        <w:spacing w:line="240" w:lineRule="auto"/>
        <w:jc w:val="center"/>
        <w:rPr>
          <w:rFonts w:hint="eastAsia" w:ascii="宋体" w:hAnsi="宋体"/>
          <w:color w:val="auto"/>
          <w:sz w:val="24"/>
          <w:szCs w:val="24"/>
          <w:highlight w:val="none"/>
        </w:rPr>
      </w:pPr>
      <w:r>
        <w:rPr>
          <w:rFonts w:ascii="宋体" w:hAnsi="宋体"/>
          <w:b/>
          <w:bCs/>
          <w:snapToGrid w:val="0"/>
          <w:color w:val="auto"/>
          <w:kern w:val="0"/>
          <w:sz w:val="24"/>
          <w:szCs w:val="24"/>
          <w:highlight w:val="none"/>
        </w:rPr>
        <w:t>附录2  资格审查条件（业绩最低要求）</w:t>
      </w:r>
    </w:p>
    <w:tbl>
      <w:tblPr>
        <w:tblStyle w:val="9"/>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157"/>
        <w:gridCol w:w="7365"/>
      </w:tblGrid>
      <w:tr w14:paraId="7E7A7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679" w:type="pct"/>
            <w:tcBorders>
              <w:top w:val="single" w:color="000000" w:sz="2" w:space="0"/>
              <w:left w:val="single" w:color="auto" w:sz="4" w:space="0"/>
              <w:bottom w:val="single" w:color="000000" w:sz="4" w:space="0"/>
              <w:right w:val="single" w:color="000000" w:sz="2" w:space="0"/>
            </w:tcBorders>
            <w:noWrap w:val="0"/>
            <w:vAlign w:val="center"/>
          </w:tcPr>
          <w:p w14:paraId="5692F734">
            <w:pPr>
              <w:adjustRightInd w:val="0"/>
              <w:snapToGrid w:val="0"/>
              <w:spacing w:line="240" w:lineRule="auto"/>
              <w:jc w:val="center"/>
              <w:textAlignment w:val="baseline"/>
              <w:rPr>
                <w:rStyle w:val="13"/>
                <w:rFonts w:ascii="宋体" w:hAnsi="宋体"/>
                <w:snapToGrid w:val="0"/>
                <w:color w:val="auto"/>
                <w:kern w:val="0"/>
                <w:sz w:val="24"/>
                <w:szCs w:val="24"/>
                <w:highlight w:val="none"/>
              </w:rPr>
            </w:pPr>
            <w:r>
              <w:rPr>
                <w:rFonts w:hint="eastAsia" w:ascii="宋体" w:hAnsi="宋体" w:cs="宋体"/>
                <w:b w:val="0"/>
                <w:bCs w:val="0"/>
                <w:color w:val="auto"/>
                <w:sz w:val="24"/>
                <w:szCs w:val="24"/>
                <w:highlight w:val="none"/>
                <w:lang w:val="en-US" w:eastAsia="zh-CN"/>
              </w:rPr>
              <w:t>标段号</w:t>
            </w:r>
          </w:p>
        </w:tc>
        <w:tc>
          <w:tcPr>
            <w:tcW w:w="4320" w:type="pct"/>
            <w:tcBorders>
              <w:top w:val="single" w:color="000000" w:sz="2" w:space="0"/>
              <w:left w:val="single" w:color="auto" w:sz="4" w:space="0"/>
              <w:bottom w:val="single" w:color="000000" w:sz="4" w:space="0"/>
              <w:right w:val="single" w:color="000000" w:sz="2" w:space="0"/>
            </w:tcBorders>
            <w:noWrap w:val="0"/>
            <w:vAlign w:val="center"/>
          </w:tcPr>
          <w:p w14:paraId="43266013">
            <w:pPr>
              <w:adjustRightInd w:val="0"/>
              <w:snapToGrid w:val="0"/>
              <w:spacing w:line="240" w:lineRule="auto"/>
              <w:jc w:val="center"/>
              <w:textAlignment w:val="baseline"/>
              <w:rPr>
                <w:rStyle w:val="13"/>
                <w:rFonts w:ascii="宋体" w:hAnsi="宋体"/>
                <w:snapToGrid w:val="0"/>
                <w:color w:val="auto"/>
                <w:kern w:val="0"/>
                <w:sz w:val="24"/>
                <w:szCs w:val="24"/>
                <w:highlight w:val="none"/>
              </w:rPr>
            </w:pPr>
            <w:r>
              <w:rPr>
                <w:rStyle w:val="13"/>
                <w:rFonts w:ascii="宋体" w:hAnsi="宋体"/>
                <w:snapToGrid w:val="0"/>
                <w:color w:val="auto"/>
                <w:kern w:val="0"/>
                <w:sz w:val="24"/>
                <w:szCs w:val="24"/>
                <w:highlight w:val="none"/>
              </w:rPr>
              <w:t>业绩要求</w:t>
            </w:r>
          </w:p>
        </w:tc>
      </w:tr>
      <w:tr w14:paraId="2951E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230" w:hRule="atLeast"/>
          <w:jc w:val="center"/>
        </w:trPr>
        <w:tc>
          <w:tcPr>
            <w:tcW w:w="679" w:type="pct"/>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67EDDE6A">
            <w:pPr>
              <w:adjustRightInd w:val="0"/>
              <w:snapToGrid w:val="0"/>
              <w:spacing w:line="240" w:lineRule="auto"/>
              <w:jc w:val="both"/>
              <w:rPr>
                <w:rFonts w:hint="default" w:ascii="Times New Roman" w:hAnsi="宋体" w:eastAsia="宋体" w:cs="Times New Roman"/>
                <w:bCs w:val="0"/>
                <w:snapToGrid w:val="0"/>
                <w:color w:val="auto"/>
                <w:kern w:val="0"/>
                <w:sz w:val="24"/>
                <w:szCs w:val="24"/>
                <w:highlight w:val="none"/>
                <w:lang w:val="en-US" w:eastAsia="zh-CN" w:bidi="ar-SA"/>
              </w:rPr>
            </w:pPr>
            <w:r>
              <w:rPr>
                <w:rStyle w:val="13"/>
                <w:rFonts w:hint="eastAsia" w:hAnsi="宋体"/>
                <w:bCs w:val="0"/>
                <w:snapToGrid w:val="0"/>
                <w:color w:val="auto"/>
                <w:sz w:val="24"/>
                <w:szCs w:val="24"/>
                <w:highlight w:val="none"/>
                <w:lang w:val="en-US" w:eastAsia="zh-CN"/>
              </w:rPr>
              <w:t>一标段</w:t>
            </w:r>
          </w:p>
        </w:tc>
        <w:tc>
          <w:tcPr>
            <w:tcW w:w="4320" w:type="pct"/>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73A98574">
            <w:pPr>
              <w:adjustRightInd w:val="0"/>
              <w:snapToGrid w:val="0"/>
              <w:spacing w:line="240" w:lineRule="auto"/>
              <w:ind w:firstLine="480" w:firstLineChars="200"/>
              <w:jc w:val="left"/>
              <w:rPr>
                <w:rStyle w:val="13"/>
                <w:rFonts w:hint="eastAsia" w:ascii="Times New Roman" w:hAnsi="宋体" w:eastAsia="宋体" w:cs="Times New Roman"/>
                <w:bCs w:val="0"/>
                <w:snapToGrid w:val="0"/>
                <w:color w:val="auto"/>
                <w:sz w:val="24"/>
                <w:szCs w:val="24"/>
                <w:highlight w:val="none"/>
                <w:lang w:val="en-US" w:eastAsia="zh-CN"/>
              </w:rPr>
            </w:pPr>
            <w:r>
              <w:rPr>
                <w:rStyle w:val="13"/>
                <w:rFonts w:hint="eastAsia" w:ascii="Times New Roman" w:hAnsi="宋体" w:eastAsia="宋体" w:cs="Times New Roman"/>
                <w:bCs w:val="0"/>
                <w:snapToGrid w:val="0"/>
                <w:color w:val="auto"/>
                <w:sz w:val="24"/>
                <w:szCs w:val="24"/>
                <w:highlight w:val="none"/>
                <w:lang w:val="en-US" w:eastAsia="zh-CN"/>
              </w:rPr>
              <w:t>近3年内（2023年9月1日至投标截止时间，以合同签订时间为准），完成过累计数量不少于</w:t>
            </w:r>
            <w:r>
              <w:rPr>
                <w:rStyle w:val="13"/>
                <w:rFonts w:hint="eastAsia" w:hAnsi="宋体" w:cs="Times New Roman"/>
                <w:bCs w:val="0"/>
                <w:snapToGrid w:val="0"/>
                <w:color w:val="auto"/>
                <w:sz w:val="24"/>
                <w:szCs w:val="24"/>
                <w:highlight w:val="none"/>
                <w:lang w:val="en-US" w:eastAsia="zh-CN"/>
              </w:rPr>
              <w:t>3</w:t>
            </w:r>
            <w:r>
              <w:rPr>
                <w:rStyle w:val="13"/>
                <w:rFonts w:hint="eastAsia" w:ascii="Times New Roman" w:hAnsi="宋体" w:eastAsia="宋体" w:cs="Times New Roman"/>
                <w:bCs w:val="0"/>
                <w:snapToGrid w:val="0"/>
                <w:color w:val="auto"/>
                <w:sz w:val="24"/>
                <w:szCs w:val="24"/>
                <w:highlight w:val="none"/>
                <w:lang w:eastAsia="zh-CN"/>
              </w:rPr>
              <w:t>MW</w:t>
            </w:r>
            <w:r>
              <w:rPr>
                <w:rStyle w:val="13"/>
                <w:rFonts w:hint="eastAsia" w:hAnsi="宋体" w:cs="Times New Roman"/>
                <w:bCs w:val="0"/>
                <w:snapToGrid w:val="0"/>
                <w:color w:val="auto"/>
                <w:sz w:val="24"/>
                <w:szCs w:val="24"/>
                <w:highlight w:val="none"/>
                <w:lang w:val="en-US" w:eastAsia="zh-CN"/>
              </w:rPr>
              <w:t>(含）</w:t>
            </w:r>
            <w:r>
              <w:rPr>
                <w:rStyle w:val="13"/>
                <w:rFonts w:hint="eastAsia" w:ascii="Times New Roman" w:hAnsi="宋体" w:eastAsia="宋体" w:cs="Times New Roman"/>
                <w:bCs w:val="0"/>
                <w:snapToGrid w:val="0"/>
                <w:color w:val="auto"/>
                <w:sz w:val="24"/>
                <w:szCs w:val="24"/>
                <w:highlight w:val="none"/>
                <w:lang w:eastAsia="zh-CN"/>
              </w:rPr>
              <w:t>所投品牌光伏</w:t>
            </w:r>
            <w:r>
              <w:rPr>
                <w:rStyle w:val="13"/>
                <w:rFonts w:hint="eastAsia" w:hAnsi="宋体" w:cs="Times New Roman"/>
                <w:bCs w:val="0"/>
                <w:snapToGrid w:val="0"/>
                <w:color w:val="auto"/>
                <w:sz w:val="24"/>
                <w:szCs w:val="24"/>
                <w:highlight w:val="none"/>
                <w:lang w:val="en-US" w:eastAsia="zh-CN"/>
              </w:rPr>
              <w:t>组件</w:t>
            </w:r>
            <w:r>
              <w:rPr>
                <w:rStyle w:val="13"/>
                <w:rFonts w:hint="eastAsia" w:ascii="Times New Roman" w:hAnsi="宋体" w:eastAsia="宋体" w:cs="Times New Roman"/>
                <w:bCs w:val="0"/>
                <w:snapToGrid w:val="0"/>
                <w:color w:val="auto"/>
                <w:sz w:val="24"/>
                <w:szCs w:val="24"/>
                <w:highlight w:val="none"/>
                <w:lang w:val="en-US" w:eastAsia="zh-CN"/>
              </w:rPr>
              <w:t>的供货</w:t>
            </w:r>
            <w:r>
              <w:rPr>
                <w:rStyle w:val="13"/>
                <w:rFonts w:hint="eastAsia" w:ascii="Times New Roman" w:hAnsi="宋体" w:eastAsia="宋体" w:cs="Times New Roman"/>
                <w:bCs w:val="0"/>
                <w:snapToGrid w:val="0"/>
                <w:color w:val="auto"/>
                <w:sz w:val="24"/>
                <w:szCs w:val="24"/>
                <w:highlight w:val="none"/>
                <w:lang w:eastAsia="zh-CN"/>
              </w:rPr>
              <w:t>业绩</w:t>
            </w:r>
            <w:r>
              <w:rPr>
                <w:rStyle w:val="13"/>
                <w:rFonts w:hint="eastAsia" w:ascii="Times New Roman" w:hAnsi="宋体" w:eastAsia="宋体" w:cs="Times New Roman"/>
                <w:bCs w:val="0"/>
                <w:snapToGrid w:val="0"/>
                <w:color w:val="auto"/>
                <w:sz w:val="24"/>
                <w:szCs w:val="24"/>
                <w:highlight w:val="none"/>
                <w:lang w:val="en-US" w:eastAsia="zh-CN"/>
              </w:rPr>
              <w:t>。</w:t>
            </w:r>
          </w:p>
        </w:tc>
      </w:tr>
      <w:tr w14:paraId="53576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230" w:hRule="atLeast"/>
          <w:jc w:val="center"/>
        </w:trPr>
        <w:tc>
          <w:tcPr>
            <w:tcW w:w="679" w:type="pct"/>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14732B93">
            <w:pPr>
              <w:adjustRightInd w:val="0"/>
              <w:snapToGrid w:val="0"/>
              <w:spacing w:line="240" w:lineRule="auto"/>
              <w:jc w:val="both"/>
              <w:rPr>
                <w:rFonts w:hint="default" w:ascii="Times New Roman" w:hAnsi="宋体" w:eastAsia="宋体" w:cs="Times New Roman"/>
                <w:bCs w:val="0"/>
                <w:snapToGrid w:val="0"/>
                <w:color w:val="auto"/>
                <w:kern w:val="0"/>
                <w:sz w:val="24"/>
                <w:szCs w:val="24"/>
                <w:highlight w:val="none"/>
                <w:lang w:val="en-US" w:eastAsia="zh-CN" w:bidi="ar-SA"/>
              </w:rPr>
            </w:pPr>
            <w:r>
              <w:rPr>
                <w:rStyle w:val="13"/>
                <w:rFonts w:hint="eastAsia" w:hAnsi="宋体"/>
                <w:bCs w:val="0"/>
                <w:snapToGrid w:val="0"/>
                <w:color w:val="auto"/>
                <w:sz w:val="24"/>
                <w:szCs w:val="24"/>
                <w:highlight w:val="none"/>
                <w:lang w:val="en-US" w:eastAsia="zh-CN"/>
              </w:rPr>
              <w:t>二标段</w:t>
            </w:r>
          </w:p>
        </w:tc>
        <w:tc>
          <w:tcPr>
            <w:tcW w:w="4320" w:type="pct"/>
            <w:tcBorders>
              <w:top w:val="single" w:color="000000" w:sz="2" w:space="0"/>
              <w:left w:val="single" w:color="auto" w:sz="4" w:space="0"/>
              <w:bottom w:val="single" w:color="000000" w:sz="2" w:space="0"/>
              <w:right w:val="single" w:color="000000" w:sz="2" w:space="0"/>
            </w:tcBorders>
            <w:shd w:val="clear" w:color="auto" w:fill="auto"/>
            <w:noWrap w:val="0"/>
            <w:vAlign w:val="center"/>
          </w:tcPr>
          <w:p w14:paraId="376F9E14">
            <w:pPr>
              <w:adjustRightInd w:val="0"/>
              <w:snapToGrid w:val="0"/>
              <w:spacing w:line="240" w:lineRule="auto"/>
              <w:ind w:firstLine="480" w:firstLineChars="200"/>
              <w:jc w:val="left"/>
              <w:rPr>
                <w:rStyle w:val="13"/>
                <w:rFonts w:hint="default" w:hAnsi="宋体" w:cs="Times New Roman"/>
                <w:bCs w:val="0"/>
                <w:snapToGrid w:val="0"/>
                <w:color w:val="auto"/>
                <w:sz w:val="24"/>
                <w:szCs w:val="24"/>
                <w:highlight w:val="none"/>
                <w:lang w:val="en-US" w:eastAsia="zh-CN"/>
              </w:rPr>
            </w:pPr>
            <w:r>
              <w:rPr>
                <w:rFonts w:hint="eastAsia" w:ascii="宋体" w:hAnsi="宋体" w:cs="宋体"/>
                <w:snapToGrid w:val="0"/>
                <w:kern w:val="0"/>
                <w:sz w:val="24"/>
                <w:szCs w:val="24"/>
              </w:rPr>
              <w:t>近3年内（2023年9月1日至投标截止时间，以合同签订时间为准），完成过累计数量不少于</w:t>
            </w:r>
            <w:r>
              <w:rPr>
                <w:rStyle w:val="13"/>
                <w:rFonts w:hint="eastAsia" w:hAnsi="宋体" w:cs="Times New Roman"/>
                <w:bCs w:val="0"/>
                <w:snapToGrid w:val="0"/>
                <w:color w:val="auto"/>
                <w:sz w:val="24"/>
                <w:szCs w:val="24"/>
                <w:highlight w:val="none"/>
                <w:lang w:val="en-US" w:eastAsia="zh-CN"/>
              </w:rPr>
              <w:t>1.5MWh(含）</w:t>
            </w:r>
            <w:r>
              <w:rPr>
                <w:rStyle w:val="13"/>
                <w:rFonts w:hint="eastAsia" w:ascii="Times New Roman" w:hAnsi="宋体" w:eastAsia="宋体" w:cs="Times New Roman"/>
                <w:bCs w:val="0"/>
                <w:snapToGrid w:val="0"/>
                <w:color w:val="auto"/>
                <w:sz w:val="24"/>
                <w:szCs w:val="24"/>
                <w:highlight w:val="none"/>
                <w:lang w:eastAsia="zh-CN"/>
              </w:rPr>
              <w:t>所投品牌</w:t>
            </w:r>
            <w:r>
              <w:rPr>
                <w:rStyle w:val="13"/>
                <w:rFonts w:hint="eastAsia" w:ascii="Times New Roman" w:hAnsi="宋体" w:eastAsia="宋体" w:cs="Times New Roman"/>
                <w:bCs w:val="0"/>
                <w:snapToGrid w:val="0"/>
                <w:color w:val="auto"/>
                <w:sz w:val="24"/>
                <w:szCs w:val="24"/>
                <w:highlight w:val="none"/>
                <w:lang w:val="en-US" w:eastAsia="zh-CN"/>
              </w:rPr>
              <w:t>储能设备的供货</w:t>
            </w:r>
            <w:r>
              <w:rPr>
                <w:rStyle w:val="13"/>
                <w:rFonts w:hint="eastAsia" w:ascii="Times New Roman" w:hAnsi="宋体" w:eastAsia="宋体" w:cs="Times New Roman"/>
                <w:bCs w:val="0"/>
                <w:snapToGrid w:val="0"/>
                <w:color w:val="auto"/>
                <w:sz w:val="24"/>
                <w:szCs w:val="24"/>
                <w:highlight w:val="none"/>
                <w:lang w:eastAsia="zh-CN"/>
              </w:rPr>
              <w:t>业绩</w:t>
            </w:r>
            <w:r>
              <w:rPr>
                <w:rFonts w:hint="eastAsia" w:ascii="宋体" w:hAnsi="宋体" w:cs="宋体"/>
                <w:snapToGrid w:val="0"/>
                <w:kern w:val="0"/>
                <w:sz w:val="24"/>
                <w:szCs w:val="24"/>
              </w:rPr>
              <w:t>。</w:t>
            </w:r>
          </w:p>
        </w:tc>
      </w:tr>
    </w:tbl>
    <w:p w14:paraId="5F9CDCAD">
      <w:pPr>
        <w:adjustRightInd w:val="0"/>
        <w:snapToGrid w:val="0"/>
        <w:spacing w:line="360" w:lineRule="auto"/>
        <w:jc w:val="center"/>
        <w:rPr>
          <w:rFonts w:ascii="宋体" w:hAnsi="宋体"/>
          <w:b/>
          <w:bCs/>
          <w:snapToGrid w:val="0"/>
          <w:color w:val="auto"/>
          <w:kern w:val="0"/>
          <w:sz w:val="24"/>
          <w:szCs w:val="24"/>
          <w:highlight w:val="none"/>
        </w:rPr>
      </w:pPr>
    </w:p>
    <w:p w14:paraId="62E5D905">
      <w:pPr>
        <w:adjustRightInd w:val="0"/>
        <w:snapToGrid w:val="0"/>
        <w:spacing w:line="360" w:lineRule="auto"/>
        <w:jc w:val="center"/>
        <w:rPr>
          <w:rFonts w:ascii="宋体" w:hAnsi="宋体"/>
          <w:b/>
          <w:bCs/>
          <w:snapToGrid w:val="0"/>
          <w:color w:val="auto"/>
          <w:kern w:val="0"/>
          <w:sz w:val="24"/>
          <w:szCs w:val="24"/>
          <w:highlight w:val="none"/>
        </w:rPr>
      </w:pPr>
      <w:r>
        <w:rPr>
          <w:rFonts w:ascii="宋体" w:hAnsi="宋体"/>
          <w:b/>
          <w:bCs/>
          <w:snapToGrid w:val="0"/>
          <w:color w:val="auto"/>
          <w:kern w:val="0"/>
          <w:sz w:val="24"/>
          <w:szCs w:val="24"/>
          <w:highlight w:val="none"/>
        </w:rPr>
        <w:t>附录3  资格审查条件（信誉最低要求）</w:t>
      </w:r>
    </w:p>
    <w:tbl>
      <w:tblPr>
        <w:tblStyle w:val="9"/>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522"/>
      </w:tblGrid>
      <w:tr w14:paraId="5EC5F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7541" w:type="dxa"/>
            <w:tcBorders>
              <w:top w:val="single" w:color="000000" w:sz="2" w:space="0"/>
              <w:left w:val="single" w:color="auto" w:sz="4" w:space="0"/>
              <w:bottom w:val="single" w:color="000000" w:sz="4" w:space="0"/>
              <w:right w:val="single" w:color="000000" w:sz="2" w:space="0"/>
            </w:tcBorders>
            <w:noWrap w:val="0"/>
            <w:vAlign w:val="center"/>
          </w:tcPr>
          <w:p w14:paraId="24C35864">
            <w:pPr>
              <w:adjustRightInd w:val="0"/>
              <w:snapToGrid w:val="0"/>
              <w:spacing w:line="240" w:lineRule="auto"/>
              <w:jc w:val="center"/>
              <w:textAlignment w:val="baseline"/>
              <w:rPr>
                <w:rStyle w:val="13"/>
                <w:rFonts w:ascii="宋体" w:hAnsi="宋体"/>
                <w:snapToGrid w:val="0"/>
                <w:color w:val="auto"/>
                <w:kern w:val="0"/>
                <w:sz w:val="24"/>
                <w:szCs w:val="24"/>
                <w:highlight w:val="none"/>
              </w:rPr>
            </w:pPr>
            <w:r>
              <w:rPr>
                <w:rStyle w:val="13"/>
                <w:rFonts w:ascii="宋体" w:hAnsi="宋体"/>
                <w:snapToGrid w:val="0"/>
                <w:color w:val="auto"/>
                <w:kern w:val="0"/>
                <w:sz w:val="24"/>
                <w:szCs w:val="24"/>
                <w:highlight w:val="none"/>
              </w:rPr>
              <w:t>信誉要求</w:t>
            </w:r>
          </w:p>
        </w:tc>
      </w:tr>
      <w:tr w14:paraId="00426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134" w:hRule="atLeast"/>
          <w:jc w:val="center"/>
        </w:trPr>
        <w:tc>
          <w:tcPr>
            <w:tcW w:w="7541" w:type="dxa"/>
            <w:tcBorders>
              <w:top w:val="single" w:color="000000" w:sz="2" w:space="0"/>
              <w:left w:val="single" w:color="auto" w:sz="4" w:space="0"/>
              <w:right w:val="single" w:color="000000" w:sz="2" w:space="0"/>
            </w:tcBorders>
            <w:noWrap w:val="0"/>
            <w:vAlign w:val="center"/>
          </w:tcPr>
          <w:p w14:paraId="31E71AB0">
            <w:pPr>
              <w:pStyle w:val="11"/>
              <w:spacing w:line="240" w:lineRule="auto"/>
              <w:ind w:firstLineChars="200"/>
              <w:rPr>
                <w:rStyle w:val="13"/>
                <w:rFonts w:ascii="宋体" w:hAnsi="宋体"/>
                <w:snapToGrid w:val="0"/>
                <w:color w:val="auto"/>
                <w:sz w:val="24"/>
                <w:szCs w:val="24"/>
                <w:highlight w:val="none"/>
                <w:lang w:bidi="ar"/>
              </w:rPr>
            </w:pPr>
            <w:r>
              <w:rPr>
                <w:rFonts w:hint="eastAsia" w:ascii="宋体" w:hAnsi="宋体"/>
                <w:snapToGrid w:val="0"/>
                <w:color w:val="auto"/>
                <w:sz w:val="24"/>
                <w:szCs w:val="24"/>
                <w:highlight w:val="none"/>
                <w:lang w:eastAsia="zh-CN" w:bidi="ar"/>
              </w:rPr>
              <w:t>投标人在近一年（202</w:t>
            </w:r>
            <w:r>
              <w:rPr>
                <w:rFonts w:hint="eastAsia" w:ascii="宋体" w:hAnsi="宋体"/>
                <w:snapToGrid w:val="0"/>
                <w:color w:val="auto"/>
                <w:sz w:val="24"/>
                <w:szCs w:val="24"/>
                <w:highlight w:val="none"/>
                <w:lang w:val="en-US" w:eastAsia="zh-CN" w:bidi="ar"/>
              </w:rPr>
              <w:t>5</w:t>
            </w:r>
            <w:r>
              <w:rPr>
                <w:rFonts w:hint="eastAsia" w:ascii="宋体" w:hAnsi="宋体"/>
                <w:snapToGrid w:val="0"/>
                <w:color w:val="auto"/>
                <w:sz w:val="24"/>
                <w:szCs w:val="24"/>
                <w:highlight w:val="none"/>
                <w:lang w:eastAsia="zh-CN" w:bidi="ar"/>
              </w:rPr>
              <w:t>年</w:t>
            </w:r>
            <w:r>
              <w:rPr>
                <w:rFonts w:hint="eastAsia" w:ascii="宋体" w:hAnsi="宋体"/>
                <w:snapToGrid w:val="0"/>
                <w:color w:val="auto"/>
                <w:sz w:val="24"/>
                <w:szCs w:val="24"/>
                <w:highlight w:val="none"/>
                <w:lang w:val="en-US" w:eastAsia="zh-CN" w:bidi="ar"/>
              </w:rPr>
              <w:t>9月</w:t>
            </w:r>
            <w:r>
              <w:rPr>
                <w:rFonts w:hint="eastAsia" w:ascii="宋体" w:hAnsi="宋体"/>
                <w:snapToGrid w:val="0"/>
                <w:color w:val="auto"/>
                <w:sz w:val="24"/>
                <w:szCs w:val="24"/>
                <w:highlight w:val="none"/>
                <w:lang w:eastAsia="zh-CN" w:bidi="ar"/>
              </w:rPr>
              <w:t>1日至投标截止时间）不曾在</w:t>
            </w:r>
            <w:r>
              <w:rPr>
                <w:rFonts w:hint="eastAsia" w:ascii="宋体" w:hAnsi="宋体"/>
                <w:snapToGrid w:val="0"/>
                <w:color w:val="auto"/>
                <w:sz w:val="24"/>
                <w:szCs w:val="24"/>
                <w:highlight w:val="none"/>
                <w:lang w:val="en-US" w:eastAsia="zh-CN" w:bidi="ar"/>
              </w:rPr>
              <w:t>所投设备</w:t>
            </w:r>
            <w:r>
              <w:rPr>
                <w:rFonts w:hint="eastAsia" w:ascii="宋体" w:hAnsi="宋体"/>
                <w:snapToGrid w:val="0"/>
                <w:color w:val="auto"/>
                <w:sz w:val="24"/>
                <w:szCs w:val="24"/>
                <w:highlight w:val="none"/>
                <w:lang w:eastAsia="zh-CN" w:bidi="ar"/>
              </w:rPr>
              <w:t>供货合同中违约而被驱逐或因投标人自身的原因而使</w:t>
            </w:r>
            <w:r>
              <w:rPr>
                <w:rFonts w:hint="eastAsia" w:ascii="宋体" w:hAnsi="宋体"/>
                <w:snapToGrid w:val="0"/>
                <w:color w:val="auto"/>
                <w:sz w:val="24"/>
                <w:szCs w:val="24"/>
                <w:highlight w:val="none"/>
                <w:lang w:val="en-US" w:eastAsia="zh-CN" w:bidi="ar"/>
              </w:rPr>
              <w:t>设备</w:t>
            </w:r>
            <w:r>
              <w:rPr>
                <w:rFonts w:hint="eastAsia" w:ascii="宋体" w:hAnsi="宋体"/>
                <w:snapToGrid w:val="0"/>
                <w:color w:val="auto"/>
                <w:sz w:val="24"/>
                <w:szCs w:val="24"/>
                <w:highlight w:val="none"/>
                <w:lang w:eastAsia="zh-CN" w:bidi="ar"/>
              </w:rPr>
              <w:t>供货合同被解除。</w:t>
            </w:r>
          </w:p>
        </w:tc>
      </w:tr>
    </w:tbl>
    <w:p w14:paraId="6A03DBA2">
      <w:pPr>
        <w:jc w:val="center"/>
        <w:rPr>
          <w:rFonts w:hint="eastAsia" w:ascii="黑体" w:hAnsi="黑体" w:eastAsia="黑体" w:cs="黑体"/>
          <w:bCs/>
          <w:sz w:val="24"/>
          <w:highlight w:val="none"/>
        </w:rPr>
      </w:pPr>
    </w:p>
    <w:p w14:paraId="5088CA4B">
      <w:pPr>
        <w:pStyle w:val="2"/>
        <w:spacing w:before="120" w:line="360" w:lineRule="auto"/>
        <w:rPr>
          <w:rFonts w:hint="eastAsia" w:ascii="宋体" w:hAnsi="宋体" w:eastAsia="宋体"/>
          <w:snapToGrid w:val="0"/>
          <w:color w:val="auto"/>
          <w:kern w:val="0"/>
          <w:sz w:val="28"/>
          <w:szCs w:val="28"/>
          <w:highlight w:val="none"/>
          <w:lang w:eastAsia="zh-CN"/>
        </w:rPr>
      </w:pPr>
      <w:r>
        <w:rPr>
          <w:rFonts w:ascii="宋体" w:hAnsi="宋体"/>
          <w:color w:val="auto"/>
          <w:w w:val="99"/>
          <w:sz w:val="28"/>
          <w:szCs w:val="28"/>
          <w:highlight w:val="none"/>
        </w:rPr>
        <w:br w:type="page"/>
      </w:r>
      <w:bookmarkStart w:id="0" w:name="_Toc147943860"/>
      <w:bookmarkStart w:id="1" w:name="_Toc136511007"/>
      <w:bookmarkStart w:id="2" w:name="_Toc21399"/>
      <w:bookmarkStart w:id="3" w:name="_Toc10475"/>
      <w:bookmarkStart w:id="4" w:name="_Toc16918"/>
      <w:r>
        <w:rPr>
          <w:rFonts w:ascii="宋体" w:hAnsi="宋体"/>
          <w:snapToGrid w:val="0"/>
          <w:color w:val="auto"/>
          <w:kern w:val="0"/>
          <w:sz w:val="28"/>
          <w:szCs w:val="28"/>
          <w:highlight w:val="none"/>
        </w:rPr>
        <w:t>附件2：</w:t>
      </w:r>
      <w:bookmarkEnd w:id="0"/>
      <w:bookmarkEnd w:id="1"/>
      <w:r>
        <w:rPr>
          <w:rFonts w:hint="eastAsia" w:ascii="宋体" w:hAnsi="宋体"/>
          <w:snapToGrid w:val="0"/>
          <w:color w:val="auto"/>
          <w:kern w:val="0"/>
          <w:sz w:val="28"/>
          <w:szCs w:val="28"/>
          <w:highlight w:val="none"/>
        </w:rPr>
        <w:t>评标办法</w:t>
      </w:r>
      <w:bookmarkEnd w:id="2"/>
      <w:bookmarkEnd w:id="3"/>
      <w:bookmarkEnd w:id="4"/>
    </w:p>
    <w:p w14:paraId="26F146EF">
      <w:pPr>
        <w:adjustRightInd w:val="0"/>
        <w:snapToGrid w:val="0"/>
        <w:spacing w:line="360" w:lineRule="auto"/>
        <w:jc w:val="center"/>
        <w:textAlignment w:val="baseline"/>
        <w:rPr>
          <w:rFonts w:ascii="宋体" w:hAnsi="宋体"/>
          <w:b/>
          <w:bCs/>
          <w:snapToGrid w:val="0"/>
          <w:color w:val="auto"/>
          <w:kern w:val="0"/>
          <w:sz w:val="24"/>
          <w:highlight w:val="none"/>
        </w:rPr>
      </w:pPr>
      <w:bookmarkStart w:id="5" w:name="_Toc450319202"/>
      <w:bookmarkStart w:id="6" w:name="_Toc134792892"/>
      <w:bookmarkStart w:id="7" w:name="_Toc531949857"/>
      <w:bookmarkStart w:id="8" w:name="_Toc502992691"/>
      <w:bookmarkStart w:id="9" w:name="_Toc134890444"/>
      <w:bookmarkStart w:id="10" w:name="_Toc459307890"/>
      <w:bookmarkStart w:id="11" w:name="_Toc134792341"/>
      <w:bookmarkStart w:id="12" w:name="_Toc134792409"/>
      <w:bookmarkStart w:id="13" w:name="_Toc134890522"/>
      <w:bookmarkStart w:id="14" w:name="_Toc509660966"/>
      <w:bookmarkStart w:id="15" w:name="_Toc509659998"/>
      <w:bookmarkStart w:id="16" w:name="_Toc445222503"/>
      <w:bookmarkStart w:id="17" w:name="_Toc444271617"/>
      <w:bookmarkStart w:id="18" w:name="_Toc445382083"/>
      <w:bookmarkStart w:id="19" w:name="_Toc444088432"/>
      <w:r>
        <w:rPr>
          <w:rFonts w:ascii="宋体" w:hAnsi="宋体"/>
          <w:b/>
          <w:bCs/>
          <w:snapToGrid w:val="0"/>
          <w:color w:val="auto"/>
          <w:kern w:val="0"/>
          <w:sz w:val="24"/>
          <w:highlight w:val="none"/>
        </w:rPr>
        <w:t>评标办法（技术评分最低标价法）</w:t>
      </w:r>
      <w:bookmarkEnd w:id="5"/>
      <w:bookmarkEnd w:id="6"/>
      <w:bookmarkEnd w:id="7"/>
      <w:bookmarkEnd w:id="8"/>
      <w:bookmarkEnd w:id="9"/>
      <w:bookmarkEnd w:id="10"/>
      <w:bookmarkEnd w:id="11"/>
      <w:bookmarkEnd w:id="12"/>
      <w:bookmarkEnd w:id="13"/>
      <w:bookmarkEnd w:id="14"/>
      <w:bookmarkEnd w:id="15"/>
    </w:p>
    <w:bookmarkEnd w:id="16"/>
    <w:bookmarkEnd w:id="17"/>
    <w:bookmarkEnd w:id="18"/>
    <w:bookmarkEnd w:id="19"/>
    <w:p w14:paraId="65C47028">
      <w:pPr>
        <w:adjustRightInd w:val="0"/>
        <w:snapToGrid w:val="0"/>
        <w:spacing w:line="360" w:lineRule="auto"/>
        <w:jc w:val="center"/>
        <w:textAlignment w:val="baseline"/>
        <w:rPr>
          <w:rFonts w:ascii="宋体" w:hAnsi="宋体"/>
          <w:b/>
          <w:bCs/>
          <w:snapToGrid w:val="0"/>
          <w:color w:val="auto"/>
          <w:kern w:val="0"/>
          <w:sz w:val="24"/>
          <w:highlight w:val="none"/>
        </w:rPr>
      </w:pPr>
      <w:r>
        <w:rPr>
          <w:rFonts w:hint="eastAsia" w:ascii="宋体" w:hAnsi="宋体"/>
          <w:b/>
          <w:bCs/>
          <w:snapToGrid w:val="0"/>
          <w:color w:val="auto"/>
          <w:kern w:val="0"/>
          <w:sz w:val="24"/>
          <w:highlight w:val="none"/>
        </w:rPr>
        <w:t>评标办法</w:t>
      </w:r>
      <w:r>
        <w:rPr>
          <w:rFonts w:ascii="宋体" w:hAnsi="宋体"/>
          <w:b/>
          <w:bCs/>
          <w:snapToGrid w:val="0"/>
          <w:color w:val="auto"/>
          <w:kern w:val="0"/>
          <w:sz w:val="24"/>
          <w:highlight w:val="none"/>
        </w:rPr>
        <w:t>前附表</w:t>
      </w:r>
    </w:p>
    <w:tbl>
      <w:tblPr>
        <w:tblStyle w:val="9"/>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19D7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noWrap w:val="0"/>
            <w:vAlign w:val="center"/>
          </w:tcPr>
          <w:p w14:paraId="0C63BD4F">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7197" w:type="dxa"/>
            <w:noWrap w:val="0"/>
            <w:vAlign w:val="center"/>
          </w:tcPr>
          <w:p w14:paraId="61F2D9D2">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评审因素与标准</w:t>
            </w:r>
          </w:p>
        </w:tc>
      </w:tr>
      <w:tr w14:paraId="6E620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677" w:hRule="atLeast"/>
          <w:jc w:val="center"/>
        </w:trPr>
        <w:tc>
          <w:tcPr>
            <w:tcW w:w="1143" w:type="dxa"/>
            <w:noWrap w:val="0"/>
            <w:vAlign w:val="center"/>
          </w:tcPr>
          <w:p w14:paraId="4A66E8DE">
            <w:pPr>
              <w:snapToGrid w:val="0"/>
              <w:spacing w:line="240" w:lineRule="auto"/>
              <w:jc w:val="center"/>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1</w:t>
            </w:r>
          </w:p>
        </w:tc>
        <w:tc>
          <w:tcPr>
            <w:tcW w:w="1317" w:type="dxa"/>
            <w:noWrap w:val="0"/>
            <w:vAlign w:val="center"/>
          </w:tcPr>
          <w:p w14:paraId="2E75C0C1">
            <w:pPr>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评标办法</w:t>
            </w:r>
          </w:p>
        </w:tc>
        <w:tc>
          <w:tcPr>
            <w:tcW w:w="7197" w:type="dxa"/>
            <w:noWrap w:val="0"/>
            <w:vAlign w:val="center"/>
          </w:tcPr>
          <w:p w14:paraId="1C0E4F25">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本次评标采用技术评分最低标价法，双信封形式。</w:t>
            </w:r>
          </w:p>
          <w:p w14:paraId="7F39E20E">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评标委员会对满足招标文件实质性要求的投标文件第一个信封，按照本章第2.2款规定的评分标准进行打分，并按</w:t>
            </w:r>
            <w:r>
              <w:rPr>
                <w:rFonts w:hint="eastAsia" w:ascii="宋体" w:hAnsi="宋体" w:cs="宋体"/>
                <w:color w:val="auto"/>
                <w:sz w:val="24"/>
                <w:szCs w:val="24"/>
                <w:highlight w:val="none"/>
                <w:lang w:val="en-US" w:eastAsia="zh-CN"/>
              </w:rPr>
              <w:t>综合</w:t>
            </w:r>
            <w:r>
              <w:rPr>
                <w:rFonts w:hint="eastAsia" w:ascii="宋体" w:hAnsi="宋体" w:eastAsia="宋体" w:cs="宋体"/>
                <w:color w:val="auto"/>
                <w:sz w:val="24"/>
                <w:szCs w:val="24"/>
                <w:highlight w:val="none"/>
              </w:rPr>
              <w:t>得分由高到低顺序确定</w:t>
            </w:r>
            <w:r>
              <w:rPr>
                <w:rFonts w:hint="eastAsia" w:ascii="宋体" w:hAnsi="宋体" w:eastAsia="宋体" w:cs="宋体"/>
                <w:color w:val="auto"/>
                <w:sz w:val="24"/>
                <w:szCs w:val="24"/>
                <w:highlight w:val="none"/>
                <w:lang w:eastAsia="zh-CN"/>
              </w:rPr>
              <w:t>前</w:t>
            </w:r>
            <w:r>
              <w:rPr>
                <w:rFonts w:hint="eastAsia" w:ascii="宋体" w:hAnsi="宋体" w:eastAsia="宋体" w:cs="宋体"/>
                <w:color w:val="auto"/>
                <w:sz w:val="24"/>
                <w:szCs w:val="24"/>
                <w:highlight w:val="none"/>
              </w:rPr>
              <w:t>3名投标人进入第二个信封评审。若</w:t>
            </w:r>
            <w:r>
              <w:rPr>
                <w:rFonts w:hint="eastAsia" w:ascii="宋体" w:hAnsi="宋体" w:cs="宋体"/>
                <w:color w:val="auto"/>
                <w:sz w:val="24"/>
                <w:szCs w:val="24"/>
                <w:highlight w:val="none"/>
                <w:lang w:val="en-US" w:eastAsia="zh-CN"/>
              </w:rPr>
              <w:t>综合</w:t>
            </w:r>
            <w:r>
              <w:rPr>
                <w:rFonts w:hint="eastAsia" w:ascii="宋体" w:hAnsi="宋体" w:eastAsia="宋体" w:cs="宋体"/>
                <w:color w:val="auto"/>
                <w:sz w:val="24"/>
                <w:szCs w:val="24"/>
                <w:highlight w:val="none"/>
              </w:rPr>
              <w:t>得分相同，以技术</w:t>
            </w:r>
            <w:r>
              <w:rPr>
                <w:rFonts w:hint="eastAsia" w:ascii="宋体" w:hAnsi="宋体" w:cs="宋体"/>
                <w:color w:val="auto"/>
                <w:sz w:val="24"/>
                <w:szCs w:val="24"/>
                <w:highlight w:val="none"/>
                <w:lang w:val="en-US" w:eastAsia="zh-CN"/>
              </w:rPr>
              <w:t>部分</w:t>
            </w:r>
            <w:r>
              <w:rPr>
                <w:rFonts w:hint="eastAsia" w:ascii="宋体" w:hAnsi="宋体" w:eastAsia="宋体" w:cs="宋体"/>
                <w:color w:val="auto"/>
                <w:sz w:val="24"/>
                <w:szCs w:val="24"/>
                <w:highlight w:val="none"/>
              </w:rPr>
              <w:t>得分高的投标人优先</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技术</w:t>
            </w:r>
            <w:r>
              <w:rPr>
                <w:rFonts w:hint="eastAsia" w:ascii="宋体" w:hAnsi="宋体" w:cs="宋体"/>
                <w:color w:val="auto"/>
                <w:sz w:val="24"/>
                <w:szCs w:val="24"/>
                <w:highlight w:val="none"/>
                <w:lang w:val="en-US" w:eastAsia="zh-CN"/>
              </w:rPr>
              <w:t>部分</w:t>
            </w:r>
            <w:r>
              <w:rPr>
                <w:rFonts w:hint="eastAsia" w:ascii="宋体" w:hAnsi="宋体" w:eastAsia="宋体" w:cs="宋体"/>
                <w:color w:val="auto"/>
                <w:sz w:val="24"/>
                <w:szCs w:val="24"/>
                <w:highlight w:val="none"/>
                <w:lang w:val="en-US" w:eastAsia="zh-CN"/>
              </w:rPr>
              <w:t>得分也相同的，以</w:t>
            </w:r>
            <w:r>
              <w:rPr>
                <w:rFonts w:hint="eastAsia" w:ascii="宋体" w:hAnsi="宋体" w:eastAsia="宋体" w:cs="宋体"/>
                <w:color w:val="auto"/>
                <w:sz w:val="24"/>
                <w:szCs w:val="24"/>
                <w:highlight w:val="none"/>
              </w:rPr>
              <w:t>技术</w:t>
            </w:r>
            <w:r>
              <w:rPr>
                <w:rFonts w:hint="eastAsia" w:ascii="宋体" w:hAnsi="宋体" w:cs="宋体"/>
                <w:color w:val="auto"/>
                <w:sz w:val="24"/>
                <w:szCs w:val="24"/>
                <w:highlight w:val="none"/>
                <w:lang w:val="en-US" w:eastAsia="zh-CN"/>
              </w:rPr>
              <w:t>部分（明标）</w:t>
            </w:r>
            <w:r>
              <w:rPr>
                <w:rFonts w:hint="eastAsia" w:ascii="宋体" w:hAnsi="宋体" w:eastAsia="宋体" w:cs="宋体"/>
                <w:color w:val="auto"/>
                <w:sz w:val="24"/>
                <w:szCs w:val="24"/>
                <w:highlight w:val="none"/>
              </w:rPr>
              <w:t>得分高的投标人优先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技术</w:t>
            </w:r>
            <w:r>
              <w:rPr>
                <w:rFonts w:hint="eastAsia" w:ascii="宋体" w:hAnsi="宋体" w:cs="宋体"/>
                <w:color w:val="auto"/>
                <w:sz w:val="24"/>
                <w:szCs w:val="24"/>
                <w:highlight w:val="none"/>
                <w:lang w:val="en-US" w:eastAsia="zh-CN"/>
              </w:rPr>
              <w:t>部分（明标）</w:t>
            </w:r>
            <w:r>
              <w:rPr>
                <w:rFonts w:hint="eastAsia" w:ascii="宋体" w:hAnsi="宋体" w:eastAsia="宋体" w:cs="宋体"/>
                <w:color w:val="auto"/>
                <w:sz w:val="24"/>
                <w:szCs w:val="24"/>
                <w:highlight w:val="none"/>
              </w:rPr>
              <w:t>得分</w:t>
            </w:r>
            <w:r>
              <w:rPr>
                <w:rFonts w:hint="eastAsia" w:ascii="宋体" w:hAnsi="宋体" w:eastAsia="宋体" w:cs="宋体"/>
                <w:color w:val="auto"/>
                <w:sz w:val="24"/>
                <w:szCs w:val="24"/>
                <w:highlight w:val="none"/>
                <w:lang w:eastAsia="zh-CN"/>
              </w:rPr>
              <w:t>也相同的，</w:t>
            </w:r>
            <w:r>
              <w:rPr>
                <w:rFonts w:hint="eastAsia" w:ascii="宋体" w:hAnsi="宋体" w:eastAsia="宋体" w:cs="宋体"/>
                <w:color w:val="auto"/>
                <w:sz w:val="24"/>
                <w:szCs w:val="24"/>
                <w:highlight w:val="none"/>
              </w:rPr>
              <w:t>满足资格审查</w:t>
            </w:r>
            <w:r>
              <w:rPr>
                <w:rFonts w:hint="eastAsia" w:ascii="宋体" w:hAnsi="宋体" w:eastAsia="宋体" w:cs="宋体"/>
                <w:color w:val="auto"/>
                <w:sz w:val="24"/>
                <w:szCs w:val="24"/>
                <w:highlight w:val="none"/>
                <w:lang w:eastAsia="zh-CN"/>
              </w:rPr>
              <w:t>条件（</w:t>
            </w:r>
            <w:r>
              <w:rPr>
                <w:rFonts w:hint="eastAsia" w:ascii="宋体" w:hAnsi="宋体" w:eastAsia="宋体" w:cs="宋体"/>
                <w:color w:val="auto"/>
                <w:sz w:val="24"/>
                <w:szCs w:val="24"/>
                <w:highlight w:val="none"/>
              </w:rPr>
              <w:t>业绩最低要求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累计</w:t>
            </w:r>
            <w:r>
              <w:rPr>
                <w:rFonts w:hint="eastAsia" w:ascii="宋体" w:hAnsi="宋体" w:eastAsia="宋体" w:cs="宋体"/>
                <w:color w:val="auto"/>
                <w:sz w:val="24"/>
                <w:szCs w:val="24"/>
                <w:highlight w:val="none"/>
                <w:lang w:val="en-US" w:eastAsia="zh-CN"/>
              </w:rPr>
              <w:t>合同金额高的</w:t>
            </w:r>
            <w:r>
              <w:rPr>
                <w:rFonts w:hint="eastAsia" w:ascii="宋体" w:hAnsi="宋体" w:eastAsia="宋体" w:cs="宋体"/>
                <w:color w:val="auto"/>
                <w:sz w:val="24"/>
                <w:szCs w:val="24"/>
                <w:highlight w:val="none"/>
              </w:rPr>
              <w:t>投标人优先。未通过第一信封评审</w:t>
            </w:r>
            <w:r>
              <w:rPr>
                <w:rFonts w:hint="eastAsia" w:ascii="宋体" w:hAnsi="宋体" w:eastAsia="宋体" w:cs="宋体"/>
                <w:color w:val="auto"/>
                <w:sz w:val="24"/>
                <w:szCs w:val="24"/>
                <w:highlight w:val="none"/>
                <w:lang w:val="en-US" w:eastAsia="zh-CN"/>
              </w:rPr>
              <w:t>或</w:t>
            </w:r>
            <w:r>
              <w:rPr>
                <w:rFonts w:hint="eastAsia" w:ascii="宋体" w:hAnsi="宋体" w:cs="宋体"/>
                <w:color w:val="auto"/>
                <w:sz w:val="24"/>
                <w:szCs w:val="24"/>
                <w:highlight w:val="none"/>
                <w:lang w:val="en-US" w:eastAsia="zh-CN"/>
              </w:rPr>
              <w:t>综合得分</w:t>
            </w:r>
            <w:r>
              <w:rPr>
                <w:rFonts w:hint="eastAsia" w:ascii="宋体" w:hAnsi="宋体" w:eastAsia="宋体" w:cs="宋体"/>
                <w:color w:val="auto"/>
                <w:sz w:val="24"/>
                <w:szCs w:val="24"/>
                <w:highlight w:val="none"/>
              </w:rPr>
              <w:t>未进入前3名的投标人，其第二信</w:t>
            </w:r>
            <w:r>
              <w:rPr>
                <w:rFonts w:hint="eastAsia" w:ascii="宋体" w:hAnsi="宋体" w:cs="宋体"/>
                <w:color w:val="auto"/>
                <w:sz w:val="24"/>
                <w:szCs w:val="24"/>
                <w:highlight w:val="none"/>
                <w:lang w:val="en-US" w:eastAsia="zh-CN"/>
              </w:rPr>
              <w:t>封在整个评标期间不再开封，不随任何因素发生变化</w:t>
            </w:r>
            <w:r>
              <w:rPr>
                <w:rFonts w:hint="eastAsia" w:ascii="宋体" w:hAnsi="宋体" w:eastAsia="宋体" w:cs="宋体"/>
                <w:color w:val="auto"/>
                <w:sz w:val="24"/>
                <w:szCs w:val="24"/>
                <w:highlight w:val="none"/>
              </w:rPr>
              <w:t>。。</w:t>
            </w:r>
          </w:p>
          <w:p w14:paraId="1CFF4EC2">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评标委员会</w:t>
            </w:r>
            <w:r>
              <w:rPr>
                <w:rFonts w:hint="eastAsia" w:ascii="宋体" w:hAnsi="宋体" w:cs="宋体"/>
                <w:color w:val="auto"/>
                <w:sz w:val="24"/>
                <w:szCs w:val="24"/>
                <w:highlight w:val="none"/>
                <w:lang w:val="en-US" w:eastAsia="zh-CN"/>
              </w:rPr>
              <w:t>对投标文件第二个信封进行评审，并</w:t>
            </w:r>
            <w:r>
              <w:rPr>
                <w:rFonts w:hint="eastAsia" w:ascii="宋体" w:hAnsi="宋体" w:eastAsia="宋体" w:cs="宋体"/>
                <w:color w:val="auto"/>
                <w:sz w:val="24"/>
                <w:szCs w:val="24"/>
                <w:highlight w:val="none"/>
              </w:rPr>
              <w:t>按评标价由低到高的顺序，向招标人推荐1-3名中标候选人。</w:t>
            </w:r>
          </w:p>
          <w:p w14:paraId="19D22CE0">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评标价相等时，评标委员会依次按照以下优先顺序推荐中标候选人：</w:t>
            </w:r>
          </w:p>
          <w:p w14:paraId="422620F6">
            <w:pPr>
              <w:numPr>
                <w:ilvl w:val="0"/>
                <w:numId w:val="2"/>
              </w:num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第一个信封技术</w:t>
            </w:r>
            <w:r>
              <w:rPr>
                <w:rFonts w:hint="eastAsia" w:ascii="宋体" w:hAnsi="宋体" w:cs="宋体"/>
                <w:color w:val="auto"/>
                <w:sz w:val="24"/>
                <w:szCs w:val="24"/>
                <w:highlight w:val="none"/>
                <w:lang w:eastAsia="zh-CN"/>
              </w:rPr>
              <w:t>部分</w:t>
            </w:r>
            <w:r>
              <w:rPr>
                <w:rFonts w:hint="eastAsia" w:ascii="宋体" w:hAnsi="宋体" w:eastAsia="宋体" w:cs="宋体"/>
                <w:color w:val="auto"/>
                <w:sz w:val="24"/>
                <w:szCs w:val="24"/>
                <w:highlight w:val="none"/>
              </w:rPr>
              <w:t>得分较高的</w:t>
            </w:r>
            <w:r>
              <w:rPr>
                <w:rFonts w:hint="eastAsia" w:ascii="宋体" w:hAnsi="宋体" w:cs="宋体"/>
                <w:color w:val="auto"/>
                <w:sz w:val="24"/>
                <w:szCs w:val="24"/>
                <w:highlight w:val="none"/>
                <w:lang w:val="en-US" w:eastAsia="zh-CN"/>
              </w:rPr>
              <w:t>投标人</w:t>
            </w:r>
            <w:r>
              <w:rPr>
                <w:rFonts w:hint="eastAsia" w:ascii="宋体" w:hAnsi="宋体" w:eastAsia="宋体" w:cs="宋体"/>
                <w:color w:val="auto"/>
                <w:sz w:val="24"/>
                <w:szCs w:val="24"/>
                <w:highlight w:val="none"/>
              </w:rPr>
              <w:t>优先；</w:t>
            </w:r>
          </w:p>
          <w:p w14:paraId="6A0FDEB5">
            <w:pPr>
              <w:numPr>
                <w:ilvl w:val="0"/>
                <w:numId w:val="2"/>
              </w:numPr>
              <w:snapToGrid w:val="0"/>
              <w:spacing w:line="240" w:lineRule="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第一个信封技</w:t>
            </w:r>
            <w:r>
              <w:rPr>
                <w:rFonts w:hint="eastAsia" w:ascii="宋体" w:hAnsi="宋体" w:eastAsia="宋体" w:cs="宋体"/>
                <w:color w:val="auto"/>
                <w:sz w:val="24"/>
                <w:szCs w:val="24"/>
                <w:highlight w:val="none"/>
              </w:rPr>
              <w:t>术</w:t>
            </w:r>
            <w:r>
              <w:rPr>
                <w:rFonts w:hint="eastAsia" w:ascii="宋体" w:hAnsi="宋体" w:cs="宋体"/>
                <w:color w:val="auto"/>
                <w:sz w:val="24"/>
                <w:szCs w:val="24"/>
                <w:highlight w:val="none"/>
                <w:lang w:eastAsia="zh-CN"/>
              </w:rPr>
              <w:t>部分（明标）得分较高的</w:t>
            </w:r>
            <w:r>
              <w:rPr>
                <w:rFonts w:hint="eastAsia" w:ascii="宋体" w:hAnsi="宋体" w:cs="宋体"/>
                <w:color w:val="auto"/>
                <w:sz w:val="24"/>
                <w:szCs w:val="24"/>
                <w:highlight w:val="none"/>
                <w:lang w:val="en-US" w:eastAsia="zh-CN"/>
              </w:rPr>
              <w:t>投标人</w:t>
            </w:r>
            <w:r>
              <w:rPr>
                <w:rFonts w:hint="eastAsia" w:ascii="宋体" w:hAnsi="宋体" w:cs="宋体"/>
                <w:color w:val="auto"/>
                <w:sz w:val="24"/>
                <w:szCs w:val="24"/>
                <w:highlight w:val="none"/>
                <w:lang w:eastAsia="zh-CN"/>
              </w:rPr>
              <w:t>优先；</w:t>
            </w:r>
          </w:p>
          <w:p w14:paraId="055522A9">
            <w:pPr>
              <w:snapToGrid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）满足资格审查</w:t>
            </w:r>
            <w:r>
              <w:rPr>
                <w:rFonts w:hint="eastAsia" w:ascii="宋体" w:hAnsi="宋体" w:eastAsia="宋体" w:cs="宋体"/>
                <w:color w:val="auto"/>
                <w:sz w:val="24"/>
                <w:szCs w:val="24"/>
                <w:highlight w:val="none"/>
                <w:lang w:eastAsia="zh-CN"/>
              </w:rPr>
              <w:t>条件（</w:t>
            </w:r>
            <w:r>
              <w:rPr>
                <w:rFonts w:hint="eastAsia" w:ascii="宋体" w:hAnsi="宋体" w:eastAsia="宋体" w:cs="宋体"/>
                <w:color w:val="auto"/>
                <w:sz w:val="24"/>
                <w:szCs w:val="24"/>
                <w:highlight w:val="none"/>
              </w:rPr>
              <w:t>业绩最低要求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累计</w:t>
            </w:r>
            <w:r>
              <w:rPr>
                <w:rFonts w:hint="eastAsia" w:ascii="宋体" w:hAnsi="宋体" w:eastAsia="宋体" w:cs="宋体"/>
                <w:color w:val="auto"/>
                <w:sz w:val="24"/>
                <w:szCs w:val="24"/>
                <w:highlight w:val="none"/>
                <w:lang w:val="en-US" w:eastAsia="zh-CN"/>
              </w:rPr>
              <w:t>合同金额高</w:t>
            </w:r>
            <w:r>
              <w:rPr>
                <w:rFonts w:hint="eastAsia" w:ascii="宋体" w:hAnsi="宋体" w:eastAsia="宋体" w:cs="宋体"/>
                <w:color w:val="auto"/>
                <w:sz w:val="24"/>
                <w:szCs w:val="24"/>
                <w:highlight w:val="none"/>
              </w:rPr>
              <w:t>的投标人优先；</w:t>
            </w:r>
          </w:p>
        </w:tc>
      </w:tr>
      <w:tr w14:paraId="0F98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noWrap w:val="0"/>
            <w:vAlign w:val="center"/>
          </w:tcPr>
          <w:p w14:paraId="0129EE1D">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w:t>
            </w:r>
          </w:p>
          <w:p w14:paraId="6736A365">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2.1.3</w:t>
            </w:r>
          </w:p>
        </w:tc>
        <w:tc>
          <w:tcPr>
            <w:tcW w:w="1317" w:type="dxa"/>
            <w:noWrap w:val="0"/>
            <w:vAlign w:val="center"/>
          </w:tcPr>
          <w:p w14:paraId="3321A62A">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形式评审与响应性评审标准</w:t>
            </w:r>
          </w:p>
        </w:tc>
        <w:tc>
          <w:tcPr>
            <w:tcW w:w="7197" w:type="dxa"/>
            <w:noWrap w:val="0"/>
            <w:vAlign w:val="center"/>
          </w:tcPr>
          <w:p w14:paraId="06847FDC">
            <w:pPr>
              <w:snapToGrid w:val="0"/>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第一个信封（商务文件）评审标准：</w:t>
            </w:r>
          </w:p>
          <w:p w14:paraId="5CCE8DC2">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（1）投标文件按照招标文件规定的格式、内容填写，字迹清晰可辨：</w:t>
            </w:r>
          </w:p>
          <w:p w14:paraId="356ACE58">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a.投标函按照招标文件规定填报了招标人名称、项目名称</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标段号、</w:t>
            </w:r>
            <w:r>
              <w:rPr>
                <w:rFonts w:hint="eastAsia" w:ascii="宋体" w:hAnsi="宋体" w:eastAsia="宋体" w:cs="宋体"/>
                <w:color w:val="auto"/>
                <w:sz w:val="24"/>
                <w:szCs w:val="24"/>
                <w:highlight w:val="none"/>
              </w:rPr>
              <w:t>补遗书编号（如有）、交货期、交货地点、质量标准和安全目标；</w:t>
            </w:r>
          </w:p>
          <w:p w14:paraId="39AEEC99">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b.投标文件组成齐全完整，内容均按规定填写；</w:t>
            </w:r>
          </w:p>
          <w:p w14:paraId="2C621335">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（2）投标文件上法定代表人或其委托代理人的签字、投标人的单位章盖章齐全，符合招标文件规定：</w:t>
            </w:r>
          </w:p>
          <w:p w14:paraId="4525D239">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（3）投标人按照招标文件的规定提供了投标保证金，满足投标人须知3.4.1规定。</w:t>
            </w:r>
          </w:p>
          <w:p w14:paraId="3F75936D">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（4）投标人法定代表人授权委托代理人签署投标文件的，须提交授权委托书，授权委托书的签字盖章符合招标文件规定。</w:t>
            </w:r>
          </w:p>
          <w:p w14:paraId="67E16511">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（5）投标人法定代表人亲自签署投标文件的，提供了法定代表人身份证明,法定代表人身份证明的签字盖章符合招标文件规定。</w:t>
            </w:r>
          </w:p>
          <w:p w14:paraId="1EE7DAEE">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（6）投标人未以联合体形式投标。</w:t>
            </w:r>
          </w:p>
          <w:p w14:paraId="432BFD58">
            <w:pPr>
              <w:snapToGrid w:val="0"/>
              <w:spacing w:line="240" w:lineRule="auto"/>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（7）投标人未对本项目进行分包。</w:t>
            </w:r>
          </w:p>
          <w:p w14:paraId="1D0501B8">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（8）同一投标人未提交两个以上不同的投标文件。</w:t>
            </w:r>
          </w:p>
          <w:p w14:paraId="6AF6FD7D">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（9）未出现有关投标报价的内容。</w:t>
            </w:r>
          </w:p>
          <w:p w14:paraId="154A37D9">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（10）投标文件载明的招标项目完成期限未超过招标文件规定的时限。</w:t>
            </w:r>
          </w:p>
          <w:p w14:paraId="5E31544C">
            <w:pPr>
              <w:snapToGrid w:val="0"/>
              <w:spacing w:line="24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（11）投标人递交的投标文件与所投标段一致。</w:t>
            </w:r>
          </w:p>
          <w:p w14:paraId="3F16ACC6">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）投标文件对招标文件的实质性要求和条件作出响应。</w:t>
            </w:r>
          </w:p>
          <w:p w14:paraId="66F4C219">
            <w:pPr>
              <w:snapToGrid w:val="0"/>
              <w:spacing w:line="240" w:lineRule="auto"/>
              <w:rPr>
                <w:rFonts w:hint="eastAsia" w:ascii="宋体" w:hAnsi="宋体" w:eastAsia="宋体" w:cs="宋体"/>
                <w:strike w:val="0"/>
                <w:dstrike w:val="0"/>
                <w:color w:val="auto"/>
                <w:sz w:val="24"/>
                <w:szCs w:val="24"/>
                <w:highlight w:val="none"/>
                <w:lang w:eastAsia="zh-CN"/>
              </w:rPr>
            </w:pPr>
            <w:r>
              <w:rPr>
                <w:rFonts w:hint="eastAsia" w:ascii="宋体" w:hAnsi="宋体" w:eastAsia="宋体" w:cs="宋体"/>
                <w:strike w:val="0"/>
                <w:dstrike w:val="0"/>
                <w:color w:val="auto"/>
                <w:sz w:val="24"/>
                <w:szCs w:val="24"/>
                <w:highlight w:val="none"/>
              </w:rPr>
              <w:t>（1</w:t>
            </w:r>
            <w:r>
              <w:rPr>
                <w:rFonts w:hint="eastAsia" w:ascii="宋体" w:hAnsi="宋体" w:cs="宋体"/>
                <w:strike w:val="0"/>
                <w:dstrike w:val="0"/>
                <w:color w:val="auto"/>
                <w:sz w:val="24"/>
                <w:szCs w:val="24"/>
                <w:highlight w:val="none"/>
                <w:lang w:val="en-US" w:eastAsia="zh-CN"/>
              </w:rPr>
              <w:t>3</w:t>
            </w:r>
            <w:r>
              <w:rPr>
                <w:rFonts w:hint="eastAsia" w:ascii="宋体" w:hAnsi="宋体" w:eastAsia="宋体" w:cs="宋体"/>
                <w:strike w:val="0"/>
                <w:dstrike w:val="0"/>
                <w:color w:val="auto"/>
                <w:sz w:val="24"/>
                <w:szCs w:val="24"/>
                <w:highlight w:val="none"/>
              </w:rPr>
              <w:t>）投标文件中投标设备的主要技术指标满足招标文件（</w:t>
            </w:r>
            <w:r>
              <w:rPr>
                <w:rFonts w:hint="eastAsia" w:ascii="宋体" w:hAnsi="宋体" w:cs="宋体"/>
                <w:strike w:val="0"/>
                <w:dstrike w:val="0"/>
                <w:color w:val="auto"/>
                <w:sz w:val="24"/>
                <w:szCs w:val="24"/>
                <w:highlight w:val="none"/>
                <w:lang w:val="en-US" w:eastAsia="zh-CN"/>
              </w:rPr>
              <w:t>供货要求中</w:t>
            </w:r>
            <w:r>
              <w:rPr>
                <w:rFonts w:hint="eastAsia" w:ascii="宋体" w:hAnsi="宋体" w:eastAsia="宋体" w:cs="宋体"/>
                <w:strike w:val="0"/>
                <w:dstrike w:val="0"/>
                <w:color w:val="auto"/>
                <w:sz w:val="24"/>
                <w:szCs w:val="24"/>
                <w:highlight w:val="none"/>
              </w:rPr>
              <w:t>带</w:t>
            </w:r>
            <w:r>
              <w:rPr>
                <w:rFonts w:hint="eastAsia" w:cs="宋体"/>
                <w:strike w:val="0"/>
                <w:dstrike w:val="0"/>
                <w:color w:val="auto"/>
                <w:sz w:val="24"/>
                <w:szCs w:val="24"/>
                <w:highlight w:val="none"/>
                <w:lang w:val="en-US" w:eastAsia="zh-CN"/>
              </w:rPr>
              <w:t>★</w:t>
            </w:r>
            <w:r>
              <w:rPr>
                <w:rFonts w:hint="eastAsia" w:ascii="宋体" w:hAnsi="宋体" w:eastAsia="宋体" w:cs="宋体"/>
                <w:strike w:val="0"/>
                <w:dstrike w:val="0"/>
                <w:color w:val="auto"/>
                <w:sz w:val="24"/>
                <w:szCs w:val="24"/>
                <w:highlight w:val="none"/>
              </w:rPr>
              <w:t>的条款）的要求</w:t>
            </w:r>
            <w:r>
              <w:rPr>
                <w:rFonts w:hint="eastAsia" w:ascii="宋体" w:hAnsi="宋体" w:cs="宋体"/>
                <w:strike w:val="0"/>
                <w:dstrike w:val="0"/>
                <w:color w:val="auto"/>
                <w:sz w:val="24"/>
                <w:szCs w:val="24"/>
                <w:highlight w:val="none"/>
                <w:lang w:eastAsia="zh-CN"/>
              </w:rPr>
              <w:t>，</w:t>
            </w:r>
            <w:r>
              <w:rPr>
                <w:rFonts w:hint="eastAsia" w:ascii="宋体" w:hAnsi="宋体" w:cs="宋体"/>
                <w:strike w:val="0"/>
                <w:dstrike w:val="0"/>
                <w:color w:val="auto"/>
                <w:sz w:val="24"/>
                <w:szCs w:val="24"/>
                <w:highlight w:val="none"/>
                <w:lang w:val="en-US" w:eastAsia="zh-CN"/>
              </w:rPr>
              <w:t>并按照招标文件1.11.3款规定提供相关材料</w:t>
            </w:r>
            <w:r>
              <w:rPr>
                <w:rFonts w:hint="eastAsia" w:ascii="宋体" w:hAnsi="宋体" w:eastAsia="宋体" w:cs="宋体"/>
                <w:strike w:val="0"/>
                <w:dstrike w:val="0"/>
                <w:color w:val="auto"/>
                <w:sz w:val="24"/>
                <w:szCs w:val="24"/>
                <w:highlight w:val="none"/>
              </w:rPr>
              <w:t>。</w:t>
            </w:r>
          </w:p>
          <w:p w14:paraId="4E1E1D5C">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（1</w:t>
            </w:r>
            <w:r>
              <w:rPr>
                <w:rFonts w:hint="eastAsia" w:ascii="宋体" w:hAnsi="宋体" w:cs="宋体"/>
                <w:strike w:val="0"/>
                <w:dstrike w:val="0"/>
                <w:color w:val="auto"/>
                <w:sz w:val="24"/>
                <w:szCs w:val="24"/>
                <w:highlight w:val="none"/>
                <w:lang w:val="en-US" w:eastAsia="zh-CN"/>
              </w:rPr>
              <w:t>4</w:t>
            </w:r>
            <w:r>
              <w:rPr>
                <w:rFonts w:hint="eastAsia" w:ascii="宋体" w:hAnsi="宋体" w:eastAsia="宋体" w:cs="宋体"/>
                <w:strike w:val="0"/>
                <w:dstrike w:val="0"/>
                <w:color w:val="auto"/>
                <w:sz w:val="24"/>
                <w:szCs w:val="24"/>
                <w:highlight w:val="none"/>
              </w:rPr>
              <w:t>）权利义务符合招标文件规定：</w:t>
            </w:r>
          </w:p>
          <w:p w14:paraId="69F48319">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a．投标人应接受招标文件规定的风险划分原则，未提出新的风险划分办法；</w:t>
            </w:r>
          </w:p>
          <w:p w14:paraId="1ACEAD40">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b．投标人未增加发包人的责任范围，或减少投标人义务；</w:t>
            </w:r>
          </w:p>
          <w:p w14:paraId="1D58A522">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c．投标人未提出不同的验收、计量、支付办法；</w:t>
            </w:r>
          </w:p>
          <w:p w14:paraId="2DEFB7CD">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d．投标人对合同纠纷、事故处理办法未提出异议；</w:t>
            </w:r>
          </w:p>
          <w:p w14:paraId="63A19FA3">
            <w:pPr>
              <w:snapToGrid w:val="0"/>
              <w:spacing w:line="240" w:lineRule="auto"/>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rPr>
              <w:t>e．投标人在投标活动中无欺诈行为；</w:t>
            </w:r>
          </w:p>
          <w:p w14:paraId="6BE343EF">
            <w:pPr>
              <w:snapToGrid w:val="0"/>
              <w:spacing w:line="320" w:lineRule="exact"/>
              <w:jc w:val="left"/>
              <w:textAlignment w:val="baseline"/>
              <w:rPr>
                <w:rFonts w:hint="eastAsia" w:ascii="宋体" w:hAnsi="宋体" w:cs="宋体"/>
                <w:strike w:val="0"/>
                <w:dstrike w:val="0"/>
                <w:color w:val="auto"/>
                <w:sz w:val="24"/>
                <w:szCs w:val="24"/>
                <w:highlight w:val="none"/>
                <w:lang w:eastAsia="zh-CN"/>
              </w:rPr>
            </w:pPr>
            <w:r>
              <w:rPr>
                <w:rFonts w:hint="eastAsia" w:ascii="宋体" w:hAnsi="宋体" w:eastAsia="宋体" w:cs="宋体"/>
                <w:strike w:val="0"/>
                <w:dstrike w:val="0"/>
                <w:color w:val="auto"/>
                <w:sz w:val="24"/>
                <w:szCs w:val="24"/>
                <w:highlight w:val="none"/>
              </w:rPr>
              <w:t>f．投标人未对合同条款有重要保留</w:t>
            </w:r>
            <w:r>
              <w:rPr>
                <w:rFonts w:hint="eastAsia" w:ascii="宋体" w:hAnsi="宋体" w:cs="宋体"/>
                <w:strike w:val="0"/>
                <w:dstrike w:val="0"/>
                <w:color w:val="auto"/>
                <w:sz w:val="24"/>
                <w:szCs w:val="24"/>
                <w:highlight w:val="none"/>
                <w:lang w:eastAsia="zh-CN"/>
              </w:rPr>
              <w:t>。</w:t>
            </w:r>
          </w:p>
          <w:p w14:paraId="0199018F">
            <w:pPr>
              <w:snapToGrid w:val="0"/>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第一个信封（技术文件）评审标准： </w:t>
            </w:r>
          </w:p>
          <w:p w14:paraId="2C7BB2F6">
            <w:pPr>
              <w:widowControl/>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技术</w:t>
            </w:r>
            <w:r>
              <w:rPr>
                <w:rFonts w:hint="eastAsia" w:ascii="宋体" w:hAnsi="宋体" w:cs="宋体"/>
                <w:color w:val="auto"/>
                <w:sz w:val="24"/>
                <w:szCs w:val="24"/>
                <w:highlight w:val="none"/>
                <w:lang w:val="en-US" w:eastAsia="zh-CN"/>
              </w:rPr>
              <w:t>部分</w:t>
            </w:r>
            <w:r>
              <w:rPr>
                <w:rFonts w:hint="eastAsia" w:ascii="宋体" w:hAnsi="宋体" w:eastAsia="宋体" w:cs="宋体"/>
                <w:color w:val="auto"/>
                <w:sz w:val="24"/>
                <w:szCs w:val="24"/>
                <w:highlight w:val="none"/>
                <w:lang w:val="en-US" w:eastAsia="zh-CN"/>
              </w:rPr>
              <w:t>（暗标）编制符合招标文件第二章“投标人须知”第 10.</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 xml:space="preserve"> 款的规定。</w:t>
            </w:r>
          </w:p>
          <w:p w14:paraId="14518285">
            <w:pPr>
              <w:snapToGrid w:val="0"/>
              <w:spacing w:line="240" w:lineRule="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第二个信封（报价文件）评审标准：</w:t>
            </w:r>
          </w:p>
          <w:p w14:paraId="01BCDAA1">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（1）投标文件按照招标文件规定的格式、内容填写，字迹清晰可辨：</w:t>
            </w:r>
          </w:p>
          <w:p w14:paraId="454962E8">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a.投标函按照招标文件规定填报了招标人名称、项目名称</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标段号、</w:t>
            </w:r>
            <w:r>
              <w:rPr>
                <w:rFonts w:hint="eastAsia" w:ascii="宋体" w:hAnsi="宋体" w:eastAsia="宋体" w:cs="宋体"/>
                <w:color w:val="auto"/>
                <w:sz w:val="24"/>
                <w:szCs w:val="24"/>
                <w:highlight w:val="none"/>
              </w:rPr>
              <w:t>补遗书编号（如有）、投标</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（包括大写金额和小写金额）；</w:t>
            </w:r>
          </w:p>
          <w:p w14:paraId="545C6702">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b.投标文件组成齐全完整，内容均按规定填写。</w:t>
            </w:r>
          </w:p>
          <w:p w14:paraId="0679942F">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（2）投标文件上法定代表人或委托代理人的签字、投标人的单位章盖章齐全，符合招标文件规定。</w:t>
            </w:r>
          </w:p>
          <w:p w14:paraId="09517EBF">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（3）投标报价未超过招标文件设定</w:t>
            </w:r>
            <w:r>
              <w:rPr>
                <w:rFonts w:hint="eastAsia" w:ascii="宋体" w:hAnsi="宋体" w:cs="宋体"/>
                <w:color w:val="auto"/>
                <w:sz w:val="24"/>
                <w:szCs w:val="24"/>
                <w:highlight w:val="none"/>
                <w:lang w:val="en-US" w:eastAsia="zh-CN"/>
              </w:rPr>
              <w:t>的所投标段</w:t>
            </w:r>
            <w:r>
              <w:rPr>
                <w:rFonts w:hint="eastAsia" w:ascii="宋体" w:hAnsi="宋体" w:eastAsia="宋体" w:cs="宋体"/>
                <w:color w:val="auto"/>
                <w:sz w:val="24"/>
                <w:szCs w:val="24"/>
                <w:highlight w:val="none"/>
              </w:rPr>
              <w:t>的最高</w:t>
            </w:r>
            <w:r>
              <w:rPr>
                <w:rFonts w:hint="eastAsia" w:ascii="宋体" w:hAnsi="宋体" w:cs="宋体"/>
                <w:color w:val="auto"/>
                <w:sz w:val="24"/>
                <w:szCs w:val="24"/>
                <w:highlight w:val="none"/>
                <w:lang w:val="en-US" w:eastAsia="zh-CN"/>
              </w:rPr>
              <w:t>投标</w:t>
            </w:r>
            <w:r>
              <w:rPr>
                <w:rFonts w:hint="eastAsia" w:ascii="宋体" w:hAnsi="宋体" w:eastAsia="宋体" w:cs="宋体"/>
                <w:color w:val="auto"/>
                <w:sz w:val="24"/>
                <w:szCs w:val="24"/>
                <w:highlight w:val="none"/>
              </w:rPr>
              <w:t>限价。</w:t>
            </w:r>
          </w:p>
          <w:p w14:paraId="4C36118B">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（4）投标报价的大写金额能够确定具体数值。</w:t>
            </w:r>
          </w:p>
          <w:p w14:paraId="7E47AA30">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（5）同一投标人未提交两个</w:t>
            </w:r>
            <w:r>
              <w:rPr>
                <w:rFonts w:hint="eastAsia" w:ascii="宋体" w:hAnsi="宋体" w:cs="宋体"/>
                <w:color w:val="auto"/>
                <w:sz w:val="24"/>
                <w:szCs w:val="24"/>
                <w:highlight w:val="none"/>
                <w:lang w:val="en-US" w:eastAsia="zh-CN"/>
              </w:rPr>
              <w:t>及</w:t>
            </w:r>
            <w:r>
              <w:rPr>
                <w:rFonts w:hint="eastAsia" w:ascii="宋体" w:hAnsi="宋体" w:eastAsia="宋体" w:cs="宋体"/>
                <w:color w:val="auto"/>
                <w:sz w:val="24"/>
                <w:szCs w:val="24"/>
                <w:highlight w:val="none"/>
              </w:rPr>
              <w:t>以上不同的投标报价。</w:t>
            </w:r>
          </w:p>
          <w:p w14:paraId="11EFB639">
            <w:pPr>
              <w:snapToGrid w:val="0"/>
              <w:spacing w:line="320" w:lineRule="exact"/>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w:t>
            </w:r>
            <w:r>
              <w:rPr>
                <w:rFonts w:hint="eastAsia" w:ascii="宋体" w:hAnsi="宋体" w:cs="宋体"/>
                <w:strike w:val="0"/>
                <w:dstrike w:val="0"/>
                <w:color w:val="auto"/>
                <w:sz w:val="24"/>
                <w:szCs w:val="24"/>
                <w:highlight w:val="none"/>
                <w:lang w:val="en-US" w:eastAsia="zh-CN"/>
              </w:rPr>
              <w:t>分项报价表</w:t>
            </w:r>
            <w:r>
              <w:rPr>
                <w:rFonts w:hint="eastAsia" w:ascii="宋体" w:hAnsi="宋体" w:eastAsia="宋体" w:cs="宋体"/>
                <w:color w:val="auto"/>
                <w:sz w:val="24"/>
                <w:szCs w:val="24"/>
                <w:highlight w:val="none"/>
              </w:rPr>
              <w:t>中</w:t>
            </w:r>
            <w:r>
              <w:rPr>
                <w:rFonts w:hint="eastAsia" w:ascii="宋体" w:hAnsi="宋体" w:cs="宋体"/>
                <w:color w:val="auto"/>
                <w:sz w:val="24"/>
                <w:szCs w:val="24"/>
                <w:highlight w:val="none"/>
                <w:lang w:val="en-US" w:eastAsia="zh-CN"/>
              </w:rPr>
              <w:t>合计</w:t>
            </w:r>
            <w:r>
              <w:rPr>
                <w:rFonts w:hint="eastAsia" w:ascii="宋体" w:hAnsi="宋体" w:eastAsia="宋体" w:cs="宋体"/>
                <w:color w:val="auto"/>
                <w:sz w:val="24"/>
                <w:szCs w:val="24"/>
                <w:highlight w:val="none"/>
              </w:rPr>
              <w:t>金额与投标函</w:t>
            </w:r>
            <w:r>
              <w:rPr>
                <w:rFonts w:hint="eastAsia" w:ascii="宋体" w:hAnsi="宋体" w:cs="宋体"/>
                <w:color w:val="auto"/>
                <w:sz w:val="24"/>
                <w:szCs w:val="24"/>
                <w:highlight w:val="none"/>
                <w:lang w:eastAsia="zh-CN"/>
              </w:rPr>
              <w:t>投标报价</w:t>
            </w:r>
            <w:r>
              <w:rPr>
                <w:rFonts w:hint="eastAsia" w:ascii="宋体" w:hAnsi="宋体" w:eastAsia="宋体" w:cs="宋体"/>
                <w:color w:val="auto"/>
                <w:sz w:val="24"/>
                <w:szCs w:val="24"/>
                <w:highlight w:val="none"/>
              </w:rPr>
              <w:t>大写金额一致。</w:t>
            </w:r>
          </w:p>
          <w:p w14:paraId="67F73E12">
            <w:pPr>
              <w:snapToGrid w:val="0"/>
              <w:spacing w:line="240" w:lineRule="auto"/>
              <w:rPr>
                <w:rFonts w:hint="default" w:eastAsia="宋体"/>
                <w:color w:val="auto"/>
                <w:highlight w:val="none"/>
                <w:lang w:val="en-US" w:eastAsia="zh-CN"/>
              </w:rPr>
            </w:pPr>
            <w:r>
              <w:rPr>
                <w:rFonts w:hint="eastAsia" w:ascii="宋体" w:hAnsi="宋体" w:cs="宋体"/>
                <w:color w:val="auto"/>
                <w:sz w:val="24"/>
                <w:szCs w:val="24"/>
                <w:highlight w:val="none"/>
                <w:lang w:val="en-US" w:eastAsia="zh-CN"/>
              </w:rPr>
              <w:t>（7）投标人递交的投标文件与所投标段一致。</w:t>
            </w:r>
          </w:p>
        </w:tc>
      </w:tr>
      <w:tr w14:paraId="340C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33" w:hRule="atLeast"/>
          <w:jc w:val="center"/>
        </w:trPr>
        <w:tc>
          <w:tcPr>
            <w:tcW w:w="1143" w:type="dxa"/>
            <w:noWrap w:val="0"/>
            <w:vAlign w:val="center"/>
          </w:tcPr>
          <w:p w14:paraId="3B6DD918">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w:t>
            </w:r>
          </w:p>
        </w:tc>
        <w:tc>
          <w:tcPr>
            <w:tcW w:w="1317" w:type="dxa"/>
            <w:noWrap w:val="0"/>
            <w:vAlign w:val="center"/>
          </w:tcPr>
          <w:p w14:paraId="6499C93D">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资格评审标准</w:t>
            </w:r>
          </w:p>
        </w:tc>
        <w:tc>
          <w:tcPr>
            <w:tcW w:w="7197" w:type="dxa"/>
            <w:noWrap w:val="0"/>
            <w:vAlign w:val="center"/>
          </w:tcPr>
          <w:p w14:paraId="11CAF2D4">
            <w:pPr>
              <w:numPr>
                <w:ilvl w:val="0"/>
                <w:numId w:val="3"/>
              </w:num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投标人具备有效的企业营业执照和基本账户开户许可证（或基本存款账户信息）；</w:t>
            </w:r>
          </w:p>
          <w:p w14:paraId="1A0EC935">
            <w:pPr>
              <w:numPr>
                <w:ilvl w:val="0"/>
                <w:numId w:val="0"/>
              </w:num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（2）投标人的资质符合招标文件规定；</w:t>
            </w:r>
          </w:p>
          <w:p w14:paraId="4817BA71">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（3）投标人的类似项目业绩符合招标文件规定；</w:t>
            </w:r>
          </w:p>
          <w:p w14:paraId="68A351FC">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（4）投标人的信誉符合招标文件规定；</w:t>
            </w:r>
          </w:p>
          <w:p w14:paraId="206B7BC4">
            <w:pPr>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（5）投标人不存在第二章“投标人须知”第1.4.3项规定的任何一种情形。</w:t>
            </w:r>
          </w:p>
        </w:tc>
      </w:tr>
      <w:tr w14:paraId="38B3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noWrap w:val="0"/>
            <w:vAlign w:val="center"/>
          </w:tcPr>
          <w:p w14:paraId="3498532C">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条款号</w:t>
            </w:r>
          </w:p>
        </w:tc>
        <w:tc>
          <w:tcPr>
            <w:tcW w:w="1317" w:type="dxa"/>
            <w:noWrap w:val="0"/>
            <w:vAlign w:val="center"/>
          </w:tcPr>
          <w:p w14:paraId="10491459">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条款内容</w:t>
            </w:r>
          </w:p>
        </w:tc>
        <w:tc>
          <w:tcPr>
            <w:tcW w:w="7197" w:type="dxa"/>
            <w:noWrap w:val="0"/>
            <w:vAlign w:val="center"/>
          </w:tcPr>
          <w:p w14:paraId="78BA597B">
            <w:pPr>
              <w:adjustRightInd w:val="0"/>
              <w:snapToGrid w:val="0"/>
              <w:spacing w:line="24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编列内容</w:t>
            </w:r>
          </w:p>
        </w:tc>
      </w:tr>
      <w:tr w14:paraId="7D3D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noWrap w:val="0"/>
            <w:vAlign w:val="center"/>
          </w:tcPr>
          <w:p w14:paraId="2210E139">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w:t>
            </w:r>
          </w:p>
        </w:tc>
        <w:tc>
          <w:tcPr>
            <w:tcW w:w="1317" w:type="dxa"/>
            <w:noWrap w:val="0"/>
            <w:vAlign w:val="center"/>
          </w:tcPr>
          <w:p w14:paraId="425FDF3D">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第一个信封</w:t>
            </w:r>
            <w:r>
              <w:rPr>
                <w:rFonts w:hint="eastAsia" w:ascii="宋体" w:hAnsi="宋体" w:eastAsia="宋体" w:cs="宋体"/>
                <w:color w:val="auto"/>
                <w:sz w:val="24"/>
                <w:szCs w:val="24"/>
                <w:highlight w:val="none"/>
              </w:rPr>
              <w:t>分值构成</w:t>
            </w:r>
          </w:p>
          <w:p w14:paraId="12304A17">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（总分100分）</w:t>
            </w:r>
          </w:p>
        </w:tc>
        <w:tc>
          <w:tcPr>
            <w:tcW w:w="7197" w:type="dxa"/>
            <w:noWrap w:val="0"/>
            <w:vAlign w:val="center"/>
          </w:tcPr>
          <w:p w14:paraId="2E954D56">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商务部分：</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p w14:paraId="1CA7B4DA">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r>
              <w:rPr>
                <w:rFonts w:hint="eastAsia" w:ascii="宋体" w:hAnsi="宋体" w:cs="宋体"/>
                <w:color w:val="auto"/>
                <w:sz w:val="24"/>
                <w:szCs w:val="24"/>
                <w:highlight w:val="none"/>
                <w:lang w:val="en-US" w:eastAsia="zh-CN"/>
              </w:rPr>
              <w:t>80</w:t>
            </w:r>
            <w:r>
              <w:rPr>
                <w:rFonts w:hint="eastAsia" w:ascii="宋体" w:hAnsi="宋体" w:eastAsia="宋体" w:cs="宋体"/>
                <w:color w:val="auto"/>
                <w:sz w:val="24"/>
                <w:szCs w:val="24"/>
                <w:highlight w:val="none"/>
              </w:rPr>
              <w:t>分</w:t>
            </w:r>
          </w:p>
          <w:p w14:paraId="107BEC00">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其他评分因素：0分</w:t>
            </w:r>
          </w:p>
        </w:tc>
      </w:tr>
      <w:tr w14:paraId="4828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6D73A480">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w:t>
            </w:r>
          </w:p>
        </w:tc>
        <w:tc>
          <w:tcPr>
            <w:tcW w:w="1317" w:type="dxa"/>
            <w:noWrap w:val="0"/>
            <w:vAlign w:val="center"/>
          </w:tcPr>
          <w:p w14:paraId="23B8A5DE">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第二个信封详细评审标准</w:t>
            </w:r>
          </w:p>
        </w:tc>
        <w:tc>
          <w:tcPr>
            <w:tcW w:w="7197" w:type="dxa"/>
            <w:noWrap w:val="0"/>
            <w:vAlign w:val="center"/>
          </w:tcPr>
          <w:p w14:paraId="31C6DA41">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评标价计算公式：</w:t>
            </w:r>
          </w:p>
          <w:p w14:paraId="07407BF6">
            <w:pPr>
              <w:adjustRightInd w:val="0"/>
              <w:snapToGrid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评标价=投标函文字报价。</w:t>
            </w:r>
          </w:p>
        </w:tc>
      </w:tr>
      <w:tr w14:paraId="05E66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35631033">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w:t>
            </w:r>
          </w:p>
        </w:tc>
        <w:tc>
          <w:tcPr>
            <w:tcW w:w="1317" w:type="dxa"/>
            <w:noWrap w:val="0"/>
            <w:vAlign w:val="center"/>
          </w:tcPr>
          <w:p w14:paraId="46F11C7A">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通过第一个信封详细评审的投标人数量</w:t>
            </w:r>
          </w:p>
        </w:tc>
        <w:tc>
          <w:tcPr>
            <w:tcW w:w="7197" w:type="dxa"/>
            <w:noWrap w:val="0"/>
            <w:vAlign w:val="center"/>
          </w:tcPr>
          <w:p w14:paraId="642717A1">
            <w:pPr>
              <w:adjustRightInd w:val="0"/>
              <w:snapToGrid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按照投标人的</w:t>
            </w:r>
            <w:r>
              <w:rPr>
                <w:rFonts w:hint="eastAsia" w:ascii="宋体" w:hAnsi="宋体" w:eastAsia="宋体" w:cs="宋体"/>
                <w:color w:val="auto"/>
                <w:sz w:val="24"/>
                <w:szCs w:val="24"/>
                <w:highlight w:val="none"/>
                <w:lang w:val="en-US" w:eastAsia="zh-CN"/>
              </w:rPr>
              <w:t>综合</w:t>
            </w:r>
            <w:r>
              <w:rPr>
                <w:rFonts w:hint="eastAsia" w:ascii="宋体" w:hAnsi="宋体" w:eastAsia="宋体" w:cs="宋体"/>
                <w:color w:val="auto"/>
                <w:sz w:val="24"/>
                <w:szCs w:val="24"/>
                <w:highlight w:val="none"/>
              </w:rPr>
              <w:t>得分由高到低排序，选择前3名</w:t>
            </w:r>
            <w:r>
              <w:rPr>
                <w:rFonts w:hint="eastAsia" w:ascii="宋体" w:hAnsi="宋体" w:cs="宋体"/>
                <w:color w:val="auto"/>
                <w:sz w:val="24"/>
                <w:szCs w:val="24"/>
                <w:highlight w:val="none"/>
                <w:lang w:val="en-US" w:eastAsia="zh-CN"/>
              </w:rPr>
              <w:t>进入第二信封</w:t>
            </w:r>
            <w:r>
              <w:rPr>
                <w:rFonts w:hint="eastAsia" w:ascii="宋体" w:hAnsi="宋体" w:eastAsia="宋体" w:cs="宋体"/>
                <w:color w:val="auto"/>
                <w:sz w:val="24"/>
                <w:szCs w:val="24"/>
                <w:highlight w:val="none"/>
              </w:rPr>
              <w:t>评审</w:t>
            </w:r>
            <w:r>
              <w:rPr>
                <w:rFonts w:hint="eastAsia" w:ascii="宋体" w:hAnsi="宋体" w:cs="宋体"/>
                <w:color w:val="auto"/>
                <w:sz w:val="24"/>
                <w:szCs w:val="24"/>
                <w:highlight w:val="none"/>
                <w:lang w:eastAsia="zh-CN"/>
              </w:rPr>
              <w:t>。</w:t>
            </w:r>
          </w:p>
        </w:tc>
      </w:tr>
      <w:tr w14:paraId="06CD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2460" w:type="dxa"/>
            <w:gridSpan w:val="2"/>
            <w:noWrap w:val="0"/>
            <w:vAlign w:val="center"/>
          </w:tcPr>
          <w:p w14:paraId="6A1F8F5B">
            <w:pPr>
              <w:snapToGrid w:val="0"/>
              <w:spacing w:line="240" w:lineRule="auto"/>
              <w:jc w:val="center"/>
              <w:rPr>
                <w:rFonts w:hint="eastAsia" w:ascii="宋体" w:hAnsi="宋体" w:eastAsia="宋体" w:cs="宋体"/>
                <w:strike w:val="0"/>
                <w:dstrike w:val="0"/>
                <w:color w:val="auto"/>
                <w:sz w:val="24"/>
                <w:szCs w:val="24"/>
                <w:highlight w:val="none"/>
              </w:rPr>
            </w:pPr>
            <w:r>
              <w:rPr>
                <w:rFonts w:hint="eastAsia" w:ascii="宋体" w:hAnsi="宋体" w:eastAsia="宋体" w:cs="宋体"/>
                <w:strike w:val="0"/>
                <w:dstrike w:val="0"/>
                <w:color w:val="auto"/>
                <w:sz w:val="24"/>
                <w:szCs w:val="24"/>
                <w:highlight w:val="none"/>
                <w:lang w:val="en-US" w:eastAsia="zh-CN"/>
              </w:rPr>
              <w:t>3.5.3异常低价评审</w:t>
            </w:r>
          </w:p>
        </w:tc>
        <w:tc>
          <w:tcPr>
            <w:tcW w:w="7197" w:type="dxa"/>
            <w:noWrap w:val="0"/>
            <w:vAlign w:val="center"/>
          </w:tcPr>
          <w:p w14:paraId="70FAA472">
            <w:pPr>
              <w:snapToGrid w:val="0"/>
              <w:spacing w:line="240" w:lineRule="auto"/>
              <w:rPr>
                <w:rFonts w:hint="eastAsia" w:ascii="宋体" w:hAnsi="宋体" w:eastAsia="宋体" w:cs="宋体"/>
                <w:strike w:val="0"/>
                <w:dstrike w:val="0"/>
                <w:color w:val="auto"/>
                <w:sz w:val="24"/>
                <w:szCs w:val="24"/>
                <w:highlight w:val="none"/>
                <w:u w:val="none"/>
                <w:lang w:val="en-US" w:eastAsia="zh-CN"/>
              </w:rPr>
            </w:pPr>
            <w:r>
              <w:rPr>
                <w:rFonts w:hint="eastAsia" w:ascii="宋体" w:hAnsi="宋体" w:eastAsia="宋体" w:cs="宋体"/>
                <w:strike w:val="0"/>
                <w:dstrike w:val="0"/>
                <w:color w:val="auto"/>
                <w:sz w:val="24"/>
                <w:szCs w:val="24"/>
                <w:highlight w:val="none"/>
                <w:u w:val="none"/>
                <w:lang w:val="en-US" w:eastAsia="zh-CN"/>
              </w:rPr>
              <w:t>本款修改为：</w:t>
            </w:r>
          </w:p>
          <w:p w14:paraId="1351EAF6">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u w:val="none"/>
                <w:lang w:val="en-US" w:eastAsia="zh-CN"/>
              </w:rPr>
              <w:t>评标委员会发现投标人的投标报价低于第一信封综合得分前3名(开启第二信封)的投标人投标报价平均值的50%(含)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7F1E9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16E3EBAF">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3.6.1</w:t>
            </w:r>
          </w:p>
        </w:tc>
        <w:tc>
          <w:tcPr>
            <w:tcW w:w="1317" w:type="dxa"/>
            <w:noWrap w:val="0"/>
            <w:vAlign w:val="center"/>
          </w:tcPr>
          <w:p w14:paraId="061A5BAB">
            <w:pPr>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信息查询</w:t>
            </w:r>
          </w:p>
        </w:tc>
        <w:tc>
          <w:tcPr>
            <w:tcW w:w="7197" w:type="dxa"/>
            <w:noWrap w:val="0"/>
            <w:vAlign w:val="center"/>
          </w:tcPr>
          <w:p w14:paraId="66B85BB3">
            <w:pPr>
              <w:snapToGrid w:val="0"/>
              <w:spacing w:line="240" w:lineRule="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本款修改为:</w:t>
            </w:r>
          </w:p>
          <w:p w14:paraId="0BEE61D1">
            <w:pPr>
              <w:snapToGrid w:val="0"/>
              <w:spacing w:line="240" w:lineRule="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1.评标委员会在评标过程中将对投标人的信誉情况进行查询。如投标</w:t>
            </w:r>
          </w:p>
          <w:p w14:paraId="0653C25B">
            <w:pPr>
              <w:snapToGrid w:val="0"/>
              <w:spacing w:line="240" w:lineRule="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人存在下列情形之一的，评标委员会应否决其投标。</w:t>
            </w:r>
          </w:p>
          <w:p w14:paraId="37C301A4">
            <w:pPr>
              <w:snapToGrid w:val="0"/>
              <w:spacing w:line="240" w:lineRule="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(1)在国家企业信用信息公示系统(https://www.gsxt.gov.cn/)中被列入严重违法失信名单(黑名单)(不含分公司</w:t>
            </w:r>
            <w:r>
              <w:rPr>
                <w:rFonts w:hint="eastAsia" w:ascii="宋体" w:hAnsi="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rPr>
              <w:t>;</w:t>
            </w:r>
          </w:p>
          <w:p w14:paraId="1483F563">
            <w:pPr>
              <w:snapToGrid w:val="0"/>
              <w:spacing w:line="240" w:lineRule="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(2)在“信用中国"网站(http://www.creditchina.gov.cn/)中被列入经营(活动)异常名录、重大税收违法失信主体名单和政府采购严重违法失信行为记录名单(均不含分公司);</w:t>
            </w:r>
          </w:p>
          <w:p w14:paraId="784A723F">
            <w:pPr>
              <w:snapToGrid w:val="0"/>
              <w:spacing w:line="240" w:lineRule="auto"/>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(3)在中国执行信息公开网(zxgk.court.gov.cn)中被列入失信被执行人(不含分公司)。</w:t>
            </w:r>
          </w:p>
          <w:p w14:paraId="2A73B2F9">
            <w:pPr>
              <w:pStyle w:val="5"/>
              <w:rPr>
                <w:rFonts w:hint="eastAsia" w:eastAsia="宋体"/>
                <w:lang w:val="en-US" w:eastAsia="zh-CN"/>
              </w:rPr>
            </w:pPr>
            <w:r>
              <w:rPr>
                <w:rFonts w:hint="eastAsia" w:cs="宋体"/>
                <w:strike w:val="0"/>
                <w:dstrike w:val="0"/>
                <w:color w:val="auto"/>
                <w:sz w:val="24"/>
                <w:szCs w:val="24"/>
                <w:highlight w:val="none"/>
                <w:u w:val="none"/>
                <w:lang w:val="en-US" w:eastAsia="zh-CN"/>
              </w:rPr>
              <w:t>注：以上查询结果以开标当日查询结果为准。</w:t>
            </w:r>
          </w:p>
          <w:p w14:paraId="0599A935">
            <w:pPr>
              <w:snapToGrid w:val="0"/>
              <w:spacing w:line="240" w:lineRule="auto"/>
              <w:rPr>
                <w:rFonts w:hint="default" w:eastAsia="宋体"/>
                <w:lang w:val="en-US" w:eastAsia="zh-CN"/>
              </w:rPr>
            </w:pPr>
            <w:r>
              <w:rPr>
                <w:rFonts w:hint="eastAsia" w:ascii="宋体" w:hAnsi="宋体" w:eastAsia="宋体" w:cs="宋体"/>
                <w:strike w:val="0"/>
                <w:dstrike w:val="0"/>
                <w:color w:val="auto"/>
                <w:sz w:val="24"/>
                <w:szCs w:val="24"/>
                <w:highlight w:val="none"/>
                <w:u w:val="none"/>
              </w:rPr>
              <w:t>2.评标委员会在评标时按照投标人提供的验证方式对电子保函或电子保证保险进行验证。如投标人未提供电子保函或电子保证保险的验证方式，或根据提供的验证方式无法核实的，评标委员会应否决其投标。</w:t>
            </w:r>
          </w:p>
        </w:tc>
      </w:tr>
      <w:tr w14:paraId="1DB37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noWrap w:val="0"/>
            <w:vAlign w:val="center"/>
          </w:tcPr>
          <w:p w14:paraId="648660B7">
            <w:pPr>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3.6.3</w:t>
            </w:r>
          </w:p>
        </w:tc>
        <w:tc>
          <w:tcPr>
            <w:tcW w:w="1317" w:type="dxa"/>
            <w:noWrap w:val="0"/>
            <w:vAlign w:val="center"/>
          </w:tcPr>
          <w:p w14:paraId="5D87B5DA">
            <w:pPr>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投标人其他异常投标情形</w:t>
            </w:r>
          </w:p>
        </w:tc>
        <w:tc>
          <w:tcPr>
            <w:tcW w:w="7197" w:type="dxa"/>
            <w:noWrap w:val="0"/>
            <w:vAlign w:val="center"/>
          </w:tcPr>
          <w:p w14:paraId="117FA959">
            <w:pPr>
              <w:snapToGrid w:val="0"/>
              <w:spacing w:line="240" w:lineRule="auto"/>
              <w:rPr>
                <w:rFonts w:hint="default" w:ascii="宋体" w:hAnsi="宋体" w:eastAsia="宋体" w:cs="宋体"/>
                <w:strike w:val="0"/>
                <w:dstrike w:val="0"/>
                <w:color w:val="auto"/>
                <w:sz w:val="24"/>
                <w:szCs w:val="24"/>
                <w:highlight w:val="none"/>
                <w:lang w:val="en-US" w:eastAsia="zh-CN"/>
              </w:rPr>
            </w:pPr>
            <w:r>
              <w:rPr>
                <w:rFonts w:hint="eastAsia" w:ascii="宋体" w:hAnsi="宋体" w:cs="宋体"/>
                <w:strike w:val="0"/>
                <w:dstrike w:val="0"/>
                <w:color w:val="auto"/>
                <w:sz w:val="24"/>
                <w:szCs w:val="24"/>
                <w:highlight w:val="none"/>
                <w:lang w:val="en-US" w:eastAsia="zh-CN"/>
              </w:rPr>
              <w:t>本款增加：</w:t>
            </w:r>
          </w:p>
          <w:p w14:paraId="2D08EE75">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评标委员会在评标过程中发现存在投标文件异常一致或投标活动异常关联等异常投标情形的，</w:t>
            </w:r>
            <w:r>
              <w:rPr>
                <w:rFonts w:hint="eastAsia" w:ascii="宋体" w:hAnsi="宋体" w:eastAsia="宋体" w:cs="宋体"/>
                <w:strike w:val="0"/>
                <w:dstrike w:val="0"/>
                <w:color w:val="auto"/>
                <w:sz w:val="24"/>
                <w:szCs w:val="24"/>
                <w:highlight w:val="none"/>
                <w:u w:val="none"/>
              </w:rPr>
              <w:t>应当要求投标人在规定时间内作出书面说明并提供相应的证明材料。投标人不能合理说明或者不能提供相应证明材料的，评标委员会应当认定投标人</w:t>
            </w:r>
            <w:r>
              <w:rPr>
                <w:rFonts w:hint="eastAsia" w:ascii="宋体" w:hAnsi="宋体" w:eastAsia="宋体" w:cs="宋体"/>
                <w:strike w:val="0"/>
                <w:dstrike w:val="0"/>
                <w:color w:val="auto"/>
                <w:sz w:val="24"/>
                <w:szCs w:val="24"/>
                <w:highlight w:val="none"/>
                <w:lang w:val="en-US" w:eastAsia="zh-CN"/>
              </w:rPr>
              <w:t>存在</w:t>
            </w:r>
            <w:r>
              <w:rPr>
                <w:rFonts w:hint="eastAsia" w:ascii="宋体" w:hAnsi="宋体" w:cs="宋体"/>
                <w:strike w:val="0"/>
                <w:dstrike w:val="0"/>
                <w:color w:val="auto"/>
                <w:sz w:val="24"/>
                <w:szCs w:val="24"/>
                <w:highlight w:val="none"/>
                <w:lang w:val="en-US" w:eastAsia="zh-CN"/>
              </w:rPr>
              <w:t>串通</w:t>
            </w:r>
            <w:r>
              <w:rPr>
                <w:rFonts w:hint="eastAsia" w:ascii="宋体" w:hAnsi="宋体" w:eastAsia="宋体" w:cs="宋体"/>
                <w:strike w:val="0"/>
                <w:dstrike w:val="0"/>
                <w:color w:val="auto"/>
                <w:sz w:val="24"/>
                <w:szCs w:val="24"/>
                <w:highlight w:val="none"/>
                <w:lang w:val="en-US" w:eastAsia="zh-CN"/>
              </w:rPr>
              <w:t>投标情形，</w:t>
            </w:r>
            <w:r>
              <w:rPr>
                <w:rFonts w:hint="eastAsia" w:ascii="宋体" w:hAnsi="宋体" w:cs="宋体"/>
                <w:strike w:val="0"/>
                <w:dstrike w:val="0"/>
                <w:color w:val="auto"/>
                <w:sz w:val="24"/>
                <w:szCs w:val="24"/>
                <w:highlight w:val="none"/>
                <w:lang w:val="en-US" w:eastAsia="zh-CN"/>
              </w:rPr>
              <w:t>并</w:t>
            </w:r>
            <w:r>
              <w:rPr>
                <w:rFonts w:hint="eastAsia" w:ascii="宋体" w:hAnsi="宋体" w:eastAsia="宋体" w:cs="宋体"/>
                <w:strike w:val="0"/>
                <w:dstrike w:val="0"/>
                <w:color w:val="auto"/>
                <w:sz w:val="24"/>
                <w:szCs w:val="24"/>
                <w:highlight w:val="none"/>
                <w:lang w:val="en-US" w:eastAsia="zh-CN"/>
              </w:rPr>
              <w:t>否决其投标。</w:t>
            </w:r>
          </w:p>
          <w:p w14:paraId="6C3352F4">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有下列情形之一的，属于投标文件异常一致或投标活动异常关联等异常投标情形：</w:t>
            </w:r>
          </w:p>
          <w:p w14:paraId="46FCBA9D">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（1）投标人投标文件制作机器码雷同；</w:t>
            </w:r>
          </w:p>
          <w:p w14:paraId="669CB213">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（2）投标文件创建标识码雷同；</w:t>
            </w:r>
          </w:p>
          <w:p w14:paraId="7764FE70">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（3）投标文件制作计算机MAC地址雷同；</w:t>
            </w:r>
          </w:p>
          <w:p w14:paraId="7D36871A">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（4）投标文件制作计算机硬盘序列号雷同；</w:t>
            </w:r>
          </w:p>
          <w:p w14:paraId="73B3949F">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（5）投标文件上传IP地址雷同；</w:t>
            </w:r>
          </w:p>
          <w:p w14:paraId="1878B025">
            <w:pPr>
              <w:snapToGrid w:val="0"/>
              <w:spacing w:line="240" w:lineRule="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w:t>
            </w:r>
            <w:r>
              <w:rPr>
                <w:rFonts w:hint="eastAsia" w:ascii="宋体" w:hAnsi="宋体" w:cs="宋体"/>
                <w:strike w:val="0"/>
                <w:dstrike w:val="0"/>
                <w:color w:val="auto"/>
                <w:sz w:val="24"/>
                <w:szCs w:val="24"/>
                <w:highlight w:val="none"/>
                <w:lang w:val="en-US" w:eastAsia="zh-CN"/>
              </w:rPr>
              <w:t>6</w:t>
            </w:r>
            <w:r>
              <w:rPr>
                <w:rFonts w:hint="eastAsia" w:ascii="宋体" w:hAnsi="宋体" w:eastAsia="宋体" w:cs="宋体"/>
                <w:strike w:val="0"/>
                <w:dstrike w:val="0"/>
                <w:color w:val="auto"/>
                <w:sz w:val="24"/>
                <w:szCs w:val="24"/>
                <w:highlight w:val="none"/>
                <w:lang w:val="en-US" w:eastAsia="zh-CN"/>
              </w:rPr>
              <w:t>）投标文件解密IP地址雷同。</w:t>
            </w:r>
          </w:p>
        </w:tc>
      </w:tr>
    </w:tbl>
    <w:p w14:paraId="196F5469">
      <w:pPr>
        <w:adjustRightInd w:val="0"/>
        <w:snapToGrid w:val="0"/>
        <w:spacing w:line="360" w:lineRule="auto"/>
        <w:textAlignment w:val="baseline"/>
        <w:rPr>
          <w:rFonts w:ascii="宋体" w:hAnsi="宋体"/>
          <w:b/>
          <w:bCs/>
          <w:snapToGrid w:val="0"/>
          <w:color w:val="auto"/>
          <w:kern w:val="0"/>
          <w:sz w:val="28"/>
          <w:szCs w:val="24"/>
          <w:highlight w:val="none"/>
        </w:rPr>
      </w:pPr>
      <w:r>
        <w:rPr>
          <w:rFonts w:hint="eastAsia" w:ascii="宋体" w:hAnsi="宋体"/>
          <w:b/>
          <w:bCs/>
          <w:snapToGrid w:val="0"/>
          <w:color w:val="auto"/>
          <w:kern w:val="0"/>
          <w:sz w:val="28"/>
          <w:szCs w:val="24"/>
          <w:highlight w:val="none"/>
        </w:rPr>
        <w:br w:type="page"/>
      </w:r>
      <w:r>
        <w:rPr>
          <w:rFonts w:hint="eastAsia" w:ascii="宋体" w:hAnsi="宋体"/>
          <w:b/>
          <w:bCs/>
          <w:snapToGrid w:val="0"/>
          <w:color w:val="auto"/>
          <w:kern w:val="0"/>
          <w:sz w:val="28"/>
          <w:szCs w:val="24"/>
          <w:highlight w:val="none"/>
        </w:rPr>
        <w:t>评分标准</w:t>
      </w:r>
    </w:p>
    <w:tbl>
      <w:tblPr>
        <w:tblStyle w:val="9"/>
        <w:tblpPr w:leftFromText="180" w:rightFromText="180" w:vertAnchor="text" w:tblpXSpec="center" w:tblpY="1"/>
        <w:tblOverlap w:val="never"/>
        <w:tblW w:w="9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186"/>
        <w:gridCol w:w="2216"/>
        <w:gridCol w:w="894"/>
        <w:gridCol w:w="4119"/>
      </w:tblGrid>
      <w:tr w14:paraId="0CCE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59" w:type="dxa"/>
            <w:noWrap w:val="0"/>
            <w:vAlign w:val="center"/>
          </w:tcPr>
          <w:p w14:paraId="06DD6880">
            <w:pPr>
              <w:pStyle w:val="6"/>
              <w:jc w:val="center"/>
              <w:textAlignment w:val="baseline"/>
              <w:rPr>
                <w:rFonts w:hint="eastAsia" w:hAnsi="宋体" w:cs="宋体"/>
                <w:color w:val="auto"/>
                <w:kern w:val="0"/>
                <w:sz w:val="24"/>
                <w:szCs w:val="24"/>
                <w:highlight w:val="none"/>
              </w:rPr>
            </w:pPr>
            <w:r>
              <w:rPr>
                <w:rFonts w:hint="eastAsia" w:hAnsi="宋体" w:cs="宋体"/>
                <w:color w:val="auto"/>
                <w:sz w:val="24"/>
                <w:szCs w:val="24"/>
                <w:highlight w:val="none"/>
              </w:rPr>
              <w:t>条款号</w:t>
            </w:r>
          </w:p>
        </w:tc>
        <w:tc>
          <w:tcPr>
            <w:tcW w:w="1186" w:type="dxa"/>
            <w:noWrap w:val="0"/>
            <w:vAlign w:val="center"/>
          </w:tcPr>
          <w:p w14:paraId="67B67F27">
            <w:pPr>
              <w:pStyle w:val="6"/>
              <w:jc w:val="center"/>
              <w:textAlignment w:val="baseline"/>
              <w:rPr>
                <w:rFonts w:hAnsi="宋体" w:cs="宋体"/>
                <w:color w:val="auto"/>
                <w:sz w:val="24"/>
                <w:szCs w:val="24"/>
                <w:highlight w:val="none"/>
              </w:rPr>
            </w:pPr>
            <w:r>
              <w:rPr>
                <w:rFonts w:hint="eastAsia" w:hAnsi="宋体" w:cs="宋体"/>
                <w:color w:val="auto"/>
                <w:sz w:val="24"/>
                <w:szCs w:val="24"/>
                <w:highlight w:val="none"/>
              </w:rPr>
              <w:t>评分</w:t>
            </w:r>
          </w:p>
          <w:p w14:paraId="5C4F5707">
            <w:pPr>
              <w:pStyle w:val="6"/>
              <w:jc w:val="center"/>
              <w:textAlignment w:val="baseline"/>
              <w:rPr>
                <w:rFonts w:hint="eastAsia" w:hAnsi="宋体" w:cs="宋体"/>
                <w:color w:val="auto"/>
                <w:sz w:val="24"/>
                <w:szCs w:val="24"/>
                <w:highlight w:val="none"/>
              </w:rPr>
            </w:pPr>
            <w:r>
              <w:rPr>
                <w:rFonts w:hint="eastAsia" w:hAnsi="宋体" w:cs="宋体"/>
                <w:color w:val="auto"/>
                <w:sz w:val="24"/>
                <w:szCs w:val="24"/>
                <w:highlight w:val="none"/>
              </w:rPr>
              <w:t>因素</w:t>
            </w:r>
          </w:p>
        </w:tc>
        <w:tc>
          <w:tcPr>
            <w:tcW w:w="2216" w:type="dxa"/>
            <w:noWrap w:val="0"/>
            <w:vAlign w:val="center"/>
          </w:tcPr>
          <w:p w14:paraId="3A651958">
            <w:pPr>
              <w:adjustRightInd w:val="0"/>
              <w:snapToGrid w:val="0"/>
              <w:jc w:val="center"/>
              <w:rPr>
                <w:rFonts w:ascii="宋体" w:hAnsi="宋体" w:cs="宋体"/>
                <w:color w:val="auto"/>
                <w:sz w:val="24"/>
                <w:szCs w:val="24"/>
                <w:highlight w:val="none"/>
                <w:u w:val="single"/>
              </w:rPr>
            </w:pPr>
            <w:r>
              <w:rPr>
                <w:rFonts w:hint="eastAsia" w:ascii="宋体" w:hAnsi="宋体" w:cs="宋体"/>
                <w:color w:val="auto"/>
                <w:sz w:val="24"/>
                <w:szCs w:val="24"/>
                <w:highlight w:val="none"/>
              </w:rPr>
              <w:t>评分因素</w:t>
            </w:r>
          </w:p>
        </w:tc>
        <w:tc>
          <w:tcPr>
            <w:tcW w:w="894" w:type="dxa"/>
            <w:noWrap w:val="0"/>
            <w:vAlign w:val="center"/>
          </w:tcPr>
          <w:p w14:paraId="450C3D25">
            <w:pPr>
              <w:jc w:val="center"/>
              <w:rPr>
                <w:rFonts w:ascii="宋体" w:hAnsi="宋体" w:cs="宋体"/>
                <w:color w:val="auto"/>
                <w:sz w:val="24"/>
                <w:szCs w:val="24"/>
                <w:highlight w:val="none"/>
              </w:rPr>
            </w:pPr>
            <w:r>
              <w:rPr>
                <w:rFonts w:ascii="宋体" w:hAnsi="宋体" w:cs="宋体"/>
                <w:color w:val="auto"/>
                <w:spacing w:val="-3"/>
                <w:sz w:val="24"/>
                <w:szCs w:val="24"/>
                <w:highlight w:val="none"/>
              </w:rPr>
              <w:t>分</w:t>
            </w:r>
            <w:r>
              <w:rPr>
                <w:rFonts w:ascii="宋体" w:hAnsi="宋体" w:cs="宋体"/>
                <w:color w:val="auto"/>
                <w:spacing w:val="-2"/>
                <w:sz w:val="24"/>
                <w:szCs w:val="24"/>
                <w:highlight w:val="none"/>
              </w:rPr>
              <w:t>值</w:t>
            </w:r>
          </w:p>
        </w:tc>
        <w:tc>
          <w:tcPr>
            <w:tcW w:w="4119" w:type="dxa"/>
            <w:noWrap w:val="0"/>
            <w:vAlign w:val="center"/>
          </w:tcPr>
          <w:p w14:paraId="165B730C">
            <w:pPr>
              <w:jc w:val="center"/>
              <w:rPr>
                <w:rFonts w:ascii="宋体" w:hAnsi="宋体" w:cs="宋体"/>
                <w:color w:val="auto"/>
                <w:spacing w:val="-3"/>
                <w:sz w:val="24"/>
                <w:szCs w:val="24"/>
                <w:highlight w:val="none"/>
              </w:rPr>
            </w:pPr>
            <w:r>
              <w:rPr>
                <w:rFonts w:ascii="宋体" w:hAnsi="宋体" w:cs="宋体"/>
                <w:color w:val="auto"/>
                <w:spacing w:val="-1"/>
                <w:sz w:val="24"/>
                <w:szCs w:val="24"/>
                <w:highlight w:val="none"/>
              </w:rPr>
              <w:t>评分</w:t>
            </w:r>
            <w:r>
              <w:rPr>
                <w:rFonts w:ascii="宋体" w:hAnsi="宋体" w:cs="宋体"/>
                <w:color w:val="auto"/>
                <w:sz w:val="24"/>
                <w:szCs w:val="24"/>
                <w:highlight w:val="none"/>
              </w:rPr>
              <w:t>标准</w:t>
            </w:r>
          </w:p>
        </w:tc>
      </w:tr>
      <w:tr w14:paraId="1B60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959" w:type="dxa"/>
            <w:vMerge w:val="restart"/>
            <w:noWrap w:val="0"/>
            <w:vAlign w:val="center"/>
          </w:tcPr>
          <w:p w14:paraId="71E4AC21">
            <w:pPr>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2.2.</w:t>
            </w:r>
            <w:r>
              <w:rPr>
                <w:rFonts w:hint="eastAsia" w:ascii="宋体" w:hAnsi="宋体" w:cs="宋体"/>
                <w:color w:val="auto"/>
                <w:kern w:val="0"/>
                <w:sz w:val="24"/>
                <w:szCs w:val="24"/>
                <w:highlight w:val="none"/>
                <w:lang w:val="en-US" w:eastAsia="zh-CN"/>
              </w:rPr>
              <w:t>1</w:t>
            </w:r>
          </w:p>
          <w:p w14:paraId="03D6649E">
            <w:pPr>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(1)</w:t>
            </w:r>
          </w:p>
        </w:tc>
        <w:tc>
          <w:tcPr>
            <w:tcW w:w="1186" w:type="dxa"/>
            <w:vMerge w:val="restart"/>
            <w:noWrap w:val="0"/>
            <w:vAlign w:val="center"/>
          </w:tcPr>
          <w:p w14:paraId="3D5AB274">
            <w:pPr>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商务部分</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rPr>
              <w:t>分）</w:t>
            </w:r>
          </w:p>
        </w:tc>
        <w:tc>
          <w:tcPr>
            <w:tcW w:w="2216" w:type="dxa"/>
            <w:vMerge w:val="restart"/>
            <w:noWrap w:val="0"/>
            <w:vAlign w:val="center"/>
          </w:tcPr>
          <w:p w14:paraId="40FB5071">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业绩</w:t>
            </w:r>
          </w:p>
        </w:tc>
        <w:tc>
          <w:tcPr>
            <w:tcW w:w="894" w:type="dxa"/>
            <w:vMerge w:val="restart"/>
            <w:noWrap w:val="0"/>
            <w:vAlign w:val="center"/>
          </w:tcPr>
          <w:p w14:paraId="67A67C42">
            <w:pPr>
              <w:jc w:val="center"/>
              <w:rPr>
                <w:rFonts w:ascii="宋体" w:hAnsi="宋体" w:cs="宋体"/>
                <w:color w:val="auto"/>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cs="宋体"/>
                <w:color w:val="auto"/>
                <w:kern w:val="0"/>
                <w:sz w:val="24"/>
                <w:szCs w:val="24"/>
                <w:highlight w:val="none"/>
              </w:rPr>
              <w:t>0分</w:t>
            </w:r>
          </w:p>
        </w:tc>
        <w:tc>
          <w:tcPr>
            <w:tcW w:w="4119" w:type="dxa"/>
            <w:noWrap w:val="0"/>
            <w:vAlign w:val="center"/>
          </w:tcPr>
          <w:p w14:paraId="1D44307F">
            <w:pPr>
              <w:ind w:right="113"/>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满足资格审查条件(业绩最低要求)得</w:t>
            </w:r>
            <w:r>
              <w:rPr>
                <w:rFonts w:hint="eastAsia" w:ascii="宋体" w:hAnsi="宋体" w:cs="宋体"/>
                <w:color w:val="auto"/>
                <w:sz w:val="24"/>
                <w:szCs w:val="24"/>
                <w:highlight w:val="none"/>
                <w:lang w:val="en-US" w:eastAsia="zh-CN"/>
              </w:rPr>
              <w:t>12</w:t>
            </w:r>
            <w:r>
              <w:rPr>
                <w:rFonts w:hint="eastAsia" w:ascii="宋体" w:hAnsi="宋体" w:cs="宋体"/>
                <w:color w:val="auto"/>
                <w:sz w:val="24"/>
                <w:szCs w:val="24"/>
                <w:highlight w:val="none"/>
              </w:rPr>
              <w:t>分；</w:t>
            </w:r>
          </w:p>
        </w:tc>
      </w:tr>
      <w:tr w14:paraId="43D35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59" w:type="dxa"/>
            <w:vMerge w:val="continue"/>
            <w:noWrap w:val="0"/>
            <w:vAlign w:val="center"/>
          </w:tcPr>
          <w:p w14:paraId="3131CA5D">
            <w:pPr>
              <w:jc w:val="center"/>
              <w:rPr>
                <w:rFonts w:hint="eastAsia" w:ascii="宋体" w:hAnsi="宋体" w:cs="宋体"/>
                <w:color w:val="auto"/>
                <w:kern w:val="0"/>
                <w:sz w:val="24"/>
                <w:szCs w:val="24"/>
                <w:highlight w:val="none"/>
              </w:rPr>
            </w:pPr>
          </w:p>
        </w:tc>
        <w:tc>
          <w:tcPr>
            <w:tcW w:w="1186" w:type="dxa"/>
            <w:vMerge w:val="continue"/>
            <w:noWrap w:val="0"/>
            <w:vAlign w:val="center"/>
          </w:tcPr>
          <w:p w14:paraId="67D40068">
            <w:pPr>
              <w:jc w:val="center"/>
              <w:rPr>
                <w:rFonts w:hint="eastAsia" w:ascii="宋体" w:hAnsi="宋体" w:cs="宋体"/>
                <w:color w:val="auto"/>
                <w:kern w:val="0"/>
                <w:sz w:val="24"/>
                <w:szCs w:val="24"/>
                <w:highlight w:val="none"/>
              </w:rPr>
            </w:pPr>
          </w:p>
        </w:tc>
        <w:tc>
          <w:tcPr>
            <w:tcW w:w="2216" w:type="dxa"/>
            <w:vMerge w:val="continue"/>
            <w:noWrap w:val="0"/>
            <w:vAlign w:val="center"/>
          </w:tcPr>
          <w:p w14:paraId="6CC326B1">
            <w:pPr>
              <w:adjustRightInd w:val="0"/>
              <w:snapToGrid w:val="0"/>
              <w:jc w:val="center"/>
              <w:rPr>
                <w:rFonts w:hint="eastAsia" w:ascii="宋体" w:hAnsi="宋体" w:eastAsia="宋体" w:cs="宋体"/>
                <w:color w:val="auto"/>
                <w:sz w:val="24"/>
                <w:szCs w:val="24"/>
                <w:highlight w:val="none"/>
              </w:rPr>
            </w:pPr>
          </w:p>
        </w:tc>
        <w:tc>
          <w:tcPr>
            <w:tcW w:w="894" w:type="dxa"/>
            <w:vMerge w:val="continue"/>
            <w:noWrap w:val="0"/>
            <w:vAlign w:val="center"/>
          </w:tcPr>
          <w:p w14:paraId="7A735E45">
            <w:pPr>
              <w:jc w:val="center"/>
              <w:rPr>
                <w:rFonts w:hint="eastAsia" w:ascii="宋体" w:hAnsi="宋体" w:cs="宋体"/>
                <w:color w:val="auto"/>
                <w:kern w:val="0"/>
                <w:sz w:val="24"/>
                <w:szCs w:val="24"/>
                <w:highlight w:val="none"/>
              </w:rPr>
            </w:pPr>
          </w:p>
        </w:tc>
        <w:tc>
          <w:tcPr>
            <w:tcW w:w="4119" w:type="dxa"/>
            <w:noWrap w:val="0"/>
            <w:vAlign w:val="center"/>
          </w:tcPr>
          <w:p w14:paraId="17C3116F">
            <w:pPr>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一标段：每增加1项满足资格审查条件（业绩最低要求）的供货业绩加</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分，最多加8分</w:t>
            </w:r>
            <w:r>
              <w:rPr>
                <w:rFonts w:hint="eastAsia" w:ascii="宋体" w:hAnsi="宋体" w:cs="宋体"/>
                <w:color w:val="auto"/>
                <w:kern w:val="0"/>
                <w:sz w:val="24"/>
                <w:szCs w:val="24"/>
                <w:highlight w:val="none"/>
                <w:lang w:val="en-US" w:eastAsia="zh-CN"/>
              </w:rPr>
              <w:t>。</w:t>
            </w:r>
          </w:p>
        </w:tc>
      </w:tr>
      <w:tr w14:paraId="40503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exact"/>
          <w:jc w:val="center"/>
        </w:trPr>
        <w:tc>
          <w:tcPr>
            <w:tcW w:w="959" w:type="dxa"/>
            <w:vMerge w:val="continue"/>
            <w:noWrap w:val="0"/>
            <w:vAlign w:val="center"/>
          </w:tcPr>
          <w:p w14:paraId="1ACC4866">
            <w:pPr>
              <w:snapToGrid w:val="0"/>
              <w:spacing w:line="320" w:lineRule="exact"/>
              <w:rPr>
                <w:highlight w:val="none"/>
              </w:rPr>
            </w:pPr>
          </w:p>
        </w:tc>
        <w:tc>
          <w:tcPr>
            <w:tcW w:w="1186" w:type="dxa"/>
            <w:vMerge w:val="continue"/>
            <w:noWrap w:val="0"/>
            <w:vAlign w:val="center"/>
          </w:tcPr>
          <w:p w14:paraId="08C04942">
            <w:pPr>
              <w:snapToGrid w:val="0"/>
              <w:spacing w:line="320" w:lineRule="exact"/>
              <w:rPr>
                <w:highlight w:val="none"/>
              </w:rPr>
            </w:pPr>
          </w:p>
        </w:tc>
        <w:tc>
          <w:tcPr>
            <w:tcW w:w="2216" w:type="dxa"/>
            <w:vMerge w:val="continue"/>
            <w:noWrap w:val="0"/>
            <w:vAlign w:val="center"/>
          </w:tcPr>
          <w:p w14:paraId="2C7BBB9F">
            <w:pPr>
              <w:snapToGrid w:val="0"/>
              <w:spacing w:line="320" w:lineRule="exact"/>
              <w:rPr>
                <w:highlight w:val="none"/>
              </w:rPr>
            </w:pPr>
          </w:p>
        </w:tc>
        <w:tc>
          <w:tcPr>
            <w:tcW w:w="894" w:type="dxa"/>
            <w:vMerge w:val="continue"/>
            <w:noWrap w:val="0"/>
            <w:vAlign w:val="center"/>
          </w:tcPr>
          <w:p w14:paraId="374CB410">
            <w:pPr>
              <w:snapToGrid w:val="0"/>
              <w:spacing w:line="320" w:lineRule="exact"/>
              <w:rPr>
                <w:highlight w:val="none"/>
              </w:rPr>
            </w:pPr>
          </w:p>
        </w:tc>
        <w:tc>
          <w:tcPr>
            <w:tcW w:w="4119" w:type="dxa"/>
            <w:noWrap w:val="0"/>
            <w:vAlign w:val="center"/>
          </w:tcPr>
          <w:p w14:paraId="7B483AE6">
            <w:pPr>
              <w:jc w:val="left"/>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二标段：每增加1项满足资格审查条件（业绩最低要求）的供货业绩加</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分，最多加8分</w:t>
            </w:r>
            <w:r>
              <w:rPr>
                <w:rFonts w:hint="eastAsia" w:ascii="宋体" w:hAnsi="宋体" w:cs="宋体"/>
                <w:color w:val="auto"/>
                <w:kern w:val="0"/>
                <w:sz w:val="24"/>
                <w:szCs w:val="24"/>
                <w:highlight w:val="none"/>
                <w:lang w:val="en-US" w:eastAsia="zh-CN"/>
              </w:rPr>
              <w:t>。</w:t>
            </w:r>
          </w:p>
        </w:tc>
      </w:tr>
      <w:tr w14:paraId="7A0E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959" w:type="dxa"/>
            <w:vMerge w:val="restart"/>
            <w:noWrap w:val="0"/>
            <w:vAlign w:val="center"/>
          </w:tcPr>
          <w:p w14:paraId="7C347ED2">
            <w:pPr>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2.2.</w:t>
            </w:r>
            <w:r>
              <w:rPr>
                <w:rFonts w:hint="eastAsia" w:ascii="宋体" w:hAnsi="宋体" w:cs="宋体"/>
                <w:color w:val="auto"/>
                <w:kern w:val="0"/>
                <w:sz w:val="24"/>
                <w:szCs w:val="24"/>
                <w:highlight w:val="none"/>
                <w:lang w:val="en-US" w:eastAsia="zh-CN"/>
              </w:rPr>
              <w:t>1</w:t>
            </w:r>
          </w:p>
          <w:p w14:paraId="15B052F1">
            <w:pPr>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(2)</w:t>
            </w:r>
          </w:p>
        </w:tc>
        <w:tc>
          <w:tcPr>
            <w:tcW w:w="1186" w:type="dxa"/>
            <w:vMerge w:val="restart"/>
            <w:noWrap w:val="0"/>
            <w:vAlign w:val="center"/>
          </w:tcPr>
          <w:p w14:paraId="24CD4470">
            <w:pPr>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技术部分</w:t>
            </w:r>
          </w:p>
          <w:p w14:paraId="2F735311">
            <w:pPr>
              <w:pStyle w:val="5"/>
              <w:jc w:val="both"/>
              <w:rPr>
                <w:rFonts w:hint="eastAsia"/>
                <w:color w:val="auto"/>
                <w:highlight w:val="none"/>
                <w:lang w:eastAsia="zh-CN"/>
              </w:rPr>
            </w:pPr>
            <w:r>
              <w:rPr>
                <w:rFonts w:hint="eastAsia"/>
                <w:color w:val="auto"/>
                <w:sz w:val="24"/>
                <w:szCs w:val="24"/>
                <w:highlight w:val="none"/>
                <w:lang w:eastAsia="zh-CN"/>
              </w:rPr>
              <w:t>（</w:t>
            </w:r>
            <w:r>
              <w:rPr>
                <w:rFonts w:hint="eastAsia"/>
                <w:color w:val="auto"/>
                <w:sz w:val="24"/>
                <w:szCs w:val="24"/>
                <w:highlight w:val="none"/>
                <w:lang w:val="en-US" w:eastAsia="zh-CN"/>
              </w:rPr>
              <w:t>8</w:t>
            </w:r>
            <w:r>
              <w:rPr>
                <w:color w:val="auto"/>
                <w:sz w:val="24"/>
                <w:szCs w:val="24"/>
                <w:highlight w:val="none"/>
                <w:lang w:eastAsia="zh-CN"/>
              </w:rPr>
              <w:t>0</w:t>
            </w:r>
            <w:r>
              <w:rPr>
                <w:rFonts w:hint="eastAsia"/>
                <w:color w:val="auto"/>
                <w:sz w:val="24"/>
                <w:szCs w:val="24"/>
                <w:highlight w:val="none"/>
                <w:lang w:eastAsia="zh-CN"/>
              </w:rPr>
              <w:t>分）</w:t>
            </w:r>
          </w:p>
        </w:tc>
        <w:tc>
          <w:tcPr>
            <w:tcW w:w="2216" w:type="dxa"/>
            <w:noWrap w:val="0"/>
            <w:vAlign w:val="center"/>
          </w:tcPr>
          <w:p w14:paraId="191B6578">
            <w:pPr>
              <w:adjustRightInd w:val="0"/>
              <w:snapToGrid w:val="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投标设备整体评价</w:t>
            </w:r>
          </w:p>
        </w:tc>
        <w:tc>
          <w:tcPr>
            <w:tcW w:w="894" w:type="dxa"/>
            <w:noWrap w:val="0"/>
            <w:vAlign w:val="center"/>
          </w:tcPr>
          <w:p w14:paraId="75D63C5F">
            <w:pPr>
              <w:jc w:val="center"/>
              <w:rPr>
                <w:rFonts w:ascii="宋体" w:hAnsi="宋体" w:cs="宋体"/>
                <w:color w:val="auto"/>
                <w:sz w:val="24"/>
                <w:szCs w:val="24"/>
                <w:highlight w:val="none"/>
              </w:rPr>
            </w:pPr>
            <w:r>
              <w:rPr>
                <w:rFonts w:hint="eastAsia" w:ascii="宋体" w:hAnsi="宋体" w:cs="宋体"/>
                <w:color w:val="auto"/>
                <w:kern w:val="0"/>
                <w:sz w:val="24"/>
                <w:szCs w:val="24"/>
                <w:highlight w:val="none"/>
                <w:lang w:val="en-US" w:eastAsia="zh-CN"/>
              </w:rPr>
              <w:t>2</w:t>
            </w:r>
            <w:r>
              <w:rPr>
                <w:rFonts w:ascii="宋体" w:hAnsi="宋体" w:cs="宋体"/>
                <w:color w:val="auto"/>
                <w:kern w:val="0"/>
                <w:sz w:val="24"/>
                <w:szCs w:val="24"/>
                <w:highlight w:val="none"/>
              </w:rPr>
              <w:t>0</w:t>
            </w:r>
            <w:r>
              <w:rPr>
                <w:rFonts w:hint="eastAsia" w:ascii="宋体" w:hAnsi="宋体" w:cs="宋体"/>
                <w:color w:val="auto"/>
                <w:kern w:val="0"/>
                <w:sz w:val="24"/>
                <w:szCs w:val="24"/>
                <w:highlight w:val="none"/>
              </w:rPr>
              <w:t>分</w:t>
            </w:r>
          </w:p>
        </w:tc>
        <w:tc>
          <w:tcPr>
            <w:tcW w:w="4119" w:type="dxa"/>
            <w:noWrap w:val="0"/>
            <w:vAlign w:val="center"/>
          </w:tcPr>
          <w:p w14:paraId="2490800A">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1.设备整体性能优越、功能齐全、完善，自动化水平高，完全满足招标文件要求，得</w:t>
            </w:r>
            <w:r>
              <w:rPr>
                <w:rFonts w:hint="eastAsia" w:ascii="宋体" w:hAnsi="宋体" w:cs="宋体"/>
                <w:color w:val="auto"/>
                <w:sz w:val="24"/>
                <w:szCs w:val="24"/>
                <w:highlight w:val="none"/>
                <w:lang w:val="en-US" w:eastAsia="zh-CN"/>
              </w:rPr>
              <w:t>16-20</w:t>
            </w:r>
            <w:r>
              <w:rPr>
                <w:rFonts w:hint="eastAsia" w:ascii="宋体" w:hAnsi="宋体" w:eastAsia="宋体" w:cs="宋体"/>
                <w:color w:val="auto"/>
                <w:sz w:val="24"/>
                <w:szCs w:val="24"/>
                <w:highlight w:val="none"/>
              </w:rPr>
              <w:t>分；</w:t>
            </w:r>
          </w:p>
          <w:p w14:paraId="468C9DC1">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2.设备整体性能较高、功能较齐全、较完善，自动化水平较高，满足招标文件要求，得</w:t>
            </w:r>
            <w:r>
              <w:rPr>
                <w:rFonts w:hint="eastAsia" w:ascii="宋体" w:hAnsi="宋体" w:cs="宋体"/>
                <w:color w:val="auto"/>
                <w:sz w:val="24"/>
                <w:szCs w:val="24"/>
                <w:highlight w:val="none"/>
                <w:lang w:val="en-US" w:eastAsia="zh-CN"/>
              </w:rPr>
              <w:t>12-16</w:t>
            </w:r>
            <w:r>
              <w:rPr>
                <w:rFonts w:hint="eastAsia" w:ascii="宋体" w:hAnsi="宋体" w:eastAsia="宋体" w:cs="宋体"/>
                <w:color w:val="auto"/>
                <w:sz w:val="24"/>
                <w:szCs w:val="24"/>
                <w:highlight w:val="none"/>
              </w:rPr>
              <w:t>分；</w:t>
            </w:r>
          </w:p>
          <w:p w14:paraId="76CB4AD5">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3.设备整体性能一般，功能一般，自动化水平一般，基本满足招标文件要求，得</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r>
      <w:tr w14:paraId="3B2D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959" w:type="dxa"/>
            <w:vMerge w:val="continue"/>
            <w:noWrap w:val="0"/>
            <w:vAlign w:val="center"/>
          </w:tcPr>
          <w:p w14:paraId="550FC127">
            <w:pPr>
              <w:jc w:val="center"/>
              <w:rPr>
                <w:rFonts w:hint="eastAsia" w:ascii="宋体" w:hAnsi="宋体" w:cs="宋体"/>
                <w:color w:val="auto"/>
                <w:kern w:val="0"/>
                <w:sz w:val="24"/>
                <w:szCs w:val="24"/>
                <w:highlight w:val="none"/>
              </w:rPr>
            </w:pPr>
          </w:p>
        </w:tc>
        <w:tc>
          <w:tcPr>
            <w:tcW w:w="1186" w:type="dxa"/>
            <w:vMerge w:val="continue"/>
            <w:noWrap w:val="0"/>
            <w:vAlign w:val="center"/>
          </w:tcPr>
          <w:p w14:paraId="144041B6">
            <w:pPr>
              <w:jc w:val="center"/>
              <w:rPr>
                <w:rFonts w:hint="eastAsia" w:ascii="宋体" w:hAnsi="宋体" w:cs="宋体"/>
                <w:color w:val="auto"/>
                <w:kern w:val="0"/>
                <w:sz w:val="24"/>
                <w:szCs w:val="24"/>
                <w:highlight w:val="none"/>
              </w:rPr>
            </w:pPr>
          </w:p>
        </w:tc>
        <w:tc>
          <w:tcPr>
            <w:tcW w:w="2216" w:type="dxa"/>
            <w:vMerge w:val="restart"/>
            <w:noWrap w:val="0"/>
            <w:vAlign w:val="center"/>
          </w:tcPr>
          <w:p w14:paraId="43A86475">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投标设备技术性能指标响应程度</w:t>
            </w:r>
          </w:p>
        </w:tc>
        <w:tc>
          <w:tcPr>
            <w:tcW w:w="894" w:type="dxa"/>
            <w:vMerge w:val="restart"/>
            <w:noWrap w:val="0"/>
            <w:vAlign w:val="center"/>
          </w:tcPr>
          <w:p w14:paraId="2E25541C">
            <w:pPr>
              <w:jc w:val="center"/>
              <w:rPr>
                <w:rFonts w:hint="eastAsia" w:ascii="宋体" w:hAnsi="宋体" w:cs="宋体"/>
                <w:color w:val="auto"/>
                <w:kern w:val="0"/>
                <w:sz w:val="24"/>
                <w:szCs w:val="24"/>
                <w:highlight w:val="none"/>
                <w:u w:val="single"/>
              </w:rPr>
            </w:pPr>
            <w:r>
              <w:rPr>
                <w:rFonts w:ascii="宋体" w:hAnsi="宋体" w:cs="宋体"/>
                <w:color w:val="auto"/>
                <w:kern w:val="0"/>
                <w:sz w:val="24"/>
                <w:szCs w:val="24"/>
                <w:highlight w:val="none"/>
              </w:rPr>
              <w:t>20</w:t>
            </w:r>
            <w:r>
              <w:rPr>
                <w:rFonts w:hint="eastAsia" w:ascii="宋体" w:hAnsi="宋体" w:cs="宋体"/>
                <w:color w:val="auto"/>
                <w:kern w:val="0"/>
                <w:sz w:val="24"/>
                <w:szCs w:val="24"/>
                <w:highlight w:val="none"/>
              </w:rPr>
              <w:t>分</w:t>
            </w:r>
          </w:p>
        </w:tc>
        <w:tc>
          <w:tcPr>
            <w:tcW w:w="4119" w:type="dxa"/>
            <w:noWrap w:val="0"/>
            <w:vAlign w:val="top"/>
          </w:tcPr>
          <w:p w14:paraId="00F040F7">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1.投标产品选型合理，主要组成部件的技术性能参数及功能参数指标高，实用性强、产品设计科学合理、质量可靠，得</w:t>
            </w: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0分；</w:t>
            </w:r>
          </w:p>
          <w:p w14:paraId="68CCC702">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2.投标产品选型较合理，主要组成部件的技术性能参数及功能参数指标较高，实用性较强、产品设计较合理、质量较可靠，得</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rPr>
              <w:t>分；</w:t>
            </w:r>
          </w:p>
          <w:p w14:paraId="4546223F">
            <w:pPr>
              <w:ind w:right="113"/>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3.投标产品选型一般，主要组成部件的技术性能参数及功能参数指标一般，实用性一般、产品设计一般、质量一般，得</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rPr>
              <w:t>分。</w:t>
            </w:r>
          </w:p>
        </w:tc>
      </w:tr>
      <w:tr w14:paraId="27891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1" w:hRule="atLeast"/>
          <w:jc w:val="center"/>
        </w:trPr>
        <w:tc>
          <w:tcPr>
            <w:tcW w:w="959" w:type="dxa"/>
            <w:vMerge w:val="continue"/>
            <w:noWrap w:val="0"/>
            <w:vAlign w:val="center"/>
          </w:tcPr>
          <w:p w14:paraId="789CF3C4">
            <w:pPr>
              <w:jc w:val="center"/>
              <w:rPr>
                <w:rFonts w:hint="eastAsia" w:ascii="宋体" w:hAnsi="宋体" w:cs="宋体"/>
                <w:color w:val="auto"/>
                <w:kern w:val="0"/>
                <w:sz w:val="24"/>
                <w:szCs w:val="24"/>
                <w:highlight w:val="none"/>
              </w:rPr>
            </w:pPr>
          </w:p>
        </w:tc>
        <w:tc>
          <w:tcPr>
            <w:tcW w:w="1186" w:type="dxa"/>
            <w:vMerge w:val="continue"/>
            <w:noWrap w:val="0"/>
            <w:vAlign w:val="center"/>
          </w:tcPr>
          <w:p w14:paraId="4BA45C7D">
            <w:pPr>
              <w:jc w:val="center"/>
              <w:rPr>
                <w:rFonts w:hint="eastAsia" w:ascii="宋体" w:hAnsi="宋体" w:cs="宋体"/>
                <w:color w:val="auto"/>
                <w:kern w:val="0"/>
                <w:sz w:val="24"/>
                <w:szCs w:val="24"/>
                <w:highlight w:val="none"/>
              </w:rPr>
            </w:pPr>
          </w:p>
        </w:tc>
        <w:tc>
          <w:tcPr>
            <w:tcW w:w="2216" w:type="dxa"/>
            <w:vMerge w:val="restart"/>
            <w:noWrap w:val="0"/>
            <w:vAlign w:val="center"/>
          </w:tcPr>
          <w:p w14:paraId="09840C4E">
            <w:pPr>
              <w:adjustRightInd w:val="0"/>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供货能力及进度保障（暗标）</w:t>
            </w:r>
          </w:p>
        </w:tc>
        <w:tc>
          <w:tcPr>
            <w:tcW w:w="894" w:type="dxa"/>
            <w:vMerge w:val="restart"/>
            <w:noWrap w:val="0"/>
            <w:vAlign w:val="center"/>
          </w:tcPr>
          <w:p w14:paraId="0018FC0E">
            <w:pPr>
              <w:ind w:right="113"/>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0分</w:t>
            </w:r>
          </w:p>
        </w:tc>
        <w:tc>
          <w:tcPr>
            <w:tcW w:w="4119" w:type="dxa"/>
            <w:noWrap w:val="0"/>
            <w:vAlign w:val="top"/>
          </w:tcPr>
          <w:p w14:paraId="158BD368">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1.投标人提供的供货方案切实可行、供货能力强、交货进度有保障、能够保质保量的完成供货，针对供货过程中的特殊情况有预案，得16-20分；</w:t>
            </w:r>
          </w:p>
          <w:p w14:paraId="613FC940">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2.投标人提供的供货方案可行、供货能力较强、交货进度满足招标文件要求，得12-16分；</w:t>
            </w:r>
          </w:p>
          <w:p w14:paraId="730BA81E">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3.投标人提供的供货方案一般、供货能力一般、交货进度基本满足招标文件要求，得12分。</w:t>
            </w:r>
          </w:p>
        </w:tc>
      </w:tr>
      <w:tr w14:paraId="6057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jc w:val="center"/>
        </w:trPr>
        <w:tc>
          <w:tcPr>
            <w:tcW w:w="959" w:type="dxa"/>
            <w:vMerge w:val="continue"/>
            <w:noWrap w:val="0"/>
            <w:vAlign w:val="center"/>
          </w:tcPr>
          <w:p w14:paraId="16AF6A0F">
            <w:pPr>
              <w:jc w:val="center"/>
              <w:rPr>
                <w:rFonts w:hint="eastAsia" w:ascii="宋体" w:hAnsi="宋体" w:cs="宋体"/>
                <w:color w:val="auto"/>
                <w:kern w:val="0"/>
                <w:sz w:val="24"/>
                <w:szCs w:val="24"/>
                <w:highlight w:val="none"/>
              </w:rPr>
            </w:pPr>
          </w:p>
        </w:tc>
        <w:tc>
          <w:tcPr>
            <w:tcW w:w="1186" w:type="dxa"/>
            <w:vMerge w:val="continue"/>
            <w:noWrap w:val="0"/>
            <w:vAlign w:val="center"/>
          </w:tcPr>
          <w:p w14:paraId="25905584">
            <w:pPr>
              <w:jc w:val="center"/>
              <w:rPr>
                <w:rFonts w:hint="eastAsia" w:ascii="宋体" w:hAnsi="宋体" w:cs="宋体"/>
                <w:color w:val="auto"/>
                <w:kern w:val="0"/>
                <w:sz w:val="24"/>
                <w:szCs w:val="24"/>
                <w:highlight w:val="none"/>
              </w:rPr>
            </w:pPr>
          </w:p>
        </w:tc>
        <w:tc>
          <w:tcPr>
            <w:tcW w:w="2216" w:type="dxa"/>
            <w:noWrap w:val="0"/>
            <w:vAlign w:val="center"/>
          </w:tcPr>
          <w:p w14:paraId="1939BE8A">
            <w:pPr>
              <w:pStyle w:val="16"/>
              <w:snapToGrid w:val="0"/>
              <w:spacing w:line="32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技术服务及质保期服务</w:t>
            </w:r>
          </w:p>
          <w:p w14:paraId="2EDC6CC7">
            <w:pPr>
              <w:pStyle w:val="16"/>
              <w:snapToGrid w:val="0"/>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（暗标）</w:t>
            </w:r>
          </w:p>
        </w:tc>
        <w:tc>
          <w:tcPr>
            <w:tcW w:w="894" w:type="dxa"/>
            <w:noWrap w:val="0"/>
            <w:vAlign w:val="center"/>
          </w:tcPr>
          <w:p w14:paraId="7F2EA7E9">
            <w:pPr>
              <w:ind w:right="113"/>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0分</w:t>
            </w:r>
          </w:p>
        </w:tc>
        <w:tc>
          <w:tcPr>
            <w:tcW w:w="4119" w:type="dxa"/>
            <w:noWrap w:val="0"/>
            <w:vAlign w:val="center"/>
          </w:tcPr>
          <w:p w14:paraId="6B62CA0B">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服务方案切实可行，针对性强，</w:t>
            </w:r>
            <w:r>
              <w:rPr>
                <w:rFonts w:hint="eastAsia" w:ascii="宋体" w:hAnsi="宋体" w:eastAsia="宋体" w:cs="宋体"/>
                <w:color w:val="auto"/>
                <w:sz w:val="24"/>
                <w:szCs w:val="24"/>
                <w:highlight w:val="none"/>
              </w:rPr>
              <w:t>服务体系完善</w:t>
            </w:r>
            <w:r>
              <w:rPr>
                <w:rFonts w:hint="eastAsia" w:ascii="宋体" w:hAnsi="宋体" w:eastAsia="宋体" w:cs="宋体"/>
                <w:color w:val="auto"/>
                <w:sz w:val="24"/>
                <w:szCs w:val="24"/>
                <w:highlight w:val="none"/>
                <w:lang w:val="zh-CN"/>
              </w:rPr>
              <w:t>，得</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lang w:val="zh-CN"/>
              </w:rPr>
              <w:t>-</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lang w:val="zh-CN"/>
              </w:rPr>
              <w:t>分；</w:t>
            </w:r>
          </w:p>
          <w:p w14:paraId="7A90BDA0">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服务方案较切实可行，针对性较强，</w:t>
            </w:r>
            <w:r>
              <w:rPr>
                <w:rFonts w:hint="eastAsia" w:ascii="宋体" w:hAnsi="宋体" w:eastAsia="宋体" w:cs="宋体"/>
                <w:color w:val="auto"/>
                <w:sz w:val="24"/>
                <w:szCs w:val="24"/>
                <w:highlight w:val="none"/>
              </w:rPr>
              <w:t>服务体系较完善</w:t>
            </w:r>
            <w:r>
              <w:rPr>
                <w:rFonts w:hint="eastAsia" w:ascii="宋体" w:hAnsi="宋体" w:eastAsia="宋体" w:cs="宋体"/>
                <w:color w:val="auto"/>
                <w:sz w:val="24"/>
                <w:szCs w:val="24"/>
                <w:highlight w:val="none"/>
                <w:lang w:val="zh-CN"/>
              </w:rPr>
              <w:t>，得</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zh-CN"/>
              </w:rPr>
              <w:t>-</w:t>
            </w:r>
            <w:r>
              <w:rPr>
                <w:rFonts w:hint="eastAsia" w:ascii="宋体" w:hAnsi="宋体" w:cs="宋体"/>
                <w:color w:val="auto"/>
                <w:sz w:val="24"/>
                <w:szCs w:val="24"/>
                <w:highlight w:val="none"/>
                <w:lang w:val="en-US" w:eastAsia="zh-CN"/>
              </w:rPr>
              <w:t>16</w:t>
            </w:r>
            <w:r>
              <w:rPr>
                <w:rFonts w:hint="eastAsia" w:ascii="宋体" w:hAnsi="宋体" w:eastAsia="宋体" w:cs="宋体"/>
                <w:color w:val="auto"/>
                <w:sz w:val="24"/>
                <w:szCs w:val="24"/>
                <w:highlight w:val="none"/>
                <w:lang w:val="zh-CN"/>
              </w:rPr>
              <w:t>分；</w:t>
            </w:r>
          </w:p>
          <w:p w14:paraId="3644ACBF">
            <w:pPr>
              <w:ind w:right="113"/>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服务方案基本可行，</w:t>
            </w:r>
            <w:r>
              <w:rPr>
                <w:rFonts w:hint="eastAsia" w:ascii="宋体" w:hAnsi="宋体" w:eastAsia="宋体" w:cs="宋体"/>
                <w:color w:val="auto"/>
                <w:sz w:val="24"/>
                <w:szCs w:val="24"/>
                <w:highlight w:val="none"/>
              </w:rPr>
              <w:t>服务体系基本完善</w:t>
            </w:r>
            <w:r>
              <w:rPr>
                <w:rFonts w:hint="eastAsia" w:ascii="宋体" w:hAnsi="宋体" w:eastAsia="宋体" w:cs="宋体"/>
                <w:color w:val="auto"/>
                <w:sz w:val="24"/>
                <w:szCs w:val="24"/>
                <w:highlight w:val="none"/>
                <w:lang w:val="zh-CN"/>
              </w:rPr>
              <w:t>，得</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zh-CN"/>
              </w:rPr>
              <w:t>分；</w:t>
            </w:r>
          </w:p>
        </w:tc>
      </w:tr>
      <w:tr w14:paraId="0807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959" w:type="dxa"/>
            <w:tcBorders>
              <w:bottom w:val="single" w:color="auto" w:sz="4" w:space="0"/>
            </w:tcBorders>
            <w:noWrap w:val="0"/>
            <w:vAlign w:val="center"/>
          </w:tcPr>
          <w:p w14:paraId="6CACC853">
            <w:pPr>
              <w:jc w:val="center"/>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rPr>
              <w:t>2.2.</w:t>
            </w:r>
            <w:r>
              <w:rPr>
                <w:rFonts w:hint="eastAsia" w:ascii="宋体" w:hAnsi="宋体" w:cs="宋体"/>
                <w:color w:val="auto"/>
                <w:kern w:val="0"/>
                <w:sz w:val="24"/>
                <w:szCs w:val="24"/>
                <w:highlight w:val="none"/>
                <w:lang w:val="en-US" w:eastAsia="zh-CN"/>
              </w:rPr>
              <w:t>1</w:t>
            </w:r>
          </w:p>
          <w:p w14:paraId="65DCA605">
            <w:pPr>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(3)</w:t>
            </w:r>
          </w:p>
        </w:tc>
        <w:tc>
          <w:tcPr>
            <w:tcW w:w="1186" w:type="dxa"/>
            <w:tcBorders>
              <w:bottom w:val="single" w:color="auto" w:sz="4" w:space="0"/>
            </w:tcBorders>
            <w:noWrap w:val="0"/>
            <w:vAlign w:val="center"/>
          </w:tcPr>
          <w:p w14:paraId="50E61056">
            <w:pPr>
              <w:ind w:left="144" w:hanging="144" w:hangingChars="60"/>
              <w:jc w:val="center"/>
              <w:rPr>
                <w:rFonts w:hint="eastAsia" w:ascii="宋体" w:hAnsi="宋体" w:cs="宋体"/>
                <w:color w:val="auto"/>
                <w:sz w:val="24"/>
                <w:szCs w:val="24"/>
                <w:highlight w:val="none"/>
              </w:rPr>
            </w:pPr>
            <w:r>
              <w:rPr>
                <w:rFonts w:hint="eastAsia" w:ascii="宋体" w:hAnsi="宋体" w:cs="宋体"/>
                <w:color w:val="auto"/>
                <w:kern w:val="0"/>
                <w:sz w:val="24"/>
                <w:szCs w:val="24"/>
                <w:highlight w:val="none"/>
              </w:rPr>
              <w:t>其他</w:t>
            </w:r>
            <w:r>
              <w:rPr>
                <w:rFonts w:hint="eastAsia" w:ascii="宋体" w:hAnsi="宋体" w:cs="宋体"/>
                <w:color w:val="auto"/>
                <w:kern w:val="0"/>
                <w:sz w:val="24"/>
                <w:szCs w:val="24"/>
                <w:highlight w:val="none"/>
                <w:lang w:val="en-US" w:eastAsia="zh-CN"/>
              </w:rPr>
              <w:t>评分</w:t>
            </w:r>
            <w:r>
              <w:rPr>
                <w:rFonts w:hint="eastAsia" w:ascii="宋体" w:hAnsi="宋体" w:cs="宋体"/>
                <w:color w:val="auto"/>
                <w:kern w:val="0"/>
                <w:sz w:val="24"/>
                <w:szCs w:val="24"/>
                <w:highlight w:val="none"/>
              </w:rPr>
              <w:t>因素</w:t>
            </w:r>
          </w:p>
        </w:tc>
        <w:tc>
          <w:tcPr>
            <w:tcW w:w="7229" w:type="dxa"/>
            <w:gridSpan w:val="3"/>
            <w:tcBorders>
              <w:bottom w:val="single" w:color="auto" w:sz="4" w:space="0"/>
            </w:tcBorders>
            <w:noWrap w:val="0"/>
            <w:vAlign w:val="center"/>
          </w:tcPr>
          <w:p w14:paraId="720F304D">
            <w:pPr>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无</w:t>
            </w:r>
          </w:p>
        </w:tc>
      </w:tr>
    </w:tbl>
    <w:p w14:paraId="4BFBD247">
      <w:pPr>
        <w:pStyle w:val="6"/>
        <w:adjustRightInd w:val="0"/>
        <w:snapToGrid w:val="0"/>
        <w:spacing w:line="360" w:lineRule="auto"/>
        <w:jc w:val="left"/>
        <w:textAlignment w:val="baseline"/>
        <w:rPr>
          <w:rFonts w:hAnsi="宋体"/>
          <w:snapToGrid w:val="0"/>
          <w:color w:val="auto"/>
          <w:kern w:val="0"/>
          <w:sz w:val="24"/>
          <w:szCs w:val="24"/>
          <w:highlight w:val="none"/>
        </w:rPr>
      </w:pPr>
      <w:r>
        <w:rPr>
          <w:rFonts w:hAnsi="宋体"/>
          <w:snapToGrid w:val="0"/>
          <w:color w:val="auto"/>
          <w:kern w:val="0"/>
          <w:sz w:val="24"/>
          <w:szCs w:val="24"/>
          <w:highlight w:val="none"/>
        </w:rPr>
        <w:t>注：</w:t>
      </w:r>
    </w:p>
    <w:p w14:paraId="46ED200A">
      <w:pPr>
        <w:pStyle w:val="6"/>
        <w:adjustRightInd w:val="0"/>
        <w:snapToGrid w:val="0"/>
        <w:spacing w:line="360" w:lineRule="auto"/>
        <w:jc w:val="left"/>
        <w:textAlignment w:val="baseline"/>
        <w:rPr>
          <w:rFonts w:hint="eastAsia" w:hAnsi="宋体" w:eastAsia="宋体"/>
          <w:snapToGrid w:val="0"/>
          <w:color w:val="auto"/>
          <w:kern w:val="0"/>
          <w:sz w:val="24"/>
          <w:szCs w:val="24"/>
          <w:highlight w:val="none"/>
          <w:lang w:eastAsia="zh-CN"/>
        </w:rPr>
      </w:pPr>
      <w:r>
        <w:rPr>
          <w:rFonts w:hAnsi="宋体"/>
          <w:snapToGrid w:val="0"/>
          <w:color w:val="auto"/>
          <w:kern w:val="0"/>
          <w:sz w:val="24"/>
          <w:szCs w:val="24"/>
          <w:highlight w:val="none"/>
        </w:rPr>
        <w:t>1、评委打分保留1位小数</w:t>
      </w:r>
      <w:r>
        <w:rPr>
          <w:rFonts w:hint="eastAsia" w:hAnsi="宋体"/>
          <w:snapToGrid w:val="0"/>
          <w:color w:val="auto"/>
          <w:kern w:val="0"/>
          <w:sz w:val="24"/>
          <w:szCs w:val="24"/>
          <w:highlight w:val="none"/>
        </w:rPr>
        <w:t>，各评分因素得分应以评标委员会各成员的打分平均值确定，保留两位小数，第三位四舍五入。</w:t>
      </w:r>
    </w:p>
    <w:p w14:paraId="3122A7E2">
      <w:pPr>
        <w:pStyle w:val="8"/>
        <w:numPr>
          <w:ilvl w:val="0"/>
          <w:numId w:val="0"/>
        </w:numPr>
        <w:rPr>
          <w:rFonts w:hAnsi="宋体"/>
          <w:snapToGrid w:val="0"/>
          <w:color w:val="auto"/>
          <w:kern w:val="0"/>
          <w:sz w:val="24"/>
          <w:szCs w:val="24"/>
          <w:highlight w:val="none"/>
        </w:rPr>
      </w:pPr>
      <w:r>
        <w:rPr>
          <w:rFonts w:hAnsi="宋体"/>
          <w:snapToGrid w:val="0"/>
          <w:color w:val="auto"/>
          <w:kern w:val="0"/>
          <w:sz w:val="24"/>
          <w:szCs w:val="24"/>
          <w:highlight w:val="none"/>
        </w:rPr>
        <w:t>2、</w:t>
      </w:r>
      <w:r>
        <w:rPr>
          <w:rFonts w:hint="eastAsia" w:hAnsi="宋体"/>
          <w:snapToGrid w:val="0"/>
          <w:color w:val="auto"/>
          <w:kern w:val="0"/>
          <w:sz w:val="24"/>
          <w:szCs w:val="24"/>
          <w:highlight w:val="none"/>
        </w:rPr>
        <w:t>第2.2.</w:t>
      </w:r>
      <w:r>
        <w:rPr>
          <w:rFonts w:hint="eastAsia" w:hAnsi="宋体"/>
          <w:snapToGrid w:val="0"/>
          <w:color w:val="auto"/>
          <w:kern w:val="0"/>
          <w:sz w:val="24"/>
          <w:szCs w:val="24"/>
          <w:highlight w:val="none"/>
          <w:lang w:val="en-US" w:eastAsia="zh-CN"/>
        </w:rPr>
        <w:t>1</w:t>
      </w:r>
      <w:r>
        <w:rPr>
          <w:rFonts w:hint="eastAsia" w:hAnsi="宋体"/>
          <w:snapToGrid w:val="0"/>
          <w:color w:val="auto"/>
          <w:kern w:val="0"/>
          <w:sz w:val="24"/>
          <w:szCs w:val="24"/>
          <w:highlight w:val="none"/>
        </w:rPr>
        <w:t>（</w:t>
      </w:r>
      <w:r>
        <w:rPr>
          <w:rFonts w:hint="eastAsia" w:hAnsi="宋体"/>
          <w:snapToGrid w:val="0"/>
          <w:color w:val="auto"/>
          <w:kern w:val="0"/>
          <w:sz w:val="24"/>
          <w:szCs w:val="24"/>
          <w:highlight w:val="none"/>
          <w:lang w:val="en-US" w:eastAsia="zh-CN"/>
        </w:rPr>
        <w:t>2</w:t>
      </w:r>
      <w:r>
        <w:rPr>
          <w:rFonts w:hint="eastAsia" w:hAnsi="宋体"/>
          <w:snapToGrid w:val="0"/>
          <w:color w:val="auto"/>
          <w:kern w:val="0"/>
          <w:sz w:val="24"/>
          <w:szCs w:val="24"/>
          <w:highlight w:val="none"/>
        </w:rPr>
        <w:t>）项评标委员会成员对某一项评分因素的评分低于权重分值 60%的，应在评标报告中作出说明。评审</w:t>
      </w:r>
      <w:r>
        <w:rPr>
          <w:rFonts w:hint="eastAsia" w:hAnsi="宋体"/>
          <w:snapToGrid w:val="0"/>
          <w:color w:val="auto"/>
          <w:kern w:val="0"/>
          <w:sz w:val="24"/>
          <w:szCs w:val="24"/>
          <w:highlight w:val="none"/>
          <w:lang w:val="en-US" w:eastAsia="zh-CN"/>
        </w:rPr>
        <w:t>因素</w:t>
      </w:r>
      <w:r>
        <w:rPr>
          <w:rFonts w:hint="eastAsia" w:hAnsi="宋体"/>
          <w:snapToGrid w:val="0"/>
          <w:color w:val="auto"/>
          <w:kern w:val="0"/>
          <w:sz w:val="24"/>
          <w:szCs w:val="24"/>
          <w:highlight w:val="none"/>
        </w:rPr>
        <w:t>缺项则该项得0分。</w:t>
      </w:r>
    </w:p>
    <w:p w14:paraId="7F6968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Microsoft JhengHei">
    <w:panose1 w:val="020B0604030504040204"/>
    <w:charset w:val="88"/>
    <w:family w:val="swiss"/>
    <w:pitch w:val="default"/>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575241"/>
    <w:multiLevelType w:val="singleLevel"/>
    <w:tmpl w:val="B1575241"/>
    <w:lvl w:ilvl="0" w:tentative="0">
      <w:start w:val="1"/>
      <w:numFmt w:val="decimal"/>
      <w:suff w:val="nothing"/>
      <w:lvlText w:val="（%1）"/>
      <w:lvlJc w:val="left"/>
    </w:lvl>
  </w:abstractNum>
  <w:abstractNum w:abstractNumId="1">
    <w:nsid w:val="DD30A18C"/>
    <w:multiLevelType w:val="singleLevel"/>
    <w:tmpl w:val="DD30A18C"/>
    <w:lvl w:ilvl="0" w:tentative="0">
      <w:start w:val="1"/>
      <w:numFmt w:val="decimal"/>
      <w:pStyle w:val="8"/>
      <w:lvlText w:val="%1."/>
      <w:lvlJc w:val="left"/>
      <w:pPr>
        <w:tabs>
          <w:tab w:val="left" w:pos="2040"/>
        </w:tabs>
        <w:ind w:left="2040" w:hanging="360"/>
      </w:pPr>
    </w:lvl>
  </w:abstractNum>
  <w:abstractNum w:abstractNumId="2">
    <w:nsid w:val="0A974297"/>
    <w:multiLevelType w:val="singleLevel"/>
    <w:tmpl w:val="0A974297"/>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9B7E1C"/>
    <w:rsid w:val="019B7E1C"/>
    <w:rsid w:val="7F6C60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3"/>
    <w:next w:val="1"/>
    <w:qFormat/>
    <w:uiPriority w:val="9"/>
    <w:pPr>
      <w:keepNext/>
      <w:keepLines/>
      <w:widowControl w:val="0"/>
      <w:spacing w:before="50" w:beforeLines="50" w:line="415" w:lineRule="auto"/>
      <w:jc w:val="both"/>
      <w:outlineLvl w:val="2"/>
    </w:pPr>
    <w:rPr>
      <w:rFonts w:ascii="Times New Roman" w:hAnsi="Times New Roman" w:eastAsia="宋体" w:cs="Times New Roman"/>
      <w:b/>
      <w:bCs/>
      <w:kern w:val="2"/>
      <w:sz w:val="32"/>
      <w:szCs w:val="32"/>
      <w:lang w:val="en-US" w:eastAsia="zh-CN" w:bidi="ar-SA"/>
    </w:rPr>
  </w:style>
  <w:style w:type="paragraph" w:styleId="3">
    <w:name w:val="heading 6"/>
    <w:next w:val="1"/>
    <w:qFormat/>
    <w:uiPriority w:val="9"/>
    <w:pPr>
      <w:keepNext/>
      <w:keepLines/>
      <w:widowControl w:val="0"/>
      <w:spacing w:before="240" w:after="64" w:line="320" w:lineRule="auto"/>
      <w:jc w:val="both"/>
      <w:outlineLvl w:val="5"/>
    </w:pPr>
    <w:rPr>
      <w:rFonts w:ascii="等线 Light" w:hAnsi="等线 Light" w:eastAsia="等线 Light" w:cs="Times New Roman"/>
      <w:b/>
      <w:bCs/>
      <w:kern w:val="2"/>
      <w:sz w:val="24"/>
      <w:szCs w:val="24"/>
      <w:lang w:val="en-US" w:eastAsia="zh-CN" w:bidi="ar-SA"/>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toa heading"/>
    <w:next w:val="1"/>
    <w:unhideWhenUsed/>
    <w:qFormat/>
    <w:uiPriority w:val="99"/>
    <w:pPr>
      <w:widowControl w:val="0"/>
      <w:spacing w:before="120"/>
      <w:ind w:firstLine="560" w:firstLineChars="200"/>
      <w:jc w:val="both"/>
    </w:pPr>
    <w:rPr>
      <w:rFonts w:ascii="Cambria" w:hAnsi="Cambria" w:eastAsia="宋体" w:cs="Times New Roman"/>
      <w:kern w:val="2"/>
      <w:sz w:val="21"/>
      <w:szCs w:val="24"/>
      <w:lang w:val="en-US" w:eastAsia="zh-CN" w:bidi="ar-SA"/>
    </w:rPr>
  </w:style>
  <w:style w:type="paragraph" w:styleId="5">
    <w:name w:val="Body Text"/>
    <w:next w:val="1"/>
    <w:qFormat/>
    <w:uiPriority w:val="1"/>
    <w:pPr>
      <w:widowControl w:val="0"/>
      <w:ind w:left="100"/>
      <w:jc w:val="left"/>
    </w:pPr>
    <w:rPr>
      <w:rFonts w:ascii="宋体" w:hAnsi="宋体" w:eastAsia="宋体" w:cs="Times New Roman"/>
      <w:kern w:val="0"/>
      <w:sz w:val="21"/>
      <w:szCs w:val="21"/>
      <w:lang w:val="en-US" w:eastAsia="en-US" w:bidi="ar-SA"/>
    </w:rPr>
  </w:style>
  <w:style w:type="paragraph" w:styleId="6">
    <w:name w:val="Plain Text"/>
    <w:qFormat/>
    <w:uiPriority w:val="0"/>
    <w:pPr>
      <w:widowControl w:val="0"/>
      <w:jc w:val="both"/>
    </w:pPr>
    <w:rPr>
      <w:rFonts w:ascii="宋体" w:hAnsi="Courier New" w:eastAsia="宋体" w:cs="Times New Roman"/>
      <w:kern w:val="2"/>
      <w:sz w:val="21"/>
      <w:szCs w:val="20"/>
      <w:lang w:val="en-US" w:eastAsia="zh-CN" w:bidi="ar-SA"/>
    </w:rPr>
  </w:style>
  <w:style w:type="paragraph" w:styleId="7">
    <w:name w:val="header"/>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lang w:val="en-US" w:eastAsia="zh-CN" w:bidi="ar-SA"/>
    </w:rPr>
  </w:style>
  <w:style w:type="paragraph" w:styleId="8">
    <w:name w:val="List Number 5"/>
    <w:basedOn w:val="1"/>
    <w:uiPriority w:val="0"/>
    <w:pPr>
      <w:numPr>
        <w:ilvl w:val="0"/>
        <w:numId w:val="1"/>
      </w:numPr>
    </w:pPr>
  </w:style>
  <w:style w:type="paragraph" w:customStyle="1" w:styleId="11">
    <w:name w:val="1正文"/>
    <w:autoRedefine/>
    <w:qFormat/>
    <w:uiPriority w:val="0"/>
    <w:pPr>
      <w:widowControl w:val="0"/>
      <w:ind w:firstLine="480"/>
      <w:jc w:val="both"/>
    </w:pPr>
    <w:rPr>
      <w:rFonts w:ascii="Times New Roman" w:hAnsi="Times New Roman" w:eastAsia="宋体" w:cs="宋体"/>
      <w:kern w:val="2"/>
      <w:sz w:val="21"/>
      <w:szCs w:val="24"/>
      <w:lang w:val="en-US" w:eastAsia="zh-CN" w:bidi="ar-SA"/>
    </w:rPr>
  </w:style>
  <w:style w:type="paragraph" w:customStyle="1" w:styleId="12">
    <w:name w:val="二级标题"/>
    <w:qFormat/>
    <w:uiPriority w:val="1"/>
    <w:pPr>
      <w:widowControl w:val="0"/>
      <w:ind w:left="100"/>
      <w:jc w:val="both"/>
      <w:outlineLvl w:val="3"/>
    </w:pPr>
    <w:rPr>
      <w:rFonts w:ascii="Microsoft JhengHei" w:hAnsi="Microsoft JhengHei" w:eastAsia="黑体" w:cs="Times New Roman"/>
      <w:b/>
      <w:bCs/>
      <w:kern w:val="2"/>
      <w:sz w:val="32"/>
      <w:szCs w:val="32"/>
      <w:lang w:val="en-US" w:eastAsia="zh-CN" w:bidi="ar-SA"/>
    </w:rPr>
  </w:style>
  <w:style w:type="character" w:customStyle="1" w:styleId="13">
    <w:name w:val="NormalCharacter"/>
    <w:link w:val="14"/>
    <w:autoRedefine/>
    <w:qFormat/>
    <w:uiPriority w:val="0"/>
    <w:rPr>
      <w:rFonts w:ascii="Times New Roman" w:hAnsi="Times New Roman" w:eastAsia="宋体" w:cs="Times New Roman"/>
      <w:kern w:val="0"/>
      <w:sz w:val="20"/>
      <w:szCs w:val="20"/>
      <w:lang w:val="en-US" w:eastAsia="zh-CN" w:bidi="ar-SA"/>
    </w:rPr>
  </w:style>
  <w:style w:type="paragraph" w:customStyle="1" w:styleId="14">
    <w:name w:val="UserStyle_24"/>
    <w:link w:val="13"/>
    <w:autoRedefine/>
    <w:qFormat/>
    <w:uiPriority w:val="0"/>
    <w:pPr>
      <w:widowControl/>
      <w:spacing w:line="360" w:lineRule="auto"/>
      <w:ind w:firstLine="200" w:firstLineChars="200"/>
      <w:jc w:val="left"/>
    </w:pPr>
    <w:rPr>
      <w:rFonts w:ascii="Times New Roman" w:hAnsi="Times New Roman" w:eastAsia="宋体" w:cs="Times New Roman"/>
      <w:kern w:val="0"/>
      <w:sz w:val="20"/>
      <w:szCs w:val="20"/>
      <w:lang w:val="en-US" w:eastAsia="zh-CN" w:bidi="ar-SA"/>
    </w:rPr>
  </w:style>
  <w:style w:type="paragraph" w:customStyle="1" w:styleId="15">
    <w:name w:val="UserStyle_340"/>
    <w:autoRedefine/>
    <w:qFormat/>
    <w:uiPriority w:val="0"/>
    <w:pPr>
      <w:widowControl/>
      <w:spacing w:line="340" w:lineRule="exact"/>
      <w:jc w:val="center"/>
    </w:pPr>
    <w:rPr>
      <w:rFonts w:ascii="宋体" w:hAnsi="Calibri" w:eastAsia="宋体" w:cs="Times New Roman"/>
      <w:bCs/>
      <w:color w:val="000000"/>
      <w:kern w:val="0"/>
      <w:sz w:val="21"/>
      <w:szCs w:val="21"/>
      <w:lang w:val="en-US" w:eastAsia="zh-CN" w:bidi="ar-SA"/>
    </w:rPr>
  </w:style>
  <w:style w:type="paragraph" w:customStyle="1" w:styleId="16">
    <w:name w:val="Table Paragraph"/>
    <w:autoRedefine/>
    <w:qFormat/>
    <w:uiPriority w:val="1"/>
    <w:pPr>
      <w:widowControl w:val="0"/>
      <w:jc w:val="left"/>
    </w:pPr>
    <w:rPr>
      <w:rFonts w:ascii="Calibri" w:hAnsi="Calibri" w:eastAsia="宋体" w:cs="Times New Roman"/>
      <w:kern w:val="0"/>
      <w:sz w:val="22"/>
      <w:szCs w:val="22"/>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5763</Words>
  <Characters>6450</Characters>
  <Lines>0</Lines>
  <Paragraphs>0</Paragraphs>
  <TotalTime>0</TotalTime>
  <ScaleCrop>false</ScaleCrop>
  <LinksUpToDate>false</LinksUpToDate>
  <CharactersWithSpaces>6531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2026-10-01T01:29:00Z</dcterms:created>
  <dc:creator>Administrator</dc:creator>
  <cp:lastModifiedBy>冯士峰</cp:lastModifiedBy>
  <dcterms:modified xsi:type="dcterms:W3CDTF">2026-10-01T02:10:40Z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FBBC102C4AE2418999D743CE8AB4201D_11</vt:lpwstr>
  </property>
  <property fmtid="{D5CDD505-2E9C-101B-9397-08002B2CF9AE}" pid="4" name="KSOTemplateDocerSaveRecord">
    <vt:lpwstr>eyJoZGlkIjoiMjNhMGNiNzBmYzRmYmU1YWU1ZDVjYzI3MTI0YTIzZjQiLCJ1c2VySWQiOiIxNjg3ODQzOTczIn0=</vt:lpwstr>
  </property>
</Properties>
</file>