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A4BFB">
      <w:pPr>
        <w:adjustRightInd w:val="0"/>
        <w:snapToGrid w:val="0"/>
        <w:spacing w:before="120" w:beforeLines="50" w:line="480" w:lineRule="exact"/>
        <w:ind w:firstLine="240"/>
        <w:rPr>
          <w:rFonts w:hint="eastAsia" w:ascii="宋体" w:hAnsi="宋体" w:eastAsia="宋体" w:cs="Times New Roman"/>
          <w:b/>
          <w:color w:val="auto"/>
          <w:kern w:val="28"/>
          <w:sz w:val="21"/>
          <w:szCs w:val="21"/>
          <w:highlight w:val="none"/>
        </w:rPr>
      </w:pPr>
      <w:bookmarkStart w:id="21" w:name="_GoBack"/>
      <w:bookmarkEnd w:id="21"/>
      <w:r>
        <w:rPr>
          <w:rFonts w:hint="eastAsia" w:ascii="宋体" w:hAnsi="宋体" w:eastAsia="宋体" w:cs="Times New Roman"/>
          <w:b/>
          <w:color w:val="auto"/>
          <w:kern w:val="28"/>
          <w:sz w:val="21"/>
          <w:szCs w:val="21"/>
          <w:highlight w:val="none"/>
        </w:rPr>
        <w:t>附件</w:t>
      </w:r>
      <w:r>
        <w:rPr>
          <w:rFonts w:ascii="宋体" w:hAnsi="宋体" w:eastAsia="宋体" w:cs="Times New Roman"/>
          <w:b/>
          <w:color w:val="auto"/>
          <w:kern w:val="28"/>
          <w:sz w:val="21"/>
          <w:szCs w:val="21"/>
          <w:highlight w:val="none"/>
        </w:rPr>
        <w:t>1</w:t>
      </w:r>
      <w:r>
        <w:rPr>
          <w:rFonts w:hint="eastAsia" w:ascii="宋体" w:hAnsi="宋体" w:eastAsia="宋体" w:cs="Times New Roman"/>
          <w:b/>
          <w:color w:val="auto"/>
          <w:kern w:val="28"/>
          <w:sz w:val="21"/>
          <w:szCs w:val="21"/>
          <w:highlight w:val="none"/>
        </w:rPr>
        <w:t>：资格审查条件</w:t>
      </w:r>
    </w:p>
    <w:p w14:paraId="56E9663B">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5384E0E4">
      <w:pPr>
        <w:adjustRightInd w:val="0"/>
        <w:spacing w:line="276" w:lineRule="auto"/>
        <w:ind w:firstLine="241"/>
        <w:jc w:val="center"/>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附录1 资格审查条件（资质最低条件）</w:t>
      </w:r>
    </w:p>
    <w:tbl>
      <w:tblPr>
        <w:tblStyle w:val="4"/>
        <w:tblW w:w="50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51"/>
      </w:tblGrid>
      <w:tr w14:paraId="5CC2D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5000" w:type="pct"/>
            <w:vAlign w:val="center"/>
          </w:tcPr>
          <w:p w14:paraId="5CCD4760">
            <w:pPr>
              <w:widowControl/>
              <w:spacing w:line="480" w:lineRule="exact"/>
              <w:contextualSpacing/>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企业资质等级要求</w:t>
            </w:r>
          </w:p>
        </w:tc>
      </w:tr>
      <w:tr w14:paraId="675ED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8" w:hRule="atLeast"/>
          <w:jc w:val="center"/>
        </w:trPr>
        <w:tc>
          <w:tcPr>
            <w:tcW w:w="5000" w:type="pct"/>
            <w:vAlign w:val="center"/>
          </w:tcPr>
          <w:p w14:paraId="52FB03EE">
            <w:pPr>
              <w:spacing w:line="276" w:lineRule="auto"/>
              <w:ind w:left="-46" w:leftChars="-22" w:firstLine="240"/>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w:t>
            </w:r>
            <w:r>
              <w:rPr>
                <w:rFonts w:hint="eastAsia" w:ascii="宋体" w:hAnsi="宋体" w:eastAsia="宋体" w:cs="宋体"/>
                <w:bCs/>
                <w:kern w:val="28"/>
                <w:sz w:val="21"/>
                <w:szCs w:val="21"/>
                <w:highlight w:val="none"/>
              </w:rPr>
              <w:t>投标人应是中华人民共和国境内注册的法人或其他组织，持有有效的营业执照</w:t>
            </w:r>
            <w:r>
              <w:rPr>
                <w:rFonts w:hint="eastAsia" w:ascii="宋体" w:hAnsi="宋体" w:eastAsia="宋体" w:cs="Times New Roman"/>
                <w:color w:val="auto"/>
                <w:kern w:val="28"/>
                <w:sz w:val="21"/>
                <w:szCs w:val="21"/>
                <w:highlight w:val="none"/>
              </w:rPr>
              <w:t>。</w:t>
            </w:r>
          </w:p>
          <w:p w14:paraId="0D5DE1ED">
            <w:pPr>
              <w:spacing w:line="276" w:lineRule="auto"/>
              <w:ind w:left="-46" w:leftChars="-22" w:firstLine="240"/>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lang w:val="en-US" w:eastAsia="zh-CN"/>
              </w:rPr>
              <w:t>2</w:t>
            </w:r>
            <w:r>
              <w:rPr>
                <w:rFonts w:hint="eastAsia" w:ascii="宋体" w:hAnsi="宋体" w:eastAsia="宋体" w:cs="Times New Roman"/>
                <w:color w:val="auto"/>
                <w:kern w:val="28"/>
                <w:sz w:val="21"/>
                <w:szCs w:val="21"/>
                <w:highlight w:val="none"/>
              </w:rPr>
              <w:t>、</w:t>
            </w:r>
            <w:bookmarkStart w:id="0" w:name="_Hlk175583468"/>
            <w:r>
              <w:rPr>
                <w:rFonts w:hint="eastAsia" w:ascii="宋体" w:hAnsi="宋体" w:eastAsia="宋体" w:cs="Times New Roman"/>
                <w:color w:val="auto"/>
                <w:kern w:val="28"/>
                <w:sz w:val="21"/>
                <w:szCs w:val="21"/>
                <w:highlight w:val="none"/>
                <w:lang w:val="en-US" w:eastAsia="zh-CN"/>
              </w:rPr>
              <w:t>具备</w:t>
            </w:r>
            <w:r>
              <w:rPr>
                <w:rFonts w:hint="eastAsia" w:ascii="宋体" w:hAnsi="宋体" w:eastAsia="宋体" w:cs="Times New Roman"/>
                <w:color w:val="auto"/>
                <w:kern w:val="28"/>
                <w:sz w:val="21"/>
                <w:szCs w:val="21"/>
                <w:highlight w:val="none"/>
              </w:rPr>
              <w:t>工程设计综合甲级资质或工程设计建筑行业</w:t>
            </w:r>
            <w:r>
              <w:rPr>
                <w:rFonts w:hint="eastAsia" w:ascii="宋体" w:hAnsi="宋体" w:eastAsia="宋体" w:cs="Times New Roman"/>
                <w:color w:val="auto"/>
                <w:kern w:val="28"/>
                <w:sz w:val="21"/>
                <w:szCs w:val="21"/>
                <w:highlight w:val="none"/>
                <w:lang w:val="en-US" w:eastAsia="zh-CN"/>
              </w:rPr>
              <w:t>乙</w:t>
            </w:r>
            <w:r>
              <w:rPr>
                <w:rFonts w:hint="eastAsia" w:ascii="宋体" w:hAnsi="宋体" w:eastAsia="宋体" w:cs="Times New Roman"/>
                <w:color w:val="auto"/>
                <w:kern w:val="28"/>
                <w:sz w:val="21"/>
                <w:szCs w:val="21"/>
                <w:highlight w:val="none"/>
              </w:rPr>
              <w:t>级</w:t>
            </w:r>
            <w:r>
              <w:rPr>
                <w:rFonts w:hint="eastAsia" w:ascii="宋体" w:hAnsi="宋体" w:eastAsia="宋体" w:cs="Times New Roman"/>
                <w:color w:val="auto"/>
                <w:kern w:val="28"/>
                <w:sz w:val="21"/>
                <w:szCs w:val="21"/>
                <w:highlight w:val="none"/>
                <w:lang w:val="en-US" w:eastAsia="zh-CN"/>
              </w:rPr>
              <w:t>及以上</w:t>
            </w:r>
            <w:r>
              <w:rPr>
                <w:rFonts w:hint="eastAsia" w:ascii="宋体" w:hAnsi="宋体" w:eastAsia="宋体" w:cs="Times New Roman"/>
                <w:color w:val="auto"/>
                <w:kern w:val="28"/>
                <w:sz w:val="21"/>
                <w:szCs w:val="21"/>
                <w:highlight w:val="none"/>
              </w:rPr>
              <w:t>资质或工程设计建筑行业（建筑工程）专业</w:t>
            </w:r>
            <w:r>
              <w:rPr>
                <w:rFonts w:hint="eastAsia" w:ascii="宋体" w:hAnsi="宋体" w:eastAsia="宋体" w:cs="Times New Roman"/>
                <w:color w:val="auto"/>
                <w:kern w:val="28"/>
                <w:sz w:val="21"/>
                <w:szCs w:val="21"/>
                <w:highlight w:val="none"/>
                <w:lang w:val="en-US" w:eastAsia="zh-CN"/>
              </w:rPr>
              <w:t>乙</w:t>
            </w:r>
            <w:r>
              <w:rPr>
                <w:rFonts w:hint="eastAsia" w:ascii="宋体" w:hAnsi="宋体" w:eastAsia="宋体" w:cs="Times New Roman"/>
                <w:color w:val="auto"/>
                <w:kern w:val="28"/>
                <w:sz w:val="21"/>
                <w:szCs w:val="21"/>
                <w:highlight w:val="none"/>
              </w:rPr>
              <w:t>级</w:t>
            </w:r>
            <w:r>
              <w:rPr>
                <w:rFonts w:hint="eastAsia" w:ascii="宋体" w:hAnsi="宋体" w:eastAsia="宋体" w:cs="Times New Roman"/>
                <w:color w:val="auto"/>
                <w:kern w:val="28"/>
                <w:sz w:val="21"/>
                <w:szCs w:val="21"/>
                <w:highlight w:val="none"/>
                <w:lang w:val="en-US" w:eastAsia="zh-CN"/>
              </w:rPr>
              <w:t>及以上</w:t>
            </w:r>
            <w:r>
              <w:rPr>
                <w:rFonts w:hint="eastAsia" w:ascii="宋体" w:hAnsi="宋体" w:eastAsia="宋体" w:cs="Times New Roman"/>
                <w:color w:val="auto"/>
                <w:kern w:val="28"/>
                <w:sz w:val="21"/>
                <w:szCs w:val="21"/>
                <w:highlight w:val="none"/>
              </w:rPr>
              <w:t>资质。</w:t>
            </w:r>
            <w:bookmarkEnd w:id="0"/>
          </w:p>
        </w:tc>
      </w:tr>
    </w:tbl>
    <w:p w14:paraId="4082A96B">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1BD30CE6">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4793C575">
      <w:pPr>
        <w:adjustRightInd w:val="0"/>
        <w:spacing w:line="276" w:lineRule="auto"/>
        <w:ind w:firstLine="241"/>
        <w:jc w:val="center"/>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附录2 资格审查条件（业绩最低条件）</w:t>
      </w:r>
    </w:p>
    <w:tbl>
      <w:tblPr>
        <w:tblStyle w:val="4"/>
        <w:tblW w:w="50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51"/>
      </w:tblGrid>
      <w:tr w14:paraId="7321C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jc w:val="center"/>
        </w:trPr>
        <w:tc>
          <w:tcPr>
            <w:tcW w:w="5000" w:type="pct"/>
            <w:vAlign w:val="center"/>
          </w:tcPr>
          <w:p w14:paraId="46C39FB8">
            <w:pPr>
              <w:widowControl/>
              <w:spacing w:line="480" w:lineRule="exact"/>
              <w:contextualSpacing/>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业绩要求</w:t>
            </w:r>
          </w:p>
        </w:tc>
      </w:tr>
      <w:tr w14:paraId="4F8FC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6" w:hRule="atLeast"/>
          <w:jc w:val="center"/>
        </w:trPr>
        <w:tc>
          <w:tcPr>
            <w:tcW w:w="5000" w:type="pct"/>
            <w:vAlign w:val="center"/>
          </w:tcPr>
          <w:p w14:paraId="6CC8F365">
            <w:pPr>
              <w:widowControl w:val="0"/>
              <w:spacing w:line="276" w:lineRule="auto"/>
              <w:jc w:val="left"/>
              <w:rPr>
                <w:rFonts w:hint="eastAsia" w:ascii="宋体" w:hAnsi="宋体" w:eastAsia="宋体" w:cs="Times New Roman"/>
                <w:color w:val="auto"/>
                <w:kern w:val="28"/>
                <w:sz w:val="21"/>
                <w:szCs w:val="21"/>
                <w:highlight w:val="none"/>
                <w:lang w:val="en-US" w:eastAsia="zh-CN" w:bidi="ar-SA"/>
              </w:rPr>
            </w:pPr>
            <w:bookmarkStart w:id="1" w:name="_Hlk175584408"/>
            <w:r>
              <w:rPr>
                <w:rFonts w:hint="eastAsia" w:ascii="宋体" w:hAnsi="宋体" w:eastAsia="宋体" w:cs="Times New Roman"/>
                <w:color w:val="auto"/>
                <w:kern w:val="28"/>
                <w:sz w:val="21"/>
                <w:szCs w:val="21"/>
                <w:highlight w:val="none"/>
                <w:lang w:val="en-US" w:eastAsia="zh-CN" w:bidi="ar-SA"/>
              </w:rPr>
              <w:t>近5年内（2021年10月1日至今，以施工图批复或图纸审查报告或图纸审查合格书日期为准），</w:t>
            </w:r>
            <w:bookmarkEnd w:id="1"/>
            <w:r>
              <w:rPr>
                <w:rFonts w:hint="eastAsia" w:ascii="宋体" w:hAnsi="宋体" w:eastAsia="宋体" w:cs="Times New Roman"/>
                <w:color w:val="auto"/>
                <w:kern w:val="28"/>
                <w:sz w:val="21"/>
                <w:szCs w:val="21"/>
                <w:highlight w:val="none"/>
                <w:lang w:val="en-US" w:eastAsia="zh-CN" w:bidi="ar-SA"/>
              </w:rPr>
              <w:t>至少完成过1项合同额不低于100万元的公共建筑工程的施工图设计业绩。</w:t>
            </w:r>
          </w:p>
        </w:tc>
      </w:tr>
    </w:tbl>
    <w:p w14:paraId="70323DF2">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2B1D3DCC">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526950E0">
      <w:pPr>
        <w:adjustRightInd w:val="0"/>
        <w:spacing w:line="276" w:lineRule="auto"/>
        <w:ind w:firstLine="241"/>
        <w:jc w:val="center"/>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附录3 资格审查条件（信誉最低要求）</w:t>
      </w:r>
    </w:p>
    <w:tbl>
      <w:tblPr>
        <w:tblStyle w:val="4"/>
        <w:tblW w:w="504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71"/>
      </w:tblGrid>
      <w:tr w14:paraId="46FA8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5000" w:type="pct"/>
            <w:vAlign w:val="center"/>
          </w:tcPr>
          <w:p w14:paraId="40EAFC96">
            <w:pPr>
              <w:widowControl/>
              <w:spacing w:line="480" w:lineRule="exact"/>
              <w:contextualSpacing/>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信誉要求</w:t>
            </w:r>
          </w:p>
        </w:tc>
      </w:tr>
      <w:tr w14:paraId="58E59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5000" w:type="pct"/>
            <w:vAlign w:val="center"/>
          </w:tcPr>
          <w:p w14:paraId="3146A099">
            <w:pPr>
              <w:spacing w:line="276" w:lineRule="auto"/>
              <w:rPr>
                <w:rFonts w:hint="eastAsia" w:ascii="宋体" w:hAnsi="宋体"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投标人在近1年内（202</w:t>
            </w: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年</w:t>
            </w:r>
            <w:r>
              <w:rPr>
                <w:rFonts w:hint="eastAsia" w:ascii="Times New Roman" w:hAnsi="Times New Roman" w:eastAsia="宋体" w:cs="Times New Roman"/>
                <w:color w:val="auto"/>
                <w:kern w:val="28"/>
                <w:sz w:val="21"/>
                <w:szCs w:val="21"/>
                <w:highlight w:val="none"/>
                <w:lang w:val="en-US" w:eastAsia="zh-CN"/>
              </w:rPr>
              <w:t>10月</w:t>
            </w:r>
            <w:r>
              <w:rPr>
                <w:rFonts w:hint="eastAsia" w:ascii="Times New Roman" w:hAnsi="Times New Roman" w:eastAsia="宋体" w:cs="Times New Roman"/>
                <w:color w:val="auto"/>
                <w:kern w:val="28"/>
                <w:sz w:val="21"/>
                <w:szCs w:val="21"/>
                <w:highlight w:val="none"/>
              </w:rPr>
              <w:t>1日至今）不曾在</w:t>
            </w:r>
            <w:r>
              <w:rPr>
                <w:rFonts w:hint="eastAsia" w:ascii="宋体" w:hAnsi="宋体" w:eastAsia="宋体" w:cs="Times New Roman"/>
                <w:color w:val="auto"/>
                <w:kern w:val="28"/>
                <w:sz w:val="21"/>
                <w:szCs w:val="21"/>
                <w:highlight w:val="none"/>
                <w:lang w:val="en-US" w:eastAsia="zh-CN"/>
              </w:rPr>
              <w:t>公共建筑</w:t>
            </w:r>
            <w:r>
              <w:rPr>
                <w:rFonts w:hint="eastAsia" w:ascii="宋体" w:hAnsi="宋体" w:eastAsia="宋体" w:cs="Times New Roman"/>
                <w:color w:val="auto"/>
                <w:kern w:val="28"/>
                <w:sz w:val="21"/>
                <w:szCs w:val="21"/>
                <w:highlight w:val="none"/>
                <w:lang w:eastAsia="zh-CN"/>
              </w:rPr>
              <w:t>工程</w:t>
            </w:r>
            <w:r>
              <w:rPr>
                <w:rFonts w:hint="eastAsia" w:ascii="宋体" w:hAnsi="宋体" w:eastAsia="宋体" w:cs="Times New Roman"/>
                <w:color w:val="auto"/>
                <w:kern w:val="28"/>
                <w:sz w:val="21"/>
                <w:szCs w:val="21"/>
                <w:highlight w:val="none"/>
                <w:lang w:val="en-US" w:eastAsia="zh-CN"/>
              </w:rPr>
              <w:t>施工图</w:t>
            </w:r>
            <w:r>
              <w:rPr>
                <w:rFonts w:hint="eastAsia" w:ascii="Times New Roman" w:hAnsi="Times New Roman" w:eastAsia="宋体" w:cs="Times New Roman"/>
                <w:color w:val="auto"/>
                <w:kern w:val="28"/>
                <w:sz w:val="21"/>
                <w:szCs w:val="21"/>
                <w:highlight w:val="none"/>
                <w:lang w:eastAsia="zh-CN"/>
              </w:rPr>
              <w:t>设计合同中</w:t>
            </w:r>
            <w:r>
              <w:rPr>
                <w:rFonts w:hint="eastAsia" w:ascii="Times New Roman" w:hAnsi="Times New Roman" w:eastAsia="宋体" w:cs="Times New Roman"/>
                <w:color w:val="auto"/>
                <w:kern w:val="28"/>
                <w:sz w:val="21"/>
                <w:szCs w:val="21"/>
                <w:highlight w:val="none"/>
              </w:rPr>
              <w:t>违约被驱逐或因投标人自身的原因而使</w:t>
            </w:r>
            <w:r>
              <w:rPr>
                <w:rFonts w:hint="eastAsia" w:ascii="宋体" w:hAnsi="宋体" w:eastAsia="宋体" w:cs="Times New Roman"/>
                <w:color w:val="auto"/>
                <w:kern w:val="28"/>
                <w:sz w:val="21"/>
                <w:szCs w:val="21"/>
                <w:highlight w:val="none"/>
                <w:lang w:val="en-US" w:eastAsia="zh-CN"/>
              </w:rPr>
              <w:t>公共建筑</w:t>
            </w:r>
            <w:r>
              <w:rPr>
                <w:rFonts w:hint="eastAsia" w:ascii="宋体" w:hAnsi="宋体" w:eastAsia="宋体" w:cs="Times New Roman"/>
                <w:color w:val="auto"/>
                <w:kern w:val="28"/>
                <w:sz w:val="21"/>
                <w:szCs w:val="21"/>
                <w:highlight w:val="none"/>
                <w:lang w:eastAsia="zh-CN"/>
              </w:rPr>
              <w:t>工程</w:t>
            </w:r>
            <w:r>
              <w:rPr>
                <w:rFonts w:hint="eastAsia" w:ascii="宋体" w:hAnsi="宋体" w:eastAsia="宋体" w:cs="Times New Roman"/>
                <w:color w:val="auto"/>
                <w:kern w:val="28"/>
                <w:sz w:val="21"/>
                <w:szCs w:val="21"/>
                <w:highlight w:val="none"/>
                <w:lang w:val="en-US" w:eastAsia="zh-CN"/>
              </w:rPr>
              <w:t>施工图</w:t>
            </w:r>
            <w:r>
              <w:rPr>
                <w:rFonts w:hint="eastAsia" w:ascii="Times New Roman" w:hAnsi="Times New Roman" w:eastAsia="宋体" w:cs="Times New Roman"/>
                <w:color w:val="auto"/>
                <w:kern w:val="28"/>
                <w:sz w:val="21"/>
                <w:szCs w:val="21"/>
                <w:highlight w:val="none"/>
                <w:lang w:eastAsia="zh-CN"/>
              </w:rPr>
              <w:t>设计</w:t>
            </w:r>
            <w:r>
              <w:rPr>
                <w:rFonts w:hint="eastAsia" w:ascii="Times New Roman" w:hAnsi="Times New Roman" w:eastAsia="宋体" w:cs="Times New Roman"/>
                <w:color w:val="auto"/>
                <w:kern w:val="28"/>
                <w:sz w:val="21"/>
                <w:szCs w:val="21"/>
                <w:highlight w:val="none"/>
              </w:rPr>
              <w:t>合同被解除。</w:t>
            </w:r>
          </w:p>
        </w:tc>
      </w:tr>
    </w:tbl>
    <w:p w14:paraId="7AEF07A5">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53A554EB">
      <w:pPr>
        <w:adjustRightInd w:val="0"/>
        <w:spacing w:line="276" w:lineRule="auto"/>
        <w:ind w:firstLine="241"/>
        <w:jc w:val="center"/>
        <w:rPr>
          <w:rFonts w:hint="eastAsia" w:ascii="宋体" w:hAnsi="宋体" w:eastAsia="宋体" w:cs="Times New Roman"/>
          <w:b/>
          <w:color w:val="auto"/>
          <w:kern w:val="28"/>
          <w:sz w:val="21"/>
          <w:szCs w:val="21"/>
          <w:highlight w:val="none"/>
        </w:rPr>
      </w:pPr>
    </w:p>
    <w:p w14:paraId="01416FE8">
      <w:pPr>
        <w:adjustRightInd w:val="0"/>
        <w:spacing w:line="276" w:lineRule="auto"/>
        <w:ind w:firstLine="241"/>
        <w:jc w:val="center"/>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 xml:space="preserve">附录4 资格审查条件（项目负责人最低要求） </w:t>
      </w:r>
    </w:p>
    <w:tbl>
      <w:tblPr>
        <w:tblStyle w:val="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30"/>
        <w:gridCol w:w="819"/>
        <w:gridCol w:w="7347"/>
      </w:tblGrid>
      <w:tr w14:paraId="563B1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560" w:type="pct"/>
            <w:vAlign w:val="center"/>
          </w:tcPr>
          <w:p w14:paraId="72D4E66F">
            <w:pPr>
              <w:spacing w:line="276" w:lineRule="auto"/>
              <w:jc w:val="cente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人员</w:t>
            </w:r>
          </w:p>
        </w:tc>
        <w:tc>
          <w:tcPr>
            <w:tcW w:w="445" w:type="pct"/>
            <w:vAlign w:val="center"/>
          </w:tcPr>
          <w:p w14:paraId="76FAD909">
            <w:pPr>
              <w:spacing w:line="276" w:lineRule="auto"/>
              <w:jc w:val="cente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数量</w:t>
            </w:r>
          </w:p>
        </w:tc>
        <w:tc>
          <w:tcPr>
            <w:tcW w:w="3993" w:type="pct"/>
            <w:vAlign w:val="center"/>
          </w:tcPr>
          <w:p w14:paraId="18B33890">
            <w:pPr>
              <w:spacing w:line="276" w:lineRule="auto"/>
              <w:ind w:firstLine="240"/>
              <w:jc w:val="cente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资格要求</w:t>
            </w:r>
          </w:p>
        </w:tc>
      </w:tr>
      <w:tr w14:paraId="11CF7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8" w:hRule="atLeast"/>
          <w:jc w:val="center"/>
        </w:trPr>
        <w:tc>
          <w:tcPr>
            <w:tcW w:w="560" w:type="pct"/>
            <w:vAlign w:val="center"/>
          </w:tcPr>
          <w:p w14:paraId="306DC3A1">
            <w:pPr>
              <w:spacing w:line="276" w:lineRule="auto"/>
              <w:jc w:val="center"/>
              <w:rPr>
                <w:rFonts w:hint="eastAsia" w:ascii="宋体" w:hAnsi="宋体" w:eastAsia="宋体" w:cs="Times New Roman"/>
                <w:color w:val="auto"/>
                <w:kern w:val="28"/>
                <w:sz w:val="21"/>
                <w:szCs w:val="21"/>
                <w:highlight w:val="none"/>
              </w:rPr>
            </w:pPr>
            <w:bookmarkStart w:id="2" w:name="_Hlk175584432"/>
            <w:r>
              <w:rPr>
                <w:rFonts w:hint="eastAsia" w:ascii="宋体" w:hAnsi="宋体" w:eastAsia="宋体" w:cs="Times New Roman"/>
                <w:color w:val="auto"/>
                <w:kern w:val="28"/>
                <w:sz w:val="21"/>
                <w:szCs w:val="21"/>
                <w:highlight w:val="none"/>
              </w:rPr>
              <w:t>项目</w:t>
            </w:r>
          </w:p>
          <w:p w14:paraId="6A0D1984">
            <w:pPr>
              <w:spacing w:line="276" w:lineRule="auto"/>
              <w:jc w:val="center"/>
              <w:rPr>
                <w:rFonts w:hint="eastAsia" w:ascii="宋体" w:hAnsi="宋体" w:eastAsia="宋体" w:cs="Times New Roman"/>
                <w:color w:val="auto"/>
                <w:kern w:val="28"/>
                <w:sz w:val="21"/>
                <w:szCs w:val="21"/>
                <w:highlight w:val="none"/>
                <w:lang w:eastAsia="zh-CN"/>
              </w:rPr>
            </w:pPr>
            <w:r>
              <w:rPr>
                <w:rFonts w:hint="eastAsia" w:ascii="宋体" w:hAnsi="宋体" w:eastAsia="宋体" w:cs="Times New Roman"/>
                <w:color w:val="auto"/>
                <w:kern w:val="28"/>
                <w:sz w:val="21"/>
                <w:szCs w:val="21"/>
                <w:highlight w:val="none"/>
              </w:rPr>
              <w:t>负责人</w:t>
            </w:r>
            <w:bookmarkEnd w:id="2"/>
          </w:p>
        </w:tc>
        <w:tc>
          <w:tcPr>
            <w:tcW w:w="445" w:type="pct"/>
            <w:vAlign w:val="center"/>
          </w:tcPr>
          <w:p w14:paraId="0355476A">
            <w:pPr>
              <w:spacing w:line="276" w:lineRule="auto"/>
              <w:ind w:firstLine="240"/>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w:t>
            </w:r>
          </w:p>
        </w:tc>
        <w:tc>
          <w:tcPr>
            <w:tcW w:w="3993" w:type="pct"/>
            <w:vAlign w:val="center"/>
          </w:tcPr>
          <w:p w14:paraId="11DF2FD5">
            <w:pPr>
              <w:widowControl w:val="0"/>
              <w:jc w:val="left"/>
              <w:rPr>
                <w:rFonts w:hint="eastAsia" w:ascii="宋体" w:hAnsi="宋体" w:eastAsia="宋体" w:cs="Times New Roman"/>
                <w:color w:val="auto"/>
                <w:kern w:val="28"/>
                <w:sz w:val="21"/>
                <w:szCs w:val="21"/>
                <w:highlight w:val="none"/>
                <w:lang w:val="en-US" w:eastAsia="zh-CN" w:bidi="ar-SA"/>
              </w:rPr>
            </w:pPr>
            <w:r>
              <w:rPr>
                <w:rFonts w:hint="eastAsia" w:ascii="宋体" w:hAnsi="宋体" w:eastAsia="宋体" w:cs="Times New Roman"/>
                <w:color w:val="auto"/>
                <w:kern w:val="28"/>
                <w:sz w:val="21"/>
                <w:szCs w:val="21"/>
                <w:highlight w:val="none"/>
                <w:lang w:val="en-US" w:eastAsia="zh-CN" w:bidi="ar-SA"/>
              </w:rPr>
              <w:t>1、高级及以上职称，持有一级注册建筑师注册证书，</w:t>
            </w:r>
            <w:r>
              <w:rPr>
                <w:rFonts w:hint="eastAsia" w:ascii="宋体" w:hAnsi="宋体" w:eastAsia="宋体" w:cs="宋体"/>
                <w:snapToGrid w:val="0"/>
                <w:color w:val="auto"/>
                <w:kern w:val="0"/>
                <w:sz w:val="21"/>
                <w:szCs w:val="21"/>
                <w:highlight w:val="none"/>
                <w:lang w:val="en-US" w:eastAsia="zh-CN" w:bidi="ar-SA"/>
              </w:rPr>
              <w:t>注册单位须与投标人单位名称一致</w:t>
            </w:r>
            <w:r>
              <w:rPr>
                <w:rFonts w:hint="eastAsia" w:ascii="宋体" w:hAnsi="宋体" w:eastAsia="宋体" w:cs="Times New Roman"/>
                <w:color w:val="auto"/>
                <w:kern w:val="28"/>
                <w:sz w:val="21"/>
                <w:szCs w:val="21"/>
                <w:highlight w:val="none"/>
                <w:lang w:val="en-US" w:eastAsia="zh-CN" w:bidi="ar-SA"/>
              </w:rPr>
              <w:t>。</w:t>
            </w:r>
          </w:p>
          <w:p w14:paraId="3CD00D36">
            <w:pPr>
              <w:widowControl w:val="0"/>
              <w:spacing w:line="276" w:lineRule="auto"/>
              <w:jc w:val="left"/>
              <w:rPr>
                <w:rFonts w:hint="eastAsia" w:ascii="宋体" w:hAnsi="宋体" w:eastAsia="宋体" w:cs="Times New Roman"/>
                <w:color w:val="auto"/>
                <w:kern w:val="28"/>
                <w:sz w:val="21"/>
                <w:szCs w:val="21"/>
                <w:highlight w:val="none"/>
                <w:lang w:val="en-US" w:eastAsia="zh-CN" w:bidi="ar-SA"/>
              </w:rPr>
            </w:pPr>
            <w:r>
              <w:rPr>
                <w:rFonts w:hint="eastAsia" w:ascii="宋体" w:hAnsi="宋体" w:eastAsia="宋体" w:cs="Times New Roman"/>
                <w:color w:val="auto"/>
                <w:kern w:val="28"/>
                <w:sz w:val="21"/>
                <w:szCs w:val="21"/>
                <w:highlight w:val="none"/>
                <w:lang w:val="en-US" w:eastAsia="zh-CN" w:bidi="ar-SA"/>
              </w:rPr>
              <w:t>2、近5年内（2021年10月1日至今，以施工图批复或图纸审查报告或图纸审查合格书日期为准），至少担任过1项合同额不低于100万元的公共建筑工程施工图设计的项目负责人或设计负责人。</w:t>
            </w:r>
          </w:p>
        </w:tc>
      </w:tr>
    </w:tbl>
    <w:p w14:paraId="144934CA">
      <w:pPr>
        <w:adjustRightInd w:val="0"/>
        <w:spacing w:line="480" w:lineRule="exact"/>
        <w:jc w:val="left"/>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 xml:space="preserve"> </w:t>
      </w:r>
    </w:p>
    <w:p w14:paraId="3DC1090E">
      <w:pPr>
        <w:widowControl/>
        <w:jc w:val="left"/>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br w:type="page"/>
      </w:r>
    </w:p>
    <w:p w14:paraId="04990E12">
      <w:pPr>
        <w:adjustRightInd w:val="0"/>
        <w:spacing w:line="360" w:lineRule="auto"/>
        <w:jc w:val="left"/>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附件2：随机确定评标基准价计算方法的规则与程序</w:t>
      </w:r>
    </w:p>
    <w:p w14:paraId="6532D479">
      <w:pPr>
        <w:adjustRightInd w:val="0"/>
        <w:spacing w:line="360" w:lineRule="auto"/>
        <w:outlineLvl w:val="2"/>
        <w:rPr>
          <w:rFonts w:hint="eastAsia" w:ascii="宋体" w:hAnsi="宋体" w:eastAsia="宋体" w:cs="宋体"/>
          <w:bCs/>
          <w:color w:val="auto"/>
          <w:kern w:val="28"/>
          <w:sz w:val="21"/>
          <w:szCs w:val="21"/>
          <w:highlight w:val="none"/>
        </w:rPr>
      </w:pPr>
      <w:bookmarkStart w:id="3" w:name="_Toc11058"/>
      <w:r>
        <w:rPr>
          <w:rFonts w:hint="eastAsia" w:ascii="宋体" w:hAnsi="宋体" w:eastAsia="宋体" w:cs="宋体"/>
          <w:bCs/>
          <w:color w:val="auto"/>
          <w:kern w:val="28"/>
          <w:sz w:val="21"/>
          <w:szCs w:val="21"/>
          <w:highlight w:val="none"/>
        </w:rPr>
        <w:t>一、随机抽取规则</w:t>
      </w:r>
      <w:bookmarkEnd w:id="3"/>
    </w:p>
    <w:p w14:paraId="76372B41">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参与随机确定评标基准价计算方法的各方当事人（以下简称“各方”）应当严格遵守以下规则：</w:t>
      </w:r>
    </w:p>
    <w:p w14:paraId="4A2EE645">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（一）各方必须严格遵守公开、公平、公正和诚实信用原则；</w:t>
      </w:r>
    </w:p>
    <w:p w14:paraId="0F8AC103">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（二）随机抽取活动在招标人的主持下进行，由监督人员对全过程进行监督 ,招标人做好影像记录，并存档备查；</w:t>
      </w:r>
    </w:p>
    <w:p w14:paraId="30F77BED">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（三）用于随机抽取的器具由招标人提供；</w:t>
      </w:r>
    </w:p>
    <w:p w14:paraId="0A5FD57B">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（四）各方必须严格遵守现场纪律，确保随机抽取活动有序进行；</w:t>
      </w:r>
    </w:p>
    <w:p w14:paraId="4E9F82C8">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D3F6A96">
      <w:pPr>
        <w:adjustRightInd w:val="0"/>
        <w:spacing w:line="360" w:lineRule="auto"/>
        <w:outlineLvl w:val="2"/>
        <w:rPr>
          <w:rFonts w:hint="eastAsia" w:ascii="宋体" w:hAnsi="宋体" w:eastAsia="宋体" w:cs="宋体"/>
          <w:bCs/>
          <w:color w:val="auto"/>
          <w:kern w:val="28"/>
          <w:sz w:val="21"/>
          <w:szCs w:val="21"/>
          <w:highlight w:val="none"/>
        </w:rPr>
      </w:pPr>
      <w:bookmarkStart w:id="4" w:name="_Toc8381"/>
      <w:r>
        <w:rPr>
          <w:rFonts w:hint="eastAsia" w:ascii="宋体" w:hAnsi="宋体" w:eastAsia="宋体" w:cs="宋体"/>
          <w:bCs/>
          <w:color w:val="auto"/>
          <w:kern w:val="28"/>
          <w:sz w:val="21"/>
          <w:szCs w:val="21"/>
          <w:highlight w:val="none"/>
        </w:rPr>
        <w:t>二、随机抽取确定评标基准价计算方法的程序</w:t>
      </w:r>
      <w:bookmarkEnd w:id="4"/>
    </w:p>
    <w:p w14:paraId="0A0D6874">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（一）确定随机抽取代码球</w:t>
      </w:r>
    </w:p>
    <w:p w14:paraId="40BC40F6">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用抽取器具随机确定抽取代码球一套，作为本次随机抽取确定评标基准价计算方法的代码球。</w:t>
      </w:r>
    </w:p>
    <w:p w14:paraId="02CC4C36">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（二）本次招标共设置三种评标基准价计算方法（详见评标办法）。</w:t>
      </w:r>
    </w:p>
    <w:p w14:paraId="31456E12">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确定评标基准价计算方法的编号及代码球，1号球代表评标基准价计算方法1；2号球代表评标基准价计算方法2；3号球代表评标基准价计算方法3。</w:t>
      </w:r>
    </w:p>
    <w:p w14:paraId="7C8880D1">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（三）在投标文件第一信封（商务及技术文件）开标现场，将编号1、2、3代码球全部放入随机抽取器具中，由抽取器具随机抽取产生本次招标评标基准价计算方法。</w:t>
      </w:r>
    </w:p>
    <w:p w14:paraId="2181E272">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（四）确定评标基准价计算方法需要的系数（如有）。</w:t>
      </w:r>
    </w:p>
    <w:p w14:paraId="362A26F7">
      <w:pPr>
        <w:adjustRightInd w:val="0"/>
        <w:spacing w:line="360" w:lineRule="auto"/>
        <w:ind w:firstLine="420" w:firstLineChars="200"/>
        <w:outlineLvl w:val="1"/>
        <w:rPr>
          <w:rFonts w:hint="eastAsia" w:ascii="宋体" w:hAnsi="宋体" w:eastAsia="宋体" w:cs="宋体"/>
          <w:bCs/>
          <w:color w:val="auto"/>
          <w:kern w:val="28"/>
          <w:sz w:val="21"/>
          <w:szCs w:val="21"/>
          <w:highlight w:val="none"/>
        </w:rPr>
      </w:pPr>
      <w:bookmarkStart w:id="5" w:name="_Toc26979"/>
      <w:r>
        <w:rPr>
          <w:rFonts w:hint="eastAsia" w:ascii="宋体" w:hAnsi="宋体" w:eastAsia="宋体" w:cs="宋体"/>
          <w:bCs/>
          <w:color w:val="auto"/>
          <w:kern w:val="28"/>
          <w:sz w:val="21"/>
          <w:szCs w:val="21"/>
          <w:highlight w:val="none"/>
        </w:rPr>
        <w:t>1、如果抽取的评标基准价计算方法为方法1，则不需要抽取系数。</w:t>
      </w:r>
      <w:bookmarkEnd w:id="5"/>
    </w:p>
    <w:p w14:paraId="57A30E0D">
      <w:pPr>
        <w:adjustRightInd w:val="0"/>
        <w:spacing w:line="360" w:lineRule="auto"/>
        <w:ind w:firstLine="420" w:firstLineChars="20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2、如果抽取的评标基准价计算方法为方法2，则需要抽取评标基准价系数K1。</w:t>
      </w:r>
    </w:p>
    <w:p w14:paraId="6F8F810B">
      <w:pPr>
        <w:adjustRightInd w:val="0"/>
        <w:spacing w:line="360" w:lineRule="auto"/>
        <w:ind w:firstLine="420" w:firstLineChars="20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1取值范围为0.975、0.980、0.985、0.990、0.995。将编号为1～5的代码球放入抽取器具，由抽取器具随机抽取1个代码球，1号球代表K1值为0.975；2号球代表K1值为0.980；3号球代表K1值为0.985；4号球代表K1值为0.990；5号球代表K1值为0.995。</w:t>
      </w:r>
    </w:p>
    <w:p w14:paraId="67B5E996">
      <w:pPr>
        <w:adjustRightInd w:val="0"/>
        <w:spacing w:line="360" w:lineRule="auto"/>
        <w:ind w:firstLine="420" w:firstLineChars="20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3、如果抽取的评标基准价计算方法为方法3，则需要抽取评标基准价系数K2。</w:t>
      </w:r>
    </w:p>
    <w:p w14:paraId="7A5D1613">
      <w:pPr>
        <w:adjustRightInd w:val="0"/>
        <w:spacing w:line="360" w:lineRule="auto"/>
        <w:ind w:firstLine="420" w:firstLineChars="20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2取值范围为0.10、0.15、0.20、0.25、0.30。将编号为1～5的代码球放入抽取器具，由抽取器具随机抽取1个代码球，1号球代表K2值为0.10；2号球代表K2值为0.15；3号球代表K2值为0.20；4号球代表K2值为0.25；5号球代表K2值为0.30。</w:t>
      </w:r>
    </w:p>
    <w:p w14:paraId="2260341A">
      <w:pPr>
        <w:widowControl/>
        <w:spacing w:line="360" w:lineRule="auto"/>
        <w:ind w:firstLine="420" w:firstLineChars="200"/>
        <w:jc w:val="left"/>
        <w:rPr>
          <w:rFonts w:hint="eastAsia" w:ascii="宋体" w:hAnsi="宋体" w:eastAsia="宋体" w:cs="Times New Roman"/>
          <w:b/>
          <w:color w:val="auto"/>
          <w:kern w:val="28"/>
          <w:sz w:val="21"/>
          <w:szCs w:val="21"/>
          <w:highlight w:val="none"/>
        </w:rPr>
      </w:pPr>
      <w:r>
        <w:rPr>
          <w:rFonts w:hint="eastAsia" w:ascii="宋体" w:hAnsi="宋体" w:eastAsia="宋体" w:cs="宋体"/>
          <w:bCs/>
          <w:color w:val="auto"/>
          <w:kern w:val="28"/>
          <w:sz w:val="21"/>
          <w:szCs w:val="21"/>
          <w:highlight w:val="none"/>
        </w:rPr>
        <w:t>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r>
        <w:rPr>
          <w:rFonts w:hint="eastAsia" w:ascii="宋体" w:hAnsi="宋体" w:eastAsia="宋体" w:cs="Times New Roman"/>
          <w:color w:val="auto"/>
          <w:kern w:val="28"/>
          <w:sz w:val="21"/>
          <w:szCs w:val="21"/>
          <w:highlight w:val="none"/>
        </w:rPr>
        <w:t>。</w:t>
      </w:r>
      <w:r>
        <w:rPr>
          <w:rFonts w:hint="eastAsia" w:ascii="宋体" w:hAnsi="宋体" w:eastAsia="宋体" w:cs="Times New Roman"/>
          <w:b/>
          <w:color w:val="auto"/>
          <w:kern w:val="28"/>
          <w:sz w:val="21"/>
          <w:szCs w:val="21"/>
          <w:highlight w:val="none"/>
        </w:rPr>
        <w:br w:type="page"/>
      </w:r>
    </w:p>
    <w:p w14:paraId="6999529B">
      <w:pPr>
        <w:adjustRightInd w:val="0"/>
        <w:spacing w:line="480" w:lineRule="exact"/>
        <w:jc w:val="left"/>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附件3：评标办法</w:t>
      </w:r>
    </w:p>
    <w:p w14:paraId="3FB72B85">
      <w:pPr>
        <w:keepNext/>
        <w:keepLines/>
        <w:widowControl w:val="0"/>
        <w:spacing w:before="0" w:after="0" w:line="480" w:lineRule="exact"/>
        <w:ind w:firstLine="301"/>
        <w:jc w:val="center"/>
        <w:outlineLvl w:val="1"/>
        <w:rPr>
          <w:rFonts w:hint="eastAsia" w:ascii="宋体" w:hAnsi="宋体" w:eastAsia="宋体" w:cs="Times New Roman"/>
          <w:b/>
          <w:bCs/>
          <w:color w:val="auto"/>
          <w:kern w:val="28"/>
          <w:sz w:val="21"/>
          <w:szCs w:val="21"/>
          <w:highlight w:val="none"/>
          <w:lang w:val="en-US" w:eastAsia="zh-CN" w:bidi="ar-SA"/>
        </w:rPr>
      </w:pPr>
      <w:bookmarkStart w:id="6" w:name="_Toc511635241"/>
      <w:bookmarkStart w:id="7" w:name="_Toc509659998"/>
      <w:bookmarkStart w:id="8" w:name="_Toc101801418"/>
      <w:bookmarkStart w:id="9" w:name="_Toc450319202"/>
      <w:bookmarkStart w:id="10" w:name="_Toc502992691"/>
      <w:bookmarkStart w:id="11" w:name="_Toc509846348"/>
      <w:bookmarkStart w:id="12" w:name="_Toc509660966"/>
      <w:bookmarkStart w:id="13" w:name="_Toc459307890"/>
      <w:bookmarkStart w:id="14" w:name="_Toc444271617"/>
      <w:bookmarkStart w:id="15" w:name="_Toc444088432"/>
      <w:bookmarkStart w:id="16" w:name="_Toc445222503"/>
      <w:bookmarkStart w:id="17" w:name="_Toc445382083"/>
      <w:r>
        <w:rPr>
          <w:rFonts w:hint="eastAsia" w:ascii="宋体" w:hAnsi="宋体" w:eastAsia="宋体" w:cs="Times New Roman"/>
          <w:b/>
          <w:bCs/>
          <w:color w:val="auto"/>
          <w:kern w:val="28"/>
          <w:sz w:val="21"/>
          <w:szCs w:val="21"/>
          <w:highlight w:val="none"/>
          <w:lang w:val="en-US" w:eastAsia="zh-CN" w:bidi="ar-SA"/>
        </w:rPr>
        <w:t>评标办法（综合评估法）</w:t>
      </w:r>
      <w:bookmarkEnd w:id="6"/>
      <w:bookmarkEnd w:id="7"/>
      <w:bookmarkEnd w:id="8"/>
      <w:bookmarkEnd w:id="9"/>
      <w:bookmarkEnd w:id="10"/>
      <w:bookmarkEnd w:id="11"/>
      <w:bookmarkEnd w:id="12"/>
      <w:bookmarkEnd w:id="13"/>
    </w:p>
    <w:bookmarkEnd w:id="14"/>
    <w:bookmarkEnd w:id="15"/>
    <w:bookmarkEnd w:id="16"/>
    <w:bookmarkEnd w:id="17"/>
    <w:p w14:paraId="045854B4">
      <w:pPr>
        <w:keepNext/>
        <w:keepLines/>
        <w:widowControl w:val="0"/>
        <w:spacing w:before="0" w:after="0" w:line="480" w:lineRule="exact"/>
        <w:ind w:firstLine="241"/>
        <w:jc w:val="both"/>
        <w:outlineLvl w:val="2"/>
        <w:rPr>
          <w:rFonts w:hint="eastAsia" w:ascii="宋体" w:hAnsi="宋体" w:eastAsia="宋体" w:cs="Times New Roman"/>
          <w:b/>
          <w:bCs/>
          <w:color w:val="auto"/>
          <w:kern w:val="28"/>
          <w:sz w:val="21"/>
          <w:szCs w:val="21"/>
          <w:highlight w:val="none"/>
          <w:vertAlign w:val="superscript"/>
          <w:lang w:val="en-US" w:eastAsia="zh-CN" w:bidi="ar-SA"/>
        </w:rPr>
      </w:pPr>
      <w:bookmarkStart w:id="18" w:name="_Toc101801419"/>
      <w:bookmarkStart w:id="19" w:name="_Toc511635242"/>
      <w:r>
        <w:rPr>
          <w:rFonts w:hint="eastAsia" w:ascii="宋体" w:hAnsi="宋体" w:eastAsia="宋体" w:cs="Times New Roman"/>
          <w:b/>
          <w:bCs/>
          <w:color w:val="auto"/>
          <w:kern w:val="28"/>
          <w:sz w:val="21"/>
          <w:szCs w:val="21"/>
          <w:highlight w:val="none"/>
          <w:lang w:val="en-US" w:eastAsia="zh-CN" w:bidi="ar-SA"/>
        </w:rPr>
        <w:t>评标办法前附表</w:t>
      </w:r>
      <w:bookmarkEnd w:id="18"/>
      <w:bookmarkEnd w:id="19"/>
    </w:p>
    <w:tbl>
      <w:tblPr>
        <w:tblStyle w:val="4"/>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277"/>
        <w:gridCol w:w="7279"/>
      </w:tblGrid>
      <w:tr w14:paraId="72EB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blHeader/>
          <w:jc w:val="center"/>
        </w:trPr>
        <w:tc>
          <w:tcPr>
            <w:tcW w:w="1072" w:type="dxa"/>
            <w:vAlign w:val="center"/>
          </w:tcPr>
          <w:p w14:paraId="304267C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条款号</w:t>
            </w:r>
          </w:p>
        </w:tc>
        <w:tc>
          <w:tcPr>
            <w:tcW w:w="1277" w:type="dxa"/>
            <w:vAlign w:val="center"/>
          </w:tcPr>
          <w:p w14:paraId="3E9A1230">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条款名称</w:t>
            </w:r>
          </w:p>
        </w:tc>
        <w:tc>
          <w:tcPr>
            <w:tcW w:w="7279" w:type="dxa"/>
            <w:vAlign w:val="center"/>
          </w:tcPr>
          <w:p w14:paraId="7013AB35">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评审因素与评审标准</w:t>
            </w:r>
          </w:p>
        </w:tc>
      </w:tr>
      <w:tr w14:paraId="58D0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1072" w:type="dxa"/>
            <w:vAlign w:val="center"/>
          </w:tcPr>
          <w:p w14:paraId="054FE222">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1</w:t>
            </w:r>
          </w:p>
        </w:tc>
        <w:tc>
          <w:tcPr>
            <w:tcW w:w="1277" w:type="dxa"/>
            <w:vAlign w:val="center"/>
          </w:tcPr>
          <w:p w14:paraId="50638F5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评标办法</w:t>
            </w:r>
          </w:p>
        </w:tc>
        <w:tc>
          <w:tcPr>
            <w:tcW w:w="7279" w:type="dxa"/>
            <w:vAlign w:val="center"/>
          </w:tcPr>
          <w:p w14:paraId="399AF98F">
            <w:pPr>
              <w:keepNext w:val="0"/>
              <w:keepLines w:val="0"/>
              <w:pageBreakBefore w:val="0"/>
              <w:widowControl w:val="0"/>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本次评标采用综合评估法。评标委员会对满足招标文件实质性要求的投标文件，按照本章第2.2款规定的评分标准进行打分，并按得分由高到低顺序推荐1-3名中标候选人。综合评分相等时，评标委员会依次按照以下优先顺序推荐中标候选人：</w:t>
            </w:r>
          </w:p>
          <w:p w14:paraId="52714DCE">
            <w:pPr>
              <w:keepNext w:val="0"/>
              <w:keepLines w:val="0"/>
              <w:pageBreakBefore w:val="0"/>
              <w:widowControl w:val="0"/>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（1）评标价低的投标人优先；</w:t>
            </w:r>
          </w:p>
          <w:p w14:paraId="1E2CA5AB">
            <w:pPr>
              <w:keepNext w:val="0"/>
              <w:keepLines w:val="0"/>
              <w:pageBreakBefore w:val="0"/>
              <w:widowControl w:val="0"/>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（2）技术建议书得分较高的投标人优先；</w:t>
            </w:r>
          </w:p>
          <w:p w14:paraId="233BEEA5">
            <w:pPr>
              <w:keepNext w:val="0"/>
              <w:keepLines w:val="0"/>
              <w:pageBreakBefore w:val="0"/>
              <w:widowControl w:val="0"/>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（3）满足资格审查条件(业绩最低条件)要求所附业绩中单项合同金额较大的优先。</w:t>
            </w:r>
          </w:p>
        </w:tc>
      </w:tr>
      <w:tr w14:paraId="3E27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3" w:hRule="atLeast"/>
          <w:jc w:val="center"/>
        </w:trPr>
        <w:tc>
          <w:tcPr>
            <w:tcW w:w="1072" w:type="dxa"/>
            <w:vAlign w:val="center"/>
          </w:tcPr>
          <w:p w14:paraId="3675246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2.1.1</w:t>
            </w:r>
          </w:p>
          <w:p w14:paraId="78379A9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2.1.3</w:t>
            </w:r>
          </w:p>
        </w:tc>
        <w:tc>
          <w:tcPr>
            <w:tcW w:w="1277" w:type="dxa"/>
            <w:vAlign w:val="center"/>
          </w:tcPr>
          <w:p w14:paraId="2FF83971">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形式评审与响应性评审标准</w:t>
            </w:r>
          </w:p>
        </w:tc>
        <w:tc>
          <w:tcPr>
            <w:tcW w:w="7279" w:type="dxa"/>
          </w:tcPr>
          <w:p w14:paraId="5B9E8A28">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第一个信封（商务文件）评审标准：</w:t>
            </w:r>
          </w:p>
          <w:p w14:paraId="68FEF654">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（1）投标文件按照招标文件规定的格式、内容填写，字迹清晰可辨：</w:t>
            </w:r>
          </w:p>
          <w:p w14:paraId="479EE521">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a．投标函按招标文件规定填报了招标人名称、项目名称、补遗书编号（如有）、项目负责人相关信息、服务期限、质量要求、安全目标等内容；</w:t>
            </w:r>
          </w:p>
          <w:p w14:paraId="196CFBEE">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b．投标文件组成齐全完整，内容均按规定填写。</w:t>
            </w:r>
          </w:p>
          <w:p w14:paraId="04387B88">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bCs/>
                <w:color w:val="auto"/>
                <w:kern w:val="28"/>
                <w:sz w:val="21"/>
                <w:szCs w:val="21"/>
                <w:highlight w:val="none"/>
              </w:rPr>
            </w:pPr>
            <w:r>
              <w:rPr>
                <w:rFonts w:hint="eastAsia" w:ascii="宋体" w:hAnsi="宋体" w:eastAsia="宋体" w:cs="Times New Roman"/>
                <w:bCs/>
                <w:color w:val="auto"/>
                <w:kern w:val="28"/>
                <w:sz w:val="21"/>
                <w:szCs w:val="21"/>
                <w:highlight w:val="none"/>
              </w:rPr>
              <w:t>（</w:t>
            </w:r>
            <w:r>
              <w:rPr>
                <w:rFonts w:ascii="宋体" w:hAnsi="宋体" w:eastAsia="宋体" w:cs="Times New Roman"/>
                <w:bCs/>
                <w:color w:val="auto"/>
                <w:kern w:val="28"/>
                <w:sz w:val="21"/>
                <w:szCs w:val="21"/>
                <w:highlight w:val="none"/>
              </w:rPr>
              <w:t>2</w:t>
            </w:r>
            <w:r>
              <w:rPr>
                <w:rFonts w:hint="eastAsia" w:ascii="宋体" w:hAnsi="宋体" w:eastAsia="宋体" w:cs="Times New Roman"/>
                <w:bCs/>
                <w:color w:val="auto"/>
                <w:kern w:val="28"/>
                <w:sz w:val="21"/>
                <w:szCs w:val="21"/>
                <w:highlight w:val="none"/>
              </w:rPr>
              <w:t>）投标文件上法定代表人或其授权代理人的签字、投标人的单位章盖章齐全，符合招标文件规定。</w:t>
            </w:r>
          </w:p>
          <w:p w14:paraId="51AFEE0D">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28"/>
                <w:sz w:val="21"/>
                <w:szCs w:val="21"/>
                <w:highlight w:val="none"/>
              </w:rPr>
              <w:t>（3）投标人按照招标文件的规定提供了投标保证金，满足招标文件投标人须知前附表第3.4.1款。</w:t>
            </w:r>
          </w:p>
          <w:p w14:paraId="203AEC14">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4</w:t>
            </w:r>
            <w:r>
              <w:rPr>
                <w:rFonts w:hint="eastAsia" w:ascii="宋体" w:hAnsi="宋体" w:eastAsia="宋体" w:cs="Times New Roman"/>
                <w:color w:val="auto"/>
                <w:kern w:val="28"/>
                <w:sz w:val="21"/>
                <w:szCs w:val="21"/>
                <w:highlight w:val="none"/>
              </w:rPr>
              <w:t>）投标人法定代表人授权委托代理人签署投标文件的，须提交授权委托书，授权委托书符合招标文件规定。</w:t>
            </w:r>
          </w:p>
          <w:p w14:paraId="6576C2A2">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5</w:t>
            </w:r>
            <w:r>
              <w:rPr>
                <w:rFonts w:hint="eastAsia" w:ascii="宋体" w:hAnsi="宋体" w:eastAsia="宋体" w:cs="Times New Roman"/>
                <w:color w:val="auto"/>
                <w:kern w:val="28"/>
                <w:sz w:val="21"/>
                <w:szCs w:val="21"/>
                <w:highlight w:val="none"/>
              </w:rPr>
              <w:t>）投标人法定代表人亲自签署投标文件的，提供了法定代表人身份证明，法定代表人身份证明符合招标文件规定。</w:t>
            </w:r>
          </w:p>
          <w:p w14:paraId="173ACDF4">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（6）投标人</w:t>
            </w:r>
            <w:r>
              <w:rPr>
                <w:rFonts w:hint="eastAsia" w:ascii="宋体" w:hAnsi="宋体" w:eastAsia="宋体" w:cs="Times New Roman"/>
                <w:color w:val="auto"/>
                <w:kern w:val="28"/>
                <w:sz w:val="21"/>
                <w:szCs w:val="21"/>
                <w:highlight w:val="none"/>
                <w:lang w:val="en-US" w:eastAsia="zh-CN"/>
              </w:rPr>
              <w:t>未</w:t>
            </w:r>
            <w:r>
              <w:rPr>
                <w:rFonts w:hint="eastAsia" w:ascii="宋体" w:hAnsi="宋体" w:eastAsia="宋体" w:cs="Times New Roman"/>
                <w:color w:val="auto"/>
                <w:kern w:val="28"/>
                <w:sz w:val="21"/>
                <w:szCs w:val="21"/>
                <w:highlight w:val="none"/>
              </w:rPr>
              <w:t>以联合体形式投标。</w:t>
            </w:r>
          </w:p>
          <w:p w14:paraId="0BA8DEB5">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7</w:t>
            </w:r>
            <w:r>
              <w:rPr>
                <w:rFonts w:hint="eastAsia" w:ascii="宋体" w:hAnsi="宋体" w:eastAsia="宋体" w:cs="Times New Roman"/>
                <w:color w:val="auto"/>
                <w:kern w:val="28"/>
                <w:sz w:val="21"/>
                <w:szCs w:val="21"/>
                <w:highlight w:val="none"/>
              </w:rPr>
              <w:t>）</w:t>
            </w:r>
            <w:r>
              <w:rPr>
                <w:rFonts w:hint="eastAsia" w:ascii="宋体" w:hAnsi="宋体" w:eastAsia="宋体" w:cs="宋体"/>
                <w:color w:val="auto"/>
                <w:kern w:val="28"/>
                <w:sz w:val="21"/>
                <w:szCs w:val="21"/>
                <w:highlight w:val="none"/>
                <w:lang w:eastAsia="zh-CN"/>
              </w:rPr>
              <w:t>投标人如有分包计划，符合招标文件第二章“投标人须知”第1.11款规定，且按招标文件第</w:t>
            </w:r>
            <w:r>
              <w:rPr>
                <w:rFonts w:hint="eastAsia" w:ascii="宋体" w:hAnsi="宋体" w:eastAsia="宋体" w:cs="宋体"/>
                <w:color w:val="auto"/>
                <w:kern w:val="28"/>
                <w:sz w:val="21"/>
                <w:szCs w:val="21"/>
                <w:highlight w:val="none"/>
                <w:lang w:val="en-US" w:eastAsia="zh-CN"/>
              </w:rPr>
              <w:t>六</w:t>
            </w:r>
            <w:r>
              <w:rPr>
                <w:rFonts w:hint="eastAsia" w:ascii="宋体" w:hAnsi="宋体" w:eastAsia="宋体" w:cs="宋体"/>
                <w:color w:val="auto"/>
                <w:kern w:val="28"/>
                <w:sz w:val="21"/>
                <w:szCs w:val="21"/>
                <w:highlight w:val="none"/>
                <w:lang w:eastAsia="zh-CN"/>
              </w:rPr>
              <w:t>章“投标文件格式”的要求填写了“拟分包项目情况表”。</w:t>
            </w:r>
          </w:p>
          <w:p w14:paraId="1AA171A1">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28"/>
                <w:sz w:val="21"/>
                <w:szCs w:val="21"/>
                <w:highlight w:val="none"/>
                <w:lang w:eastAsia="zh-CN"/>
              </w:rPr>
              <w:t>（</w:t>
            </w:r>
            <w:r>
              <w:rPr>
                <w:rFonts w:hint="eastAsia" w:ascii="宋体" w:hAnsi="宋体" w:eastAsia="宋体" w:cs="宋体"/>
                <w:color w:val="auto"/>
                <w:kern w:val="28"/>
                <w:sz w:val="21"/>
                <w:szCs w:val="21"/>
                <w:highlight w:val="none"/>
                <w:lang w:val="en-US" w:eastAsia="zh-CN"/>
              </w:rPr>
              <w:t>8</w:t>
            </w:r>
            <w:r>
              <w:rPr>
                <w:rFonts w:hint="eastAsia" w:ascii="宋体" w:hAnsi="宋体" w:eastAsia="宋体" w:cs="宋体"/>
                <w:color w:val="auto"/>
                <w:kern w:val="28"/>
                <w:sz w:val="21"/>
                <w:szCs w:val="21"/>
                <w:highlight w:val="none"/>
                <w:lang w:eastAsia="zh-CN"/>
              </w:rPr>
              <w:t>）</w:t>
            </w:r>
            <w:r>
              <w:rPr>
                <w:rFonts w:hint="eastAsia" w:ascii="宋体" w:hAnsi="宋体" w:eastAsia="宋体" w:cs="Times New Roman"/>
                <w:color w:val="auto"/>
                <w:kern w:val="28"/>
                <w:sz w:val="21"/>
                <w:szCs w:val="21"/>
                <w:highlight w:val="none"/>
              </w:rPr>
              <w:t>投标人未提交两个以上不同的投标文件。</w:t>
            </w:r>
          </w:p>
          <w:p w14:paraId="4584BF8C">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9</w:t>
            </w:r>
            <w:r>
              <w:rPr>
                <w:rFonts w:hint="eastAsia" w:ascii="宋体" w:hAnsi="宋体" w:eastAsia="宋体" w:cs="Times New Roman"/>
                <w:color w:val="auto"/>
                <w:kern w:val="28"/>
                <w:sz w:val="21"/>
                <w:szCs w:val="21"/>
                <w:highlight w:val="none"/>
              </w:rPr>
              <w:t>）投标文件中未出现有关投标报价的内容。</w:t>
            </w:r>
          </w:p>
          <w:p w14:paraId="566EB805">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10</w:t>
            </w:r>
            <w:r>
              <w:rPr>
                <w:rFonts w:hint="eastAsia" w:ascii="宋体" w:hAnsi="宋体" w:eastAsia="宋体" w:cs="Times New Roman"/>
                <w:color w:val="auto"/>
                <w:kern w:val="28"/>
                <w:sz w:val="21"/>
                <w:szCs w:val="21"/>
                <w:highlight w:val="none"/>
              </w:rPr>
              <w:t>）投标文件载明的招标项目完成期限符合招标文件规定。</w:t>
            </w:r>
          </w:p>
          <w:p w14:paraId="4DFEABC5">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11</w:t>
            </w:r>
            <w:r>
              <w:rPr>
                <w:rFonts w:hint="eastAsia" w:ascii="宋体" w:hAnsi="宋体" w:eastAsia="宋体" w:cs="Times New Roman"/>
                <w:color w:val="auto"/>
                <w:kern w:val="28"/>
                <w:sz w:val="21"/>
                <w:szCs w:val="21"/>
                <w:highlight w:val="none"/>
              </w:rPr>
              <w:t>）投标文件对招标文件的实质性要求和条件作出响应。</w:t>
            </w:r>
          </w:p>
          <w:p w14:paraId="1D6C5E4F">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12</w:t>
            </w:r>
            <w:r>
              <w:rPr>
                <w:rFonts w:hint="eastAsia" w:ascii="宋体" w:hAnsi="宋体" w:eastAsia="宋体" w:cs="Times New Roman"/>
                <w:color w:val="auto"/>
                <w:kern w:val="28"/>
                <w:sz w:val="21"/>
                <w:szCs w:val="21"/>
                <w:highlight w:val="none"/>
              </w:rPr>
              <w:t>）权利义务符合招标文件规定：</w:t>
            </w:r>
          </w:p>
          <w:p w14:paraId="60A15727">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a.投标人应接受招标文件规定的风险划分原则，未提出新的风险划分办法；</w:t>
            </w:r>
          </w:p>
          <w:p w14:paraId="24BEDFC1">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b.投标人未增加发包人的责任范围，或减少投标人义务；</w:t>
            </w:r>
          </w:p>
          <w:p w14:paraId="67629BCD">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c.投标人未提出不同的支付办法；</w:t>
            </w:r>
          </w:p>
          <w:p w14:paraId="26108A94">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d.投标人对合同纠纷、事故处理办法未提出异议；</w:t>
            </w:r>
          </w:p>
          <w:p w14:paraId="4300F6D4">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e.投标人在投标活动中无欺诈行为；</w:t>
            </w:r>
          </w:p>
          <w:p w14:paraId="67AE434E">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f.投标人未对合同条款有重要保留。</w:t>
            </w:r>
          </w:p>
          <w:p w14:paraId="11CC7406">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第一个信封（技术文件）评审标准</w:t>
            </w:r>
            <w:r>
              <w:rPr>
                <w:rFonts w:ascii="宋体" w:hAnsi="宋体" w:eastAsia="宋体" w:cs="Times New Roman"/>
                <w:b/>
                <w:color w:val="auto"/>
                <w:kern w:val="28"/>
                <w:sz w:val="21"/>
                <w:szCs w:val="21"/>
                <w:highlight w:val="none"/>
              </w:rPr>
              <w:t>:</w:t>
            </w:r>
          </w:p>
          <w:p w14:paraId="2C35AFFF">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（1）技术建议书（暗标）编制符合招标文件第二章“投标人须知前附表”第3.7.3款的规定。</w:t>
            </w:r>
          </w:p>
          <w:p w14:paraId="3FEFBC37">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b/>
                <w:color w:val="auto"/>
                <w:kern w:val="28"/>
                <w:sz w:val="21"/>
                <w:szCs w:val="21"/>
                <w:highlight w:val="none"/>
              </w:rPr>
            </w:pPr>
            <w:r>
              <w:rPr>
                <w:rFonts w:hint="eastAsia" w:ascii="宋体" w:hAnsi="宋体" w:eastAsia="宋体" w:cs="Times New Roman"/>
                <w:b/>
                <w:color w:val="auto"/>
                <w:kern w:val="28"/>
                <w:sz w:val="21"/>
                <w:szCs w:val="21"/>
                <w:highlight w:val="none"/>
              </w:rPr>
              <w:t>第二个信封（报价文件）评审标准：</w:t>
            </w:r>
          </w:p>
          <w:p w14:paraId="03403E53">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(1)投标文件按照招标文件规定的格式、内容填写，字迹清晰可辨，内容齐</w:t>
            </w:r>
            <w:r>
              <w:rPr>
                <w:rFonts w:hint="eastAsia" w:ascii="宋体" w:hAnsi="宋体" w:eastAsia="宋体" w:cs="Times New Roman"/>
                <w:color w:val="auto"/>
                <w:kern w:val="28"/>
                <w:sz w:val="21"/>
                <w:szCs w:val="21"/>
                <w:highlight w:val="none"/>
              </w:rPr>
              <w:t>全完整：</w:t>
            </w:r>
          </w:p>
          <w:p w14:paraId="2D4C687D">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a．</w:t>
            </w:r>
            <w:r>
              <w:rPr>
                <w:rFonts w:hint="eastAsia" w:ascii="宋体" w:hAnsi="宋体" w:eastAsia="宋体" w:cs="Times New Roman"/>
                <w:color w:val="auto"/>
                <w:kern w:val="28"/>
                <w:sz w:val="21"/>
                <w:szCs w:val="21"/>
                <w:highlight w:val="none"/>
              </w:rPr>
              <w:t>投标函按招标文件规定填报了招标人名称、项目名称、补遗书编号（如有）、投标报价（包括大写金额和小写金额）；</w:t>
            </w:r>
          </w:p>
          <w:p w14:paraId="08480AD9">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b．投标文件组成齐全完整，内容均按规定填写。</w:t>
            </w:r>
          </w:p>
          <w:p w14:paraId="75807A05">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 xml:space="preserve">(2) </w:t>
            </w:r>
            <w:r>
              <w:rPr>
                <w:rFonts w:hint="eastAsia" w:ascii="宋体" w:hAnsi="宋体" w:eastAsia="宋体" w:cs="Times New Roman"/>
                <w:color w:val="auto"/>
                <w:kern w:val="28"/>
                <w:sz w:val="21"/>
                <w:szCs w:val="21"/>
                <w:highlight w:val="none"/>
              </w:rPr>
              <w:t>投标文件上法定代表人或其委托代理人签字、投标人的单位章齐全，符合招标文件规定。</w:t>
            </w:r>
          </w:p>
          <w:p w14:paraId="6F6D984B">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(3)投标报价未超过招标文件设定的最高投标限价。</w:t>
            </w:r>
          </w:p>
          <w:p w14:paraId="62A7CA11">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(4)投标报价的大写金额能够确定具体数值。</w:t>
            </w:r>
          </w:p>
          <w:p w14:paraId="3610C5AB">
            <w:pPr>
              <w:keepNext w:val="0"/>
              <w:keepLines w:val="0"/>
              <w:pageBreakBefore w:val="0"/>
              <w:widowControl w:val="0"/>
              <w:tabs>
                <w:tab w:val="left" w:pos="3060"/>
              </w:tabs>
              <w:kinsoku/>
              <w:wordWrap/>
              <w:overflowPunct/>
              <w:topLinePunct w:val="0"/>
              <w:bidi w:val="0"/>
              <w:snapToGrid w:val="0"/>
              <w:spacing w:line="320" w:lineRule="exact"/>
              <w:textAlignment w:val="auto"/>
              <w:rPr>
                <w:rFonts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(5)投标人</w:t>
            </w:r>
            <w:r>
              <w:rPr>
                <w:rFonts w:hint="eastAsia" w:ascii="宋体" w:hAnsi="宋体" w:eastAsia="宋体" w:cs="Times New Roman"/>
                <w:color w:val="auto"/>
                <w:kern w:val="28"/>
                <w:sz w:val="21"/>
                <w:szCs w:val="21"/>
                <w:highlight w:val="none"/>
              </w:rPr>
              <w:t>未提交</w:t>
            </w:r>
            <w:r>
              <w:rPr>
                <w:rFonts w:ascii="宋体" w:hAnsi="宋体" w:eastAsia="宋体" w:cs="Times New Roman"/>
                <w:color w:val="auto"/>
                <w:kern w:val="28"/>
                <w:sz w:val="21"/>
                <w:szCs w:val="21"/>
                <w:highlight w:val="none"/>
              </w:rPr>
              <w:t>两个以上不同的投标报价。</w:t>
            </w:r>
          </w:p>
          <w:p w14:paraId="42D77F1D">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lang w:val="en-US" w:eastAsia="zh-CN"/>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6</w:t>
            </w:r>
            <w:r>
              <w:rPr>
                <w:rFonts w:hint="eastAsia" w:ascii="宋体" w:hAnsi="宋体" w:eastAsia="宋体" w:cs="Times New Roman"/>
                <w:color w:val="auto"/>
                <w:kern w:val="28"/>
                <w:sz w:val="21"/>
                <w:szCs w:val="21"/>
                <w:highlight w:val="none"/>
              </w:rPr>
              <w:t>)投标人未提交调价函。</w:t>
            </w:r>
          </w:p>
        </w:tc>
      </w:tr>
      <w:tr w14:paraId="326A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072" w:type="dxa"/>
            <w:vAlign w:val="center"/>
          </w:tcPr>
          <w:p w14:paraId="3A7F8AB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2.1.2</w:t>
            </w:r>
          </w:p>
        </w:tc>
        <w:tc>
          <w:tcPr>
            <w:tcW w:w="1277" w:type="dxa"/>
            <w:vAlign w:val="center"/>
          </w:tcPr>
          <w:p w14:paraId="2F6BA99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资格评审标准</w:t>
            </w:r>
          </w:p>
        </w:tc>
        <w:tc>
          <w:tcPr>
            <w:tcW w:w="7279" w:type="dxa"/>
          </w:tcPr>
          <w:p w14:paraId="3D8E54CC">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1）</w:t>
            </w:r>
            <w:r>
              <w:rPr>
                <w:rFonts w:hint="eastAsia" w:ascii="宋体" w:hAnsi="宋体" w:eastAsia="宋体" w:cs="Times New Roman"/>
                <w:color w:val="auto"/>
                <w:kern w:val="28"/>
                <w:sz w:val="21"/>
                <w:szCs w:val="21"/>
                <w:highlight w:val="none"/>
              </w:rPr>
              <w:t>投标人具备有效的营业执照</w:t>
            </w:r>
            <w:r>
              <w:rPr>
                <w:rFonts w:ascii="宋体" w:hAnsi="宋体" w:eastAsia="宋体" w:cs="Times New Roman"/>
                <w:color w:val="auto"/>
                <w:kern w:val="28"/>
                <w:sz w:val="21"/>
                <w:szCs w:val="21"/>
                <w:highlight w:val="none"/>
              </w:rPr>
              <w:t>、资质证书和基本账户开户许可证（或基本存款账户信息）；</w:t>
            </w:r>
          </w:p>
          <w:p w14:paraId="3995A2AC">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2）投标人的资质等级符合招标文件规定；</w:t>
            </w:r>
          </w:p>
          <w:p w14:paraId="297E4C16">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3）投标人的类似项目业绩符合招标文件规定；</w:t>
            </w:r>
          </w:p>
          <w:p w14:paraId="5E84E6BB">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4）投标人的信誉符合招标文件规定；</w:t>
            </w:r>
          </w:p>
          <w:p w14:paraId="7A5B94F8">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 xml:space="preserve">5）投标人的项目负责人资格符合招标文件规定； </w:t>
            </w:r>
          </w:p>
          <w:p w14:paraId="6905F9B0">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ascii="宋体" w:hAnsi="宋体" w:eastAsia="宋体" w:cs="Times New Roman"/>
                <w:color w:val="auto"/>
                <w:kern w:val="28"/>
                <w:sz w:val="21"/>
                <w:szCs w:val="21"/>
                <w:highlight w:val="none"/>
              </w:rPr>
              <w:t>6）投标人不存在第二章“投标人须知”第1.4.3项或第1.4.4项规定的任何一种情形。</w:t>
            </w:r>
          </w:p>
        </w:tc>
      </w:tr>
      <w:tr w14:paraId="0199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1072" w:type="dxa"/>
            <w:vAlign w:val="center"/>
          </w:tcPr>
          <w:p w14:paraId="5CC5D67E">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2.2.1</w:t>
            </w:r>
          </w:p>
        </w:tc>
        <w:tc>
          <w:tcPr>
            <w:tcW w:w="1277" w:type="dxa"/>
            <w:vAlign w:val="center"/>
          </w:tcPr>
          <w:p w14:paraId="7058C19A">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分值构成</w:t>
            </w:r>
          </w:p>
        </w:tc>
        <w:tc>
          <w:tcPr>
            <w:tcW w:w="7279" w:type="dxa"/>
            <w:vAlign w:val="center"/>
          </w:tcPr>
          <w:p w14:paraId="30F9508A">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Times New Roman"/>
                <w:b/>
                <w:color w:val="auto"/>
                <w:kern w:val="0"/>
                <w:sz w:val="21"/>
                <w:szCs w:val="21"/>
                <w:highlight w:val="none"/>
              </w:rPr>
            </w:pPr>
            <w:r>
              <w:rPr>
                <w:rFonts w:hint="eastAsia" w:ascii="宋体" w:hAnsi="宋体" w:eastAsia="宋体" w:cs="Times New Roman"/>
                <w:b/>
                <w:color w:val="auto"/>
                <w:kern w:val="0"/>
                <w:sz w:val="21"/>
                <w:szCs w:val="21"/>
                <w:highlight w:val="none"/>
              </w:rPr>
              <w:t>第一信封（商务及技术文件）评分分值构成：</w:t>
            </w:r>
          </w:p>
          <w:p w14:paraId="62D86F4F">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宋?"/>
                <w:color w:val="auto"/>
                <w:kern w:val="0"/>
                <w:sz w:val="21"/>
                <w:szCs w:val="21"/>
                <w:highlight w:val="none"/>
              </w:rPr>
            </w:pPr>
            <w:r>
              <w:rPr>
                <w:rFonts w:hint="eastAsia" w:ascii="宋体" w:hAnsi="宋体" w:eastAsia="宋体" w:cs="宋?"/>
                <w:color w:val="auto"/>
                <w:kern w:val="0"/>
                <w:sz w:val="21"/>
                <w:szCs w:val="21"/>
                <w:highlight w:val="none"/>
              </w:rPr>
              <w:t>技术建议书</w:t>
            </w:r>
            <w:r>
              <w:rPr>
                <w:rFonts w:hint="eastAsia" w:ascii="宋体" w:hAnsi="宋体" w:eastAsia="宋体" w:cs="宋?"/>
                <w:color w:val="auto"/>
                <w:kern w:val="0"/>
                <w:sz w:val="21"/>
                <w:szCs w:val="21"/>
                <w:highlight w:val="none"/>
                <w:lang w:val="en-US" w:eastAsia="zh-CN"/>
              </w:rPr>
              <w:t>(暗标）</w:t>
            </w:r>
            <w:r>
              <w:rPr>
                <w:rFonts w:hint="eastAsia" w:ascii="宋体" w:hAnsi="宋体" w:eastAsia="宋体" w:cs="宋?"/>
                <w:color w:val="auto"/>
                <w:kern w:val="0"/>
                <w:sz w:val="21"/>
                <w:szCs w:val="21"/>
                <w:highlight w:val="none"/>
              </w:rPr>
              <w:t>：</w:t>
            </w:r>
            <w:r>
              <w:rPr>
                <w:rFonts w:hint="eastAsia" w:ascii="宋体" w:hAnsi="宋体" w:eastAsia="宋体" w:cs="宋?"/>
                <w:color w:val="auto"/>
                <w:kern w:val="0"/>
                <w:sz w:val="21"/>
                <w:szCs w:val="21"/>
                <w:highlight w:val="none"/>
                <w:lang w:val="en-US" w:eastAsia="zh-CN"/>
              </w:rPr>
              <w:t>40</w:t>
            </w:r>
            <w:r>
              <w:rPr>
                <w:rFonts w:ascii="宋体" w:hAnsi="宋体" w:eastAsia="宋体" w:cs="宋?"/>
                <w:color w:val="auto"/>
                <w:kern w:val="0"/>
                <w:sz w:val="21"/>
                <w:szCs w:val="21"/>
                <w:highlight w:val="none"/>
              </w:rPr>
              <w:t>分</w:t>
            </w:r>
          </w:p>
          <w:p w14:paraId="61FAE752">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主要人员：</w:t>
            </w:r>
            <w:r>
              <w:rPr>
                <w:rFonts w:hint="eastAsia" w:ascii="宋体" w:hAnsi="宋体" w:eastAsia="宋体" w:cs="Times New Roman"/>
                <w:color w:val="auto"/>
                <w:kern w:val="0"/>
                <w:sz w:val="21"/>
                <w:szCs w:val="21"/>
                <w:highlight w:val="none"/>
                <w:lang w:val="en-US" w:eastAsia="zh-CN"/>
              </w:rPr>
              <w:t>25</w:t>
            </w:r>
            <w:r>
              <w:rPr>
                <w:rFonts w:hint="eastAsia" w:ascii="宋体" w:hAnsi="宋体" w:eastAsia="宋体" w:cs="Times New Roman"/>
                <w:color w:val="auto"/>
                <w:kern w:val="0"/>
                <w:sz w:val="21"/>
                <w:szCs w:val="21"/>
                <w:highlight w:val="none"/>
              </w:rPr>
              <w:t>分</w:t>
            </w:r>
          </w:p>
          <w:p w14:paraId="04A36281">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其他因素：</w:t>
            </w:r>
            <w:r>
              <w:rPr>
                <w:rFonts w:ascii="宋体" w:hAnsi="宋体" w:eastAsia="宋体" w:cs="Times New Roman"/>
                <w:color w:val="auto"/>
                <w:kern w:val="0"/>
                <w:sz w:val="21"/>
                <w:szCs w:val="21"/>
                <w:highlight w:val="none"/>
              </w:rPr>
              <w:t>25分</w:t>
            </w:r>
          </w:p>
          <w:p w14:paraId="7C349984">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Times New Roman"/>
                <w:b/>
                <w:color w:val="auto"/>
                <w:kern w:val="0"/>
                <w:sz w:val="21"/>
                <w:szCs w:val="21"/>
                <w:highlight w:val="none"/>
              </w:rPr>
            </w:pPr>
            <w:r>
              <w:rPr>
                <w:rFonts w:hint="eastAsia" w:ascii="宋体" w:hAnsi="宋体" w:eastAsia="宋体" w:cs="Times New Roman"/>
                <w:b/>
                <w:color w:val="auto"/>
                <w:kern w:val="0"/>
                <w:sz w:val="21"/>
                <w:szCs w:val="21"/>
                <w:highlight w:val="none"/>
              </w:rPr>
              <w:t>第二信封（报价文件）评分分值构成：</w:t>
            </w:r>
          </w:p>
          <w:p w14:paraId="39D79885">
            <w:pPr>
              <w:keepNext w:val="0"/>
              <w:keepLines w:val="0"/>
              <w:pageBreakBefore w:val="0"/>
              <w:widowControl w:val="0"/>
              <w:kinsoku/>
              <w:wordWrap/>
              <w:overflowPunct/>
              <w:topLinePunct w:val="0"/>
              <w:autoSpaceDE w:val="0"/>
              <w:autoSpaceDN w:val="0"/>
              <w:bidi w:val="0"/>
              <w:adjustRightInd w:val="0"/>
              <w:snapToGrid w:val="0"/>
              <w:spacing w:line="320" w:lineRule="exact"/>
              <w:ind w:left="107"/>
              <w:jc w:val="left"/>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评标价：</w:t>
            </w:r>
            <w:r>
              <w:rPr>
                <w:rFonts w:ascii="宋体" w:hAnsi="宋体" w:eastAsia="宋体" w:cs="Times New Roman"/>
                <w:color w:val="auto"/>
                <w:kern w:val="28"/>
                <w:sz w:val="21"/>
                <w:szCs w:val="21"/>
                <w:highlight w:val="none"/>
              </w:rPr>
              <w:t>10分</w:t>
            </w:r>
          </w:p>
        </w:tc>
      </w:tr>
      <w:tr w14:paraId="02FF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72" w:type="dxa"/>
            <w:vAlign w:val="center"/>
          </w:tcPr>
          <w:p w14:paraId="3F5F8AC4">
            <w:pPr>
              <w:keepNext w:val="0"/>
              <w:keepLines w:val="0"/>
              <w:pageBreakBefore w:val="0"/>
              <w:widowControl w:val="0"/>
              <w:kinsoku/>
              <w:wordWrap/>
              <w:overflowPunct/>
              <w:topLinePunct w:val="0"/>
              <w:bidi w:val="0"/>
              <w:snapToGrid w:val="0"/>
              <w:spacing w:line="320" w:lineRule="exact"/>
              <w:ind w:right="113"/>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2.2.2</w:t>
            </w:r>
          </w:p>
        </w:tc>
        <w:tc>
          <w:tcPr>
            <w:tcW w:w="1277" w:type="dxa"/>
            <w:vAlign w:val="center"/>
          </w:tcPr>
          <w:p w14:paraId="41C76C4D">
            <w:pPr>
              <w:keepNext w:val="0"/>
              <w:keepLines w:val="0"/>
              <w:pageBreakBefore w:val="0"/>
              <w:widowControl w:val="0"/>
              <w:kinsoku/>
              <w:wordWrap/>
              <w:overflowPunct/>
              <w:topLinePunct w:val="0"/>
              <w:bidi w:val="0"/>
              <w:snapToGrid w:val="0"/>
              <w:spacing w:line="320" w:lineRule="exact"/>
              <w:ind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评标基准价计算方法</w:t>
            </w:r>
          </w:p>
        </w:tc>
        <w:tc>
          <w:tcPr>
            <w:tcW w:w="7279" w:type="dxa"/>
            <w:vAlign w:val="center"/>
          </w:tcPr>
          <w:p w14:paraId="63542FDD">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Times New Roman"/>
                <w:b/>
                <w:color w:val="auto"/>
                <w:kern w:val="2"/>
                <w:sz w:val="21"/>
                <w:szCs w:val="21"/>
                <w:highlight w:val="none"/>
              </w:rPr>
            </w:pPr>
            <w:r>
              <w:rPr>
                <w:rFonts w:hint="eastAsia" w:ascii="宋体" w:hAnsi="宋体" w:eastAsia="宋体" w:cs="Times New Roman"/>
                <w:b/>
                <w:color w:val="auto"/>
                <w:kern w:val="2"/>
                <w:sz w:val="21"/>
                <w:szCs w:val="21"/>
                <w:highlight w:val="none"/>
              </w:rPr>
              <w:t>评标基准价的计算：</w:t>
            </w:r>
          </w:p>
          <w:p w14:paraId="0669C1C5">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在第二个信封开标现场，招标人将按照第一信封开标现场抽取的评标基准价的计算方法当场计算并宣布评标基准价。</w:t>
            </w:r>
          </w:p>
          <w:p w14:paraId="223B65B4">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（1）评标价的确定： 评标价=投标函文字报价</w:t>
            </w:r>
          </w:p>
          <w:p w14:paraId="5BB97AA3">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（2）评标价平均值的计算：</w:t>
            </w:r>
          </w:p>
          <w:p w14:paraId="75A2ADA8">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除按第二章“投标人须知”第 5.2.4 项规定开标现场被宣布为不进入评标基准价计算的投标报价之外，所有投标人的评标价去掉n1个最高评标价和n2 个最低评标价后的算术平均值即为评标价平均值（评标价平均值保留小数点后两位，小数点后第三位四舍五入）：</w:t>
            </w:r>
          </w:p>
          <w:p w14:paraId="7CECFC31">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如果参与评标价平均值计算的投标人数量＜6 家时，n1=0，n2=0；</w:t>
            </w:r>
          </w:p>
          <w:p w14:paraId="2A93CEE0">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6 家≤参与评标价平均值计算的投标人数量＜10 家时，n1=1，n2=1；</w:t>
            </w:r>
          </w:p>
          <w:p w14:paraId="03743095">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参与评标价平均值计算的投标人数量≥10 家时，n1=2，n2=2。</w:t>
            </w:r>
          </w:p>
          <w:p w14:paraId="1B78895D">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w:t>
            </w:r>
            <w:r>
              <w:rPr>
                <w:rFonts w:hint="eastAsia" w:ascii="宋体" w:hAnsi="宋体" w:eastAsia="宋体" w:cs="Times New Roman"/>
                <w:color w:val="auto"/>
                <w:kern w:val="28"/>
                <w:sz w:val="21"/>
                <w:szCs w:val="21"/>
                <w:highlight w:val="none"/>
                <w:lang w:val="en-US" w:eastAsia="zh-CN"/>
              </w:rPr>
              <w:t>3</w:t>
            </w:r>
            <w:r>
              <w:rPr>
                <w:rFonts w:hint="eastAsia" w:ascii="宋体" w:hAnsi="宋体" w:eastAsia="宋体" w:cs="Times New Roman"/>
                <w:color w:val="auto"/>
                <w:kern w:val="28"/>
                <w:sz w:val="21"/>
                <w:szCs w:val="21"/>
                <w:highlight w:val="none"/>
              </w:rPr>
              <w:t>）评标基准价的确定：</w:t>
            </w:r>
          </w:p>
          <w:p w14:paraId="7A3A8854">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0"/>
                <w:sz w:val="21"/>
                <w:szCs w:val="21"/>
                <w:highlight w:val="none"/>
                <w:lang w:val="zh-CN" w:eastAsia="zh-CN" w:bidi="zh-CN"/>
              </w:rPr>
              <w:t>本次招标共设置以下三种评标基准价计算方法，在第一信封（商务及技术文件）开标现场随机确定一种评标基准价计算方法，作为本次评标的评标基准价计算方法</w:t>
            </w:r>
            <w:r>
              <w:rPr>
                <w:rFonts w:hint="eastAsia" w:ascii="宋体" w:hAnsi="宋体" w:eastAsia="宋体" w:cs="Times New Roman"/>
                <w:color w:val="auto"/>
                <w:kern w:val="28"/>
                <w:sz w:val="21"/>
                <w:szCs w:val="21"/>
                <w:highlight w:val="none"/>
              </w:rPr>
              <w:t xml:space="preserve">： </w:t>
            </w:r>
          </w:p>
          <w:p w14:paraId="2040B0F5">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b/>
                <w:bCs/>
                <w:color w:val="auto"/>
                <w:kern w:val="28"/>
                <w:sz w:val="21"/>
                <w:szCs w:val="21"/>
                <w:highlight w:val="none"/>
              </w:rPr>
            </w:pPr>
            <w:r>
              <w:rPr>
                <w:rFonts w:hint="eastAsia" w:ascii="宋体" w:hAnsi="宋体" w:eastAsia="宋体" w:cs="Times New Roman"/>
                <w:b/>
                <w:bCs/>
                <w:color w:val="auto"/>
                <w:kern w:val="28"/>
                <w:sz w:val="21"/>
                <w:szCs w:val="21"/>
                <w:highlight w:val="none"/>
              </w:rPr>
              <w:t>方法一：</w:t>
            </w:r>
          </w:p>
          <w:p w14:paraId="69B50B28">
            <w:pPr>
              <w:keepNext w:val="0"/>
              <w:keepLines w:val="0"/>
              <w:pageBreakBefore w:val="0"/>
              <w:widowControl w:val="0"/>
              <w:kinsoku/>
              <w:wordWrap/>
              <w:overflowPunct/>
              <w:topLinePunct w:val="0"/>
              <w:bidi w:val="0"/>
              <w:snapToGrid w:val="0"/>
              <w:spacing w:line="320" w:lineRule="exact"/>
              <w:ind w:right="113" w:firstLine="210" w:firstLineChars="100"/>
              <w:textAlignment w:val="auto"/>
              <w:rPr>
                <w:rFonts w:hint="eastAsia" w:ascii="宋体" w:hAnsi="宋体" w:eastAsia="宋体" w:cs="Times New Roman"/>
                <w:color w:val="auto"/>
                <w:kern w:val="28"/>
                <w:sz w:val="21"/>
                <w:szCs w:val="21"/>
                <w:highlight w:val="none"/>
                <w:lang w:val="en-US" w:eastAsia="zh-CN"/>
              </w:rPr>
            </w:pPr>
            <w:r>
              <w:rPr>
                <w:rFonts w:hint="eastAsia" w:ascii="宋体" w:hAnsi="宋体" w:eastAsia="宋体" w:cs="宋体"/>
                <w:color w:val="auto"/>
                <w:kern w:val="0"/>
                <w:sz w:val="21"/>
                <w:szCs w:val="21"/>
                <w:highlight w:val="none"/>
                <w:lang w:val="zh-CN" w:eastAsia="zh-CN" w:bidi="zh-CN"/>
              </w:rPr>
              <w:t>评标价平均值直接作为评标基准价</w:t>
            </w:r>
            <w:r>
              <w:rPr>
                <w:rFonts w:hint="eastAsia" w:ascii="宋体" w:hAnsi="宋体" w:eastAsia="宋体" w:cs="Times New Roman"/>
                <w:color w:val="auto"/>
                <w:kern w:val="28"/>
                <w:sz w:val="21"/>
                <w:szCs w:val="21"/>
                <w:highlight w:val="none"/>
              </w:rPr>
              <w:t>。</w:t>
            </w:r>
          </w:p>
          <w:p w14:paraId="6443E637">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b/>
                <w:bCs/>
                <w:color w:val="auto"/>
                <w:kern w:val="28"/>
                <w:sz w:val="21"/>
                <w:szCs w:val="21"/>
                <w:highlight w:val="none"/>
              </w:rPr>
            </w:pPr>
            <w:r>
              <w:rPr>
                <w:rFonts w:hint="eastAsia" w:ascii="宋体" w:hAnsi="宋体" w:eastAsia="宋体" w:cs="Times New Roman"/>
                <w:b/>
                <w:bCs/>
                <w:color w:val="auto"/>
                <w:kern w:val="28"/>
                <w:sz w:val="21"/>
                <w:szCs w:val="21"/>
                <w:highlight w:val="none"/>
              </w:rPr>
              <w:t>方法二：</w:t>
            </w:r>
          </w:p>
          <w:p w14:paraId="2B77FFB4">
            <w:pPr>
              <w:widowControl w:val="0"/>
              <w:autoSpaceDE w:val="0"/>
              <w:autoSpaceDN w:val="0"/>
              <w:snapToGrid w:val="0"/>
              <w:ind w:firstLine="210" w:firstLineChars="10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评标基准价P=评标价平均值×评标基准价系数K1。</w:t>
            </w:r>
          </w:p>
          <w:p w14:paraId="2575A084">
            <w:pPr>
              <w:keepNext w:val="0"/>
              <w:keepLines w:val="0"/>
              <w:pageBreakBefore w:val="0"/>
              <w:widowControl w:val="0"/>
              <w:kinsoku/>
              <w:wordWrap/>
              <w:overflowPunct/>
              <w:topLinePunct w:val="0"/>
              <w:bidi w:val="0"/>
              <w:snapToGrid w:val="0"/>
              <w:spacing w:line="320" w:lineRule="exact"/>
              <w:ind w:right="113" w:firstLine="210" w:firstLineChars="100"/>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0"/>
                <w:sz w:val="21"/>
                <w:szCs w:val="21"/>
                <w:highlight w:val="none"/>
                <w:lang w:val="zh-CN" w:eastAsia="zh-CN" w:bidi="zh-CN"/>
              </w:rPr>
              <w:t>K1为开标现场随机确定的评标基准价系数，取值范围为0.975、0.980、0.985、0.990、0.995。</w:t>
            </w:r>
          </w:p>
          <w:p w14:paraId="4944CB99">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b/>
                <w:bCs/>
                <w:color w:val="auto"/>
                <w:kern w:val="28"/>
                <w:sz w:val="21"/>
                <w:szCs w:val="21"/>
                <w:highlight w:val="none"/>
              </w:rPr>
            </w:pPr>
            <w:r>
              <w:rPr>
                <w:rFonts w:hint="eastAsia" w:ascii="宋体" w:hAnsi="宋体" w:eastAsia="宋体" w:cs="Times New Roman"/>
                <w:b/>
                <w:bCs/>
                <w:color w:val="auto"/>
                <w:kern w:val="28"/>
                <w:sz w:val="21"/>
                <w:szCs w:val="21"/>
                <w:highlight w:val="none"/>
              </w:rPr>
              <w:t>方法三：</w:t>
            </w:r>
          </w:p>
          <w:p w14:paraId="20CA1ED7">
            <w:pPr>
              <w:keepNext w:val="0"/>
              <w:keepLines w:val="0"/>
              <w:pageBreakBefore w:val="0"/>
              <w:widowControl w:val="0"/>
              <w:kinsoku/>
              <w:wordWrap/>
              <w:overflowPunct/>
              <w:topLinePunct w:val="0"/>
              <w:bidi w:val="0"/>
              <w:snapToGrid w:val="0"/>
              <w:spacing w:line="320" w:lineRule="exact"/>
              <w:ind w:left="-29" w:leftChars="-14" w:right="113" w:firstLine="210" w:firstLineChars="100"/>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评标基准价P=最高投标限价×K2+评标价平均值×（1-K2）。</w:t>
            </w:r>
          </w:p>
          <w:p w14:paraId="76DA2456">
            <w:pPr>
              <w:keepNext w:val="0"/>
              <w:keepLines w:val="0"/>
              <w:pageBreakBefore w:val="0"/>
              <w:widowControl w:val="0"/>
              <w:kinsoku/>
              <w:wordWrap/>
              <w:overflowPunct/>
              <w:topLinePunct w:val="0"/>
              <w:bidi w:val="0"/>
              <w:snapToGrid w:val="0"/>
              <w:spacing w:line="320" w:lineRule="exact"/>
              <w:ind w:left="-29" w:leftChars="-14" w:right="113" w:firstLine="210" w:firstLineChars="100"/>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K2为开标现场随机确定的最高投标限价所占比例系数，取值范围为0.10、0.15、0.20、0.25、0.30。</w:t>
            </w:r>
          </w:p>
          <w:p w14:paraId="0BA078C4">
            <w:pPr>
              <w:keepNext w:val="0"/>
              <w:keepLines w:val="0"/>
              <w:pageBreakBefore w:val="0"/>
              <w:widowControl w:val="0"/>
              <w:kinsoku/>
              <w:wordWrap/>
              <w:overflowPunct/>
              <w:topLinePunct w:val="0"/>
              <w:bidi w:val="0"/>
              <w:snapToGrid w:val="0"/>
              <w:spacing w:line="320" w:lineRule="exact"/>
              <w:ind w:left="-29" w:leftChars="-14" w:right="113" w:firstLine="420" w:firstLineChars="200"/>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14:paraId="2919C67A">
            <w:pPr>
              <w:keepNext w:val="0"/>
              <w:keepLines w:val="0"/>
              <w:pageBreakBefore w:val="0"/>
              <w:widowControl w:val="0"/>
              <w:kinsoku/>
              <w:wordWrap/>
              <w:overflowPunct/>
              <w:topLinePunct w:val="0"/>
              <w:bidi w:val="0"/>
              <w:snapToGrid w:val="0"/>
              <w:spacing w:line="320" w:lineRule="exact"/>
              <w:ind w:left="-29" w:leftChars="-14"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0"/>
                <w:sz w:val="21"/>
                <w:szCs w:val="21"/>
                <w:highlight w:val="none"/>
                <w:lang w:val="zh-CN" w:eastAsia="zh-CN" w:bidi="zh-CN"/>
              </w:rPr>
              <w:t>评标基准价保留小数点后两位，小数点后第三位四舍五入。</w:t>
            </w:r>
          </w:p>
        </w:tc>
      </w:tr>
      <w:tr w14:paraId="2035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20C76E99">
            <w:pPr>
              <w:keepNext w:val="0"/>
              <w:keepLines w:val="0"/>
              <w:pageBreakBefore w:val="0"/>
              <w:widowControl w:val="0"/>
              <w:kinsoku/>
              <w:wordWrap/>
              <w:overflowPunct/>
              <w:topLinePunct w:val="0"/>
              <w:bidi w:val="0"/>
              <w:snapToGrid w:val="0"/>
              <w:spacing w:line="320" w:lineRule="exact"/>
              <w:ind w:right="113"/>
              <w:jc w:val="center"/>
              <w:textAlignment w:val="auto"/>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t>2.2.3</w:t>
            </w:r>
          </w:p>
        </w:tc>
        <w:tc>
          <w:tcPr>
            <w:tcW w:w="1277" w:type="dxa"/>
            <w:vAlign w:val="center"/>
          </w:tcPr>
          <w:p w14:paraId="6CF80F4E">
            <w:pPr>
              <w:keepNext w:val="0"/>
              <w:keepLines w:val="0"/>
              <w:pageBreakBefore w:val="0"/>
              <w:widowControl w:val="0"/>
              <w:kinsoku/>
              <w:wordWrap/>
              <w:overflowPunct/>
              <w:topLinePunct w:val="0"/>
              <w:bidi w:val="0"/>
              <w:snapToGrid w:val="0"/>
              <w:spacing w:line="320" w:lineRule="exact"/>
              <w:ind w:left="113"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评标价的偏差率计算公式</w:t>
            </w:r>
          </w:p>
        </w:tc>
        <w:tc>
          <w:tcPr>
            <w:tcW w:w="7279" w:type="dxa"/>
            <w:vAlign w:val="center"/>
          </w:tcPr>
          <w:p w14:paraId="56253814">
            <w:pPr>
              <w:keepNext w:val="0"/>
              <w:keepLines w:val="0"/>
              <w:pageBreakBefore w:val="0"/>
              <w:widowControl w:val="0"/>
              <w:kinsoku/>
              <w:wordWrap/>
              <w:overflowPunct/>
              <w:topLinePunct w:val="0"/>
              <w:bidi w:val="0"/>
              <w:snapToGrid w:val="0"/>
              <w:spacing w:line="320" w:lineRule="exact"/>
              <w:ind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偏差率</w:t>
            </w:r>
            <w:r>
              <w:rPr>
                <w:rFonts w:ascii="宋体" w:hAnsi="宋体" w:eastAsia="宋体" w:cs="Times New Roman"/>
                <w:color w:val="auto"/>
                <w:kern w:val="28"/>
                <w:sz w:val="21"/>
                <w:szCs w:val="21"/>
                <w:highlight w:val="none"/>
              </w:rPr>
              <w:t>=100%×（投标人评标价-评标基准价）/评标基准价</w:t>
            </w:r>
          </w:p>
        </w:tc>
      </w:tr>
      <w:tr w14:paraId="1AD6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6F8734FE">
            <w:pPr>
              <w:keepNext w:val="0"/>
              <w:keepLines w:val="0"/>
              <w:pageBreakBefore w:val="0"/>
              <w:widowControl w:val="0"/>
              <w:kinsoku/>
              <w:wordWrap/>
              <w:overflowPunct/>
              <w:topLinePunct w:val="0"/>
              <w:bidi w:val="0"/>
              <w:adjustRightInd/>
              <w:snapToGrid w:val="0"/>
              <w:spacing w:line="320" w:lineRule="exact"/>
              <w:ind w:right="113" w:rightChars="0"/>
              <w:jc w:val="center"/>
              <w:textAlignment w:val="auto"/>
              <w:rPr>
                <w:rFonts w:ascii="宋体" w:hAnsi="宋体" w:eastAsia="宋体" w:cs="Times New Roman"/>
                <w:color w:val="auto"/>
                <w:kern w:val="28"/>
                <w:sz w:val="21"/>
                <w:szCs w:val="21"/>
                <w:highlight w:val="none"/>
              </w:rPr>
            </w:pPr>
            <w:r>
              <w:rPr>
                <w:rFonts w:hint="eastAsia" w:ascii="宋体" w:hAnsi="宋体" w:eastAsia="宋体" w:cs="宋体"/>
                <w:color w:val="auto"/>
                <w:kern w:val="28"/>
                <w:sz w:val="21"/>
                <w:szCs w:val="21"/>
                <w:highlight w:val="none"/>
                <w:lang w:val="en-US" w:eastAsia="zh-CN"/>
              </w:rPr>
              <w:t>3.5.3</w:t>
            </w:r>
          </w:p>
        </w:tc>
        <w:tc>
          <w:tcPr>
            <w:tcW w:w="8556" w:type="dxa"/>
            <w:gridSpan w:val="2"/>
            <w:vAlign w:val="center"/>
          </w:tcPr>
          <w:p w14:paraId="0952E129">
            <w:pPr>
              <w:keepNext w:val="0"/>
              <w:keepLines w:val="0"/>
              <w:pageBreakBefore w:val="0"/>
              <w:widowControl w:val="0"/>
              <w:kinsoku/>
              <w:wordWrap/>
              <w:overflowPunct/>
              <w:topLinePunct w:val="0"/>
              <w:bidi w:val="0"/>
              <w:snapToGrid w:val="0"/>
              <w:spacing w:line="320" w:lineRule="exact"/>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本款修改为：</w:t>
            </w:r>
          </w:p>
          <w:p w14:paraId="78D6165D">
            <w:pPr>
              <w:keepNext w:val="0"/>
              <w:keepLines w:val="0"/>
              <w:pageBreakBefore w:val="0"/>
              <w:widowControl w:val="0"/>
              <w:kinsoku/>
              <w:wordWrap/>
              <w:overflowPunct/>
              <w:topLinePunct w:val="0"/>
              <w:autoSpaceDE w:val="0"/>
              <w:autoSpaceDN w:val="0"/>
              <w:bidi w:val="0"/>
              <w:adjustRightInd/>
              <w:snapToGrid w:val="0"/>
              <w:spacing w:line="320" w:lineRule="exact"/>
              <w:ind w:firstLine="420" w:firstLineChars="200"/>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0"/>
                <w:sz w:val="21"/>
                <w:szCs w:val="21"/>
                <w:highlight w:val="none"/>
                <w:lang w:eastAsia="en-US"/>
              </w:rPr>
              <w:t>评标委员会发现投标人的投标报价低于最高投标限价的</w:t>
            </w:r>
            <w:r>
              <w:rPr>
                <w:rFonts w:hint="eastAsia" w:ascii="宋体" w:hAnsi="宋体" w:eastAsia="宋体" w:cs="宋体"/>
                <w:color w:val="auto"/>
                <w:kern w:val="0"/>
                <w:sz w:val="21"/>
                <w:szCs w:val="21"/>
                <w:highlight w:val="none"/>
                <w:lang w:val="en-US" w:eastAsia="zh-CN"/>
              </w:rPr>
              <w:t>65</w:t>
            </w:r>
            <w:r>
              <w:rPr>
                <w:rFonts w:hint="eastAsia" w:ascii="宋体" w:hAnsi="宋体" w:eastAsia="宋体" w:cs="宋体"/>
                <w:color w:val="auto"/>
                <w:kern w:val="0"/>
                <w:sz w:val="21"/>
                <w:szCs w:val="21"/>
                <w:highlight w:val="none"/>
                <w:lang w:eastAsia="en-US"/>
              </w:rPr>
              <w:t>%</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含）</w:t>
            </w:r>
            <w:r>
              <w:rPr>
                <w:rFonts w:hint="eastAsia" w:ascii="宋体" w:hAnsi="宋体" w:eastAsia="宋体" w:cs="宋体"/>
                <w:color w:val="auto"/>
                <w:kern w:val="0"/>
                <w:sz w:val="21"/>
                <w:szCs w:val="21"/>
                <w:highlight w:val="none"/>
                <w:lang w:eastAsia="en-US"/>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8C0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4769F7E5">
            <w:pPr>
              <w:keepNext w:val="0"/>
              <w:keepLines w:val="0"/>
              <w:pageBreakBefore w:val="0"/>
              <w:widowControl w:val="0"/>
              <w:kinsoku/>
              <w:wordWrap/>
              <w:overflowPunct/>
              <w:topLinePunct w:val="0"/>
              <w:bidi w:val="0"/>
              <w:snapToGrid w:val="0"/>
              <w:spacing w:line="320" w:lineRule="exact"/>
              <w:ind w:left="113" w:right="113"/>
              <w:textAlignment w:val="auto"/>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3.6.1</w:t>
            </w:r>
          </w:p>
        </w:tc>
        <w:tc>
          <w:tcPr>
            <w:tcW w:w="1277" w:type="dxa"/>
            <w:vAlign w:val="center"/>
          </w:tcPr>
          <w:p w14:paraId="79D2220E">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宋体"/>
                <w:b w:val="0"/>
                <w:bCs/>
                <w:color w:val="auto"/>
                <w:kern w:val="28"/>
                <w:sz w:val="21"/>
                <w:szCs w:val="21"/>
                <w:highlight w:val="none"/>
              </w:rPr>
              <w:t>投标文件相关信息的核查</w:t>
            </w:r>
          </w:p>
        </w:tc>
        <w:tc>
          <w:tcPr>
            <w:tcW w:w="7279" w:type="dxa"/>
            <w:vAlign w:val="center"/>
          </w:tcPr>
          <w:p w14:paraId="345BAA07">
            <w:pPr>
              <w:autoSpaceDE w:val="0"/>
              <w:autoSpaceDN w:val="0"/>
              <w:snapToGrid w:val="0"/>
              <w:spacing w:line="320" w:lineRule="exact"/>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本款修改为：</w:t>
            </w:r>
          </w:p>
          <w:p w14:paraId="2CFCC69C">
            <w:pPr>
              <w:numPr>
                <w:ilvl w:val="0"/>
                <w:numId w:val="0"/>
              </w:numPr>
              <w:autoSpaceDE w:val="0"/>
              <w:autoSpaceDN w:val="0"/>
              <w:snapToGrid w:val="0"/>
              <w:spacing w:line="320" w:lineRule="exact"/>
              <w:ind w:firstLine="420" w:firstLineChars="200"/>
              <w:jc w:val="left"/>
              <w:rPr>
                <w:rFonts w:hint="default"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lang w:eastAsia="zh-CN"/>
              </w:rPr>
              <w:t>评标委员会在评标过程中</w:t>
            </w:r>
            <w:r>
              <w:rPr>
                <w:rFonts w:hint="eastAsia" w:ascii="宋体" w:hAnsi="宋体" w:eastAsia="宋体" w:cs="宋体"/>
                <w:kern w:val="0"/>
                <w:sz w:val="21"/>
                <w:szCs w:val="21"/>
                <w:highlight w:val="none"/>
                <w:lang w:val="en-US" w:eastAsia="zh-CN"/>
              </w:rPr>
              <w:t>将对投标人的信誉情况进行查询。如投标人存在下列情形之一的，</w:t>
            </w:r>
            <w:r>
              <w:rPr>
                <w:rFonts w:hint="eastAsia" w:ascii="宋体" w:hAnsi="宋体" w:eastAsia="宋体" w:cs="宋体"/>
                <w:kern w:val="0"/>
                <w:sz w:val="21"/>
                <w:szCs w:val="21"/>
                <w:highlight w:val="none"/>
                <w:lang w:eastAsia="zh-CN"/>
              </w:rPr>
              <w:t>评标委员会应否决其投标。</w:t>
            </w:r>
          </w:p>
          <w:p w14:paraId="67DD94E5">
            <w:pPr>
              <w:numPr>
                <w:ilvl w:val="0"/>
                <w:numId w:val="0"/>
              </w:numPr>
              <w:autoSpaceDE w:val="0"/>
              <w:autoSpaceDN w:val="0"/>
              <w:snapToGrid w:val="0"/>
              <w:spacing w:line="320" w:lineRule="exact"/>
              <w:ind w:firstLine="420" w:firstLineChars="200"/>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lang w:eastAsia="zh-CN"/>
              </w:rPr>
              <w:t>在国家企业信用信息公示系统（https://www.gsxt.gov.cn/）中被列入严重违法失信名单（黑名单）（不含分公司）；</w:t>
            </w:r>
          </w:p>
          <w:p w14:paraId="61AEA9B9">
            <w:pPr>
              <w:numPr>
                <w:ilvl w:val="0"/>
                <w:numId w:val="0"/>
              </w:numPr>
              <w:autoSpaceDE w:val="0"/>
              <w:autoSpaceDN w:val="0"/>
              <w:snapToGrid w:val="0"/>
              <w:spacing w:line="320" w:lineRule="exact"/>
              <w:ind w:firstLine="420" w:firstLineChars="200"/>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zh-CN"/>
              </w:rPr>
              <w:t>在“信用中国”网站（http://www.creditchina.gov.cn/）中被列入经营（活动）异常名录、重大税收违法失信主体名单、政府采购严重违法失信行为记录名单、</w:t>
            </w:r>
            <w:r>
              <w:rPr>
                <w:rFonts w:hint="eastAsia" w:ascii="宋体" w:hAnsi="宋体" w:eastAsia="宋体" w:cs="仿宋"/>
                <w:color w:val="000000"/>
                <w:kern w:val="28"/>
                <w:sz w:val="21"/>
                <w:szCs w:val="21"/>
                <w:highlight w:val="none"/>
              </w:rPr>
              <w:t>安全生产严重失信主体名单</w:t>
            </w:r>
            <w:r>
              <w:rPr>
                <w:rFonts w:hint="eastAsia" w:ascii="宋体" w:hAnsi="宋体" w:eastAsia="宋体" w:cs="宋体"/>
                <w:kern w:val="0"/>
                <w:sz w:val="21"/>
                <w:szCs w:val="21"/>
                <w:highlight w:val="none"/>
                <w:lang w:eastAsia="zh-CN"/>
              </w:rPr>
              <w:t>（均不含分公司）；</w:t>
            </w:r>
          </w:p>
          <w:p w14:paraId="0E46909F">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Times New Roman"/>
                <w:color w:val="auto"/>
                <w:kern w:val="28"/>
                <w:sz w:val="21"/>
                <w:szCs w:val="21"/>
                <w:highlight w:val="none"/>
              </w:rPr>
            </w:pP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lang w:eastAsia="zh-CN"/>
              </w:rPr>
              <w:t>在中国执行信息公开网（zxgk.court.gov.cn）中被列入失信被执行人（不含分公司）。</w:t>
            </w:r>
          </w:p>
        </w:tc>
      </w:tr>
      <w:tr w14:paraId="3575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2" w:type="dxa"/>
            <w:vAlign w:val="center"/>
          </w:tcPr>
          <w:p w14:paraId="1DCF6B2A">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Times New Roman"/>
                <w:color w:val="auto"/>
                <w:kern w:val="28"/>
                <w:sz w:val="21"/>
                <w:szCs w:val="21"/>
                <w:highlight w:val="none"/>
              </w:rPr>
            </w:pPr>
            <w:r>
              <w:rPr>
                <w:rFonts w:hint="eastAsia" w:ascii="宋体" w:hAnsi="宋体" w:eastAsia="宋体" w:cs="宋体"/>
                <w:color w:val="auto"/>
                <w:kern w:val="28"/>
                <w:sz w:val="21"/>
                <w:szCs w:val="21"/>
                <w:highlight w:val="none"/>
                <w:lang w:val="en-US" w:eastAsia="zh-CN"/>
              </w:rPr>
              <w:t>3.6.3</w:t>
            </w:r>
          </w:p>
        </w:tc>
        <w:tc>
          <w:tcPr>
            <w:tcW w:w="1277" w:type="dxa"/>
            <w:vAlign w:val="center"/>
          </w:tcPr>
          <w:p w14:paraId="6173EADF">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eastAsia="宋体" w:cs="宋体"/>
                <w:b/>
                <w:color w:val="auto"/>
                <w:kern w:val="28"/>
                <w:sz w:val="21"/>
                <w:szCs w:val="21"/>
                <w:highlight w:val="none"/>
              </w:rPr>
            </w:pPr>
            <w:r>
              <w:rPr>
                <w:rFonts w:hint="eastAsia" w:ascii="宋体" w:hAnsi="宋体" w:eastAsia="宋体" w:cs="宋体"/>
                <w:color w:val="auto"/>
                <w:kern w:val="28"/>
                <w:sz w:val="21"/>
                <w:szCs w:val="21"/>
                <w:highlight w:val="none"/>
                <w:lang w:val="en-US" w:eastAsia="zh-CN"/>
              </w:rPr>
              <w:t>投标人异常投标情形的核查</w:t>
            </w:r>
          </w:p>
        </w:tc>
        <w:tc>
          <w:tcPr>
            <w:tcW w:w="7279" w:type="dxa"/>
            <w:vAlign w:val="center"/>
          </w:tcPr>
          <w:p w14:paraId="2F950E88">
            <w:pPr>
              <w:keepNext w:val="0"/>
              <w:keepLines w:val="0"/>
              <w:pageBreakBefore w:val="0"/>
              <w:widowControl w:val="0"/>
              <w:kinsoku/>
              <w:wordWrap/>
              <w:overflowPunct/>
              <w:topLinePunct w:val="0"/>
              <w:bidi w:val="0"/>
              <w:snapToGrid w:val="0"/>
              <w:spacing w:line="320" w:lineRule="exact"/>
              <w:textAlignment w:val="auto"/>
              <w:rPr>
                <w:rFonts w:hint="eastAsia" w:ascii="宋体" w:hAnsi="宋体" w:eastAsia="宋体" w:cs="Times New Roman"/>
                <w:color w:val="auto"/>
                <w:kern w:val="2"/>
                <w:sz w:val="21"/>
                <w:szCs w:val="21"/>
                <w:highlight w:val="none"/>
                <w:lang w:val="en-US" w:eastAsia="zh-CN"/>
              </w:rPr>
            </w:pPr>
            <w:r>
              <w:rPr>
                <w:rFonts w:hint="eastAsia" w:ascii="宋体" w:hAnsi="宋体" w:eastAsia="宋体" w:cs="Times New Roman"/>
                <w:color w:val="auto"/>
                <w:kern w:val="2"/>
                <w:sz w:val="21"/>
                <w:szCs w:val="21"/>
                <w:highlight w:val="none"/>
                <w:lang w:val="en-US" w:eastAsia="zh-CN"/>
              </w:rPr>
              <w:t>补充本款：</w:t>
            </w:r>
          </w:p>
          <w:p w14:paraId="321423CB">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w:t>
            </w:r>
            <w:r>
              <w:rPr>
                <w:rFonts w:hint="eastAsia" w:ascii="宋体" w:hAnsi="宋体" w:eastAsia="宋体" w:cs="宋体"/>
                <w:color w:val="auto"/>
                <w:kern w:val="28"/>
                <w:sz w:val="21"/>
                <w:szCs w:val="21"/>
                <w:highlight w:val="none"/>
                <w:lang w:val="en-US" w:eastAsia="zh-CN"/>
              </w:rPr>
              <w:t>串通</w:t>
            </w:r>
            <w:r>
              <w:rPr>
                <w:rFonts w:hint="default" w:ascii="宋体" w:hAnsi="宋体" w:eastAsia="宋体" w:cs="宋体"/>
                <w:color w:val="auto"/>
                <w:kern w:val="28"/>
                <w:sz w:val="21"/>
                <w:szCs w:val="21"/>
                <w:highlight w:val="none"/>
                <w:lang w:val="en-US" w:eastAsia="zh-CN"/>
              </w:rPr>
              <w:t>投标情形，并否决其投标。</w:t>
            </w:r>
          </w:p>
          <w:p w14:paraId="6C24BEB4">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有下列情形之一的，属于投标文件异常一致或投标活动异常关联等异常投标情形：</w:t>
            </w:r>
          </w:p>
          <w:p w14:paraId="0C94D726">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（1）投标人投标文件制作机器码雷同；</w:t>
            </w:r>
          </w:p>
          <w:p w14:paraId="543244F1">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（2）投标文件创建标识码雷同；</w:t>
            </w:r>
          </w:p>
          <w:p w14:paraId="2706B74A">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（3）投标文件制作计算机MAC地址雷同；</w:t>
            </w:r>
          </w:p>
          <w:p w14:paraId="5ABF3AF6">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（4）投标文件制作计算机硬盘序列号雷同；</w:t>
            </w:r>
          </w:p>
          <w:p w14:paraId="39078AD2">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default" w:ascii="宋体" w:hAnsi="宋体" w:eastAsia="宋体" w:cs="宋体"/>
                <w:color w:val="auto"/>
                <w:kern w:val="28"/>
                <w:sz w:val="21"/>
                <w:szCs w:val="21"/>
                <w:highlight w:val="none"/>
                <w:lang w:val="en-US" w:eastAsia="zh-CN"/>
              </w:rPr>
              <w:t>（</w:t>
            </w:r>
            <w:r>
              <w:rPr>
                <w:rFonts w:hint="eastAsia" w:ascii="宋体" w:hAnsi="宋体" w:eastAsia="宋体" w:cs="宋体"/>
                <w:color w:val="auto"/>
                <w:kern w:val="28"/>
                <w:sz w:val="21"/>
                <w:szCs w:val="21"/>
                <w:highlight w:val="none"/>
                <w:lang w:val="en-US" w:eastAsia="zh-CN"/>
              </w:rPr>
              <w:t>5</w:t>
            </w:r>
            <w:r>
              <w:rPr>
                <w:rFonts w:hint="default" w:ascii="宋体" w:hAnsi="宋体" w:eastAsia="宋体" w:cs="宋体"/>
                <w:color w:val="auto"/>
                <w:kern w:val="28"/>
                <w:sz w:val="21"/>
                <w:szCs w:val="21"/>
                <w:highlight w:val="none"/>
                <w:lang w:val="en-US" w:eastAsia="zh-CN"/>
              </w:rPr>
              <w:t>）投标文件上传IP地址雷同；</w:t>
            </w:r>
          </w:p>
          <w:p w14:paraId="43FE1E77">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eastAsia" w:ascii="宋体" w:hAnsi="宋体" w:eastAsia="宋体" w:cs="宋体"/>
                <w:kern w:val="0"/>
                <w:sz w:val="21"/>
                <w:szCs w:val="21"/>
                <w:highlight w:val="none"/>
                <w:lang w:val="en-US" w:eastAsia="zh-CN"/>
              </w:rPr>
            </w:pPr>
            <w:r>
              <w:rPr>
                <w:rFonts w:hint="default" w:ascii="宋体" w:hAnsi="宋体" w:eastAsia="宋体" w:cs="宋体"/>
                <w:color w:val="auto"/>
                <w:kern w:val="28"/>
                <w:sz w:val="21"/>
                <w:szCs w:val="21"/>
                <w:highlight w:val="none"/>
                <w:lang w:val="en-US" w:eastAsia="zh-CN"/>
              </w:rPr>
              <w:t>（</w:t>
            </w:r>
            <w:r>
              <w:rPr>
                <w:rFonts w:hint="eastAsia" w:ascii="宋体" w:hAnsi="宋体" w:eastAsia="宋体" w:cs="宋体"/>
                <w:color w:val="auto"/>
                <w:kern w:val="28"/>
                <w:sz w:val="21"/>
                <w:szCs w:val="21"/>
                <w:highlight w:val="none"/>
                <w:lang w:val="en-US" w:eastAsia="zh-CN"/>
              </w:rPr>
              <w:t>6</w:t>
            </w:r>
            <w:r>
              <w:rPr>
                <w:rFonts w:hint="default" w:ascii="宋体" w:hAnsi="宋体" w:eastAsia="宋体" w:cs="宋体"/>
                <w:color w:val="auto"/>
                <w:kern w:val="28"/>
                <w:sz w:val="21"/>
                <w:szCs w:val="21"/>
                <w:highlight w:val="none"/>
                <w:lang w:val="en-US" w:eastAsia="zh-CN"/>
              </w:rPr>
              <w:t>）投标文件解密IP地址雷同。</w:t>
            </w:r>
          </w:p>
        </w:tc>
      </w:tr>
      <w:tr w14:paraId="4966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628" w:type="dxa"/>
            <w:gridSpan w:val="3"/>
            <w:vAlign w:val="center"/>
          </w:tcPr>
          <w:p w14:paraId="7CC837A0">
            <w:pPr>
              <w:keepNext w:val="0"/>
              <w:keepLines w:val="0"/>
              <w:pageBreakBefore w:val="0"/>
              <w:widowControl w:val="0"/>
              <w:kinsoku/>
              <w:wordWrap/>
              <w:overflowPunct/>
              <w:topLinePunct w:val="0"/>
              <w:autoSpaceDE w:val="0"/>
              <w:autoSpaceDN w:val="0"/>
              <w:bidi w:val="0"/>
              <w:snapToGrid w:val="0"/>
              <w:spacing w:line="320" w:lineRule="exact"/>
              <w:ind w:firstLine="210" w:firstLineChars="100"/>
              <w:textAlignment w:val="auto"/>
              <w:rPr>
                <w:rFonts w:hint="default"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rPr>
              <w:t>需补充的其他内容：无</w:t>
            </w:r>
          </w:p>
        </w:tc>
      </w:tr>
    </w:tbl>
    <w:p w14:paraId="4F6EFE8D">
      <w:pPr>
        <w:spacing w:line="480" w:lineRule="exact"/>
        <w:ind w:firstLine="8505" w:firstLineChars="4050"/>
        <w:rPr>
          <w:rFonts w:hint="eastAsia" w:ascii="宋体" w:hAnsi="宋体" w:eastAsia="宋体" w:cs="Times New Roman"/>
          <w:color w:val="auto"/>
          <w:kern w:val="28"/>
          <w:sz w:val="21"/>
          <w:szCs w:val="21"/>
          <w:highlight w:val="none"/>
        </w:rPr>
      </w:pPr>
    </w:p>
    <w:p w14:paraId="690FE8A7">
      <w:pPr>
        <w:spacing w:line="480" w:lineRule="exact"/>
        <w:ind w:firstLine="8505" w:firstLineChars="4050"/>
        <w:rPr>
          <w:rFonts w:hint="eastAsia" w:ascii="宋体" w:hAnsi="宋体" w:eastAsia="宋体" w:cs="Times New Roman"/>
          <w:color w:val="auto"/>
          <w:kern w:val="28"/>
          <w:sz w:val="21"/>
          <w:szCs w:val="21"/>
          <w:highlight w:val="none"/>
        </w:rPr>
      </w:pPr>
      <w:r>
        <w:rPr>
          <w:rFonts w:ascii="宋体" w:hAnsi="宋体" w:eastAsia="宋体" w:cs="Times New Roman"/>
          <w:color w:val="auto"/>
          <w:kern w:val="28"/>
          <w:sz w:val="21"/>
          <w:szCs w:val="21"/>
          <w:highlight w:val="none"/>
        </w:rPr>
        <w:br w:type="page"/>
      </w:r>
    </w:p>
    <w:p w14:paraId="5797E429">
      <w:pPr>
        <w:spacing w:line="480" w:lineRule="exact"/>
        <w:ind w:firstLine="240"/>
        <w:jc w:val="right"/>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续上表</w:t>
      </w:r>
    </w:p>
    <w:tbl>
      <w:tblPr>
        <w:tblStyle w:val="4"/>
        <w:tblW w:w="9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741"/>
        <w:gridCol w:w="831"/>
        <w:gridCol w:w="1209"/>
        <w:gridCol w:w="634"/>
        <w:gridCol w:w="795"/>
        <w:gridCol w:w="4615"/>
      </w:tblGrid>
      <w:tr w14:paraId="00B0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156" w:type="dxa"/>
            <w:gridSpan w:val="5"/>
            <w:vAlign w:val="center"/>
          </w:tcPr>
          <w:p w14:paraId="3CBFBF5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评分因素与权重分值</w:t>
            </w:r>
          </w:p>
        </w:tc>
        <w:tc>
          <w:tcPr>
            <w:tcW w:w="5410" w:type="dxa"/>
            <w:gridSpan w:val="2"/>
            <w:vMerge w:val="restart"/>
            <w:vAlign w:val="center"/>
          </w:tcPr>
          <w:p w14:paraId="34823CA3">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评分标准</w:t>
            </w:r>
          </w:p>
        </w:tc>
      </w:tr>
      <w:tr w14:paraId="5F74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41" w:type="dxa"/>
            <w:vAlign w:val="center"/>
          </w:tcPr>
          <w:p w14:paraId="2B36E30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条款号</w:t>
            </w:r>
          </w:p>
        </w:tc>
        <w:tc>
          <w:tcPr>
            <w:tcW w:w="741" w:type="dxa"/>
            <w:vAlign w:val="center"/>
          </w:tcPr>
          <w:p w14:paraId="2FCCDDDD">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评分因素</w:t>
            </w:r>
          </w:p>
        </w:tc>
        <w:tc>
          <w:tcPr>
            <w:tcW w:w="831" w:type="dxa"/>
            <w:vAlign w:val="center"/>
          </w:tcPr>
          <w:p w14:paraId="564B77B6">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评分因素</w:t>
            </w:r>
            <w:r>
              <w:rPr>
                <w:rFonts w:ascii="宋体" w:hAnsi="宋体" w:eastAsia="宋体" w:cs="Times New Roman"/>
                <w:color w:val="auto"/>
                <w:kern w:val="2"/>
                <w:sz w:val="21"/>
                <w:szCs w:val="21"/>
                <w:highlight w:val="none"/>
                <w:lang w:val="en-US" w:eastAsia="zh-CN" w:bidi="ar-SA"/>
              </w:rPr>
              <w:t xml:space="preserve"> </w:t>
            </w:r>
            <w:r>
              <w:rPr>
                <w:rFonts w:hint="eastAsia" w:ascii="宋体" w:hAnsi="宋体" w:eastAsia="宋体" w:cs="Times New Roman"/>
                <w:color w:val="auto"/>
                <w:kern w:val="2"/>
                <w:sz w:val="21"/>
                <w:szCs w:val="21"/>
                <w:highlight w:val="none"/>
                <w:lang w:val="en-US" w:eastAsia="zh-CN" w:bidi="ar-SA"/>
              </w:rPr>
              <w:t>权重分值</w:t>
            </w:r>
          </w:p>
        </w:tc>
        <w:tc>
          <w:tcPr>
            <w:tcW w:w="1209" w:type="dxa"/>
            <w:vAlign w:val="center"/>
          </w:tcPr>
          <w:p w14:paraId="14BAECA4">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宋体"/>
                <w:color w:val="auto"/>
                <w:spacing w:val="0"/>
                <w:w w:val="100"/>
                <w:kern w:val="28"/>
                <w:position w:val="0"/>
                <w:sz w:val="21"/>
                <w:szCs w:val="21"/>
                <w:highlight w:val="none"/>
                <w:u w:val="none"/>
                <w:shd w:val="clear" w:color="auto" w:fill="FFFFFF"/>
                <w:lang w:val="zh-CN" w:eastAsia="zh-CN" w:bidi="zh-CN"/>
              </w:rPr>
              <w:t>各评分因素细分项</w:t>
            </w:r>
          </w:p>
        </w:tc>
        <w:tc>
          <w:tcPr>
            <w:tcW w:w="634" w:type="dxa"/>
            <w:vAlign w:val="center"/>
          </w:tcPr>
          <w:p w14:paraId="702EE792">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分值</w:t>
            </w:r>
          </w:p>
        </w:tc>
        <w:tc>
          <w:tcPr>
            <w:tcW w:w="5410" w:type="dxa"/>
            <w:gridSpan w:val="2"/>
            <w:vMerge w:val="continue"/>
            <w:vAlign w:val="center"/>
          </w:tcPr>
          <w:p w14:paraId="7CEDA05D">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r>
      <w:tr w14:paraId="69FB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741" w:type="dxa"/>
            <w:vMerge w:val="restart"/>
            <w:vAlign w:val="center"/>
          </w:tcPr>
          <w:p w14:paraId="7C1EABED">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2.2.4（1）</w:t>
            </w:r>
          </w:p>
        </w:tc>
        <w:tc>
          <w:tcPr>
            <w:tcW w:w="741" w:type="dxa"/>
            <w:vMerge w:val="restart"/>
            <w:vAlign w:val="center"/>
          </w:tcPr>
          <w:p w14:paraId="37B9F62E">
            <w:pPr>
              <w:widowControl w:val="0"/>
              <w:spacing w:line="480" w:lineRule="exact"/>
              <w:jc w:val="left"/>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技术建议书（暗标）</w:t>
            </w:r>
          </w:p>
        </w:tc>
        <w:tc>
          <w:tcPr>
            <w:tcW w:w="831" w:type="dxa"/>
            <w:vMerge w:val="restart"/>
            <w:vAlign w:val="center"/>
          </w:tcPr>
          <w:p w14:paraId="27BE2A0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40分</w:t>
            </w:r>
          </w:p>
        </w:tc>
        <w:tc>
          <w:tcPr>
            <w:tcW w:w="1209" w:type="dxa"/>
            <w:vMerge w:val="restart"/>
            <w:vAlign w:val="center"/>
          </w:tcPr>
          <w:p w14:paraId="0130D0DF">
            <w:pPr>
              <w:widowControl w:val="0"/>
              <w:spacing w:line="160" w:lineRule="atLeas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对招标项目的理解和总体设计思路</w:t>
            </w:r>
          </w:p>
        </w:tc>
        <w:tc>
          <w:tcPr>
            <w:tcW w:w="634" w:type="dxa"/>
            <w:vMerge w:val="restart"/>
            <w:vAlign w:val="center"/>
          </w:tcPr>
          <w:p w14:paraId="21BC5B49">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10分</w:t>
            </w:r>
          </w:p>
        </w:tc>
        <w:tc>
          <w:tcPr>
            <w:tcW w:w="795" w:type="dxa"/>
            <w:vMerge w:val="restart"/>
            <w:vAlign w:val="center"/>
          </w:tcPr>
          <w:p w14:paraId="1ACF4B17">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对招标项目的理解（5分）</w:t>
            </w:r>
          </w:p>
        </w:tc>
        <w:tc>
          <w:tcPr>
            <w:tcW w:w="4615" w:type="dxa"/>
            <w:vAlign w:val="center"/>
          </w:tcPr>
          <w:p w14:paraId="0F85B30D">
            <w:pPr>
              <w:widowControl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对本项目名称、所在地区、建设规模、所处路网地位、主要工作内容、工期承诺等阐述基本全面，得3.0分；</w:t>
            </w:r>
          </w:p>
        </w:tc>
      </w:tr>
      <w:tr w14:paraId="2F3F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1" w:type="dxa"/>
            <w:vMerge w:val="continue"/>
            <w:vAlign w:val="center"/>
          </w:tcPr>
          <w:p w14:paraId="4A6B9B1F">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2734C5D8">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3B364583">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451BE141">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5ADD5609">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795" w:type="dxa"/>
            <w:vMerge w:val="continue"/>
            <w:vAlign w:val="center"/>
          </w:tcPr>
          <w:p w14:paraId="1CDEB270">
            <w:pPr>
              <w:widowControl w:val="0"/>
              <w:spacing w:line="300" w:lineRule="exact"/>
              <w:jc w:val="left"/>
              <w:rPr>
                <w:rFonts w:hint="eastAsia" w:ascii="宋体" w:hAnsi="宋体" w:eastAsia="宋体" w:cs="Times New Roman"/>
                <w:color w:val="auto"/>
                <w:spacing w:val="-4"/>
                <w:kern w:val="2"/>
                <w:sz w:val="21"/>
                <w:szCs w:val="21"/>
                <w:highlight w:val="none"/>
                <w:lang w:val="en-US" w:eastAsia="zh-CN" w:bidi="ar-SA"/>
              </w:rPr>
            </w:pPr>
          </w:p>
        </w:tc>
        <w:tc>
          <w:tcPr>
            <w:tcW w:w="4615" w:type="dxa"/>
            <w:vAlign w:val="center"/>
          </w:tcPr>
          <w:p w14:paraId="1F138BBC">
            <w:pPr>
              <w:widowControl w:val="0"/>
              <w:jc w:val="left"/>
              <w:rPr>
                <w:rFonts w:hint="eastAsia" w:ascii="宋体" w:hAnsi="宋体" w:eastAsia="宋体" w:cs="Times New Roman"/>
                <w:color w:val="auto"/>
                <w:spacing w:val="-4"/>
                <w:kern w:val="2"/>
                <w:sz w:val="21"/>
                <w:szCs w:val="21"/>
                <w:highlight w:val="none"/>
                <w:lang w:val="en-US" w:eastAsia="zh-CN" w:bidi="ar-SA"/>
              </w:rPr>
            </w:pPr>
            <w:r>
              <w:rPr>
                <w:rFonts w:hint="eastAsia" w:ascii="宋体" w:hAnsi="宋体" w:eastAsia="宋体" w:cs="Times New Roman"/>
                <w:color w:val="auto"/>
                <w:spacing w:val="-4"/>
                <w:kern w:val="2"/>
                <w:sz w:val="21"/>
                <w:szCs w:val="21"/>
                <w:highlight w:val="none"/>
                <w:lang w:val="en-US" w:eastAsia="zh-CN" w:bidi="ar-SA"/>
              </w:rPr>
              <w:t>对本项目名称、所在地区、建设规模、所处路网地位、主要工作内容、工期承诺等阐述全面，得3.0</w:t>
            </w:r>
            <w:r>
              <w:rPr>
                <w:rFonts w:ascii="宋体" w:hAnsi="宋体" w:eastAsia="宋体" w:cs="Times New Roman"/>
                <w:color w:val="auto"/>
                <w:spacing w:val="-4"/>
                <w:kern w:val="2"/>
                <w:sz w:val="21"/>
                <w:szCs w:val="21"/>
                <w:highlight w:val="none"/>
                <w:lang w:val="en-US" w:eastAsia="zh-CN" w:bidi="ar-SA"/>
              </w:rPr>
              <w:t>-</w:t>
            </w:r>
            <w:r>
              <w:rPr>
                <w:rFonts w:hint="eastAsia" w:ascii="宋体" w:hAnsi="宋体" w:eastAsia="宋体" w:cs="Times New Roman"/>
                <w:color w:val="auto"/>
                <w:spacing w:val="-4"/>
                <w:kern w:val="2"/>
                <w:sz w:val="21"/>
                <w:szCs w:val="21"/>
                <w:highlight w:val="none"/>
                <w:lang w:val="en-US" w:eastAsia="zh-CN" w:bidi="ar-SA"/>
              </w:rPr>
              <w:t>4.0分；</w:t>
            </w:r>
          </w:p>
        </w:tc>
      </w:tr>
      <w:tr w14:paraId="29D0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741" w:type="dxa"/>
            <w:vMerge w:val="continue"/>
            <w:vAlign w:val="center"/>
          </w:tcPr>
          <w:p w14:paraId="68FD1B45">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1D22B741">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26F9371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42E43822">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5D26DF1A">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795" w:type="dxa"/>
            <w:vMerge w:val="continue"/>
            <w:vAlign w:val="center"/>
          </w:tcPr>
          <w:p w14:paraId="7AC0391E">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p>
        </w:tc>
        <w:tc>
          <w:tcPr>
            <w:tcW w:w="4615" w:type="dxa"/>
            <w:vAlign w:val="center"/>
          </w:tcPr>
          <w:p w14:paraId="220549AC">
            <w:pPr>
              <w:widowControl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对本项目名称、所在地区、建设规模、所处路网地位、主要工作内容、工期承诺等阐述全面、合理，符合项目要求，得4.0－5.0分；</w:t>
            </w:r>
          </w:p>
        </w:tc>
      </w:tr>
      <w:tr w14:paraId="2024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41" w:type="dxa"/>
            <w:vMerge w:val="continue"/>
            <w:vAlign w:val="center"/>
          </w:tcPr>
          <w:p w14:paraId="56307A22">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2857DBEB">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432495A5">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0059230B">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0E3A2FE2">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795" w:type="dxa"/>
            <w:vMerge w:val="restart"/>
            <w:vAlign w:val="center"/>
          </w:tcPr>
          <w:p w14:paraId="568C8C7F">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总体设计思路</w:t>
            </w:r>
          </w:p>
          <w:p w14:paraId="010C22FF">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（5分）</w:t>
            </w:r>
          </w:p>
        </w:tc>
        <w:tc>
          <w:tcPr>
            <w:tcW w:w="4615" w:type="dxa"/>
            <w:vAlign w:val="center"/>
          </w:tcPr>
          <w:p w14:paraId="4D9DCEF9">
            <w:pPr>
              <w:widowControl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设计理念和思路与本项目工可的设计理念、思路基本吻合，得3.0分；</w:t>
            </w:r>
          </w:p>
        </w:tc>
      </w:tr>
      <w:tr w14:paraId="4B16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741" w:type="dxa"/>
            <w:vMerge w:val="continue"/>
            <w:vAlign w:val="center"/>
          </w:tcPr>
          <w:p w14:paraId="2A5EA0FB">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6F36D3B4">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3D39C1B6">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3F06D8A0">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3D330C74">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795" w:type="dxa"/>
            <w:vMerge w:val="continue"/>
            <w:vAlign w:val="center"/>
          </w:tcPr>
          <w:p w14:paraId="61DE47B8">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p>
        </w:tc>
        <w:tc>
          <w:tcPr>
            <w:tcW w:w="4615" w:type="dxa"/>
            <w:vAlign w:val="center"/>
          </w:tcPr>
          <w:p w14:paraId="5329D7AF">
            <w:pPr>
              <w:widowControl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设计理念和思路与本项目工可的设计理念、思路吻合，在工可基础上采取了部分优化措施，得</w:t>
            </w:r>
            <w:r>
              <w:rPr>
                <w:rFonts w:hint="eastAsia" w:ascii="宋体" w:hAnsi="宋体" w:eastAsia="宋体" w:cs="Times New Roman"/>
                <w:color w:val="auto"/>
                <w:spacing w:val="-4"/>
                <w:kern w:val="2"/>
                <w:sz w:val="21"/>
                <w:szCs w:val="21"/>
                <w:highlight w:val="none"/>
                <w:lang w:val="en-US" w:eastAsia="zh-CN" w:bidi="ar-SA"/>
              </w:rPr>
              <w:t>3.0-4.0分</w:t>
            </w:r>
            <w:r>
              <w:rPr>
                <w:rFonts w:hint="eastAsia" w:ascii="宋体" w:hAnsi="宋体" w:eastAsia="宋体" w:cs="Times New Roman"/>
                <w:color w:val="auto"/>
                <w:kern w:val="2"/>
                <w:sz w:val="21"/>
                <w:szCs w:val="21"/>
                <w:highlight w:val="none"/>
                <w:lang w:val="en-US" w:eastAsia="zh-CN" w:bidi="ar-SA"/>
              </w:rPr>
              <w:t>；</w:t>
            </w:r>
          </w:p>
        </w:tc>
      </w:tr>
      <w:tr w14:paraId="4DA2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741" w:type="dxa"/>
            <w:vMerge w:val="continue"/>
            <w:vAlign w:val="center"/>
          </w:tcPr>
          <w:p w14:paraId="2842E04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53B5844F">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219A8CC4">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39A4A2DD">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55A50A14">
            <w:pPr>
              <w:widowControl w:val="0"/>
              <w:spacing w:line="160" w:lineRule="atLeast"/>
              <w:jc w:val="left"/>
              <w:rPr>
                <w:rFonts w:hint="eastAsia" w:ascii="宋体" w:hAnsi="宋体" w:eastAsia="宋体" w:cs="Times New Roman"/>
                <w:color w:val="auto"/>
                <w:kern w:val="2"/>
                <w:sz w:val="21"/>
                <w:szCs w:val="21"/>
                <w:highlight w:val="none"/>
                <w:lang w:val="en-US" w:eastAsia="zh-CN" w:bidi="ar-SA"/>
              </w:rPr>
            </w:pPr>
          </w:p>
        </w:tc>
        <w:tc>
          <w:tcPr>
            <w:tcW w:w="795" w:type="dxa"/>
            <w:vMerge w:val="continue"/>
            <w:vAlign w:val="center"/>
          </w:tcPr>
          <w:p w14:paraId="351CC3C2">
            <w:pPr>
              <w:widowControl w:val="0"/>
              <w:spacing w:line="300" w:lineRule="exact"/>
              <w:jc w:val="left"/>
              <w:rPr>
                <w:rFonts w:hint="eastAsia" w:ascii="宋体" w:hAnsi="宋体" w:eastAsia="宋体" w:cs="Times New Roman"/>
                <w:color w:val="auto"/>
                <w:kern w:val="2"/>
                <w:sz w:val="21"/>
                <w:szCs w:val="21"/>
                <w:highlight w:val="none"/>
                <w:lang w:val="en-US" w:eastAsia="zh-CN" w:bidi="ar-SA"/>
              </w:rPr>
            </w:pPr>
          </w:p>
        </w:tc>
        <w:tc>
          <w:tcPr>
            <w:tcW w:w="4615" w:type="dxa"/>
            <w:vAlign w:val="center"/>
          </w:tcPr>
          <w:p w14:paraId="55C6C849">
            <w:pPr>
              <w:widowControl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设计理念和思路与本项目工可中的设计理念、思路高度吻合，在工可基础上进行了充分的阐述和优化并适合本项目，得4.0-5.0分。</w:t>
            </w:r>
          </w:p>
        </w:tc>
      </w:tr>
      <w:tr w14:paraId="0ABB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1" w:type="dxa"/>
            <w:vMerge w:val="continue"/>
            <w:vAlign w:val="center"/>
          </w:tcPr>
          <w:p w14:paraId="3EC43D9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37C47C9D">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2821ABED">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restart"/>
            <w:shd w:val="clear" w:color="auto" w:fill="auto"/>
            <w:vAlign w:val="center"/>
          </w:tcPr>
          <w:p w14:paraId="28486107">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对本项目的特点、关键技术问题的认识及其对策措施</w:t>
            </w:r>
          </w:p>
        </w:tc>
        <w:tc>
          <w:tcPr>
            <w:tcW w:w="634" w:type="dxa"/>
            <w:vMerge w:val="restart"/>
            <w:shd w:val="clear" w:color="auto" w:fill="auto"/>
            <w:vAlign w:val="center"/>
          </w:tcPr>
          <w:p w14:paraId="61BFB541">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10分</w:t>
            </w:r>
          </w:p>
        </w:tc>
        <w:tc>
          <w:tcPr>
            <w:tcW w:w="5410" w:type="dxa"/>
            <w:gridSpan w:val="2"/>
            <w:shd w:val="clear" w:color="auto" w:fill="auto"/>
            <w:vAlign w:val="center"/>
          </w:tcPr>
          <w:p w14:paraId="01002815">
            <w:pPr>
              <w:adjustRightInd w:val="0"/>
              <w:snapToGrid w:val="0"/>
              <w:spacing w:line="276" w:lineRule="auto"/>
              <w:jc w:val="left"/>
              <w:rPr>
                <w:rFonts w:hint="eastAsia" w:ascii="宋体" w:hAnsi="宋体" w:eastAsia="宋体" w:cs="Times New Roman"/>
                <w:color w:val="auto"/>
                <w:kern w:val="28"/>
                <w:sz w:val="21"/>
                <w:szCs w:val="21"/>
                <w:highlight w:val="none"/>
                <w:lang w:val="en-US" w:eastAsia="zh-CN" w:bidi="ar-SA"/>
              </w:rPr>
            </w:pPr>
            <w:r>
              <w:rPr>
                <w:rFonts w:hint="eastAsia" w:ascii="宋体" w:hAnsi="宋体" w:eastAsia="宋体" w:cs="Times New Roman"/>
                <w:color w:val="auto"/>
                <w:kern w:val="28"/>
                <w:sz w:val="21"/>
                <w:szCs w:val="21"/>
                <w:highlight w:val="none"/>
              </w:rPr>
              <w:t>项目的特点和关键技术问题的针对性一般，技术建议基本可行，得</w:t>
            </w:r>
            <w:r>
              <w:rPr>
                <w:rFonts w:hint="eastAsia" w:ascii="宋体" w:hAnsi="宋体" w:eastAsia="宋体" w:cs="Times New Roman"/>
                <w:color w:val="auto"/>
                <w:kern w:val="28"/>
                <w:sz w:val="21"/>
                <w:szCs w:val="21"/>
                <w:highlight w:val="none"/>
                <w:lang w:val="en-US" w:eastAsia="zh-CN"/>
              </w:rPr>
              <w:t>6</w:t>
            </w:r>
            <w:r>
              <w:rPr>
                <w:rFonts w:hint="eastAsia" w:ascii="宋体" w:hAnsi="宋体" w:eastAsia="宋体" w:cs="Times New Roman"/>
                <w:color w:val="auto"/>
                <w:kern w:val="28"/>
                <w:sz w:val="21"/>
                <w:szCs w:val="21"/>
                <w:highlight w:val="none"/>
              </w:rPr>
              <w:t>.0分；</w:t>
            </w:r>
          </w:p>
        </w:tc>
      </w:tr>
      <w:tr w14:paraId="124D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741" w:type="dxa"/>
            <w:vMerge w:val="continue"/>
            <w:vAlign w:val="center"/>
          </w:tcPr>
          <w:p w14:paraId="442CE449">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2CDC2782">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24D0666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2882A485">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2876F7A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5410" w:type="dxa"/>
            <w:gridSpan w:val="2"/>
            <w:shd w:val="clear" w:color="auto" w:fill="auto"/>
            <w:vAlign w:val="center"/>
          </w:tcPr>
          <w:p w14:paraId="4C57B34B">
            <w:pPr>
              <w:widowControl w:val="0"/>
              <w:spacing w:line="276" w:lineRule="auto"/>
              <w:jc w:val="left"/>
              <w:rPr>
                <w:rFonts w:hint="eastAsia" w:ascii="宋体" w:hAnsi="宋体" w:eastAsia="宋体" w:cs="Times New Roman"/>
                <w:color w:val="auto"/>
                <w:spacing w:val="-4"/>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项目的特点和关键技术问题针对性较强，技术建议可行，得6.0－8.0分；</w:t>
            </w:r>
          </w:p>
        </w:tc>
      </w:tr>
      <w:tr w14:paraId="6386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Merge w:val="continue"/>
            <w:vAlign w:val="center"/>
          </w:tcPr>
          <w:p w14:paraId="4B6CB99D">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18AAD5E6">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12158088">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4933C3EF">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6D65DB06">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5410" w:type="dxa"/>
            <w:gridSpan w:val="2"/>
            <w:shd w:val="clear" w:color="auto" w:fill="auto"/>
            <w:vAlign w:val="center"/>
          </w:tcPr>
          <w:p w14:paraId="01846D51">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项目的特点针对性强，关键技术问题对策明确、合理，技术建议科学、有效、可行，得8.0－10.0分。</w:t>
            </w:r>
          </w:p>
        </w:tc>
      </w:tr>
      <w:tr w14:paraId="55D0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41" w:type="dxa"/>
            <w:vMerge w:val="continue"/>
            <w:vAlign w:val="center"/>
          </w:tcPr>
          <w:p w14:paraId="472C28C4">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7DEF0C1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3DEC8876">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restart"/>
            <w:vAlign w:val="center"/>
          </w:tcPr>
          <w:p w14:paraId="42D1DADE">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工作量及计划安排</w:t>
            </w:r>
          </w:p>
        </w:tc>
        <w:tc>
          <w:tcPr>
            <w:tcW w:w="634" w:type="dxa"/>
            <w:vMerge w:val="restart"/>
            <w:vAlign w:val="center"/>
          </w:tcPr>
          <w:p w14:paraId="0EDB6818">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1</w:t>
            </w:r>
            <w:r>
              <w:rPr>
                <w:rFonts w:hint="eastAsia" w:ascii="宋体" w:hAnsi="宋体" w:eastAsia="宋体" w:cs="Times New Roman"/>
                <w:color w:val="auto"/>
                <w:kern w:val="2"/>
                <w:sz w:val="21"/>
                <w:szCs w:val="21"/>
                <w:highlight w:val="none"/>
                <w:lang w:val="en-US" w:eastAsia="zh-CN" w:bidi="ar-SA"/>
              </w:rPr>
              <w:t>0分</w:t>
            </w:r>
          </w:p>
        </w:tc>
        <w:tc>
          <w:tcPr>
            <w:tcW w:w="5410" w:type="dxa"/>
            <w:gridSpan w:val="2"/>
            <w:vAlign w:val="center"/>
          </w:tcPr>
          <w:p w14:paraId="52F2CAEC">
            <w:pPr>
              <w:adjustRightInd w:val="0"/>
              <w:snapToGrid w:val="0"/>
              <w:spacing w:line="276" w:lineRule="auto"/>
              <w:jc w:val="left"/>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工作量及计划安排基本合理，得6.0分；</w:t>
            </w:r>
          </w:p>
        </w:tc>
      </w:tr>
      <w:tr w14:paraId="4F24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41" w:type="dxa"/>
            <w:vMerge w:val="continue"/>
            <w:vAlign w:val="center"/>
          </w:tcPr>
          <w:p w14:paraId="3BAB9DEA">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5A416708">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730DCAAA">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0F8213ED">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7E552D6C">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5410" w:type="dxa"/>
            <w:gridSpan w:val="2"/>
            <w:vAlign w:val="center"/>
          </w:tcPr>
          <w:p w14:paraId="51E7949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工作量及计划安排合理，得6.0－8.0分；</w:t>
            </w:r>
          </w:p>
        </w:tc>
      </w:tr>
      <w:tr w14:paraId="7231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41" w:type="dxa"/>
            <w:vMerge w:val="continue"/>
            <w:vAlign w:val="center"/>
          </w:tcPr>
          <w:p w14:paraId="6FCD0FDE">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14F31BC3">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4BF16131">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51345560">
            <w:pPr>
              <w:widowControl w:val="0"/>
              <w:spacing w:line="276" w:lineRule="auto"/>
              <w:jc w:val="center"/>
              <w:rPr>
                <w:rFonts w:hint="eastAsia" w:ascii="宋体" w:hAnsi="宋体" w:eastAsia="宋体" w:cs="Times New Roman"/>
                <w:color w:val="auto"/>
                <w:kern w:val="2"/>
                <w:sz w:val="21"/>
                <w:szCs w:val="21"/>
                <w:highlight w:val="none"/>
                <w:lang w:val="en-US" w:eastAsia="zh-CN" w:bidi="ar-SA"/>
              </w:rPr>
            </w:pPr>
          </w:p>
        </w:tc>
        <w:tc>
          <w:tcPr>
            <w:tcW w:w="634" w:type="dxa"/>
            <w:vMerge w:val="continue"/>
            <w:vAlign w:val="center"/>
          </w:tcPr>
          <w:p w14:paraId="3174A491">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5410" w:type="dxa"/>
            <w:gridSpan w:val="2"/>
            <w:vAlign w:val="center"/>
          </w:tcPr>
          <w:p w14:paraId="6B1340D4">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工作量及计划安排科学，安排周密，得8.0－</w:t>
            </w:r>
            <w:r>
              <w:rPr>
                <w:rFonts w:ascii="宋体" w:hAnsi="宋体" w:eastAsia="宋体" w:cs="Times New Roman"/>
                <w:color w:val="auto"/>
                <w:kern w:val="2"/>
                <w:sz w:val="21"/>
                <w:szCs w:val="21"/>
                <w:highlight w:val="none"/>
                <w:lang w:val="en-US" w:eastAsia="zh-CN" w:bidi="ar-SA"/>
              </w:rPr>
              <w:t>1</w:t>
            </w:r>
            <w:r>
              <w:rPr>
                <w:rFonts w:hint="eastAsia" w:ascii="宋体" w:hAnsi="宋体" w:eastAsia="宋体" w:cs="Times New Roman"/>
                <w:color w:val="auto"/>
                <w:kern w:val="2"/>
                <w:sz w:val="21"/>
                <w:szCs w:val="21"/>
                <w:highlight w:val="none"/>
                <w:lang w:val="en-US" w:eastAsia="zh-CN" w:bidi="ar-SA"/>
              </w:rPr>
              <w:t>0.0分</w:t>
            </w:r>
            <w:r>
              <w:rPr>
                <w:rFonts w:ascii="宋体" w:hAnsi="宋体" w:eastAsia="宋体" w:cs="Times New Roman"/>
                <w:color w:val="auto"/>
                <w:kern w:val="2"/>
                <w:sz w:val="21"/>
                <w:szCs w:val="21"/>
                <w:highlight w:val="none"/>
                <w:lang w:val="en-US" w:eastAsia="zh-CN" w:bidi="ar-SA"/>
              </w:rPr>
              <w:t>。</w:t>
            </w:r>
          </w:p>
        </w:tc>
      </w:tr>
      <w:tr w14:paraId="2EBB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41" w:type="dxa"/>
            <w:vMerge w:val="continue"/>
            <w:vAlign w:val="center"/>
          </w:tcPr>
          <w:p w14:paraId="643ECB21">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1494EAE3">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5705E8C5">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restart"/>
            <w:vAlign w:val="center"/>
          </w:tcPr>
          <w:p w14:paraId="254C5B99">
            <w:pPr>
              <w:adjustRightInd w:val="0"/>
              <w:snapToGrid w:val="0"/>
              <w:spacing w:line="276" w:lineRule="auto"/>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质量保证措施、进度保证措施</w:t>
            </w:r>
          </w:p>
        </w:tc>
        <w:tc>
          <w:tcPr>
            <w:tcW w:w="634" w:type="dxa"/>
            <w:vMerge w:val="restart"/>
            <w:vAlign w:val="center"/>
          </w:tcPr>
          <w:p w14:paraId="30AFDD42">
            <w:pPr>
              <w:widowControl w:val="0"/>
              <w:spacing w:line="276"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5分</w:t>
            </w:r>
          </w:p>
        </w:tc>
        <w:tc>
          <w:tcPr>
            <w:tcW w:w="5410" w:type="dxa"/>
            <w:gridSpan w:val="2"/>
            <w:vAlign w:val="center"/>
          </w:tcPr>
          <w:p w14:paraId="0511B313">
            <w:pPr>
              <w:adjustRightInd w:val="0"/>
              <w:snapToGrid w:val="0"/>
              <w:spacing w:line="276" w:lineRule="auto"/>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内容基本齐全，方法基本合理，可实施性一般，得</w:t>
            </w:r>
            <w:r>
              <w:rPr>
                <w:rFonts w:hint="eastAsia" w:ascii="宋体" w:hAnsi="宋体" w:eastAsia="宋体" w:cs="宋体"/>
                <w:color w:val="auto"/>
                <w:kern w:val="28"/>
                <w:sz w:val="21"/>
                <w:szCs w:val="21"/>
                <w:highlight w:val="none"/>
                <w:lang w:val="en-US" w:eastAsia="zh-CN"/>
              </w:rPr>
              <w:t>3</w:t>
            </w:r>
            <w:r>
              <w:rPr>
                <w:rFonts w:hint="eastAsia" w:ascii="宋体" w:hAnsi="宋体" w:eastAsia="宋体" w:cs="宋体"/>
                <w:color w:val="auto"/>
                <w:kern w:val="28"/>
                <w:sz w:val="21"/>
                <w:szCs w:val="21"/>
                <w:highlight w:val="none"/>
              </w:rPr>
              <w:t>.0分；</w:t>
            </w:r>
          </w:p>
        </w:tc>
      </w:tr>
      <w:tr w14:paraId="4A85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41" w:type="dxa"/>
            <w:vMerge w:val="continue"/>
            <w:vAlign w:val="center"/>
          </w:tcPr>
          <w:p w14:paraId="2597079E">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34910B0C">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65583E32">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15EB8DF2">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634" w:type="dxa"/>
            <w:vMerge w:val="continue"/>
            <w:vAlign w:val="center"/>
          </w:tcPr>
          <w:p w14:paraId="677E4E6F">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5410" w:type="dxa"/>
            <w:gridSpan w:val="2"/>
            <w:vAlign w:val="center"/>
          </w:tcPr>
          <w:p w14:paraId="38A85133">
            <w:pPr>
              <w:spacing w:line="276"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8"/>
                <w:sz w:val="21"/>
                <w:szCs w:val="21"/>
                <w:highlight w:val="none"/>
              </w:rPr>
              <w:t>内容较齐全，方法较合理，可实施性较好，得</w:t>
            </w:r>
            <w:r>
              <w:rPr>
                <w:rFonts w:hint="eastAsia" w:ascii="宋体" w:hAnsi="宋体" w:eastAsia="宋体" w:cs="宋体"/>
                <w:color w:val="auto"/>
                <w:kern w:val="28"/>
                <w:sz w:val="21"/>
                <w:szCs w:val="21"/>
                <w:highlight w:val="none"/>
                <w:lang w:val="en-US" w:eastAsia="zh-CN"/>
              </w:rPr>
              <w:t>3</w:t>
            </w:r>
            <w:r>
              <w:rPr>
                <w:rFonts w:hint="eastAsia" w:ascii="宋体" w:hAnsi="宋体" w:eastAsia="宋体" w:cs="宋体"/>
                <w:color w:val="auto"/>
                <w:kern w:val="28"/>
                <w:sz w:val="21"/>
                <w:szCs w:val="21"/>
                <w:highlight w:val="none"/>
              </w:rPr>
              <w:t>.0－</w:t>
            </w:r>
            <w:r>
              <w:rPr>
                <w:rFonts w:hint="eastAsia" w:ascii="宋体" w:hAnsi="宋体" w:eastAsia="宋体" w:cs="宋体"/>
                <w:color w:val="auto"/>
                <w:kern w:val="28"/>
                <w:sz w:val="21"/>
                <w:szCs w:val="21"/>
                <w:highlight w:val="none"/>
                <w:lang w:val="en-US" w:eastAsia="zh-CN"/>
              </w:rPr>
              <w:t>4</w:t>
            </w:r>
            <w:r>
              <w:rPr>
                <w:rFonts w:hint="eastAsia" w:ascii="宋体" w:hAnsi="宋体" w:eastAsia="宋体" w:cs="宋体"/>
                <w:color w:val="auto"/>
                <w:kern w:val="28"/>
                <w:sz w:val="21"/>
                <w:szCs w:val="21"/>
                <w:highlight w:val="none"/>
              </w:rPr>
              <w:t>.0分；</w:t>
            </w:r>
          </w:p>
        </w:tc>
      </w:tr>
      <w:tr w14:paraId="461B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41" w:type="dxa"/>
            <w:vMerge w:val="continue"/>
            <w:vAlign w:val="center"/>
          </w:tcPr>
          <w:p w14:paraId="6FBEEEE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6448CDFD">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794CE459">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7F743A28">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634" w:type="dxa"/>
            <w:vMerge w:val="continue"/>
            <w:vAlign w:val="center"/>
          </w:tcPr>
          <w:p w14:paraId="6ED70E9B">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5410" w:type="dxa"/>
            <w:gridSpan w:val="2"/>
            <w:vAlign w:val="center"/>
          </w:tcPr>
          <w:p w14:paraId="27496EE5">
            <w:pPr>
              <w:spacing w:line="276"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8"/>
                <w:sz w:val="21"/>
                <w:szCs w:val="21"/>
                <w:highlight w:val="none"/>
              </w:rPr>
              <w:t>内容齐全，方法合理、正确，可实施性强，得</w:t>
            </w:r>
            <w:r>
              <w:rPr>
                <w:rFonts w:hint="eastAsia" w:ascii="宋体" w:hAnsi="宋体" w:eastAsia="宋体" w:cs="宋体"/>
                <w:color w:val="auto"/>
                <w:kern w:val="28"/>
                <w:sz w:val="21"/>
                <w:szCs w:val="21"/>
                <w:highlight w:val="none"/>
                <w:lang w:val="en-US" w:eastAsia="zh-CN"/>
              </w:rPr>
              <w:t>4</w:t>
            </w:r>
            <w:r>
              <w:rPr>
                <w:rFonts w:hint="eastAsia" w:ascii="宋体" w:hAnsi="宋体" w:eastAsia="宋体" w:cs="宋体"/>
                <w:color w:val="auto"/>
                <w:kern w:val="28"/>
                <w:sz w:val="21"/>
                <w:szCs w:val="21"/>
                <w:highlight w:val="none"/>
              </w:rPr>
              <w:t>.0－</w:t>
            </w:r>
            <w:r>
              <w:rPr>
                <w:rFonts w:hint="eastAsia" w:ascii="宋体" w:hAnsi="宋体" w:eastAsia="宋体" w:cs="宋体"/>
                <w:color w:val="auto"/>
                <w:kern w:val="28"/>
                <w:sz w:val="21"/>
                <w:szCs w:val="21"/>
                <w:highlight w:val="none"/>
                <w:lang w:val="en-US" w:eastAsia="zh-CN"/>
              </w:rPr>
              <w:t>5</w:t>
            </w:r>
            <w:r>
              <w:rPr>
                <w:rFonts w:hint="eastAsia" w:ascii="宋体" w:hAnsi="宋体" w:eastAsia="宋体" w:cs="宋体"/>
                <w:color w:val="auto"/>
                <w:kern w:val="28"/>
                <w:sz w:val="21"/>
                <w:szCs w:val="21"/>
                <w:highlight w:val="none"/>
              </w:rPr>
              <w:t>.0分；</w:t>
            </w:r>
          </w:p>
        </w:tc>
      </w:tr>
      <w:tr w14:paraId="16D9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1" w:type="dxa"/>
            <w:vMerge w:val="continue"/>
            <w:vAlign w:val="center"/>
          </w:tcPr>
          <w:p w14:paraId="357CE263">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541E5622">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4010E702">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restart"/>
            <w:vAlign w:val="center"/>
          </w:tcPr>
          <w:p w14:paraId="7522859E">
            <w:pPr>
              <w:widowControl w:val="0"/>
              <w:spacing w:line="276"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服务承诺</w:t>
            </w:r>
          </w:p>
        </w:tc>
        <w:tc>
          <w:tcPr>
            <w:tcW w:w="634" w:type="dxa"/>
            <w:vMerge w:val="restart"/>
            <w:vAlign w:val="center"/>
          </w:tcPr>
          <w:p w14:paraId="5AB57D3F">
            <w:pPr>
              <w:widowControl w:val="0"/>
              <w:spacing w:line="276"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5分</w:t>
            </w:r>
          </w:p>
        </w:tc>
        <w:tc>
          <w:tcPr>
            <w:tcW w:w="5410" w:type="dxa"/>
            <w:gridSpan w:val="2"/>
            <w:vAlign w:val="center"/>
          </w:tcPr>
          <w:p w14:paraId="56D8D0E1">
            <w:pPr>
              <w:adjustRightInd w:val="0"/>
              <w:snapToGrid w:val="0"/>
              <w:spacing w:line="276" w:lineRule="auto"/>
              <w:jc w:val="left"/>
              <w:rPr>
                <w:rFonts w:hint="eastAsia" w:ascii="宋体" w:hAnsi="宋体" w:eastAsia="宋体" w:cs="宋体"/>
                <w:color w:val="auto"/>
                <w:kern w:val="28"/>
                <w:sz w:val="21"/>
                <w:szCs w:val="21"/>
                <w:highlight w:val="none"/>
              </w:rPr>
            </w:pPr>
            <w:r>
              <w:rPr>
                <w:rFonts w:hint="eastAsia" w:ascii="宋体" w:hAnsi="宋体" w:eastAsia="宋体" w:cs="宋体"/>
                <w:color w:val="auto"/>
                <w:spacing w:val="-10"/>
                <w:kern w:val="28"/>
                <w:sz w:val="21"/>
                <w:szCs w:val="21"/>
                <w:highlight w:val="none"/>
              </w:rPr>
              <w:t>服务承诺基本合理，服务体系基本完备，得</w:t>
            </w:r>
            <w:r>
              <w:rPr>
                <w:rFonts w:hint="eastAsia" w:ascii="宋体" w:hAnsi="宋体" w:eastAsia="宋体" w:cs="宋体"/>
                <w:color w:val="auto"/>
                <w:kern w:val="28"/>
                <w:sz w:val="21"/>
                <w:szCs w:val="21"/>
                <w:highlight w:val="none"/>
              </w:rPr>
              <w:t>3.0分；</w:t>
            </w:r>
          </w:p>
        </w:tc>
      </w:tr>
      <w:tr w14:paraId="51A8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41" w:type="dxa"/>
            <w:vMerge w:val="continue"/>
            <w:vAlign w:val="center"/>
          </w:tcPr>
          <w:p w14:paraId="07698940">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7F70D01A">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7418C382">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vAlign w:val="center"/>
          </w:tcPr>
          <w:p w14:paraId="3DB795C6">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634" w:type="dxa"/>
            <w:vMerge w:val="continue"/>
            <w:vAlign w:val="center"/>
          </w:tcPr>
          <w:p w14:paraId="78F0D961">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5410" w:type="dxa"/>
            <w:gridSpan w:val="2"/>
            <w:vAlign w:val="center"/>
          </w:tcPr>
          <w:p w14:paraId="313C2C65">
            <w:pPr>
              <w:spacing w:line="276"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spacing w:val="-10"/>
                <w:kern w:val="28"/>
                <w:sz w:val="21"/>
                <w:szCs w:val="21"/>
                <w:highlight w:val="none"/>
              </w:rPr>
              <w:t>服务承诺较全面、较合理，体系较完备，得</w:t>
            </w:r>
            <w:r>
              <w:rPr>
                <w:rFonts w:hint="eastAsia" w:ascii="宋体" w:hAnsi="宋体" w:eastAsia="宋体" w:cs="宋体"/>
                <w:color w:val="auto"/>
                <w:kern w:val="28"/>
                <w:sz w:val="21"/>
                <w:szCs w:val="21"/>
                <w:highlight w:val="none"/>
              </w:rPr>
              <w:t>3.0－4.0分；</w:t>
            </w:r>
          </w:p>
        </w:tc>
      </w:tr>
      <w:tr w14:paraId="1742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41" w:type="dxa"/>
            <w:vMerge w:val="continue"/>
            <w:vAlign w:val="center"/>
          </w:tcPr>
          <w:p w14:paraId="730AE744">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741" w:type="dxa"/>
            <w:vMerge w:val="continue"/>
            <w:vAlign w:val="center"/>
          </w:tcPr>
          <w:p w14:paraId="681AC997">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p>
        </w:tc>
        <w:tc>
          <w:tcPr>
            <w:tcW w:w="831" w:type="dxa"/>
            <w:vMerge w:val="continue"/>
            <w:vAlign w:val="center"/>
          </w:tcPr>
          <w:p w14:paraId="14B3EA2D">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p>
        </w:tc>
        <w:tc>
          <w:tcPr>
            <w:tcW w:w="1209" w:type="dxa"/>
            <w:vMerge w:val="continue"/>
            <w:tcBorders>
              <w:bottom w:val="single" w:color="auto" w:sz="4" w:space="0"/>
            </w:tcBorders>
            <w:vAlign w:val="center"/>
          </w:tcPr>
          <w:p w14:paraId="64B102BE">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634" w:type="dxa"/>
            <w:vMerge w:val="continue"/>
            <w:tcBorders>
              <w:bottom w:val="single" w:color="auto" w:sz="4" w:space="0"/>
            </w:tcBorders>
            <w:vAlign w:val="center"/>
          </w:tcPr>
          <w:p w14:paraId="276D585E">
            <w:pPr>
              <w:widowControl w:val="0"/>
              <w:spacing w:line="276" w:lineRule="auto"/>
              <w:jc w:val="left"/>
              <w:rPr>
                <w:rFonts w:hint="eastAsia" w:ascii="宋体" w:hAnsi="宋体" w:eastAsia="宋体" w:cs="宋体"/>
                <w:color w:val="auto"/>
                <w:kern w:val="2"/>
                <w:sz w:val="21"/>
                <w:szCs w:val="21"/>
                <w:highlight w:val="none"/>
                <w:lang w:val="en-US" w:eastAsia="zh-CN" w:bidi="ar-SA"/>
              </w:rPr>
            </w:pPr>
          </w:p>
        </w:tc>
        <w:tc>
          <w:tcPr>
            <w:tcW w:w="5410" w:type="dxa"/>
            <w:gridSpan w:val="2"/>
            <w:tcBorders>
              <w:bottom w:val="single" w:color="auto" w:sz="4" w:space="0"/>
            </w:tcBorders>
            <w:vAlign w:val="center"/>
          </w:tcPr>
          <w:p w14:paraId="15B119E4">
            <w:pPr>
              <w:spacing w:line="276"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spacing w:val="-10"/>
                <w:kern w:val="28"/>
                <w:sz w:val="21"/>
                <w:szCs w:val="21"/>
                <w:highlight w:val="none"/>
              </w:rPr>
              <w:t>服务承诺措施全面、合理，体系完备，得</w:t>
            </w:r>
            <w:r>
              <w:rPr>
                <w:rFonts w:hint="eastAsia" w:ascii="宋体" w:hAnsi="宋体" w:eastAsia="宋体" w:cs="宋体"/>
                <w:color w:val="auto"/>
                <w:kern w:val="28"/>
                <w:sz w:val="21"/>
                <w:szCs w:val="21"/>
                <w:highlight w:val="none"/>
              </w:rPr>
              <w:t>4.0－5.0分。</w:t>
            </w:r>
          </w:p>
        </w:tc>
      </w:tr>
      <w:tr w14:paraId="39BB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741" w:type="dxa"/>
            <w:tcBorders>
              <w:top w:val="nil"/>
            </w:tcBorders>
            <w:vAlign w:val="center"/>
          </w:tcPr>
          <w:p w14:paraId="70548CC1">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2.2.4（2）</w:t>
            </w:r>
          </w:p>
        </w:tc>
        <w:tc>
          <w:tcPr>
            <w:tcW w:w="741" w:type="dxa"/>
            <w:tcBorders>
              <w:top w:val="nil"/>
            </w:tcBorders>
            <w:vAlign w:val="center"/>
          </w:tcPr>
          <w:p w14:paraId="3E7A9544">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主要人员</w:t>
            </w:r>
          </w:p>
        </w:tc>
        <w:tc>
          <w:tcPr>
            <w:tcW w:w="831" w:type="dxa"/>
            <w:tcBorders>
              <w:top w:val="nil"/>
            </w:tcBorders>
            <w:vAlign w:val="center"/>
          </w:tcPr>
          <w:p w14:paraId="04687855">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25分</w:t>
            </w:r>
          </w:p>
        </w:tc>
        <w:tc>
          <w:tcPr>
            <w:tcW w:w="1209" w:type="dxa"/>
            <w:vAlign w:val="center"/>
          </w:tcPr>
          <w:p w14:paraId="1F883D15">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ascii="宋体" w:hAnsi="Courier New" w:eastAsia="宋体" w:cs="Times New Roman"/>
                <w:color w:val="auto"/>
                <w:kern w:val="2"/>
                <w:sz w:val="21"/>
                <w:szCs w:val="21"/>
                <w:highlight w:val="none"/>
                <w:lang w:val="en-US" w:eastAsia="zh-CN" w:bidi="ar-SA"/>
              </w:rPr>
              <w:t>项目负责人任职资格</w:t>
            </w:r>
          </w:p>
        </w:tc>
        <w:tc>
          <w:tcPr>
            <w:tcW w:w="634" w:type="dxa"/>
            <w:vAlign w:val="center"/>
          </w:tcPr>
          <w:p w14:paraId="70EB97A0">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25分</w:t>
            </w:r>
          </w:p>
        </w:tc>
        <w:tc>
          <w:tcPr>
            <w:tcW w:w="5410" w:type="dxa"/>
            <w:gridSpan w:val="2"/>
            <w:tcBorders>
              <w:bottom w:val="single" w:color="auto" w:sz="4" w:space="0"/>
            </w:tcBorders>
            <w:vAlign w:val="center"/>
          </w:tcPr>
          <w:p w14:paraId="70491450">
            <w:pPr>
              <w:spacing w:line="276" w:lineRule="auto"/>
              <w:jc w:val="left"/>
              <w:rPr>
                <w:rFonts w:hint="eastAsia" w:ascii="宋体" w:hAnsi="宋体" w:eastAsia="宋体" w:cs="Times New Roman"/>
                <w:color w:val="auto"/>
                <w:kern w:val="28"/>
                <w:sz w:val="21"/>
                <w:szCs w:val="21"/>
                <w:highlight w:val="none"/>
                <w:lang w:eastAsia="zh-CN"/>
              </w:rPr>
            </w:pPr>
            <w:r>
              <w:rPr>
                <w:rFonts w:hint="eastAsia" w:ascii="宋体" w:hAnsi="宋体" w:eastAsia="宋体" w:cs="Times New Roman"/>
                <w:color w:val="auto"/>
                <w:kern w:val="28"/>
                <w:sz w:val="21"/>
                <w:szCs w:val="21"/>
                <w:highlight w:val="none"/>
              </w:rPr>
              <w:t>投标人满足附录4 资格审查条件（项目负责人最低要求）得</w:t>
            </w:r>
            <w:r>
              <w:rPr>
                <w:rFonts w:hint="eastAsia" w:ascii="宋体" w:hAnsi="宋体" w:eastAsia="宋体" w:cs="Times New Roman"/>
                <w:color w:val="auto"/>
                <w:kern w:val="28"/>
                <w:sz w:val="21"/>
                <w:szCs w:val="21"/>
                <w:highlight w:val="none"/>
                <w:lang w:val="en-US" w:eastAsia="zh-CN"/>
              </w:rPr>
              <w:t>15</w:t>
            </w:r>
            <w:r>
              <w:rPr>
                <w:rFonts w:hint="eastAsia" w:ascii="宋体" w:hAnsi="宋体" w:eastAsia="宋体" w:cs="Times New Roman"/>
                <w:color w:val="auto"/>
                <w:kern w:val="28"/>
                <w:sz w:val="21"/>
                <w:szCs w:val="21"/>
                <w:highlight w:val="none"/>
              </w:rPr>
              <w:t>分</w:t>
            </w:r>
            <w:r>
              <w:rPr>
                <w:rFonts w:hint="eastAsia" w:ascii="宋体" w:hAnsi="宋体" w:eastAsia="宋体" w:cs="Times New Roman"/>
                <w:color w:val="auto"/>
                <w:kern w:val="28"/>
                <w:sz w:val="21"/>
                <w:szCs w:val="21"/>
                <w:highlight w:val="none"/>
                <w:lang w:eastAsia="zh-CN"/>
              </w:rPr>
              <w:t>；</w:t>
            </w:r>
          </w:p>
          <w:p w14:paraId="61D31DB3">
            <w:pPr>
              <w:spacing w:line="276" w:lineRule="auto"/>
              <w:jc w:val="left"/>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每增加1项满足附录4 资格审查条件（项目负责人最低要求）的业绩</w:t>
            </w:r>
            <w:bookmarkStart w:id="20" w:name="_Hlk175584483"/>
            <w:r>
              <w:rPr>
                <w:rFonts w:hint="eastAsia" w:ascii="宋体" w:hAnsi="宋体" w:eastAsia="宋体" w:cs="Times New Roman"/>
                <w:color w:val="auto"/>
                <w:kern w:val="28"/>
                <w:sz w:val="21"/>
                <w:szCs w:val="21"/>
                <w:highlight w:val="none"/>
              </w:rPr>
              <w:t>加</w:t>
            </w:r>
            <w:r>
              <w:rPr>
                <w:rFonts w:hint="eastAsia" w:ascii="宋体" w:hAnsi="宋体" w:eastAsia="宋体" w:cs="Times New Roman"/>
                <w:color w:val="auto"/>
                <w:kern w:val="28"/>
                <w:sz w:val="21"/>
                <w:szCs w:val="21"/>
                <w:highlight w:val="none"/>
                <w:lang w:val="en-US" w:eastAsia="zh-CN"/>
              </w:rPr>
              <w:t>10</w:t>
            </w:r>
            <w:r>
              <w:rPr>
                <w:rFonts w:hint="eastAsia" w:ascii="宋体" w:hAnsi="宋体" w:eastAsia="宋体" w:cs="Times New Roman"/>
                <w:color w:val="auto"/>
                <w:kern w:val="28"/>
                <w:sz w:val="21"/>
                <w:szCs w:val="21"/>
                <w:highlight w:val="none"/>
              </w:rPr>
              <w:t>分，最多加</w:t>
            </w:r>
            <w:r>
              <w:rPr>
                <w:rFonts w:hint="eastAsia" w:ascii="宋体" w:hAnsi="宋体" w:eastAsia="宋体" w:cs="Times New Roman"/>
                <w:color w:val="auto"/>
                <w:kern w:val="28"/>
                <w:sz w:val="21"/>
                <w:szCs w:val="21"/>
                <w:highlight w:val="none"/>
                <w:lang w:val="en-US" w:eastAsia="zh-CN"/>
              </w:rPr>
              <w:t>10</w:t>
            </w:r>
            <w:r>
              <w:rPr>
                <w:rFonts w:hint="eastAsia" w:ascii="宋体" w:hAnsi="宋体" w:eastAsia="宋体" w:cs="Times New Roman"/>
                <w:color w:val="auto"/>
                <w:kern w:val="28"/>
                <w:sz w:val="21"/>
                <w:szCs w:val="21"/>
                <w:highlight w:val="none"/>
              </w:rPr>
              <w:t>分。</w:t>
            </w:r>
            <w:bookmarkEnd w:id="20"/>
          </w:p>
        </w:tc>
      </w:tr>
      <w:tr w14:paraId="7735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7" w:hRule="atLeast"/>
          <w:jc w:val="center"/>
        </w:trPr>
        <w:tc>
          <w:tcPr>
            <w:tcW w:w="741" w:type="dxa"/>
            <w:tcBorders>
              <w:top w:val="nil"/>
            </w:tcBorders>
            <w:vAlign w:val="center"/>
          </w:tcPr>
          <w:p w14:paraId="651CA273">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2.2.4（3）</w:t>
            </w:r>
          </w:p>
        </w:tc>
        <w:tc>
          <w:tcPr>
            <w:tcW w:w="741" w:type="dxa"/>
            <w:tcBorders>
              <w:top w:val="nil"/>
            </w:tcBorders>
            <w:vAlign w:val="center"/>
          </w:tcPr>
          <w:p w14:paraId="57BCE034">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评标价</w:t>
            </w:r>
          </w:p>
        </w:tc>
        <w:tc>
          <w:tcPr>
            <w:tcW w:w="831" w:type="dxa"/>
            <w:tcBorders>
              <w:top w:val="nil"/>
              <w:bottom w:val="single" w:color="auto" w:sz="4" w:space="0"/>
            </w:tcBorders>
            <w:vAlign w:val="center"/>
          </w:tcPr>
          <w:p w14:paraId="154157DA">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10</w:t>
            </w:r>
            <w:r>
              <w:rPr>
                <w:rFonts w:ascii="宋体" w:hAnsi="宋体" w:eastAsia="宋体" w:cs="Times New Roman"/>
                <w:color w:val="auto"/>
                <w:kern w:val="2"/>
                <w:sz w:val="21"/>
                <w:szCs w:val="21"/>
                <w:highlight w:val="none"/>
                <w:lang w:val="en-US" w:eastAsia="zh-CN" w:bidi="ar-SA"/>
              </w:rPr>
              <w:t>分</w:t>
            </w:r>
          </w:p>
        </w:tc>
        <w:tc>
          <w:tcPr>
            <w:tcW w:w="7253" w:type="dxa"/>
            <w:gridSpan w:val="4"/>
            <w:tcBorders>
              <w:bottom w:val="single" w:color="auto" w:sz="4" w:space="0"/>
            </w:tcBorders>
            <w:vAlign w:val="center"/>
          </w:tcPr>
          <w:p w14:paraId="7C4DE5F2">
            <w:pPr>
              <w:spacing w:line="276" w:lineRule="auto"/>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评标价得分计算公式示例：</w:t>
            </w:r>
          </w:p>
          <w:p w14:paraId="4A4C5ADD">
            <w:pPr>
              <w:spacing w:line="276" w:lineRule="auto"/>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w:t>
            </w:r>
            <w:r>
              <w:rPr>
                <w:rFonts w:ascii="宋体" w:hAnsi="宋体" w:eastAsia="宋体" w:cs="Times New Roman"/>
                <w:color w:val="auto"/>
                <w:kern w:val="2"/>
                <w:sz w:val="21"/>
                <w:szCs w:val="21"/>
                <w:highlight w:val="none"/>
              </w:rPr>
              <w:t>1）如果投标人的评标价＞评标基准价，则评标价得分=F-（投标人评标价-评标基准价）/评标基准价×100×E1；</w:t>
            </w:r>
          </w:p>
          <w:p w14:paraId="1E2DD7D6">
            <w:pPr>
              <w:spacing w:line="276" w:lineRule="auto"/>
              <w:jc w:val="lef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w:t>
            </w:r>
            <w:r>
              <w:rPr>
                <w:rFonts w:ascii="宋体" w:hAnsi="宋体" w:eastAsia="宋体" w:cs="Times New Roman"/>
                <w:color w:val="auto"/>
                <w:kern w:val="2"/>
                <w:sz w:val="21"/>
                <w:szCs w:val="21"/>
                <w:highlight w:val="none"/>
              </w:rPr>
              <w:t>2）如果投标人的评标价≤评标基准价，则评标价得分=F+(投标人评标价-评标基准价)/评标基准价×100×E2。</w:t>
            </w:r>
          </w:p>
          <w:p w14:paraId="6D353AE7">
            <w:pPr>
              <w:spacing w:line="276" w:lineRule="auto"/>
              <w:jc w:val="left"/>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其中，</w:t>
            </w:r>
            <w:r>
              <w:rPr>
                <w:rFonts w:ascii="宋体" w:hAnsi="宋体" w:eastAsia="宋体" w:cs="Times New Roman"/>
                <w:color w:val="auto"/>
                <w:kern w:val="28"/>
                <w:sz w:val="21"/>
                <w:szCs w:val="21"/>
                <w:highlight w:val="none"/>
              </w:rPr>
              <w:t>F=10；E1=0.2；E2=0.1；评标价最低得分为0分</w:t>
            </w:r>
            <w:r>
              <w:rPr>
                <w:rFonts w:hint="eastAsia" w:ascii="宋体" w:hAnsi="宋体" w:eastAsia="宋体" w:cs="Times New Roman"/>
                <w:color w:val="auto"/>
                <w:kern w:val="28"/>
                <w:sz w:val="21"/>
                <w:szCs w:val="21"/>
                <w:highlight w:val="none"/>
              </w:rPr>
              <w:t>，评标价得分保留两位小数，第三位四舍五入。</w:t>
            </w:r>
          </w:p>
        </w:tc>
      </w:tr>
      <w:tr w14:paraId="28D1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741" w:type="dxa"/>
            <w:vAlign w:val="center"/>
          </w:tcPr>
          <w:p w14:paraId="37F69AC8">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2.2.4（4）</w:t>
            </w:r>
          </w:p>
        </w:tc>
        <w:tc>
          <w:tcPr>
            <w:tcW w:w="741" w:type="dxa"/>
            <w:vAlign w:val="center"/>
          </w:tcPr>
          <w:p w14:paraId="2FDCCB11">
            <w:pPr>
              <w:widowControl w:val="0"/>
              <w:spacing w:line="480" w:lineRule="exac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其他因素</w:t>
            </w:r>
          </w:p>
        </w:tc>
        <w:tc>
          <w:tcPr>
            <w:tcW w:w="831" w:type="dxa"/>
            <w:tcBorders>
              <w:top w:val="single" w:color="auto" w:sz="4" w:space="0"/>
            </w:tcBorders>
            <w:vAlign w:val="center"/>
          </w:tcPr>
          <w:p w14:paraId="390EE224">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25分</w:t>
            </w:r>
          </w:p>
        </w:tc>
        <w:tc>
          <w:tcPr>
            <w:tcW w:w="1209" w:type="dxa"/>
            <w:tcBorders>
              <w:top w:val="single" w:color="auto" w:sz="4" w:space="0"/>
            </w:tcBorders>
            <w:vAlign w:val="center"/>
          </w:tcPr>
          <w:p w14:paraId="54C1C277">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业绩</w:t>
            </w:r>
          </w:p>
        </w:tc>
        <w:tc>
          <w:tcPr>
            <w:tcW w:w="634" w:type="dxa"/>
            <w:tcBorders>
              <w:top w:val="single" w:color="auto" w:sz="4" w:space="0"/>
            </w:tcBorders>
            <w:vAlign w:val="center"/>
          </w:tcPr>
          <w:p w14:paraId="09E52D3B">
            <w:pPr>
              <w:widowControl w:val="0"/>
              <w:spacing w:line="276" w:lineRule="auto"/>
              <w:jc w:val="left"/>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25</w:t>
            </w:r>
            <w:r>
              <w:rPr>
                <w:rFonts w:hint="eastAsia" w:ascii="宋体" w:hAnsi="宋体" w:eastAsia="宋体" w:cs="Times New Roman"/>
                <w:color w:val="auto"/>
                <w:kern w:val="2"/>
                <w:sz w:val="21"/>
                <w:szCs w:val="21"/>
                <w:highlight w:val="none"/>
                <w:lang w:val="en-US" w:eastAsia="zh-CN" w:bidi="ar-SA"/>
              </w:rPr>
              <w:t>分</w:t>
            </w:r>
          </w:p>
        </w:tc>
        <w:tc>
          <w:tcPr>
            <w:tcW w:w="5410" w:type="dxa"/>
            <w:gridSpan w:val="2"/>
            <w:tcBorders>
              <w:top w:val="single" w:color="auto" w:sz="4" w:space="0"/>
            </w:tcBorders>
            <w:vAlign w:val="center"/>
          </w:tcPr>
          <w:p w14:paraId="560930AC">
            <w:pPr>
              <w:spacing w:line="276" w:lineRule="auto"/>
              <w:jc w:val="left"/>
              <w:rPr>
                <w:rFonts w:hint="eastAsia" w:ascii="宋体" w:hAnsi="宋体" w:eastAsia="宋体" w:cs="Times New Roman"/>
                <w:color w:val="auto"/>
                <w:kern w:val="28"/>
                <w:sz w:val="21"/>
                <w:szCs w:val="21"/>
                <w:highlight w:val="none"/>
                <w:lang w:eastAsia="zh-CN"/>
              </w:rPr>
            </w:pPr>
            <w:r>
              <w:rPr>
                <w:rFonts w:hint="eastAsia" w:ascii="宋体" w:hAnsi="宋体" w:eastAsia="宋体" w:cs="Times New Roman"/>
                <w:color w:val="auto"/>
                <w:kern w:val="28"/>
                <w:sz w:val="21"/>
                <w:szCs w:val="21"/>
                <w:highlight w:val="none"/>
              </w:rPr>
              <w:t>投标人满足附录2资格审查条件（业绩最低要求）得15分</w:t>
            </w:r>
            <w:r>
              <w:rPr>
                <w:rFonts w:hint="eastAsia" w:ascii="宋体" w:hAnsi="宋体" w:eastAsia="宋体" w:cs="Times New Roman"/>
                <w:color w:val="auto"/>
                <w:kern w:val="28"/>
                <w:sz w:val="21"/>
                <w:szCs w:val="21"/>
                <w:highlight w:val="none"/>
                <w:lang w:eastAsia="zh-CN"/>
              </w:rPr>
              <w:t>；</w:t>
            </w:r>
          </w:p>
          <w:p w14:paraId="7A7BF9AF">
            <w:pPr>
              <w:spacing w:line="276" w:lineRule="auto"/>
              <w:jc w:val="left"/>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每增加1项满足附录2资格审查条件（业绩最低要求）的业绩加5分，最多加10分。</w:t>
            </w:r>
          </w:p>
        </w:tc>
      </w:tr>
    </w:tbl>
    <w:p w14:paraId="6D567ABD">
      <w:pPr>
        <w:keepNext w:val="0"/>
        <w:keepLines w:val="0"/>
        <w:pageBreakBefore w:val="0"/>
        <w:widowControl w:val="0"/>
        <w:kinsoku/>
        <w:wordWrap/>
        <w:overflowPunct/>
        <w:topLinePunct w:val="0"/>
        <w:autoSpaceDE/>
        <w:autoSpaceDN/>
        <w:bidi w:val="0"/>
        <w:adjustRightInd/>
        <w:snapToGrid w:val="0"/>
        <w:spacing w:line="240" w:lineRule="auto"/>
        <w:ind w:firstLine="428" w:firstLineChars="204"/>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注：1、各评委打分保留1位小数，投标人该项得分以各评委打分平均值计算所得，保留两位小数，第三位小数四舍五入。</w:t>
      </w:r>
    </w:p>
    <w:p w14:paraId="7FCE7E4B">
      <w:r>
        <w:rPr>
          <w:rFonts w:hint="eastAsia" w:ascii="宋体" w:hAnsi="宋体" w:eastAsia="宋体" w:cs="Times New Roman"/>
          <w:color w:val="auto"/>
          <w:kern w:val="2"/>
          <w:sz w:val="21"/>
          <w:szCs w:val="21"/>
          <w:highlight w:val="none"/>
          <w:lang w:val="en-US" w:eastAsia="zh-CN" w:bidi="ar-SA"/>
        </w:rPr>
        <w:t>2、各评分因素得分一般不应低于其权重分值的60%，评标委员会成员对某一项评分因素的评分低于权重分值 60%的，应在评标报告中作出说明。评审因素缺项则该项得0分。</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宋?">
    <w:altName w:val="宋体"/>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E650C"/>
    <w:multiLevelType w:val="multilevel"/>
    <w:tmpl w:val="4C6E650C"/>
    <w:lvl w:ilvl="0" w:tentative="0">
      <w:start w:val="1"/>
      <w:numFmt w:val="decimal"/>
      <w:pStyle w:val="3"/>
      <w:suff w:val="space"/>
      <w:lvlText w:val="%1."/>
      <w:lvlJc w:val="left"/>
      <w:pPr>
        <w:tabs>
          <w:tab w:val="left" w:pos="0"/>
        </w:tabs>
        <w:ind w:left="0" w:firstLine="0"/>
      </w:pPr>
      <w:rPr>
        <w:rFonts w:hint="default" w:ascii="Times New Roman" w:hAnsi="Times New Roman" w:eastAsia="宋体"/>
        <w:b/>
        <w:i w:val="0"/>
        <w:sz w:val="21"/>
        <w:szCs w:val="21"/>
      </w:rPr>
    </w:lvl>
    <w:lvl w:ilvl="1" w:tentative="0">
      <w:start w:val="1"/>
      <w:numFmt w:val="decimal"/>
      <w:pStyle w:val="2"/>
      <w:suff w:val="space"/>
      <w:lvlText w:val="%1.%2"/>
      <w:lvlJc w:val="left"/>
      <w:pPr>
        <w:tabs>
          <w:tab w:val="left" w:pos="0"/>
        </w:tabs>
        <w:ind w:left="240" w:firstLine="0"/>
      </w:pPr>
      <w:rPr>
        <w:rFonts w:hint="default" w:ascii="Times New Roman" w:hAnsi="Times New Roman" w:eastAsia="宋体"/>
        <w:b/>
        <w:i w:val="0"/>
        <w:sz w:val="21"/>
        <w:szCs w:val="21"/>
      </w:rPr>
    </w:lvl>
    <w:lvl w:ilvl="2" w:tentative="0">
      <w:start w:val="1"/>
      <w:numFmt w:val="decimal"/>
      <w:suff w:val="space"/>
      <w:lvlText w:val="%1.%2.%3"/>
      <w:lvlJc w:val="left"/>
      <w:pPr>
        <w:ind w:left="993" w:firstLine="0"/>
      </w:pPr>
      <w:rPr>
        <w:rFonts w:hint="default" w:ascii="Times New Roman" w:hAnsi="Times New Roman" w:eastAsia="宋体"/>
        <w:b/>
        <w:i w:val="0"/>
        <w:sz w:val="32"/>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11F8C"/>
    <w:rsid w:val="1A3A3C94"/>
    <w:rsid w:val="2F8266AE"/>
    <w:rsid w:val="4C721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240"/>
      <w:outlineLvl w:val="1"/>
    </w:pPr>
    <w:rPr>
      <w:rFonts w:ascii="Arial" w:hAnsi="Arial" w:eastAsia="黑体"/>
      <w:b/>
      <w:sz w:val="32"/>
    </w:rPr>
  </w:style>
  <w:style w:type="paragraph" w:styleId="3">
    <w:name w:val="heading 3"/>
    <w:basedOn w:val="1"/>
    <w:next w:val="1"/>
    <w:semiHidden/>
    <w:unhideWhenUsed/>
    <w:qFormat/>
    <w:uiPriority w:val="0"/>
    <w:pPr>
      <w:keepNext/>
      <w:keepLines/>
      <w:numPr>
        <w:ilvl w:val="0"/>
        <w:numId w:val="1"/>
      </w:numPr>
      <w:spacing w:before="50" w:after="50" w:line="416" w:lineRule="auto"/>
      <w:outlineLvl w:val="2"/>
    </w:pPr>
    <w:rPr>
      <w:rFonts w:ascii="宋体" w:hAnsi="宋体" w:eastAsia="宋体" w:cs="Times New Roman"/>
      <w:b/>
      <w:bCs/>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7698</Words>
  <Characters>8660</Characters>
  <Lines>0</Lines>
  <Paragraphs>0</Paragraphs>
  <TotalTime>0</TotalTime>
  <ScaleCrop>false</ScaleCrop>
  <LinksUpToDate>false</LinksUpToDate>
  <CharactersWithSpaces>8739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2025-07-30T08:06:00Z</dcterms:created>
  <dc:creator>zjyd-2</dc:creator>
  <cp:lastModifiedBy>冯士峰</cp:lastModifiedBy>
  <dcterms:modified xsi:type="dcterms:W3CDTF">2026-09-30T11:27:35Z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CF58DBFDBD8A45269F9CDECC14BC5366_12</vt:lpwstr>
  </property>
  <property fmtid="{D5CDD505-2E9C-101B-9397-08002B2CF9AE}" pid="4" name="KSOTemplateDocerSaveRecord">
    <vt:lpwstr>eyJoZGlkIjoiMjNhMGNiNzBmYzRmYmU1YWU1ZDVjYzI3MTI0YTIzZjQiLCJ1c2VySWQiOiIxNjg3ODQzOTczIn0=</vt:lpwstr>
  </property>
</Properties>
</file>