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28416">
      <w:pPr>
        <w:keepNext/>
        <w:widowControl/>
        <w:spacing w:line="360" w:lineRule="auto"/>
        <w:outlineLvl w:val="2"/>
        <w:rPr>
          <w:rFonts w:hint="eastAsia" w:ascii="宋体" w:hAnsi="宋体" w:eastAsia="宋体" w:cs="宋体"/>
          <w:b/>
          <w:bCs/>
          <w:sz w:val="24"/>
          <w:szCs w:val="24"/>
          <w:highlight w:val="none"/>
          <w:lang w:val="en-US" w:eastAsia="en-US" w:bidi="ar-SA"/>
        </w:rPr>
      </w:pPr>
      <w:bookmarkStart w:id="5" w:name="_GoBack"/>
      <w:bookmarkEnd w:id="5"/>
      <w:bookmarkStart w:id="0" w:name="_Toc7171"/>
      <w:bookmarkStart w:id="1" w:name="OLE_LINK3"/>
      <w:bookmarkStart w:id="2" w:name="OLE_LINK1"/>
      <w:r>
        <w:rPr>
          <w:rFonts w:hint="eastAsia" w:ascii="宋体" w:hAnsi="宋体" w:eastAsia="宋体" w:cs="宋体"/>
          <w:b/>
          <w:bCs/>
          <w:sz w:val="24"/>
          <w:szCs w:val="24"/>
          <w:highlight w:val="none"/>
          <w:lang w:val="en-US" w:eastAsia="en-US" w:bidi="ar-SA"/>
        </w:rPr>
        <w:t>附件</w:t>
      </w:r>
      <w:r>
        <w:rPr>
          <w:rFonts w:ascii="宋体" w:hAnsi="宋体" w:eastAsia="宋体" w:cs="宋体"/>
          <w:b/>
          <w:bCs/>
          <w:sz w:val="24"/>
          <w:szCs w:val="24"/>
          <w:highlight w:val="none"/>
          <w:lang w:val="en-US" w:eastAsia="en-US" w:bidi="ar-SA"/>
        </w:rPr>
        <w:t>1</w:t>
      </w:r>
      <w:r>
        <w:rPr>
          <w:rFonts w:hint="eastAsia" w:ascii="宋体" w:hAnsi="宋体" w:eastAsia="宋体" w:cs="宋体"/>
          <w:b/>
          <w:bCs/>
          <w:sz w:val="24"/>
          <w:szCs w:val="24"/>
          <w:highlight w:val="none"/>
          <w:lang w:val="en-US" w:eastAsia="en-US" w:bidi="ar-SA"/>
        </w:rPr>
        <w:t>：资格审查条件</w:t>
      </w:r>
      <w:bookmarkEnd w:id="0"/>
    </w:p>
    <w:p w14:paraId="5FEA9383">
      <w:pPr>
        <w:jc w:val="center"/>
        <w:rPr>
          <w:rFonts w:hint="eastAsia" w:ascii="宋体" w:hAnsi="宋体" w:eastAsia="宋体" w:cs="宋体"/>
          <w:b/>
          <w:kern w:val="0"/>
          <w:sz w:val="24"/>
          <w:szCs w:val="24"/>
          <w:highlight w:val="none"/>
          <w:lang w:eastAsia="en-US"/>
        </w:rPr>
      </w:pPr>
    </w:p>
    <w:p w14:paraId="5303EE55">
      <w:pPr>
        <w:jc w:val="center"/>
        <w:rPr>
          <w:rFonts w:hint="eastAsia" w:ascii="宋体" w:hAnsi="宋体" w:eastAsia="宋体" w:cs="宋体"/>
          <w:b/>
          <w:kern w:val="0"/>
          <w:sz w:val="24"/>
          <w:szCs w:val="24"/>
          <w:highlight w:val="none"/>
          <w:lang w:eastAsia="zh-CN"/>
        </w:rPr>
      </w:pPr>
      <w:r>
        <w:rPr>
          <w:rFonts w:hint="eastAsia" w:ascii="宋体" w:hAnsi="宋体" w:eastAsia="宋体" w:cs="宋体"/>
          <w:b/>
          <w:kern w:val="0"/>
          <w:sz w:val="24"/>
          <w:szCs w:val="24"/>
          <w:highlight w:val="none"/>
          <w:lang w:eastAsia="zh-CN"/>
        </w:rPr>
        <w:t>附录1资格审查条件（资质最低要求）</w:t>
      </w:r>
    </w:p>
    <w:tbl>
      <w:tblPr>
        <w:tblStyle w:val="4"/>
        <w:tblW w:w="86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2"/>
      </w:tblGrid>
      <w:tr w14:paraId="654D1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642" w:type="dxa"/>
            <w:vAlign w:val="center"/>
          </w:tcPr>
          <w:p w14:paraId="58721569">
            <w:pPr>
              <w:jc w:val="center"/>
              <w:rPr>
                <w:rFonts w:hint="eastAsia" w:ascii="宋体" w:hAnsi="宋体" w:eastAsia="宋体" w:cs="宋体"/>
                <w:kern w:val="0"/>
                <w:sz w:val="21"/>
                <w:szCs w:val="24"/>
                <w:highlight w:val="none"/>
                <w:lang w:eastAsia="en-US"/>
              </w:rPr>
            </w:pPr>
            <w:r>
              <w:rPr>
                <w:rFonts w:hint="eastAsia" w:ascii="宋体" w:hAnsi="宋体" w:eastAsia="宋体" w:cs="宋体"/>
                <w:kern w:val="0"/>
                <w:sz w:val="21"/>
                <w:szCs w:val="24"/>
                <w:highlight w:val="none"/>
                <w:lang w:eastAsia="en-US"/>
              </w:rPr>
              <w:t>资质等级要求</w:t>
            </w:r>
          </w:p>
        </w:tc>
      </w:tr>
      <w:tr w14:paraId="08B3E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8642" w:type="dxa"/>
            <w:vAlign w:val="center"/>
          </w:tcPr>
          <w:p w14:paraId="3B91A04E">
            <w:pPr>
              <w:numPr>
                <w:ilvl w:val="0"/>
                <w:numId w:val="0"/>
              </w:numPr>
              <w:snapToGrid w:val="0"/>
              <w:spacing w:line="360" w:lineRule="exact"/>
              <w:ind w:firstLine="420" w:firstLineChars="200"/>
              <w:jc w:val="left"/>
              <w:rPr>
                <w:rFonts w:hint="default" w:ascii="Calibri" w:hAnsi="Calibri" w:eastAsia="宋体" w:cs="宋体"/>
                <w:kern w:val="0"/>
                <w:sz w:val="18"/>
                <w:szCs w:val="18"/>
                <w:highlight w:val="none"/>
                <w:lang w:val="en-US" w:eastAsia="zh-CN"/>
              </w:rPr>
            </w:pPr>
            <w:r>
              <w:rPr>
                <w:rFonts w:hint="eastAsia" w:ascii="宋体" w:hAnsi="宋体" w:eastAsia="宋体" w:cs="宋体"/>
                <w:bCs/>
                <w:kern w:val="0"/>
                <w:sz w:val="21"/>
                <w:szCs w:val="21"/>
                <w:highlight w:val="none"/>
                <w:lang w:eastAsia="en-US"/>
              </w:rPr>
              <w:t>投标人应是中华人民共和国境内注册的法人或其他组织，持有有效的营业执照。</w:t>
            </w:r>
          </w:p>
        </w:tc>
      </w:tr>
    </w:tbl>
    <w:p w14:paraId="28E9BC45">
      <w:pPr>
        <w:snapToGrid w:val="0"/>
        <w:jc w:val="left"/>
        <w:rPr>
          <w:rFonts w:hint="eastAsia" w:ascii="宋体" w:hAnsi="宋体" w:eastAsia="宋体" w:cs="宋体"/>
          <w:kern w:val="0"/>
          <w:sz w:val="24"/>
          <w:szCs w:val="24"/>
          <w:highlight w:val="none"/>
          <w:lang w:eastAsia="zh-CN"/>
        </w:rPr>
      </w:pPr>
    </w:p>
    <w:p w14:paraId="4DBFE807">
      <w:pPr>
        <w:widowControl w:val="0"/>
        <w:snapToGrid w:val="0"/>
        <w:spacing w:line="240" w:lineRule="auto"/>
        <w:ind w:firstLine="640" w:firstLineChars="200"/>
        <w:rPr>
          <w:rFonts w:ascii="Calibri" w:hAnsi="Calibri" w:eastAsia="仿宋_GB2312" w:cs="黑体"/>
          <w:sz w:val="32"/>
          <w:szCs w:val="18"/>
          <w:highlight w:val="none"/>
          <w:lang w:val="en-US" w:eastAsia="zh-CN" w:bidi="ar-SA"/>
        </w:rPr>
      </w:pPr>
    </w:p>
    <w:p w14:paraId="0581AF17">
      <w:pPr>
        <w:jc w:val="center"/>
        <w:rPr>
          <w:rFonts w:hint="eastAsia" w:ascii="宋体" w:hAnsi="宋体" w:eastAsia="宋体" w:cs="宋体"/>
          <w:b/>
          <w:kern w:val="0"/>
          <w:sz w:val="24"/>
          <w:szCs w:val="24"/>
          <w:highlight w:val="none"/>
          <w:lang w:eastAsia="zh-CN"/>
        </w:rPr>
      </w:pPr>
      <w:r>
        <w:rPr>
          <w:rFonts w:hint="eastAsia" w:ascii="宋体" w:hAnsi="宋体" w:eastAsia="宋体" w:cs="宋体"/>
          <w:b/>
          <w:kern w:val="0"/>
          <w:sz w:val="24"/>
          <w:szCs w:val="24"/>
          <w:highlight w:val="none"/>
          <w:lang w:eastAsia="zh-CN"/>
        </w:rPr>
        <w:t>附录2资格审查条件（业绩最低要求）</w:t>
      </w:r>
    </w:p>
    <w:tbl>
      <w:tblPr>
        <w:tblStyle w:val="4"/>
        <w:tblW w:w="86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2"/>
      </w:tblGrid>
      <w:tr w14:paraId="5988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642" w:type="dxa"/>
            <w:vAlign w:val="center"/>
          </w:tcPr>
          <w:p w14:paraId="27A31C99">
            <w:pPr>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业绩要求</w:t>
            </w:r>
          </w:p>
        </w:tc>
      </w:tr>
      <w:tr w14:paraId="540E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8642" w:type="dxa"/>
            <w:vAlign w:val="center"/>
          </w:tcPr>
          <w:p w14:paraId="7DD5C4BD">
            <w:pPr>
              <w:snapToGrid w:val="0"/>
              <w:spacing w:line="360" w:lineRule="exact"/>
              <w:ind w:firstLine="420" w:firstLineChars="200"/>
              <w:jc w:val="both"/>
              <w:rPr>
                <w:rFonts w:hint="eastAsia" w:ascii="宋体" w:hAnsi="宋体" w:eastAsia="宋体" w:cs="宋体"/>
                <w:strike/>
                <w:kern w:val="0"/>
                <w:sz w:val="21"/>
                <w:szCs w:val="21"/>
                <w:highlight w:val="none"/>
                <w:lang w:eastAsia="zh-CN"/>
              </w:rPr>
            </w:pPr>
            <w:r>
              <w:rPr>
                <w:rFonts w:hint="eastAsia" w:ascii="宋体" w:hAnsi="宋体" w:eastAsia="宋体" w:cs="宋体"/>
                <w:bCs/>
                <w:kern w:val="2"/>
                <w:sz w:val="21"/>
                <w:szCs w:val="21"/>
                <w:highlight w:val="none"/>
                <w:lang w:eastAsia="en-US"/>
              </w:rPr>
              <w:t>投标人近5年内（2021年</w:t>
            </w:r>
            <w:r>
              <w:rPr>
                <w:rFonts w:hint="eastAsia" w:ascii="宋体" w:hAnsi="宋体" w:eastAsia="宋体" w:cs="宋体"/>
                <w:bCs/>
                <w:kern w:val="2"/>
                <w:sz w:val="21"/>
                <w:szCs w:val="21"/>
                <w:highlight w:val="none"/>
                <w:lang w:val="en-US" w:eastAsia="zh-CN"/>
              </w:rPr>
              <w:t>10月</w:t>
            </w:r>
            <w:r>
              <w:rPr>
                <w:rFonts w:hint="eastAsia" w:ascii="宋体" w:hAnsi="宋体" w:eastAsia="宋体" w:cs="宋体"/>
                <w:bCs/>
                <w:kern w:val="2"/>
                <w:sz w:val="21"/>
                <w:szCs w:val="21"/>
                <w:highlight w:val="none"/>
                <w:lang w:eastAsia="en-US"/>
              </w:rPr>
              <w:t>1日至今，以合同签订时间为准）至少</w:t>
            </w:r>
            <w:r>
              <w:rPr>
                <w:rFonts w:hint="eastAsia" w:ascii="宋体" w:hAnsi="宋体" w:eastAsia="宋体" w:cs="宋体"/>
                <w:bCs/>
                <w:kern w:val="2"/>
                <w:sz w:val="21"/>
                <w:szCs w:val="21"/>
                <w:highlight w:val="none"/>
                <w:lang w:val="en-US" w:eastAsia="zh-CN"/>
              </w:rPr>
              <w:t>承揽过</w:t>
            </w:r>
            <w:r>
              <w:rPr>
                <w:rFonts w:hint="eastAsia" w:ascii="宋体" w:hAnsi="宋体" w:eastAsia="宋体" w:cs="宋体"/>
                <w:bCs/>
                <w:kern w:val="2"/>
                <w:sz w:val="21"/>
                <w:szCs w:val="21"/>
                <w:highlight w:val="none"/>
                <w:lang w:eastAsia="en-US"/>
              </w:rPr>
              <w:t>一项合同额不低于</w:t>
            </w:r>
            <w:r>
              <w:rPr>
                <w:rFonts w:hint="eastAsia" w:ascii="宋体" w:hAnsi="宋体" w:eastAsia="宋体" w:cs="宋体"/>
                <w:bCs/>
                <w:kern w:val="2"/>
                <w:sz w:val="21"/>
                <w:szCs w:val="21"/>
                <w:highlight w:val="none"/>
                <w:lang w:val="en-US" w:eastAsia="zh-CN"/>
              </w:rPr>
              <w:t>45万</w:t>
            </w:r>
            <w:r>
              <w:rPr>
                <w:rFonts w:hint="eastAsia" w:ascii="宋体" w:hAnsi="宋体" w:eastAsia="宋体" w:cs="宋体"/>
                <w:bCs/>
                <w:kern w:val="2"/>
                <w:sz w:val="21"/>
                <w:szCs w:val="21"/>
                <w:highlight w:val="none"/>
                <w:lang w:eastAsia="en-US"/>
              </w:rPr>
              <w:t>元（含）的</w:t>
            </w:r>
            <w:r>
              <w:rPr>
                <w:rFonts w:hint="eastAsia" w:ascii="宋体" w:hAnsi="宋体" w:eastAsia="宋体" w:cs="宋体"/>
                <w:color w:val="auto"/>
                <w:kern w:val="0"/>
                <w:sz w:val="21"/>
                <w:szCs w:val="21"/>
                <w:highlight w:val="none"/>
                <w:lang w:val="en-US" w:eastAsia="zh-CN"/>
              </w:rPr>
              <w:t>公共建筑工程</w:t>
            </w:r>
            <w:r>
              <w:rPr>
                <w:rFonts w:hint="eastAsia" w:ascii="宋体" w:hAnsi="宋体" w:eastAsia="宋体" w:cs="宋体"/>
                <w:bCs/>
                <w:kern w:val="2"/>
                <w:sz w:val="21"/>
                <w:szCs w:val="21"/>
                <w:highlight w:val="none"/>
                <w:lang w:val="en-US" w:eastAsia="zh-CN"/>
              </w:rPr>
              <w:t>造价咨询</w:t>
            </w:r>
            <w:r>
              <w:rPr>
                <w:rFonts w:hint="eastAsia" w:ascii="宋体" w:hAnsi="宋体" w:eastAsia="宋体" w:cs="宋体"/>
                <w:bCs/>
                <w:kern w:val="2"/>
                <w:sz w:val="21"/>
                <w:szCs w:val="21"/>
                <w:highlight w:val="none"/>
                <w:lang w:eastAsia="en-US"/>
              </w:rPr>
              <w:t>业绩。</w:t>
            </w:r>
          </w:p>
        </w:tc>
      </w:tr>
    </w:tbl>
    <w:p w14:paraId="6D60EB40">
      <w:pPr>
        <w:snapToGrid w:val="0"/>
        <w:jc w:val="left"/>
        <w:rPr>
          <w:rFonts w:hint="eastAsia" w:ascii="宋体" w:hAnsi="宋体" w:eastAsia="宋体" w:cs="宋体"/>
          <w:kern w:val="0"/>
          <w:sz w:val="24"/>
          <w:szCs w:val="24"/>
          <w:highlight w:val="none"/>
          <w:lang w:eastAsia="zh-CN"/>
        </w:rPr>
      </w:pPr>
    </w:p>
    <w:p w14:paraId="4CF70617">
      <w:pPr>
        <w:widowControl w:val="0"/>
        <w:snapToGrid w:val="0"/>
        <w:spacing w:line="240" w:lineRule="auto"/>
        <w:ind w:firstLine="640" w:firstLineChars="200"/>
        <w:rPr>
          <w:rFonts w:ascii="Calibri" w:hAnsi="Calibri" w:eastAsia="仿宋_GB2312" w:cs="黑体"/>
          <w:sz w:val="32"/>
          <w:szCs w:val="18"/>
          <w:highlight w:val="none"/>
          <w:lang w:val="en-US" w:eastAsia="zh-CN" w:bidi="ar-SA"/>
        </w:rPr>
      </w:pPr>
    </w:p>
    <w:p w14:paraId="49FA87AB">
      <w:pPr>
        <w:jc w:val="center"/>
        <w:rPr>
          <w:rFonts w:hint="eastAsia" w:ascii="宋体" w:hAnsi="宋体" w:eastAsia="宋体" w:cs="宋体"/>
          <w:b/>
          <w:kern w:val="0"/>
          <w:sz w:val="24"/>
          <w:szCs w:val="24"/>
          <w:highlight w:val="none"/>
          <w:lang w:eastAsia="zh-CN"/>
        </w:rPr>
      </w:pPr>
      <w:r>
        <w:rPr>
          <w:rFonts w:hint="eastAsia" w:ascii="宋体" w:hAnsi="宋体" w:eastAsia="宋体" w:cs="宋体"/>
          <w:b/>
          <w:kern w:val="0"/>
          <w:sz w:val="24"/>
          <w:szCs w:val="24"/>
          <w:highlight w:val="none"/>
          <w:lang w:eastAsia="zh-CN"/>
        </w:rPr>
        <w:t>附录3资格审查条件（信誉最低要求）</w:t>
      </w:r>
    </w:p>
    <w:tbl>
      <w:tblPr>
        <w:tblStyle w:val="4"/>
        <w:tblW w:w="86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2"/>
      </w:tblGrid>
      <w:tr w14:paraId="7E7C3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642" w:type="dxa"/>
            <w:vAlign w:val="center"/>
          </w:tcPr>
          <w:p w14:paraId="49A30085">
            <w:pPr>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信誉要求</w:t>
            </w:r>
          </w:p>
        </w:tc>
      </w:tr>
      <w:tr w14:paraId="61BE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8642" w:type="dxa"/>
            <w:vAlign w:val="center"/>
          </w:tcPr>
          <w:p w14:paraId="6D5E3579">
            <w:pPr>
              <w:snapToGrid w:val="0"/>
              <w:spacing w:line="360" w:lineRule="exact"/>
              <w:ind w:firstLine="420" w:firstLineChars="200"/>
              <w:jc w:val="left"/>
              <w:rPr>
                <w:rFonts w:hint="eastAsia" w:ascii="宋体" w:hAnsi="宋体" w:eastAsia="宋体" w:cs="宋体"/>
                <w:kern w:val="0"/>
                <w:sz w:val="21"/>
                <w:szCs w:val="21"/>
                <w:highlight w:val="none"/>
                <w:lang w:eastAsia="zh-CN"/>
              </w:rPr>
            </w:pPr>
            <w:r>
              <w:rPr>
                <w:rFonts w:hint="eastAsia" w:ascii="宋体" w:hAnsi="宋体" w:eastAsia="宋体" w:cs="宋体"/>
                <w:bCs/>
                <w:kern w:val="0"/>
                <w:sz w:val="21"/>
                <w:szCs w:val="21"/>
                <w:highlight w:val="none"/>
                <w:lang w:eastAsia="en-US"/>
              </w:rPr>
              <w:t>近1年（2025年</w:t>
            </w:r>
            <w:r>
              <w:rPr>
                <w:rFonts w:hint="eastAsia" w:ascii="宋体" w:hAnsi="宋体" w:eastAsia="宋体" w:cs="宋体"/>
                <w:bCs/>
                <w:kern w:val="0"/>
                <w:sz w:val="21"/>
                <w:szCs w:val="21"/>
                <w:highlight w:val="none"/>
                <w:lang w:val="en-US" w:eastAsia="zh-CN"/>
              </w:rPr>
              <w:t>10月</w:t>
            </w:r>
            <w:r>
              <w:rPr>
                <w:rFonts w:hint="eastAsia" w:ascii="宋体" w:hAnsi="宋体" w:eastAsia="宋体" w:cs="宋体"/>
                <w:bCs/>
                <w:kern w:val="0"/>
                <w:sz w:val="21"/>
                <w:szCs w:val="21"/>
                <w:highlight w:val="none"/>
                <w:lang w:eastAsia="en-US"/>
              </w:rPr>
              <w:t>1日至今）中不曾在</w:t>
            </w:r>
            <w:r>
              <w:rPr>
                <w:rFonts w:hint="eastAsia" w:ascii="宋体" w:hAnsi="宋体" w:eastAsia="宋体" w:cs="宋体"/>
                <w:color w:val="auto"/>
                <w:kern w:val="0"/>
                <w:sz w:val="21"/>
                <w:szCs w:val="21"/>
                <w:highlight w:val="none"/>
                <w:lang w:val="en-US" w:eastAsia="zh-CN"/>
              </w:rPr>
              <w:t>公共建筑工程</w:t>
            </w:r>
            <w:r>
              <w:rPr>
                <w:rFonts w:hint="eastAsia" w:ascii="宋体" w:hAnsi="宋体" w:eastAsia="宋体" w:cs="宋体"/>
                <w:bCs/>
                <w:kern w:val="2"/>
                <w:sz w:val="21"/>
                <w:szCs w:val="21"/>
                <w:highlight w:val="none"/>
                <w:lang w:val="en-US" w:eastAsia="zh-CN"/>
              </w:rPr>
              <w:t>项目</w:t>
            </w:r>
            <w:r>
              <w:rPr>
                <w:rFonts w:hint="eastAsia" w:ascii="宋体" w:hAnsi="宋体" w:eastAsia="宋体" w:cs="宋体"/>
                <w:bCs/>
                <w:kern w:val="2"/>
                <w:sz w:val="21"/>
                <w:szCs w:val="21"/>
                <w:highlight w:val="none"/>
                <w:lang w:eastAsia="en-US"/>
              </w:rPr>
              <w:t>造价咨询</w:t>
            </w:r>
            <w:r>
              <w:rPr>
                <w:rFonts w:hint="eastAsia" w:ascii="宋体" w:hAnsi="宋体" w:eastAsia="宋体" w:cs="宋体"/>
                <w:bCs/>
                <w:kern w:val="0"/>
                <w:sz w:val="21"/>
                <w:szCs w:val="21"/>
                <w:highlight w:val="none"/>
                <w:lang w:eastAsia="en-US"/>
              </w:rPr>
              <w:t>合同中违约而被驱逐或因投标人自身的原因而使</w:t>
            </w:r>
            <w:r>
              <w:rPr>
                <w:rFonts w:hint="eastAsia" w:ascii="宋体" w:hAnsi="宋体" w:eastAsia="宋体" w:cs="宋体"/>
                <w:color w:val="auto"/>
                <w:kern w:val="0"/>
                <w:sz w:val="21"/>
                <w:szCs w:val="21"/>
                <w:highlight w:val="none"/>
                <w:lang w:val="en-US" w:eastAsia="zh-CN"/>
              </w:rPr>
              <w:t>公共建筑工程</w:t>
            </w:r>
            <w:r>
              <w:rPr>
                <w:rFonts w:hint="eastAsia" w:ascii="宋体" w:hAnsi="宋体" w:eastAsia="宋体" w:cs="宋体"/>
                <w:bCs/>
                <w:kern w:val="2"/>
                <w:sz w:val="21"/>
                <w:szCs w:val="21"/>
                <w:highlight w:val="none"/>
                <w:lang w:val="en-US" w:eastAsia="zh-CN"/>
              </w:rPr>
              <w:t>项目</w:t>
            </w:r>
            <w:r>
              <w:rPr>
                <w:rFonts w:hint="eastAsia" w:ascii="宋体" w:hAnsi="宋体" w:eastAsia="宋体" w:cs="宋体"/>
                <w:bCs/>
                <w:kern w:val="2"/>
                <w:sz w:val="21"/>
                <w:szCs w:val="21"/>
                <w:highlight w:val="none"/>
                <w:lang w:eastAsia="en-US"/>
              </w:rPr>
              <w:t>造价咨询</w:t>
            </w:r>
            <w:r>
              <w:rPr>
                <w:rFonts w:hint="eastAsia" w:ascii="宋体" w:hAnsi="宋体" w:eastAsia="宋体" w:cs="宋体"/>
                <w:bCs/>
                <w:kern w:val="0"/>
                <w:sz w:val="21"/>
                <w:szCs w:val="21"/>
                <w:highlight w:val="none"/>
                <w:lang w:eastAsia="en-US"/>
              </w:rPr>
              <w:t>合同被解除。</w:t>
            </w:r>
          </w:p>
        </w:tc>
      </w:tr>
    </w:tbl>
    <w:p w14:paraId="6FE3DA4D">
      <w:pPr>
        <w:snapToGrid w:val="0"/>
        <w:jc w:val="left"/>
        <w:rPr>
          <w:rFonts w:hint="eastAsia" w:ascii="宋体" w:hAnsi="宋体" w:eastAsia="宋体" w:cs="宋体"/>
          <w:kern w:val="0"/>
          <w:sz w:val="24"/>
          <w:szCs w:val="24"/>
          <w:highlight w:val="none"/>
          <w:lang w:eastAsia="zh-CN"/>
        </w:rPr>
      </w:pPr>
    </w:p>
    <w:p w14:paraId="61D4D128">
      <w:pPr>
        <w:widowControl w:val="0"/>
        <w:snapToGrid w:val="0"/>
        <w:spacing w:line="240" w:lineRule="auto"/>
        <w:ind w:firstLine="640" w:firstLineChars="200"/>
        <w:rPr>
          <w:rFonts w:ascii="Calibri" w:hAnsi="Calibri" w:eastAsia="仿宋_GB2312" w:cs="黑体"/>
          <w:sz w:val="32"/>
          <w:szCs w:val="18"/>
          <w:highlight w:val="none"/>
          <w:lang w:val="en-US" w:eastAsia="zh-CN" w:bidi="ar-SA"/>
        </w:rPr>
      </w:pPr>
    </w:p>
    <w:p w14:paraId="7B02E1E3">
      <w:pPr>
        <w:jc w:val="center"/>
        <w:rPr>
          <w:rFonts w:hint="eastAsia" w:ascii="宋体" w:hAnsi="宋体" w:eastAsia="宋体" w:cs="宋体"/>
          <w:b/>
          <w:kern w:val="0"/>
          <w:sz w:val="24"/>
          <w:szCs w:val="24"/>
          <w:highlight w:val="none"/>
          <w:lang w:eastAsia="zh-CN"/>
        </w:rPr>
      </w:pPr>
      <w:r>
        <w:rPr>
          <w:rFonts w:hint="eastAsia" w:ascii="宋体" w:hAnsi="宋体" w:eastAsia="宋体" w:cs="宋体"/>
          <w:b/>
          <w:kern w:val="0"/>
          <w:sz w:val="24"/>
          <w:szCs w:val="24"/>
          <w:highlight w:val="none"/>
          <w:lang w:eastAsia="zh-CN"/>
        </w:rPr>
        <w:t>附录4资格审查条件（</w:t>
      </w:r>
      <w:r>
        <w:rPr>
          <w:rFonts w:hint="eastAsia" w:ascii="宋体" w:hAnsi="宋体" w:eastAsia="宋体" w:cs="Arial"/>
          <w:b/>
          <w:bCs/>
          <w:spacing w:val="15"/>
          <w:kern w:val="0"/>
          <w:sz w:val="24"/>
          <w:szCs w:val="18"/>
          <w:highlight w:val="none"/>
          <w:lang w:eastAsia="zh-CN"/>
        </w:rPr>
        <w:t>项目负责人</w:t>
      </w:r>
      <w:r>
        <w:rPr>
          <w:rFonts w:hint="eastAsia" w:ascii="宋体" w:hAnsi="宋体" w:eastAsia="宋体" w:cs="宋体"/>
          <w:b/>
          <w:kern w:val="0"/>
          <w:sz w:val="24"/>
          <w:szCs w:val="24"/>
          <w:highlight w:val="none"/>
          <w:lang w:eastAsia="zh-CN"/>
        </w:rPr>
        <w:t>最低要求）</w:t>
      </w:r>
    </w:p>
    <w:tbl>
      <w:tblPr>
        <w:tblStyle w:val="4"/>
        <w:tblW w:w="867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810"/>
        <w:gridCol w:w="6521"/>
      </w:tblGrid>
      <w:tr w14:paraId="7882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340" w:type="dxa"/>
            <w:vAlign w:val="center"/>
          </w:tcPr>
          <w:p w14:paraId="7CFF5A62">
            <w:pPr>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人员</w:t>
            </w:r>
          </w:p>
        </w:tc>
        <w:tc>
          <w:tcPr>
            <w:tcW w:w="810" w:type="dxa"/>
            <w:vAlign w:val="center"/>
          </w:tcPr>
          <w:p w14:paraId="31899A32">
            <w:pPr>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数量</w:t>
            </w:r>
          </w:p>
        </w:tc>
        <w:tc>
          <w:tcPr>
            <w:tcW w:w="6521" w:type="dxa"/>
            <w:vAlign w:val="center"/>
          </w:tcPr>
          <w:p w14:paraId="61DE1B77">
            <w:pPr>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资格要求</w:t>
            </w:r>
          </w:p>
        </w:tc>
      </w:tr>
      <w:tr w14:paraId="7A52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trPr>
        <w:tc>
          <w:tcPr>
            <w:tcW w:w="1340" w:type="dxa"/>
            <w:vAlign w:val="center"/>
          </w:tcPr>
          <w:p w14:paraId="44B40E9D">
            <w:pPr>
              <w:jc w:val="center"/>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项目负责人</w:t>
            </w:r>
          </w:p>
        </w:tc>
        <w:tc>
          <w:tcPr>
            <w:tcW w:w="810" w:type="dxa"/>
            <w:vAlign w:val="center"/>
          </w:tcPr>
          <w:p w14:paraId="5E3E7D23">
            <w:pPr>
              <w:jc w:val="center"/>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1</w:t>
            </w:r>
          </w:p>
        </w:tc>
        <w:tc>
          <w:tcPr>
            <w:tcW w:w="6521" w:type="dxa"/>
            <w:vAlign w:val="center"/>
          </w:tcPr>
          <w:p w14:paraId="6309AE75">
            <w:pPr>
              <w:jc w:val="left"/>
              <w:rPr>
                <w:rFonts w:hint="eastAsia" w:ascii="宋体" w:hAnsi="宋体" w:eastAsia="宋体" w:cs="宋体"/>
                <w:i w:val="0"/>
                <w:iCs w:val="0"/>
                <w:caps w:val="0"/>
                <w:color w:val="000000"/>
                <w:spacing w:val="0"/>
                <w:kern w:val="0"/>
                <w:sz w:val="21"/>
                <w:szCs w:val="21"/>
                <w:highlight w:val="none"/>
                <w:shd w:val="clear" w:fill="FFFFFF"/>
                <w:lang w:eastAsia="zh-CN"/>
              </w:rPr>
            </w:pPr>
            <w:r>
              <w:rPr>
                <w:rFonts w:hint="eastAsia" w:ascii="宋体" w:hAnsi="宋体" w:eastAsia="宋体" w:cs="宋体"/>
                <w:i w:val="0"/>
                <w:iCs w:val="0"/>
                <w:caps w:val="0"/>
                <w:color w:val="000000"/>
                <w:spacing w:val="0"/>
                <w:kern w:val="0"/>
                <w:sz w:val="21"/>
                <w:szCs w:val="21"/>
                <w:highlight w:val="none"/>
                <w:shd w:val="clear" w:fill="FFFFFF"/>
                <w:lang w:eastAsia="en-US"/>
              </w:rPr>
              <w:t>具有高级及以上职称，持有</w:t>
            </w:r>
            <w:r>
              <w:rPr>
                <w:rFonts w:hint="eastAsia" w:ascii="宋体" w:hAnsi="宋体" w:eastAsia="宋体" w:cs="宋体"/>
                <w:color w:val="auto"/>
                <w:kern w:val="0"/>
                <w:sz w:val="21"/>
                <w:szCs w:val="21"/>
                <w:highlight w:val="none"/>
                <w:lang w:eastAsia="en-US"/>
              </w:rPr>
              <w:t>土木建筑工程</w:t>
            </w:r>
            <w:r>
              <w:rPr>
                <w:rFonts w:hint="eastAsia" w:ascii="宋体" w:hAnsi="宋体" w:eastAsia="宋体" w:cs="宋体"/>
                <w:i w:val="0"/>
                <w:iCs w:val="0"/>
                <w:caps w:val="0"/>
                <w:color w:val="000000"/>
                <w:spacing w:val="0"/>
                <w:kern w:val="0"/>
                <w:sz w:val="21"/>
                <w:szCs w:val="21"/>
                <w:highlight w:val="none"/>
                <w:shd w:val="clear" w:fill="FFFFFF"/>
                <w:lang w:eastAsia="en-US"/>
              </w:rPr>
              <w:t>专业一级造价工程师注册证书（注册单位与投标人单位名称一致）</w:t>
            </w:r>
            <w:r>
              <w:rPr>
                <w:rFonts w:hint="eastAsia" w:ascii="宋体" w:hAnsi="宋体" w:eastAsia="宋体" w:cs="宋体"/>
                <w:i w:val="0"/>
                <w:iCs w:val="0"/>
                <w:caps w:val="0"/>
                <w:color w:val="000000"/>
                <w:spacing w:val="0"/>
                <w:kern w:val="0"/>
                <w:sz w:val="21"/>
                <w:szCs w:val="21"/>
                <w:highlight w:val="none"/>
                <w:shd w:val="clear" w:fill="FFFFFF"/>
                <w:lang w:eastAsia="zh-CN"/>
              </w:rPr>
              <w:t>；</w:t>
            </w:r>
          </w:p>
          <w:p w14:paraId="361DB996">
            <w:pPr>
              <w:jc w:val="left"/>
              <w:rPr>
                <w:rFonts w:hint="eastAsia" w:ascii="宋体" w:hAnsi="宋体" w:eastAsia="宋体" w:cs="宋体"/>
                <w:kern w:val="0"/>
                <w:sz w:val="21"/>
                <w:szCs w:val="21"/>
                <w:highlight w:val="none"/>
                <w:lang w:eastAsia="zh-CN"/>
              </w:rPr>
            </w:pPr>
            <w:r>
              <w:rPr>
                <w:rFonts w:hint="eastAsia" w:ascii="宋体" w:hAnsi="宋体" w:eastAsia="宋体" w:cs="宋体"/>
                <w:i w:val="0"/>
                <w:iCs w:val="0"/>
                <w:caps w:val="0"/>
                <w:color w:val="000000"/>
                <w:spacing w:val="0"/>
                <w:kern w:val="0"/>
                <w:sz w:val="21"/>
                <w:szCs w:val="21"/>
                <w:highlight w:val="none"/>
                <w:shd w:val="clear" w:fill="FFFFFF"/>
                <w:lang w:eastAsia="en-US"/>
              </w:rPr>
              <w:t>近5年内（2021年</w:t>
            </w:r>
            <w:r>
              <w:rPr>
                <w:rFonts w:hint="eastAsia" w:ascii="宋体" w:hAnsi="宋体" w:eastAsia="宋体" w:cs="宋体"/>
                <w:i w:val="0"/>
                <w:iCs w:val="0"/>
                <w:caps w:val="0"/>
                <w:color w:val="000000"/>
                <w:spacing w:val="0"/>
                <w:kern w:val="0"/>
                <w:sz w:val="21"/>
                <w:szCs w:val="21"/>
                <w:highlight w:val="none"/>
                <w:shd w:val="clear" w:fill="FFFFFF"/>
                <w:lang w:val="en-US" w:eastAsia="zh-CN"/>
              </w:rPr>
              <w:t>10月</w:t>
            </w:r>
            <w:r>
              <w:rPr>
                <w:rFonts w:hint="eastAsia" w:ascii="宋体" w:hAnsi="宋体" w:eastAsia="宋体" w:cs="宋体"/>
                <w:i w:val="0"/>
                <w:iCs w:val="0"/>
                <w:caps w:val="0"/>
                <w:color w:val="000000"/>
                <w:spacing w:val="0"/>
                <w:kern w:val="0"/>
                <w:sz w:val="21"/>
                <w:szCs w:val="21"/>
                <w:highlight w:val="none"/>
                <w:shd w:val="clear" w:fill="FFFFFF"/>
                <w:lang w:eastAsia="en-US"/>
              </w:rPr>
              <w:t>1日至今，以合同签订时间为准）至少担任过</w:t>
            </w:r>
            <w:r>
              <w:rPr>
                <w:rFonts w:hint="eastAsia" w:ascii="宋体" w:hAnsi="宋体" w:eastAsia="宋体" w:cs="宋体"/>
                <w:bCs/>
                <w:kern w:val="2"/>
                <w:sz w:val="21"/>
                <w:szCs w:val="21"/>
                <w:highlight w:val="none"/>
                <w:lang w:eastAsia="en-US"/>
              </w:rPr>
              <w:t>一项合同额不低于</w:t>
            </w:r>
            <w:r>
              <w:rPr>
                <w:rFonts w:hint="eastAsia" w:ascii="宋体" w:hAnsi="宋体" w:eastAsia="宋体" w:cs="宋体"/>
                <w:bCs/>
                <w:kern w:val="2"/>
                <w:sz w:val="21"/>
                <w:szCs w:val="21"/>
                <w:highlight w:val="none"/>
                <w:lang w:val="en-US" w:eastAsia="zh-CN"/>
              </w:rPr>
              <w:t>45万</w:t>
            </w:r>
            <w:r>
              <w:rPr>
                <w:rFonts w:hint="eastAsia" w:ascii="宋体" w:hAnsi="宋体" w:eastAsia="宋体" w:cs="宋体"/>
                <w:bCs/>
                <w:kern w:val="2"/>
                <w:sz w:val="21"/>
                <w:szCs w:val="21"/>
                <w:highlight w:val="none"/>
                <w:lang w:eastAsia="en-US"/>
              </w:rPr>
              <w:t>元（含）的</w:t>
            </w:r>
            <w:r>
              <w:rPr>
                <w:rFonts w:hint="eastAsia" w:ascii="宋体" w:hAnsi="宋体" w:eastAsia="宋体" w:cs="宋体"/>
                <w:color w:val="auto"/>
                <w:kern w:val="0"/>
                <w:sz w:val="21"/>
                <w:szCs w:val="21"/>
                <w:highlight w:val="none"/>
                <w:lang w:val="en-US" w:eastAsia="zh-CN"/>
              </w:rPr>
              <w:t>公共建筑工程</w:t>
            </w:r>
            <w:r>
              <w:rPr>
                <w:rFonts w:hint="eastAsia" w:ascii="宋体" w:hAnsi="宋体" w:eastAsia="宋体" w:cs="宋体"/>
                <w:bCs/>
                <w:kern w:val="2"/>
                <w:sz w:val="21"/>
                <w:szCs w:val="21"/>
                <w:highlight w:val="none"/>
                <w:lang w:val="en-US" w:eastAsia="zh-CN"/>
              </w:rPr>
              <w:t>造价咨询</w:t>
            </w:r>
            <w:r>
              <w:rPr>
                <w:rFonts w:hint="eastAsia" w:ascii="宋体" w:hAnsi="宋体" w:eastAsia="宋体" w:cs="宋体"/>
                <w:i w:val="0"/>
                <w:iCs w:val="0"/>
                <w:caps w:val="0"/>
                <w:color w:val="000000"/>
                <w:spacing w:val="0"/>
                <w:kern w:val="0"/>
                <w:sz w:val="21"/>
                <w:szCs w:val="21"/>
                <w:highlight w:val="none"/>
                <w:shd w:val="clear" w:fill="FFFFFF"/>
                <w:lang w:val="en-US" w:eastAsia="zh-CN"/>
              </w:rPr>
              <w:t>项目</w:t>
            </w:r>
            <w:r>
              <w:rPr>
                <w:rFonts w:hint="eastAsia" w:ascii="宋体" w:hAnsi="宋体" w:eastAsia="宋体" w:cs="宋体"/>
                <w:i w:val="0"/>
                <w:iCs w:val="0"/>
                <w:caps w:val="0"/>
                <w:color w:val="000000"/>
                <w:spacing w:val="0"/>
                <w:kern w:val="0"/>
                <w:sz w:val="21"/>
                <w:szCs w:val="21"/>
                <w:highlight w:val="none"/>
                <w:shd w:val="clear" w:fill="FFFFFF"/>
                <w:lang w:eastAsia="en-US"/>
              </w:rPr>
              <w:t>的项目负责人</w:t>
            </w:r>
            <w:r>
              <w:rPr>
                <w:rFonts w:hint="eastAsia" w:ascii="宋体" w:hAnsi="宋体" w:eastAsia="宋体" w:cs="宋体"/>
                <w:kern w:val="0"/>
                <w:sz w:val="21"/>
                <w:szCs w:val="21"/>
                <w:highlight w:val="none"/>
                <w:lang w:eastAsia="en-US"/>
              </w:rPr>
              <w:t>。</w:t>
            </w:r>
          </w:p>
        </w:tc>
      </w:tr>
    </w:tbl>
    <w:p w14:paraId="5511C231">
      <w:pPr>
        <w:keepNext/>
        <w:widowControl/>
        <w:snapToGrid w:val="0"/>
        <w:spacing w:before="156" w:beforeLines="50" w:after="156" w:afterLines="50" w:line="240" w:lineRule="auto"/>
        <w:outlineLvl w:val="2"/>
        <w:rPr>
          <w:rFonts w:ascii="黑体" w:hAnsi="宋体" w:eastAsia="黑体" w:cs="宋体"/>
          <w:b/>
          <w:bCs/>
          <w:spacing w:val="-8"/>
          <w:sz w:val="24"/>
          <w:szCs w:val="24"/>
          <w:highlight w:val="none"/>
          <w:lang w:val="en-US" w:eastAsia="zh-CN" w:bidi="ar-SA"/>
        </w:rPr>
      </w:pPr>
    </w:p>
    <w:p w14:paraId="60E6243D">
      <w:pPr>
        <w:jc w:val="center"/>
        <w:rPr>
          <w:rFonts w:hint="eastAsia" w:ascii="宋体" w:hAnsi="宋体" w:eastAsia="宋体" w:cs="宋体"/>
          <w:b/>
          <w:kern w:val="0"/>
          <w:sz w:val="24"/>
          <w:szCs w:val="24"/>
          <w:highlight w:val="none"/>
          <w:lang w:eastAsia="zh-CN"/>
        </w:rPr>
      </w:pPr>
      <w:r>
        <w:rPr>
          <w:rFonts w:hint="eastAsia" w:ascii="宋体" w:hAnsi="宋体" w:eastAsia="宋体" w:cs="宋体"/>
          <w:b/>
          <w:kern w:val="0"/>
          <w:sz w:val="24"/>
          <w:szCs w:val="24"/>
          <w:highlight w:val="none"/>
          <w:lang w:eastAsia="zh-CN"/>
        </w:rPr>
        <w:t>附录</w:t>
      </w:r>
      <w:r>
        <w:rPr>
          <w:rFonts w:hint="eastAsia" w:ascii="宋体" w:hAnsi="宋体" w:eastAsia="宋体" w:cs="宋体"/>
          <w:b/>
          <w:kern w:val="0"/>
          <w:sz w:val="24"/>
          <w:szCs w:val="24"/>
          <w:highlight w:val="none"/>
          <w:lang w:val="en-US" w:eastAsia="zh-CN"/>
        </w:rPr>
        <w:t>5</w:t>
      </w:r>
      <w:r>
        <w:rPr>
          <w:rFonts w:hint="eastAsia" w:ascii="宋体" w:hAnsi="宋体" w:eastAsia="宋体" w:cs="宋体"/>
          <w:b/>
          <w:kern w:val="0"/>
          <w:sz w:val="24"/>
          <w:szCs w:val="24"/>
          <w:highlight w:val="none"/>
          <w:lang w:eastAsia="zh-CN"/>
        </w:rPr>
        <w:t>资格审查条件（</w:t>
      </w:r>
      <w:r>
        <w:rPr>
          <w:rFonts w:hint="eastAsia" w:ascii="宋体" w:hAnsi="宋体" w:eastAsia="宋体" w:cs="Arial"/>
          <w:b/>
          <w:bCs/>
          <w:spacing w:val="15"/>
          <w:kern w:val="0"/>
          <w:sz w:val="24"/>
          <w:szCs w:val="18"/>
          <w:highlight w:val="none"/>
          <w:lang w:val="en-US" w:eastAsia="zh-CN"/>
        </w:rPr>
        <w:t>其他人员</w:t>
      </w:r>
      <w:r>
        <w:rPr>
          <w:rFonts w:hint="eastAsia" w:ascii="宋体" w:hAnsi="宋体" w:eastAsia="宋体" w:cs="宋体"/>
          <w:b/>
          <w:kern w:val="0"/>
          <w:sz w:val="24"/>
          <w:szCs w:val="24"/>
          <w:highlight w:val="none"/>
          <w:lang w:eastAsia="zh-CN"/>
        </w:rPr>
        <w:t>最低要求）</w:t>
      </w:r>
    </w:p>
    <w:tbl>
      <w:tblPr>
        <w:tblStyle w:val="4"/>
        <w:tblW w:w="867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810"/>
        <w:gridCol w:w="6521"/>
      </w:tblGrid>
      <w:tr w14:paraId="54C68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340" w:type="dxa"/>
            <w:vAlign w:val="center"/>
          </w:tcPr>
          <w:p w14:paraId="30CC458A">
            <w:pPr>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人员</w:t>
            </w:r>
          </w:p>
        </w:tc>
        <w:tc>
          <w:tcPr>
            <w:tcW w:w="810" w:type="dxa"/>
            <w:vAlign w:val="center"/>
          </w:tcPr>
          <w:p w14:paraId="0E6D7C71">
            <w:pPr>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数量</w:t>
            </w:r>
          </w:p>
        </w:tc>
        <w:tc>
          <w:tcPr>
            <w:tcW w:w="6521" w:type="dxa"/>
            <w:vAlign w:val="center"/>
          </w:tcPr>
          <w:p w14:paraId="5CD2AB90">
            <w:pPr>
              <w:jc w:val="center"/>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资格要求</w:t>
            </w:r>
          </w:p>
        </w:tc>
      </w:tr>
      <w:tr w14:paraId="1CFD6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trPr>
        <w:tc>
          <w:tcPr>
            <w:tcW w:w="1340" w:type="dxa"/>
            <w:vAlign w:val="center"/>
          </w:tcPr>
          <w:p w14:paraId="341D6ADA">
            <w:pPr>
              <w:jc w:val="center"/>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其他人员</w:t>
            </w:r>
          </w:p>
        </w:tc>
        <w:tc>
          <w:tcPr>
            <w:tcW w:w="810" w:type="dxa"/>
            <w:vAlign w:val="center"/>
          </w:tcPr>
          <w:p w14:paraId="155C8304">
            <w:pPr>
              <w:jc w:val="center"/>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val="en-US" w:eastAsia="zh-CN"/>
              </w:rPr>
              <w:t>4</w:t>
            </w:r>
          </w:p>
        </w:tc>
        <w:tc>
          <w:tcPr>
            <w:tcW w:w="6521" w:type="dxa"/>
            <w:vAlign w:val="center"/>
          </w:tcPr>
          <w:p w14:paraId="15872494">
            <w:pPr>
              <w:jc w:val="left"/>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en-US"/>
              </w:rPr>
              <w:t>一级注册造价工程师，人员配置中须包含</w:t>
            </w:r>
            <w:r>
              <w:rPr>
                <w:rFonts w:hint="eastAsia" w:ascii="宋体" w:hAnsi="宋体" w:eastAsia="宋体" w:cs="宋体"/>
                <w:kern w:val="0"/>
                <w:sz w:val="21"/>
                <w:szCs w:val="21"/>
                <w:highlight w:val="none"/>
                <w:lang w:val="en-US" w:eastAsia="zh-CN"/>
              </w:rPr>
              <w:t>2</w:t>
            </w:r>
            <w:r>
              <w:rPr>
                <w:rFonts w:hint="eastAsia" w:ascii="宋体" w:hAnsi="宋体" w:eastAsia="宋体" w:cs="宋体"/>
                <w:kern w:val="0"/>
                <w:sz w:val="21"/>
                <w:szCs w:val="21"/>
                <w:highlight w:val="none"/>
                <w:lang w:eastAsia="en-US"/>
              </w:rPr>
              <w:t>名土木建筑工程专业及</w:t>
            </w:r>
            <w:r>
              <w:rPr>
                <w:rFonts w:hint="eastAsia" w:ascii="宋体" w:hAnsi="宋体" w:eastAsia="宋体" w:cs="宋体"/>
                <w:kern w:val="0"/>
                <w:sz w:val="21"/>
                <w:szCs w:val="21"/>
                <w:highlight w:val="none"/>
                <w:lang w:val="en-US" w:eastAsia="zh-CN"/>
              </w:rPr>
              <w:t>2</w:t>
            </w:r>
            <w:r>
              <w:rPr>
                <w:rFonts w:hint="eastAsia" w:ascii="宋体" w:hAnsi="宋体" w:eastAsia="宋体" w:cs="宋体"/>
                <w:kern w:val="0"/>
                <w:sz w:val="21"/>
                <w:szCs w:val="21"/>
                <w:highlight w:val="none"/>
                <w:lang w:eastAsia="en-US"/>
              </w:rPr>
              <w:t>名安装工程专业，且注册单位须与投标人名称一致</w:t>
            </w:r>
            <w:r>
              <w:rPr>
                <w:rFonts w:hint="eastAsia" w:ascii="宋体" w:hAnsi="宋体" w:eastAsia="宋体" w:cs="宋体"/>
                <w:kern w:val="0"/>
                <w:sz w:val="18"/>
                <w:szCs w:val="21"/>
                <w:highlight w:val="none"/>
                <w:lang w:eastAsia="en-US"/>
              </w:rPr>
              <w:t>。</w:t>
            </w:r>
          </w:p>
        </w:tc>
      </w:tr>
    </w:tbl>
    <w:p w14:paraId="55A41565">
      <w:pPr>
        <w:snapToGrid w:val="0"/>
        <w:spacing w:before="156" w:beforeLines="50" w:after="156" w:afterLines="50" w:line="240" w:lineRule="auto"/>
        <w:rPr>
          <w:rFonts w:hint="eastAsia" w:ascii="黑体" w:eastAsia="黑体"/>
          <w:spacing w:val="-8"/>
          <w:highlight w:val="none"/>
          <w:lang w:eastAsia="zh-CN"/>
        </w:rPr>
        <w:sectPr>
          <w:footerReference r:id="rId4" w:type="first"/>
          <w:footerReference r:id="rId3" w:type="default"/>
          <w:pgSz w:w="11906" w:h="16838"/>
          <w:pgMar w:top="1440" w:right="1406" w:bottom="1440" w:left="1406" w:header="851" w:footer="992" w:gutter="0"/>
          <w:cols w:space="0" w:num="1"/>
          <w:rtlGutter w:val="0"/>
          <w:docGrid w:type="lines" w:linePitch="312" w:charSpace="0"/>
        </w:sectPr>
      </w:pPr>
      <w:r>
        <w:rPr>
          <w:rFonts w:ascii="黑体" w:hAnsi="宋体" w:eastAsia="黑体" w:cs="宋体"/>
          <w:b/>
          <w:bCs/>
          <w:spacing w:val="-8"/>
          <w:sz w:val="24"/>
          <w:szCs w:val="24"/>
          <w:highlight w:val="none"/>
          <w:lang w:val="en-US" w:eastAsia="zh-CN" w:bidi="ar-SA"/>
        </w:rPr>
        <w:br w:type="page"/>
      </w:r>
      <w:bookmarkStart w:id="3" w:name="_Toc24234"/>
    </w:p>
    <w:bookmarkEnd w:id="1"/>
    <w:bookmarkEnd w:id="2"/>
    <w:bookmarkEnd w:id="3"/>
    <w:p w14:paraId="0D026EF9">
      <w:pPr>
        <w:keepNext/>
        <w:widowControl/>
        <w:snapToGrid w:val="0"/>
        <w:spacing w:before="156" w:beforeLines="50" w:after="156" w:afterLines="50" w:line="240" w:lineRule="auto"/>
        <w:ind w:left="138"/>
        <w:outlineLvl w:val="2"/>
        <w:rPr>
          <w:rFonts w:hint="eastAsia" w:ascii="宋体" w:hAnsi="宋体" w:eastAsia="宋体" w:cs="宋体"/>
          <w:b/>
          <w:bCs/>
          <w:sz w:val="28"/>
          <w:szCs w:val="28"/>
          <w:highlight w:val="none"/>
          <w:lang w:val="en-US" w:eastAsia="zh-CN" w:bidi="ar-SA"/>
        </w:rPr>
      </w:pPr>
      <w:r>
        <w:rPr>
          <w:rFonts w:ascii="宋体" w:hAnsi="宋体" w:eastAsia="宋体" w:cs="宋体"/>
          <w:b/>
          <w:bCs/>
          <w:spacing w:val="-6"/>
          <w:sz w:val="28"/>
          <w:szCs w:val="28"/>
          <w:highlight w:val="none"/>
          <w:lang w:val="en-US" w:eastAsia="zh-CN" w:bidi="ar-SA"/>
        </w:rPr>
        <w:t>附件</w:t>
      </w:r>
      <w:r>
        <w:rPr>
          <w:rFonts w:hint="eastAsia" w:ascii="Times New Roman" w:hAnsi="Times New Roman" w:eastAsia="宋体" w:cs="Times New Roman"/>
          <w:b/>
          <w:bCs/>
          <w:spacing w:val="-6"/>
          <w:sz w:val="28"/>
          <w:szCs w:val="28"/>
          <w:highlight w:val="none"/>
          <w:lang w:val="en-US" w:eastAsia="zh-CN" w:bidi="ar-SA"/>
        </w:rPr>
        <w:t>2</w:t>
      </w:r>
      <w:r>
        <w:rPr>
          <w:rFonts w:ascii="宋体" w:hAnsi="宋体" w:eastAsia="宋体" w:cs="宋体"/>
          <w:b/>
          <w:bCs/>
          <w:spacing w:val="-6"/>
          <w:sz w:val="28"/>
          <w:szCs w:val="28"/>
          <w:highlight w:val="none"/>
          <w:lang w:val="en-US" w:eastAsia="zh-CN" w:bidi="ar-SA"/>
        </w:rPr>
        <w:t>：评标办法</w:t>
      </w:r>
    </w:p>
    <w:p w14:paraId="3A869E93">
      <w:pPr>
        <w:spacing w:before="203" w:line="218" w:lineRule="auto"/>
        <w:ind w:left="3562"/>
        <w:jc w:val="left"/>
        <w:rPr>
          <w:rFonts w:hint="eastAsia" w:ascii="宋体" w:hAnsi="宋体" w:eastAsia="宋体" w:cs="宋体"/>
          <w:kern w:val="0"/>
          <w:sz w:val="24"/>
          <w:szCs w:val="24"/>
          <w:highlight w:val="none"/>
          <w:lang w:eastAsia="zh-CN"/>
        </w:rPr>
      </w:pPr>
      <w:r>
        <w:rPr>
          <w:rFonts w:ascii="宋体" w:hAnsi="宋体" w:eastAsia="宋体" w:cs="宋体"/>
          <w:b/>
          <w:bCs/>
          <w:spacing w:val="-3"/>
          <w:kern w:val="0"/>
          <w:sz w:val="24"/>
          <w:szCs w:val="24"/>
          <w:highlight w:val="none"/>
          <w:lang w:eastAsia="zh-CN"/>
        </w:rPr>
        <w:t>评标办法（</w:t>
      </w:r>
      <w:r>
        <w:rPr>
          <w:rFonts w:hint="eastAsia" w:ascii="宋体" w:hAnsi="宋体" w:eastAsia="宋体" w:cs="宋体"/>
          <w:b/>
          <w:bCs/>
          <w:spacing w:val="-3"/>
          <w:kern w:val="0"/>
          <w:sz w:val="24"/>
          <w:szCs w:val="24"/>
          <w:highlight w:val="none"/>
          <w:lang w:eastAsia="zh-CN"/>
        </w:rPr>
        <w:t>综合评估法</w:t>
      </w:r>
      <w:r>
        <w:rPr>
          <w:rFonts w:ascii="宋体" w:hAnsi="宋体" w:eastAsia="宋体" w:cs="宋体"/>
          <w:b/>
          <w:bCs/>
          <w:spacing w:val="-3"/>
          <w:kern w:val="0"/>
          <w:sz w:val="24"/>
          <w:szCs w:val="24"/>
          <w:highlight w:val="none"/>
          <w:lang w:eastAsia="zh-CN"/>
        </w:rPr>
        <w:t>）</w:t>
      </w:r>
    </w:p>
    <w:p w14:paraId="757F3370">
      <w:pPr>
        <w:spacing w:before="181" w:line="219" w:lineRule="auto"/>
        <w:ind w:left="113"/>
        <w:jc w:val="left"/>
        <w:rPr>
          <w:rFonts w:hint="eastAsia" w:ascii="宋体" w:hAnsi="宋体" w:eastAsia="宋体" w:cs="宋体"/>
          <w:kern w:val="0"/>
          <w:sz w:val="24"/>
          <w:szCs w:val="24"/>
          <w:highlight w:val="none"/>
          <w:lang w:eastAsia="en-US"/>
        </w:rPr>
      </w:pPr>
      <w:r>
        <w:rPr>
          <w:rFonts w:ascii="宋体" w:hAnsi="宋体" w:eastAsia="宋体" w:cs="宋体"/>
          <w:b/>
          <w:bCs/>
          <w:spacing w:val="-4"/>
          <w:kern w:val="0"/>
          <w:sz w:val="24"/>
          <w:szCs w:val="24"/>
          <w:highlight w:val="none"/>
          <w:lang w:eastAsia="en-US"/>
        </w:rPr>
        <w:t>评标办法前附表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444"/>
        <w:gridCol w:w="6956"/>
        <w:gridCol w:w="18"/>
      </w:tblGrid>
      <w:tr w14:paraId="39FE6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blHeader/>
        </w:trPr>
        <w:tc>
          <w:tcPr>
            <w:tcW w:w="1208" w:type="pct"/>
            <w:gridSpan w:val="2"/>
            <w:vAlign w:val="center"/>
          </w:tcPr>
          <w:p w14:paraId="26A09EA6">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条款号</w:t>
            </w:r>
          </w:p>
        </w:tc>
        <w:tc>
          <w:tcPr>
            <w:tcW w:w="3791" w:type="pct"/>
            <w:gridSpan w:val="2"/>
            <w:vAlign w:val="center"/>
          </w:tcPr>
          <w:p w14:paraId="11D0CB1A">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评审因素与评审标准</w:t>
            </w:r>
          </w:p>
        </w:tc>
      </w:tr>
      <w:tr w14:paraId="3583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90" w:hRule="atLeast"/>
        </w:trPr>
        <w:tc>
          <w:tcPr>
            <w:tcW w:w="423" w:type="pct"/>
            <w:vAlign w:val="center"/>
          </w:tcPr>
          <w:p w14:paraId="638148E2">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1</w:t>
            </w:r>
          </w:p>
        </w:tc>
        <w:tc>
          <w:tcPr>
            <w:tcW w:w="785" w:type="pct"/>
            <w:vAlign w:val="center"/>
          </w:tcPr>
          <w:p w14:paraId="27C1BCB7">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评标方法</w:t>
            </w:r>
          </w:p>
        </w:tc>
        <w:tc>
          <w:tcPr>
            <w:tcW w:w="3782" w:type="pct"/>
            <w:vAlign w:val="center"/>
          </w:tcPr>
          <w:p w14:paraId="203E3B77">
            <w:pPr>
              <w:keepNext w:val="0"/>
              <w:keepLines w:val="0"/>
              <w:pageBreakBefore w:val="0"/>
              <w:widowControl w:val="0"/>
              <w:kinsoku/>
              <w:wordWrap/>
              <w:overflowPunct/>
              <w:topLinePunct w:val="0"/>
              <w:bidi w:val="0"/>
              <w:snapToGrid w:val="0"/>
              <w:spacing w:line="320" w:lineRule="exact"/>
              <w:ind w:firstLine="404" w:firstLineChars="200"/>
              <w:jc w:val="left"/>
              <w:textAlignment w:val="auto"/>
              <w:rPr>
                <w:rFonts w:hint="eastAsia" w:ascii="宋体" w:hAnsi="宋体" w:eastAsia="宋体" w:cs="宋体"/>
                <w:spacing w:val="-4"/>
                <w:kern w:val="0"/>
                <w:sz w:val="21"/>
                <w:szCs w:val="21"/>
                <w:highlight w:val="none"/>
                <w:lang w:eastAsia="zh-CN"/>
              </w:rPr>
            </w:pPr>
            <w:r>
              <w:rPr>
                <w:rFonts w:hint="eastAsia" w:ascii="宋体" w:hAnsi="宋体" w:eastAsia="宋体" w:cs="宋体"/>
                <w:spacing w:val="-4"/>
                <w:kern w:val="0"/>
                <w:sz w:val="21"/>
                <w:szCs w:val="21"/>
                <w:highlight w:val="none"/>
                <w:lang w:eastAsia="zh-CN"/>
              </w:rPr>
              <w:t>本次评标采用综合评估法，评标委员会对满足招标文件实质性要求的投标文件，按照本章第2.2款规定的评分标准进行打分，并按得分由高到低顺序推荐1-3名中标候选人。当综合评分相等时，评标委员会依次按照以下优先顺序推荐中标候选人：</w:t>
            </w:r>
          </w:p>
          <w:p w14:paraId="25F40545">
            <w:pPr>
              <w:keepNext w:val="0"/>
              <w:keepLines w:val="0"/>
              <w:pageBreakBefore w:val="0"/>
              <w:widowControl w:val="0"/>
              <w:kinsoku/>
              <w:wordWrap/>
              <w:overflowPunct/>
              <w:topLinePunct w:val="0"/>
              <w:bidi w:val="0"/>
              <w:snapToGrid w:val="0"/>
              <w:spacing w:line="320" w:lineRule="exact"/>
              <w:ind w:left="205" w:leftChars="97" w:hanging="1"/>
              <w:jc w:val="left"/>
              <w:textAlignment w:val="auto"/>
              <w:rPr>
                <w:rFonts w:hint="eastAsia" w:ascii="宋体" w:hAnsi="宋体" w:eastAsia="宋体" w:cs="宋体"/>
                <w:spacing w:val="-4"/>
                <w:kern w:val="0"/>
                <w:sz w:val="21"/>
                <w:szCs w:val="21"/>
                <w:highlight w:val="none"/>
                <w:lang w:eastAsia="zh-CN"/>
              </w:rPr>
            </w:pPr>
            <w:r>
              <w:rPr>
                <w:rFonts w:hint="eastAsia" w:ascii="宋体" w:hAnsi="宋体" w:eastAsia="宋体" w:cs="宋体"/>
                <w:spacing w:val="-4"/>
                <w:kern w:val="0"/>
                <w:sz w:val="21"/>
                <w:szCs w:val="21"/>
                <w:highlight w:val="none"/>
                <w:lang w:eastAsia="zh-CN"/>
              </w:rPr>
              <w:t>（1）评标价低的投标人优先；</w:t>
            </w:r>
          </w:p>
          <w:p w14:paraId="37A750DB">
            <w:pPr>
              <w:keepNext w:val="0"/>
              <w:keepLines w:val="0"/>
              <w:pageBreakBefore w:val="0"/>
              <w:widowControl w:val="0"/>
              <w:kinsoku/>
              <w:wordWrap/>
              <w:overflowPunct/>
              <w:topLinePunct w:val="0"/>
              <w:bidi w:val="0"/>
              <w:snapToGrid w:val="0"/>
              <w:spacing w:line="320" w:lineRule="exact"/>
              <w:ind w:left="205" w:leftChars="97" w:hanging="1"/>
              <w:jc w:val="left"/>
              <w:textAlignment w:val="auto"/>
              <w:rPr>
                <w:rFonts w:hint="eastAsia" w:ascii="宋体" w:hAnsi="宋体" w:eastAsia="宋体" w:cs="宋体"/>
                <w:spacing w:val="-4"/>
                <w:kern w:val="0"/>
                <w:sz w:val="21"/>
                <w:szCs w:val="21"/>
                <w:highlight w:val="none"/>
                <w:lang w:eastAsia="zh-CN"/>
              </w:rPr>
            </w:pPr>
            <w:r>
              <w:rPr>
                <w:rFonts w:hint="eastAsia" w:ascii="宋体" w:hAnsi="宋体" w:eastAsia="宋体" w:cs="宋体"/>
                <w:spacing w:val="-4"/>
                <w:kern w:val="0"/>
                <w:sz w:val="21"/>
                <w:szCs w:val="21"/>
                <w:highlight w:val="none"/>
                <w:lang w:eastAsia="zh-CN"/>
              </w:rPr>
              <w:t>（2）实施方案得分较高的投标人优先；</w:t>
            </w:r>
          </w:p>
          <w:p w14:paraId="077A6EAC">
            <w:pPr>
              <w:keepNext w:val="0"/>
              <w:keepLines w:val="0"/>
              <w:pageBreakBefore w:val="0"/>
              <w:widowControl w:val="0"/>
              <w:kinsoku/>
              <w:wordWrap/>
              <w:overflowPunct/>
              <w:topLinePunct w:val="0"/>
              <w:bidi w:val="0"/>
              <w:snapToGrid w:val="0"/>
              <w:spacing w:line="320" w:lineRule="exact"/>
              <w:ind w:firstLine="202" w:firstLineChars="100"/>
              <w:jc w:val="left"/>
              <w:textAlignment w:val="auto"/>
              <w:rPr>
                <w:rFonts w:hint="default" w:ascii="宋体" w:hAnsi="宋体" w:eastAsia="宋体" w:cs="宋体"/>
                <w:kern w:val="0"/>
                <w:sz w:val="21"/>
                <w:szCs w:val="21"/>
                <w:highlight w:val="none"/>
                <w:lang w:val="en-US" w:eastAsia="zh-CN"/>
              </w:rPr>
            </w:pPr>
            <w:r>
              <w:rPr>
                <w:rFonts w:hint="eastAsia" w:ascii="宋体" w:hAnsi="宋体" w:eastAsia="宋体" w:cs="宋体"/>
                <w:spacing w:val="-4"/>
                <w:kern w:val="0"/>
                <w:sz w:val="21"/>
                <w:szCs w:val="21"/>
                <w:highlight w:val="none"/>
                <w:lang w:eastAsia="zh-CN"/>
              </w:rPr>
              <w:t>（3）投标人满足资格审查条件（业绩最低条件）要求的业绩金额累计较高的</w:t>
            </w:r>
            <w:r>
              <w:rPr>
                <w:rFonts w:hint="eastAsia" w:ascii="宋体" w:hAnsi="宋体" w:eastAsia="宋体" w:cs="宋体"/>
                <w:spacing w:val="-4"/>
                <w:kern w:val="0"/>
                <w:sz w:val="21"/>
                <w:szCs w:val="21"/>
                <w:highlight w:val="none"/>
                <w:lang w:val="en-US" w:eastAsia="zh-CN"/>
              </w:rPr>
              <w:t>投标人</w:t>
            </w:r>
            <w:r>
              <w:rPr>
                <w:rFonts w:hint="eastAsia" w:ascii="宋体" w:hAnsi="宋体" w:eastAsia="宋体" w:cs="宋体"/>
                <w:spacing w:val="-4"/>
                <w:kern w:val="0"/>
                <w:sz w:val="21"/>
                <w:szCs w:val="21"/>
                <w:highlight w:val="none"/>
                <w:lang w:eastAsia="zh-CN"/>
              </w:rPr>
              <w:t>优先。</w:t>
            </w:r>
          </w:p>
        </w:tc>
      </w:tr>
      <w:tr w14:paraId="4998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90" w:hRule="atLeast"/>
        </w:trPr>
        <w:tc>
          <w:tcPr>
            <w:tcW w:w="423" w:type="pct"/>
            <w:vAlign w:val="center"/>
          </w:tcPr>
          <w:p w14:paraId="137FDB09">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2.1.1</w:t>
            </w:r>
          </w:p>
          <w:p w14:paraId="4EB826CD">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2.1.3</w:t>
            </w:r>
          </w:p>
        </w:tc>
        <w:tc>
          <w:tcPr>
            <w:tcW w:w="785" w:type="pct"/>
            <w:vAlign w:val="center"/>
          </w:tcPr>
          <w:p w14:paraId="333C01BE">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形式评审与响应性评审标准</w:t>
            </w:r>
          </w:p>
        </w:tc>
        <w:tc>
          <w:tcPr>
            <w:tcW w:w="3782" w:type="pct"/>
          </w:tcPr>
          <w:p w14:paraId="53EE73E5">
            <w:pPr>
              <w:keepNext w:val="0"/>
              <w:keepLines w:val="0"/>
              <w:pageBreakBefore w:val="0"/>
              <w:widowControl w:val="0"/>
              <w:tabs>
                <w:tab w:val="left" w:pos="3060"/>
              </w:tabs>
              <w:kinsoku/>
              <w:wordWrap/>
              <w:overflowPunct/>
              <w:topLinePunct w:val="0"/>
              <w:bidi w:val="0"/>
              <w:snapToGrid w:val="0"/>
              <w:spacing w:line="320" w:lineRule="exact"/>
              <w:jc w:val="left"/>
              <w:textAlignment w:val="auto"/>
              <w:rPr>
                <w:rFonts w:hint="eastAsia" w:ascii="宋体" w:hAnsi="宋体" w:eastAsia="宋体" w:cs="宋体"/>
                <w:b/>
                <w:kern w:val="0"/>
                <w:sz w:val="21"/>
                <w:szCs w:val="21"/>
                <w:highlight w:val="none"/>
                <w:lang w:eastAsia="zh-CN"/>
              </w:rPr>
            </w:pPr>
            <w:r>
              <w:rPr>
                <w:rFonts w:hint="eastAsia" w:ascii="宋体" w:hAnsi="宋体" w:eastAsia="宋体" w:cs="宋体"/>
                <w:b/>
                <w:kern w:val="0"/>
                <w:sz w:val="21"/>
                <w:szCs w:val="21"/>
                <w:highlight w:val="none"/>
                <w:lang w:eastAsia="zh-CN"/>
              </w:rPr>
              <w:t>第一个信封（商务文件）评审标准：</w:t>
            </w:r>
          </w:p>
          <w:p w14:paraId="49E4E552">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kern w:val="0"/>
                <w:sz w:val="21"/>
                <w:szCs w:val="21"/>
                <w:highlight w:val="none"/>
                <w:lang w:eastAsia="zh-CN"/>
              </w:rPr>
              <w:t>（1）投标文件按照招标文件规定的格式、内容填写，字迹清晰可辨：</w:t>
            </w:r>
          </w:p>
          <w:p w14:paraId="36CCA31B">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kern w:val="0"/>
                <w:sz w:val="21"/>
                <w:szCs w:val="21"/>
                <w:highlight w:val="none"/>
                <w:lang w:eastAsia="zh-CN"/>
              </w:rPr>
              <w:t>a.投标函按招标文件规定填报了</w:t>
            </w:r>
            <w:r>
              <w:rPr>
                <w:rFonts w:hint="eastAsia" w:ascii="宋体" w:hAnsi="宋体" w:eastAsia="宋体" w:cs="宋体"/>
                <w:bCs/>
                <w:kern w:val="0"/>
                <w:sz w:val="21"/>
                <w:szCs w:val="21"/>
                <w:highlight w:val="none"/>
                <w:lang w:val="en-US" w:eastAsia="zh-CN"/>
              </w:rPr>
              <w:t>招标人名称、</w:t>
            </w:r>
            <w:r>
              <w:rPr>
                <w:rFonts w:hint="eastAsia" w:ascii="宋体" w:hAnsi="宋体" w:eastAsia="宋体" w:cs="宋体"/>
                <w:bCs/>
                <w:kern w:val="0"/>
                <w:sz w:val="21"/>
                <w:szCs w:val="21"/>
                <w:highlight w:val="none"/>
                <w:lang w:eastAsia="zh-CN"/>
              </w:rPr>
              <w:t>项目名称、补遗书编号（如有）、</w:t>
            </w:r>
            <w:r>
              <w:rPr>
                <w:rFonts w:hint="eastAsia" w:ascii="宋体" w:hAnsi="宋体" w:eastAsia="宋体" w:cs="宋体"/>
                <w:kern w:val="0"/>
                <w:sz w:val="21"/>
                <w:szCs w:val="21"/>
                <w:highlight w:val="none"/>
                <w:lang w:eastAsia="zh-CN"/>
              </w:rPr>
              <w:t>项目负责人</w:t>
            </w:r>
            <w:r>
              <w:rPr>
                <w:rFonts w:hint="eastAsia" w:ascii="宋体" w:hAnsi="宋体" w:eastAsia="宋体" w:cs="宋体"/>
                <w:bCs/>
                <w:kern w:val="0"/>
                <w:sz w:val="21"/>
                <w:szCs w:val="21"/>
                <w:highlight w:val="none"/>
                <w:lang w:eastAsia="zh-CN"/>
              </w:rPr>
              <w:t>、服务期限、质量要求、</w:t>
            </w:r>
            <w:r>
              <w:rPr>
                <w:rFonts w:hint="eastAsia" w:ascii="宋体" w:hAnsi="宋体" w:eastAsia="宋体" w:cs="宋体"/>
                <w:bCs/>
                <w:kern w:val="0"/>
                <w:sz w:val="21"/>
                <w:szCs w:val="21"/>
                <w:highlight w:val="none"/>
                <w:lang w:val="en-US" w:eastAsia="zh-CN"/>
              </w:rPr>
              <w:t>安全目标</w:t>
            </w:r>
            <w:r>
              <w:rPr>
                <w:rFonts w:hint="eastAsia" w:ascii="宋体" w:hAnsi="宋体" w:eastAsia="宋体" w:cs="宋体"/>
                <w:bCs/>
                <w:kern w:val="0"/>
                <w:sz w:val="21"/>
                <w:szCs w:val="21"/>
                <w:highlight w:val="none"/>
                <w:lang w:eastAsia="zh-CN"/>
              </w:rPr>
              <w:t>；</w:t>
            </w:r>
          </w:p>
          <w:p w14:paraId="67DB780D">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kern w:val="0"/>
                <w:sz w:val="21"/>
                <w:szCs w:val="21"/>
                <w:highlight w:val="none"/>
                <w:lang w:eastAsia="zh-CN"/>
              </w:rPr>
              <w:t>b.投标文件组成齐全完整，内容均按规定填写。</w:t>
            </w:r>
          </w:p>
          <w:p w14:paraId="0BA273E9">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kern w:val="0"/>
                <w:sz w:val="21"/>
                <w:szCs w:val="21"/>
                <w:highlight w:val="none"/>
                <w:lang w:eastAsia="zh-CN"/>
              </w:rPr>
              <w:t>（2）投标文件上法定代表人或其授权代理人的签字、投标人的单位章盖章齐全，符合招标文件规定。</w:t>
            </w:r>
          </w:p>
          <w:p w14:paraId="0C34116A">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（3）投标人按照招标文件的规定提供了投标保证金，并符合投标人须知前附表3.4.1项的相关规定。</w:t>
            </w:r>
          </w:p>
          <w:p w14:paraId="619911C5">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kern w:val="0"/>
                <w:sz w:val="21"/>
                <w:szCs w:val="21"/>
                <w:highlight w:val="none"/>
                <w:lang w:eastAsia="zh-CN"/>
              </w:rPr>
              <w:t>（4）投标人法定代表人授权委托代理人签署投标文件的，须提交授权委托书，授权委托书的签字盖章符合招标文件规定。</w:t>
            </w:r>
          </w:p>
          <w:p w14:paraId="7DC2395F">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kern w:val="0"/>
                <w:sz w:val="21"/>
                <w:szCs w:val="21"/>
                <w:highlight w:val="none"/>
                <w:lang w:eastAsia="zh-CN"/>
              </w:rPr>
              <w:t>（5）投标人法定代表人亲自签署投标文件的，提供了法定代表人身份证明，并符合招标文件的规定。</w:t>
            </w:r>
          </w:p>
          <w:p w14:paraId="15DC54D7">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kern w:val="0"/>
                <w:sz w:val="21"/>
                <w:szCs w:val="21"/>
                <w:highlight w:val="none"/>
                <w:lang w:eastAsia="zh-CN"/>
              </w:rPr>
              <w:t>（6）投标人未以联合体形式投标。</w:t>
            </w:r>
          </w:p>
          <w:p w14:paraId="00D7FB7F">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（7）投标人未对本项目进行分包。</w:t>
            </w:r>
          </w:p>
          <w:p w14:paraId="023C5875">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（8）同一投标人未提交两个以上不同的投标文件。</w:t>
            </w:r>
          </w:p>
          <w:p w14:paraId="1E75BD84">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（9）投标文件第一信封中未出现有关投标报价的内容。</w:t>
            </w:r>
          </w:p>
          <w:p w14:paraId="52359518">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（10）投标文件载明的招标项目完成期限符合招标文件规定。</w:t>
            </w:r>
          </w:p>
          <w:p w14:paraId="44F8D024">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（11）投标文件对招标文件的实质性要求和条件作出响应。</w:t>
            </w:r>
          </w:p>
          <w:p w14:paraId="78E2D8B6">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（12）权利义务符合招标文件规定：</w:t>
            </w:r>
          </w:p>
          <w:p w14:paraId="7D2E70E9">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a.投标人应接受招标文件规定的风险划分原则，未提出新的风险划分办法；</w:t>
            </w:r>
          </w:p>
          <w:p w14:paraId="5736CB04">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b.投标人未增加发包人的责任范围，或减少投标人义务；</w:t>
            </w:r>
          </w:p>
          <w:p w14:paraId="0C4D5B07">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c.投标人未提出不同的支付办法；</w:t>
            </w:r>
          </w:p>
          <w:p w14:paraId="0E63A442">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d.投标人对合同纠纷、事故处理办法未提出异议；</w:t>
            </w:r>
          </w:p>
          <w:p w14:paraId="54942519">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e.投标人在投标活动中无欺诈行为；</w:t>
            </w:r>
          </w:p>
          <w:p w14:paraId="260F3B9A">
            <w:pPr>
              <w:keepNext w:val="0"/>
              <w:keepLines w:val="0"/>
              <w:pageBreakBefore w:val="0"/>
              <w:widowControl w:val="0"/>
              <w:tabs>
                <w:tab w:val="left" w:pos="3060"/>
              </w:tabs>
              <w:kinsoku/>
              <w:wordWrap/>
              <w:overflowPunct/>
              <w:topLinePunct w:val="0"/>
              <w:bidi w:val="0"/>
              <w:snapToGrid w:val="0"/>
              <w:spacing w:line="320" w:lineRule="exact"/>
              <w:ind w:firstLine="210" w:firstLineChars="10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f.投标人未对合同条款有重要保留。</w:t>
            </w:r>
          </w:p>
          <w:p w14:paraId="530C5AD5">
            <w:pPr>
              <w:keepNext w:val="0"/>
              <w:keepLines w:val="0"/>
              <w:pageBreakBefore w:val="0"/>
              <w:widowControl w:val="0"/>
              <w:tabs>
                <w:tab w:val="left" w:pos="3060"/>
              </w:tabs>
              <w:kinsoku/>
              <w:wordWrap/>
              <w:overflowPunct/>
              <w:topLinePunct w:val="0"/>
              <w:bidi w:val="0"/>
              <w:snapToGrid w:val="0"/>
              <w:spacing w:line="320" w:lineRule="exact"/>
              <w:jc w:val="left"/>
              <w:textAlignment w:val="auto"/>
              <w:rPr>
                <w:rFonts w:hint="eastAsia" w:ascii="宋体" w:hAnsi="宋体" w:eastAsia="宋体" w:cs="宋体"/>
                <w:b/>
                <w:kern w:val="0"/>
                <w:sz w:val="21"/>
                <w:szCs w:val="21"/>
                <w:highlight w:val="none"/>
                <w:lang w:eastAsia="zh-CN"/>
              </w:rPr>
            </w:pPr>
            <w:r>
              <w:rPr>
                <w:rFonts w:hint="eastAsia" w:ascii="宋体" w:hAnsi="宋体" w:eastAsia="宋体" w:cs="宋体"/>
                <w:b/>
                <w:kern w:val="0"/>
                <w:sz w:val="21"/>
                <w:szCs w:val="21"/>
                <w:highlight w:val="none"/>
                <w:lang w:eastAsia="zh-CN"/>
              </w:rPr>
              <w:t>第一个信封（技术文件）评审标准（暗标）：</w:t>
            </w:r>
          </w:p>
          <w:p w14:paraId="57DAFEC0">
            <w:pPr>
              <w:keepNext w:val="0"/>
              <w:keepLines w:val="0"/>
              <w:pageBreakBefore w:val="0"/>
              <w:widowControl w:val="0"/>
              <w:tabs>
                <w:tab w:val="left" w:pos="3060"/>
              </w:tabs>
              <w:kinsoku/>
              <w:wordWrap/>
              <w:overflowPunct/>
              <w:topLinePunct w:val="0"/>
              <w:bidi w:val="0"/>
              <w:snapToGrid w:val="0"/>
              <w:spacing w:line="320" w:lineRule="exact"/>
              <w:jc w:val="left"/>
              <w:textAlignment w:val="auto"/>
              <w:rPr>
                <w:rFonts w:hint="eastAsia" w:ascii="宋体" w:hAnsi="宋体" w:eastAsia="宋体" w:cs="宋体"/>
                <w:b/>
                <w:kern w:val="0"/>
                <w:sz w:val="21"/>
                <w:szCs w:val="21"/>
                <w:highlight w:val="none"/>
                <w:lang w:eastAsia="zh-CN"/>
              </w:rPr>
            </w:pPr>
            <w:r>
              <w:rPr>
                <w:rFonts w:hint="eastAsia" w:ascii="宋体" w:hAnsi="宋体" w:eastAsia="宋体" w:cs="宋体"/>
                <w:bCs/>
                <w:kern w:val="0"/>
                <w:sz w:val="21"/>
                <w:szCs w:val="21"/>
                <w:highlight w:val="none"/>
                <w:lang w:eastAsia="zh-CN"/>
              </w:rPr>
              <w:t>（1）实施方案（暗标）编制符合招标文件第二章“投标人须知前附表”第</w:t>
            </w:r>
            <w:r>
              <w:rPr>
                <w:rFonts w:hint="eastAsia" w:ascii="宋体" w:hAnsi="宋体" w:eastAsia="宋体" w:cs="宋体"/>
                <w:bCs/>
                <w:kern w:val="0"/>
                <w:sz w:val="21"/>
                <w:szCs w:val="21"/>
                <w:highlight w:val="none"/>
                <w:lang w:val="en-US" w:eastAsia="zh-CN"/>
              </w:rPr>
              <w:t>3.7.3</w:t>
            </w:r>
            <w:r>
              <w:rPr>
                <w:rFonts w:hint="eastAsia" w:ascii="宋体" w:hAnsi="宋体" w:eastAsia="宋体" w:cs="宋体"/>
                <w:bCs/>
                <w:kern w:val="0"/>
                <w:sz w:val="21"/>
                <w:szCs w:val="21"/>
                <w:highlight w:val="none"/>
                <w:lang w:eastAsia="zh-CN"/>
              </w:rPr>
              <w:t>款的规定。</w:t>
            </w:r>
          </w:p>
          <w:p w14:paraId="3FF1173E">
            <w:pPr>
              <w:keepNext w:val="0"/>
              <w:keepLines w:val="0"/>
              <w:pageBreakBefore w:val="0"/>
              <w:widowControl w:val="0"/>
              <w:tabs>
                <w:tab w:val="left" w:pos="3060"/>
              </w:tabs>
              <w:kinsoku/>
              <w:wordWrap/>
              <w:overflowPunct/>
              <w:topLinePunct w:val="0"/>
              <w:bidi w:val="0"/>
              <w:snapToGrid w:val="0"/>
              <w:spacing w:line="320" w:lineRule="exact"/>
              <w:jc w:val="left"/>
              <w:textAlignment w:val="auto"/>
              <w:rPr>
                <w:rFonts w:hint="eastAsia" w:ascii="宋体" w:hAnsi="宋体" w:eastAsia="宋体" w:cs="宋体"/>
                <w:b/>
                <w:kern w:val="0"/>
                <w:sz w:val="21"/>
                <w:szCs w:val="21"/>
                <w:highlight w:val="none"/>
                <w:lang w:eastAsia="zh-CN"/>
              </w:rPr>
            </w:pPr>
            <w:r>
              <w:rPr>
                <w:rFonts w:hint="eastAsia" w:ascii="宋体" w:hAnsi="宋体" w:eastAsia="宋体" w:cs="宋体"/>
                <w:b/>
                <w:kern w:val="0"/>
                <w:sz w:val="21"/>
                <w:szCs w:val="21"/>
                <w:highlight w:val="none"/>
                <w:lang w:eastAsia="zh-CN"/>
              </w:rPr>
              <w:t>第二个信封（报价文件）评审标准：</w:t>
            </w:r>
          </w:p>
          <w:p w14:paraId="647A4D48">
            <w:pPr>
              <w:keepNext w:val="0"/>
              <w:keepLines w:val="0"/>
              <w:pageBreakBefore w:val="0"/>
              <w:widowControl w:val="0"/>
              <w:tabs>
                <w:tab w:val="left" w:pos="3060"/>
              </w:tabs>
              <w:kinsoku/>
              <w:wordWrap/>
              <w:overflowPunct/>
              <w:topLinePunct w:val="0"/>
              <w:bidi w:val="0"/>
              <w:snapToGrid w:val="0"/>
              <w:spacing w:line="320" w:lineRule="exact"/>
              <w:ind w:firstLine="205" w:firstLineChars="98"/>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kern w:val="0"/>
                <w:sz w:val="21"/>
                <w:szCs w:val="21"/>
                <w:highlight w:val="none"/>
                <w:lang w:eastAsia="zh-CN"/>
              </w:rPr>
              <w:t>（1）投标文件按照招标文件规定的格式、内容填写，字迹清晰可辨，内容齐全完整。</w:t>
            </w:r>
          </w:p>
          <w:p w14:paraId="23870963">
            <w:pPr>
              <w:keepNext w:val="0"/>
              <w:keepLines w:val="0"/>
              <w:pageBreakBefore w:val="0"/>
              <w:widowControl w:val="0"/>
              <w:tabs>
                <w:tab w:val="left" w:pos="3060"/>
              </w:tabs>
              <w:kinsoku/>
              <w:wordWrap/>
              <w:overflowPunct/>
              <w:topLinePunct w:val="0"/>
              <w:bidi w:val="0"/>
              <w:snapToGrid w:val="0"/>
              <w:spacing w:line="320" w:lineRule="exact"/>
              <w:ind w:firstLine="205" w:firstLineChars="98"/>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kern w:val="0"/>
                <w:sz w:val="21"/>
                <w:szCs w:val="21"/>
                <w:highlight w:val="none"/>
                <w:lang w:eastAsia="zh-CN"/>
              </w:rPr>
              <w:t>a.投标函按招标文件规定填报了</w:t>
            </w:r>
            <w:r>
              <w:rPr>
                <w:rFonts w:hint="eastAsia" w:ascii="宋体" w:hAnsi="宋体" w:eastAsia="宋体" w:cs="宋体"/>
                <w:bCs/>
                <w:kern w:val="0"/>
                <w:sz w:val="21"/>
                <w:szCs w:val="21"/>
                <w:highlight w:val="none"/>
                <w:lang w:val="en-US" w:eastAsia="zh-CN"/>
              </w:rPr>
              <w:t>招标人名称、</w:t>
            </w:r>
            <w:r>
              <w:rPr>
                <w:rFonts w:hint="eastAsia" w:ascii="宋体" w:hAnsi="宋体" w:eastAsia="宋体" w:cs="宋体"/>
                <w:bCs/>
                <w:kern w:val="0"/>
                <w:sz w:val="21"/>
                <w:szCs w:val="21"/>
                <w:highlight w:val="none"/>
                <w:lang w:eastAsia="zh-CN"/>
              </w:rPr>
              <w:t>项目名称、补遗书编号（如有）、投标报价（包括大写金额和小写金额）；</w:t>
            </w:r>
          </w:p>
          <w:p w14:paraId="2BE5F243">
            <w:pPr>
              <w:keepNext w:val="0"/>
              <w:keepLines w:val="0"/>
              <w:pageBreakBefore w:val="0"/>
              <w:widowControl w:val="0"/>
              <w:tabs>
                <w:tab w:val="left" w:pos="3060"/>
              </w:tabs>
              <w:kinsoku/>
              <w:wordWrap/>
              <w:overflowPunct/>
              <w:topLinePunct w:val="0"/>
              <w:bidi w:val="0"/>
              <w:snapToGrid w:val="0"/>
              <w:spacing w:line="320" w:lineRule="exact"/>
              <w:ind w:firstLine="205" w:firstLineChars="98"/>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kern w:val="0"/>
                <w:sz w:val="21"/>
                <w:szCs w:val="21"/>
                <w:highlight w:val="none"/>
                <w:lang w:val="en-US" w:eastAsia="zh-CN"/>
              </w:rPr>
              <w:t>b</w:t>
            </w:r>
            <w:r>
              <w:rPr>
                <w:rFonts w:hint="eastAsia" w:ascii="宋体" w:hAnsi="宋体" w:eastAsia="宋体" w:cs="宋体"/>
                <w:bCs/>
                <w:kern w:val="0"/>
                <w:sz w:val="21"/>
                <w:szCs w:val="21"/>
                <w:highlight w:val="none"/>
                <w:lang w:eastAsia="zh-CN"/>
              </w:rPr>
              <w:t>．投标文件组成齐全完整，内容均按规定填写。</w:t>
            </w:r>
          </w:p>
          <w:p w14:paraId="3EB4E02C">
            <w:pPr>
              <w:keepNext w:val="0"/>
              <w:keepLines w:val="0"/>
              <w:pageBreakBefore w:val="0"/>
              <w:widowControl w:val="0"/>
              <w:tabs>
                <w:tab w:val="left" w:pos="3060"/>
              </w:tabs>
              <w:kinsoku/>
              <w:wordWrap/>
              <w:overflowPunct/>
              <w:topLinePunct w:val="0"/>
              <w:bidi w:val="0"/>
              <w:snapToGrid w:val="0"/>
              <w:spacing w:line="320" w:lineRule="exact"/>
              <w:ind w:firstLine="205" w:firstLineChars="98"/>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kern w:val="0"/>
                <w:sz w:val="21"/>
                <w:szCs w:val="21"/>
                <w:highlight w:val="none"/>
                <w:lang w:eastAsia="zh-CN"/>
              </w:rPr>
              <w:t>（2）投标文件上法定代表人或其授权代理人的签字、投标人的单位章盖章齐全，符合招标文件规定。</w:t>
            </w:r>
          </w:p>
          <w:p w14:paraId="6A90F124">
            <w:pPr>
              <w:keepNext w:val="0"/>
              <w:keepLines w:val="0"/>
              <w:pageBreakBefore w:val="0"/>
              <w:widowControl w:val="0"/>
              <w:tabs>
                <w:tab w:val="left" w:pos="3060"/>
              </w:tabs>
              <w:kinsoku/>
              <w:wordWrap/>
              <w:overflowPunct/>
              <w:topLinePunct w:val="0"/>
              <w:bidi w:val="0"/>
              <w:snapToGrid w:val="0"/>
              <w:spacing w:line="320" w:lineRule="exact"/>
              <w:ind w:firstLine="205" w:firstLineChars="98"/>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kern w:val="0"/>
                <w:sz w:val="21"/>
                <w:szCs w:val="21"/>
                <w:highlight w:val="none"/>
                <w:lang w:eastAsia="zh-CN"/>
              </w:rPr>
              <w:t>（3）</w:t>
            </w:r>
            <w:r>
              <w:rPr>
                <w:rFonts w:hint="eastAsia" w:ascii="宋体" w:hAnsi="宋体" w:eastAsia="宋体" w:cs="宋体"/>
                <w:color w:val="000000"/>
                <w:kern w:val="0"/>
                <w:sz w:val="21"/>
                <w:szCs w:val="21"/>
                <w:highlight w:val="none"/>
                <w:lang w:eastAsia="zh-CN"/>
              </w:rPr>
              <w:t>投标报价未超过招标文件设定的最高投标限价</w:t>
            </w:r>
            <w:r>
              <w:rPr>
                <w:rFonts w:hint="eastAsia" w:ascii="宋体" w:hAnsi="宋体" w:eastAsia="宋体" w:cs="宋体"/>
                <w:bCs/>
                <w:kern w:val="0"/>
                <w:sz w:val="21"/>
                <w:szCs w:val="21"/>
                <w:highlight w:val="none"/>
                <w:lang w:eastAsia="zh-CN"/>
              </w:rPr>
              <w:t>。</w:t>
            </w:r>
          </w:p>
          <w:p w14:paraId="2675A4B5">
            <w:pPr>
              <w:keepNext w:val="0"/>
              <w:keepLines w:val="0"/>
              <w:pageBreakBefore w:val="0"/>
              <w:widowControl w:val="0"/>
              <w:tabs>
                <w:tab w:val="left" w:pos="3060"/>
              </w:tabs>
              <w:kinsoku/>
              <w:wordWrap/>
              <w:overflowPunct/>
              <w:topLinePunct w:val="0"/>
              <w:bidi w:val="0"/>
              <w:snapToGrid w:val="0"/>
              <w:spacing w:line="320" w:lineRule="exact"/>
              <w:ind w:firstLine="205" w:firstLineChars="98"/>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kern w:val="0"/>
                <w:sz w:val="21"/>
                <w:szCs w:val="21"/>
                <w:highlight w:val="none"/>
                <w:lang w:eastAsia="zh-CN"/>
              </w:rPr>
              <w:t>（4）投标报价大写金额能够确定具体数值。</w:t>
            </w:r>
          </w:p>
          <w:p w14:paraId="3018D90A">
            <w:pPr>
              <w:keepNext w:val="0"/>
              <w:keepLines w:val="0"/>
              <w:pageBreakBefore w:val="0"/>
              <w:widowControl w:val="0"/>
              <w:tabs>
                <w:tab w:val="left" w:pos="3060"/>
              </w:tabs>
              <w:kinsoku/>
              <w:wordWrap/>
              <w:overflowPunct/>
              <w:topLinePunct w:val="0"/>
              <w:bidi w:val="0"/>
              <w:snapToGrid w:val="0"/>
              <w:spacing w:line="320" w:lineRule="exact"/>
              <w:ind w:firstLine="205" w:firstLineChars="98"/>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kern w:val="0"/>
                <w:sz w:val="21"/>
                <w:szCs w:val="21"/>
                <w:highlight w:val="none"/>
                <w:lang w:eastAsia="zh-CN"/>
              </w:rPr>
              <w:t>（5）同一投标人未提交两个以上不同的投标报价。</w:t>
            </w:r>
          </w:p>
          <w:p w14:paraId="2E66F3E8">
            <w:pPr>
              <w:keepNext w:val="0"/>
              <w:keepLines w:val="0"/>
              <w:pageBreakBefore w:val="0"/>
              <w:widowControl w:val="0"/>
              <w:tabs>
                <w:tab w:val="left" w:pos="3060"/>
              </w:tabs>
              <w:kinsoku/>
              <w:wordWrap/>
              <w:overflowPunct/>
              <w:topLinePunct w:val="0"/>
              <w:bidi w:val="0"/>
              <w:snapToGrid w:val="0"/>
              <w:spacing w:line="320" w:lineRule="exact"/>
              <w:ind w:firstLine="205" w:firstLineChars="98"/>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bCs/>
                <w:color w:val="auto"/>
                <w:kern w:val="0"/>
                <w:sz w:val="21"/>
                <w:szCs w:val="21"/>
                <w:highlight w:val="none"/>
                <w:lang w:eastAsia="zh-CN"/>
              </w:rPr>
              <w:t>（6）</w:t>
            </w:r>
            <w:r>
              <w:rPr>
                <w:rFonts w:hint="eastAsia" w:ascii="宋体" w:hAnsi="宋体" w:eastAsia="宋体" w:cs="宋体"/>
                <w:bCs/>
                <w:color w:val="auto"/>
                <w:kern w:val="0"/>
                <w:sz w:val="21"/>
                <w:szCs w:val="21"/>
                <w:highlight w:val="none"/>
                <w:lang w:val="en-US" w:eastAsia="zh-CN"/>
              </w:rPr>
              <w:t>投标人未提交调价函。</w:t>
            </w:r>
          </w:p>
        </w:tc>
      </w:tr>
      <w:tr w14:paraId="18C2D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2344" w:hRule="atLeast"/>
        </w:trPr>
        <w:tc>
          <w:tcPr>
            <w:tcW w:w="423" w:type="pct"/>
            <w:vAlign w:val="center"/>
          </w:tcPr>
          <w:p w14:paraId="123602B7">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2.1.2</w:t>
            </w:r>
          </w:p>
        </w:tc>
        <w:tc>
          <w:tcPr>
            <w:tcW w:w="785" w:type="pct"/>
            <w:vAlign w:val="center"/>
          </w:tcPr>
          <w:p w14:paraId="07D3ACA8">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资格评审标准</w:t>
            </w:r>
          </w:p>
        </w:tc>
        <w:tc>
          <w:tcPr>
            <w:tcW w:w="3782" w:type="pct"/>
          </w:tcPr>
          <w:p w14:paraId="07BA0117">
            <w:pPr>
              <w:keepNext w:val="0"/>
              <w:keepLines w:val="0"/>
              <w:pageBreakBefore w:val="0"/>
              <w:widowControl w:val="0"/>
              <w:tabs>
                <w:tab w:val="left" w:pos="3060"/>
              </w:tabs>
              <w:kinsoku/>
              <w:wordWrap/>
              <w:overflowPunct/>
              <w:topLinePunct w:val="0"/>
              <w:bidi w:val="0"/>
              <w:snapToGrid w:val="0"/>
              <w:spacing w:line="320" w:lineRule="exact"/>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（1）投标人具备有效的营业执照和基本账户开户许可证（或基本存款账户信息）；</w:t>
            </w:r>
          </w:p>
          <w:p w14:paraId="51323028">
            <w:pPr>
              <w:keepNext w:val="0"/>
              <w:keepLines w:val="0"/>
              <w:pageBreakBefore w:val="0"/>
              <w:widowControl w:val="0"/>
              <w:tabs>
                <w:tab w:val="left" w:pos="3060"/>
              </w:tabs>
              <w:kinsoku/>
              <w:wordWrap/>
              <w:overflowPunct/>
              <w:topLinePunct w:val="0"/>
              <w:bidi w:val="0"/>
              <w:snapToGrid w:val="0"/>
              <w:spacing w:line="320" w:lineRule="exact"/>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lang w:val="en-US" w:eastAsia="zh-CN"/>
              </w:rPr>
              <w:t>2</w:t>
            </w:r>
            <w:r>
              <w:rPr>
                <w:rFonts w:hint="eastAsia" w:ascii="宋体" w:hAnsi="宋体" w:eastAsia="宋体" w:cs="宋体"/>
                <w:kern w:val="0"/>
                <w:sz w:val="21"/>
                <w:szCs w:val="21"/>
                <w:highlight w:val="none"/>
                <w:lang w:eastAsia="zh-CN"/>
              </w:rPr>
              <w:t>）投标人的</w:t>
            </w:r>
            <w:r>
              <w:rPr>
                <w:rFonts w:hint="eastAsia" w:ascii="宋体" w:hAnsi="宋体" w:eastAsia="宋体" w:cs="宋体"/>
                <w:kern w:val="0"/>
                <w:sz w:val="21"/>
                <w:szCs w:val="21"/>
                <w:highlight w:val="none"/>
                <w:lang w:val="en-US" w:eastAsia="zh-CN"/>
              </w:rPr>
              <w:t>资质</w:t>
            </w:r>
            <w:r>
              <w:rPr>
                <w:rFonts w:hint="eastAsia" w:ascii="宋体" w:hAnsi="宋体" w:eastAsia="宋体" w:cs="宋体"/>
                <w:kern w:val="0"/>
                <w:sz w:val="21"/>
                <w:szCs w:val="21"/>
                <w:highlight w:val="none"/>
                <w:lang w:eastAsia="zh-CN"/>
              </w:rPr>
              <w:t>符合招标文件规定；</w:t>
            </w:r>
          </w:p>
          <w:p w14:paraId="7CF75B90">
            <w:pPr>
              <w:keepNext w:val="0"/>
              <w:keepLines w:val="0"/>
              <w:pageBreakBefore w:val="0"/>
              <w:widowControl w:val="0"/>
              <w:tabs>
                <w:tab w:val="left" w:pos="3060"/>
              </w:tabs>
              <w:kinsoku/>
              <w:wordWrap/>
              <w:overflowPunct/>
              <w:topLinePunct w:val="0"/>
              <w:bidi w:val="0"/>
              <w:snapToGrid w:val="0"/>
              <w:spacing w:line="320" w:lineRule="exact"/>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lang w:eastAsia="zh-CN"/>
              </w:rPr>
              <w:t>）投标人的业绩符合招标文件规定；</w:t>
            </w:r>
          </w:p>
          <w:p w14:paraId="1ABB2232">
            <w:pPr>
              <w:keepNext w:val="0"/>
              <w:keepLines w:val="0"/>
              <w:pageBreakBefore w:val="0"/>
              <w:widowControl w:val="0"/>
              <w:tabs>
                <w:tab w:val="left" w:pos="3060"/>
              </w:tabs>
              <w:kinsoku/>
              <w:wordWrap/>
              <w:overflowPunct/>
              <w:topLinePunct w:val="0"/>
              <w:bidi w:val="0"/>
              <w:snapToGrid w:val="0"/>
              <w:spacing w:line="320" w:lineRule="exact"/>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lang w:val="en-US" w:eastAsia="zh-CN"/>
              </w:rPr>
              <w:t>4</w:t>
            </w:r>
            <w:r>
              <w:rPr>
                <w:rFonts w:hint="eastAsia" w:ascii="宋体" w:hAnsi="宋体" w:eastAsia="宋体" w:cs="宋体"/>
                <w:kern w:val="0"/>
                <w:sz w:val="21"/>
                <w:szCs w:val="21"/>
                <w:highlight w:val="none"/>
                <w:lang w:eastAsia="zh-CN"/>
              </w:rPr>
              <w:t>）投标人的信誉符合招标文件规定；</w:t>
            </w:r>
          </w:p>
          <w:p w14:paraId="6AF890F8">
            <w:pPr>
              <w:keepNext w:val="0"/>
              <w:keepLines w:val="0"/>
              <w:pageBreakBefore w:val="0"/>
              <w:widowControl w:val="0"/>
              <w:tabs>
                <w:tab w:val="left" w:pos="3060"/>
              </w:tabs>
              <w:kinsoku/>
              <w:wordWrap/>
              <w:overflowPunct/>
              <w:topLinePunct w:val="0"/>
              <w:bidi w:val="0"/>
              <w:snapToGrid w:val="0"/>
              <w:spacing w:line="320" w:lineRule="exact"/>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lang w:eastAsia="zh-CN"/>
              </w:rPr>
              <w:t>）投标人的项目负责人资格符合招标文件规定；</w:t>
            </w:r>
          </w:p>
          <w:p w14:paraId="0EBFE24C">
            <w:pPr>
              <w:keepNext w:val="0"/>
              <w:keepLines w:val="0"/>
              <w:pageBreakBefore w:val="0"/>
              <w:widowControl w:val="0"/>
              <w:tabs>
                <w:tab w:val="left" w:pos="3060"/>
              </w:tabs>
              <w:kinsoku/>
              <w:wordWrap/>
              <w:overflowPunct/>
              <w:topLinePunct w:val="0"/>
              <w:bidi w:val="0"/>
              <w:snapToGrid w:val="0"/>
              <w:spacing w:line="320" w:lineRule="exact"/>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lang w:val="en-US" w:eastAsia="zh-CN"/>
              </w:rPr>
              <w:t>6</w:t>
            </w:r>
            <w:r>
              <w:rPr>
                <w:rFonts w:hint="eastAsia" w:ascii="宋体" w:hAnsi="宋体" w:eastAsia="宋体" w:cs="宋体"/>
                <w:kern w:val="0"/>
                <w:sz w:val="21"/>
                <w:szCs w:val="21"/>
                <w:highlight w:val="none"/>
                <w:lang w:eastAsia="zh-CN"/>
              </w:rPr>
              <w:t>）投标人的其他人员资格符合招标文件规定；</w:t>
            </w:r>
          </w:p>
          <w:p w14:paraId="40E05ABA">
            <w:pPr>
              <w:keepNext w:val="0"/>
              <w:keepLines w:val="0"/>
              <w:pageBreakBefore w:val="0"/>
              <w:widowControl w:val="0"/>
              <w:tabs>
                <w:tab w:val="left" w:pos="3060"/>
              </w:tabs>
              <w:kinsoku/>
              <w:wordWrap/>
              <w:overflowPunct/>
              <w:topLinePunct w:val="0"/>
              <w:bidi w:val="0"/>
              <w:snapToGrid w:val="0"/>
              <w:spacing w:line="320" w:lineRule="exact"/>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lang w:val="en-US" w:eastAsia="zh-CN"/>
              </w:rPr>
              <w:t>7</w:t>
            </w:r>
            <w:r>
              <w:rPr>
                <w:rFonts w:hint="eastAsia" w:ascii="宋体" w:hAnsi="宋体" w:eastAsia="宋体" w:cs="宋体"/>
                <w:kern w:val="0"/>
                <w:sz w:val="21"/>
                <w:szCs w:val="21"/>
                <w:highlight w:val="none"/>
                <w:lang w:eastAsia="zh-CN"/>
              </w:rPr>
              <w:t>）投标人不存在第二章“投标人须知”1.4.3项或第1.4.4项规定的任何一种情形。</w:t>
            </w:r>
          </w:p>
        </w:tc>
      </w:tr>
      <w:tr w14:paraId="0E68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423" w:type="pct"/>
            <w:vAlign w:val="center"/>
          </w:tcPr>
          <w:p w14:paraId="7E1D7905">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2.2.1</w:t>
            </w:r>
          </w:p>
        </w:tc>
        <w:tc>
          <w:tcPr>
            <w:tcW w:w="785" w:type="pct"/>
            <w:vAlign w:val="center"/>
          </w:tcPr>
          <w:p w14:paraId="530B666C">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分值构成（总分100分）</w:t>
            </w:r>
          </w:p>
        </w:tc>
        <w:tc>
          <w:tcPr>
            <w:tcW w:w="3782" w:type="pct"/>
            <w:vAlign w:val="center"/>
          </w:tcPr>
          <w:p w14:paraId="318AAA17">
            <w:pPr>
              <w:keepNext w:val="0"/>
              <w:keepLines w:val="0"/>
              <w:pageBreakBefore w:val="0"/>
              <w:widowControl w:val="0"/>
              <w:kinsoku/>
              <w:wordWrap/>
              <w:overflowPunct/>
              <w:topLinePunct w:val="0"/>
              <w:bidi w:val="0"/>
              <w:snapToGrid w:val="0"/>
              <w:spacing w:line="320" w:lineRule="exact"/>
              <w:jc w:val="left"/>
              <w:textAlignment w:val="auto"/>
              <w:rPr>
                <w:rFonts w:hint="eastAsia" w:ascii="宋体" w:hAnsi="宋体" w:eastAsia="宋体" w:cs="宋体"/>
                <w:b/>
                <w:kern w:val="0"/>
                <w:sz w:val="21"/>
                <w:szCs w:val="21"/>
                <w:highlight w:val="none"/>
                <w:lang w:eastAsia="zh-CN"/>
              </w:rPr>
            </w:pPr>
            <w:r>
              <w:rPr>
                <w:rFonts w:hint="eastAsia" w:ascii="宋体" w:hAnsi="宋体" w:eastAsia="宋体" w:cs="宋体"/>
                <w:b/>
                <w:kern w:val="0"/>
                <w:sz w:val="21"/>
                <w:szCs w:val="21"/>
                <w:highlight w:val="none"/>
                <w:lang w:eastAsia="zh-CN"/>
              </w:rPr>
              <w:t>第一个信封（商务及技术文件）评分分值构成：</w:t>
            </w:r>
          </w:p>
          <w:p w14:paraId="37179031">
            <w:pPr>
              <w:keepNext w:val="0"/>
              <w:keepLines w:val="0"/>
              <w:pageBreakBefore w:val="0"/>
              <w:widowControl w:val="0"/>
              <w:kinsoku/>
              <w:wordWrap/>
              <w:overflowPunct/>
              <w:topLinePunct w:val="0"/>
              <w:bidi w:val="0"/>
              <w:snapToGrid w:val="0"/>
              <w:spacing w:line="320" w:lineRule="exact"/>
              <w:jc w:val="left"/>
              <w:textAlignment w:val="auto"/>
              <w:rPr>
                <w:rFonts w:hint="default" w:ascii="宋体" w:hAnsi="宋体" w:eastAsia="宋体" w:cs="宋体"/>
                <w:b/>
                <w:kern w:val="0"/>
                <w:sz w:val="21"/>
                <w:szCs w:val="21"/>
                <w:highlight w:val="none"/>
                <w:lang w:val="en-US" w:eastAsia="zh-CN"/>
              </w:rPr>
            </w:pPr>
            <w:r>
              <w:rPr>
                <w:rFonts w:hint="eastAsia" w:ascii="宋体" w:hAnsi="宋体" w:eastAsia="宋体" w:cs="宋体"/>
                <w:b/>
                <w:kern w:val="0"/>
                <w:sz w:val="21"/>
                <w:szCs w:val="21"/>
                <w:highlight w:val="none"/>
                <w:lang w:eastAsia="zh-CN"/>
              </w:rPr>
              <w:t>实施方案：</w:t>
            </w:r>
            <w:r>
              <w:rPr>
                <w:rFonts w:hint="eastAsia" w:ascii="宋体" w:hAnsi="宋体" w:eastAsia="宋体" w:cs="宋体"/>
                <w:b/>
                <w:kern w:val="0"/>
                <w:sz w:val="21"/>
                <w:szCs w:val="21"/>
                <w:highlight w:val="none"/>
                <w:u w:val="single"/>
                <w:lang w:eastAsia="zh-CN"/>
              </w:rPr>
              <w:t>40</w:t>
            </w:r>
            <w:r>
              <w:rPr>
                <w:rFonts w:hint="eastAsia" w:ascii="宋体" w:hAnsi="宋体" w:eastAsia="宋体" w:cs="宋体"/>
                <w:b/>
                <w:kern w:val="0"/>
                <w:sz w:val="21"/>
                <w:szCs w:val="21"/>
                <w:highlight w:val="none"/>
                <w:lang w:eastAsia="zh-CN"/>
              </w:rPr>
              <w:t>分（</w:t>
            </w:r>
            <w:r>
              <w:rPr>
                <w:rFonts w:hint="eastAsia" w:ascii="宋体" w:hAnsi="宋体" w:eastAsia="宋体" w:cs="宋体"/>
                <w:b/>
                <w:kern w:val="0"/>
                <w:sz w:val="21"/>
                <w:szCs w:val="21"/>
                <w:highlight w:val="none"/>
                <w:lang w:val="en-US" w:eastAsia="zh-CN"/>
              </w:rPr>
              <w:t>暗标）</w:t>
            </w:r>
          </w:p>
          <w:p w14:paraId="2695FF14">
            <w:pPr>
              <w:keepNext w:val="0"/>
              <w:keepLines w:val="0"/>
              <w:pageBreakBefore w:val="0"/>
              <w:widowControl w:val="0"/>
              <w:kinsoku/>
              <w:wordWrap/>
              <w:overflowPunct/>
              <w:topLinePunct w:val="0"/>
              <w:bidi w:val="0"/>
              <w:snapToGrid w:val="0"/>
              <w:spacing w:line="320" w:lineRule="exact"/>
              <w:jc w:val="left"/>
              <w:textAlignment w:val="auto"/>
              <w:rPr>
                <w:rFonts w:hint="eastAsia" w:ascii="宋体" w:hAnsi="宋体" w:eastAsia="宋体" w:cs="宋体"/>
                <w:b/>
                <w:kern w:val="0"/>
                <w:sz w:val="21"/>
                <w:szCs w:val="21"/>
                <w:highlight w:val="none"/>
                <w:lang w:eastAsia="zh-CN"/>
              </w:rPr>
            </w:pPr>
            <w:r>
              <w:rPr>
                <w:rFonts w:hint="eastAsia" w:ascii="宋体" w:hAnsi="宋体" w:eastAsia="宋体" w:cs="宋体"/>
                <w:b/>
                <w:kern w:val="0"/>
                <w:sz w:val="21"/>
                <w:szCs w:val="21"/>
                <w:highlight w:val="none"/>
                <w:lang w:eastAsia="zh-CN"/>
              </w:rPr>
              <w:t>主要人员：</w:t>
            </w:r>
            <w:r>
              <w:rPr>
                <w:rFonts w:hint="eastAsia" w:ascii="宋体" w:hAnsi="宋体" w:eastAsia="宋体" w:cs="宋体"/>
                <w:b/>
                <w:kern w:val="0"/>
                <w:sz w:val="21"/>
                <w:szCs w:val="21"/>
                <w:highlight w:val="none"/>
                <w:u w:val="single"/>
                <w:lang w:val="en-US" w:eastAsia="zh-CN"/>
              </w:rPr>
              <w:t>15</w:t>
            </w:r>
            <w:r>
              <w:rPr>
                <w:rFonts w:hint="eastAsia" w:ascii="宋体" w:hAnsi="宋体" w:eastAsia="宋体" w:cs="宋体"/>
                <w:b/>
                <w:kern w:val="0"/>
                <w:sz w:val="21"/>
                <w:szCs w:val="21"/>
                <w:highlight w:val="none"/>
                <w:lang w:eastAsia="zh-CN"/>
              </w:rPr>
              <w:t>分</w:t>
            </w:r>
          </w:p>
          <w:p w14:paraId="508DF857">
            <w:pPr>
              <w:keepNext w:val="0"/>
              <w:keepLines w:val="0"/>
              <w:pageBreakBefore w:val="0"/>
              <w:widowControl w:val="0"/>
              <w:kinsoku/>
              <w:wordWrap/>
              <w:overflowPunct/>
              <w:topLinePunct w:val="0"/>
              <w:bidi w:val="0"/>
              <w:snapToGrid w:val="0"/>
              <w:spacing w:line="320" w:lineRule="exact"/>
              <w:jc w:val="left"/>
              <w:textAlignment w:val="auto"/>
              <w:rPr>
                <w:rFonts w:hint="eastAsia" w:ascii="宋体" w:hAnsi="宋体" w:eastAsia="宋体" w:cs="宋体"/>
                <w:b/>
                <w:kern w:val="0"/>
                <w:sz w:val="21"/>
                <w:szCs w:val="21"/>
                <w:highlight w:val="none"/>
                <w:lang w:eastAsia="zh-CN"/>
              </w:rPr>
            </w:pPr>
            <w:r>
              <w:rPr>
                <w:rFonts w:hint="eastAsia" w:ascii="宋体" w:hAnsi="宋体" w:eastAsia="宋体" w:cs="宋体"/>
                <w:b/>
                <w:kern w:val="0"/>
                <w:sz w:val="21"/>
                <w:szCs w:val="21"/>
                <w:highlight w:val="none"/>
                <w:lang w:eastAsia="zh-CN"/>
              </w:rPr>
              <w:t>其他因素：</w:t>
            </w:r>
            <w:r>
              <w:rPr>
                <w:rFonts w:hint="eastAsia" w:ascii="宋体" w:hAnsi="宋体" w:eastAsia="宋体" w:cs="宋体"/>
                <w:b/>
                <w:kern w:val="0"/>
                <w:sz w:val="21"/>
                <w:szCs w:val="21"/>
                <w:highlight w:val="none"/>
                <w:u w:val="single"/>
                <w:lang w:val="en-US" w:eastAsia="zh-CN"/>
              </w:rPr>
              <w:t>15</w:t>
            </w:r>
            <w:r>
              <w:rPr>
                <w:rFonts w:hint="eastAsia" w:ascii="宋体" w:hAnsi="宋体" w:eastAsia="宋体" w:cs="宋体"/>
                <w:b/>
                <w:kern w:val="0"/>
                <w:sz w:val="21"/>
                <w:szCs w:val="21"/>
                <w:highlight w:val="none"/>
                <w:lang w:eastAsia="zh-CN"/>
              </w:rPr>
              <w:t>分</w:t>
            </w:r>
          </w:p>
          <w:p w14:paraId="61143CBB">
            <w:pPr>
              <w:keepNext w:val="0"/>
              <w:keepLines w:val="0"/>
              <w:pageBreakBefore w:val="0"/>
              <w:widowControl w:val="0"/>
              <w:kinsoku/>
              <w:wordWrap/>
              <w:overflowPunct/>
              <w:topLinePunct w:val="0"/>
              <w:bidi w:val="0"/>
              <w:snapToGrid w:val="0"/>
              <w:spacing w:line="320" w:lineRule="exact"/>
              <w:jc w:val="left"/>
              <w:textAlignment w:val="auto"/>
              <w:rPr>
                <w:rFonts w:hint="eastAsia" w:ascii="宋体" w:hAnsi="宋体" w:eastAsia="宋体" w:cs="宋体"/>
                <w:b/>
                <w:kern w:val="0"/>
                <w:sz w:val="21"/>
                <w:szCs w:val="21"/>
                <w:highlight w:val="none"/>
                <w:lang w:eastAsia="zh-CN"/>
              </w:rPr>
            </w:pPr>
            <w:r>
              <w:rPr>
                <w:rFonts w:hint="eastAsia" w:ascii="宋体" w:hAnsi="宋体" w:eastAsia="宋体" w:cs="宋体"/>
                <w:b/>
                <w:kern w:val="0"/>
                <w:sz w:val="21"/>
                <w:szCs w:val="21"/>
                <w:highlight w:val="none"/>
                <w:lang w:eastAsia="zh-CN"/>
              </w:rPr>
              <w:t>第二个信封（报价文件）评分分值构成：</w:t>
            </w:r>
          </w:p>
          <w:p w14:paraId="4B2E34F2">
            <w:pPr>
              <w:keepNext w:val="0"/>
              <w:keepLines w:val="0"/>
              <w:pageBreakBefore w:val="0"/>
              <w:widowControl w:val="0"/>
              <w:kinsoku/>
              <w:wordWrap/>
              <w:overflowPunct/>
              <w:topLinePunct w:val="0"/>
              <w:bidi w:val="0"/>
              <w:snapToGrid w:val="0"/>
              <w:spacing w:line="320" w:lineRule="exact"/>
              <w:jc w:val="left"/>
              <w:textAlignment w:val="auto"/>
              <w:rPr>
                <w:rFonts w:hint="eastAsia" w:ascii="宋体" w:hAnsi="宋体" w:eastAsia="宋体" w:cs="宋体"/>
                <w:b/>
                <w:kern w:val="0"/>
                <w:sz w:val="21"/>
                <w:szCs w:val="21"/>
                <w:highlight w:val="none"/>
                <w:lang w:eastAsia="en-US"/>
              </w:rPr>
            </w:pPr>
            <w:r>
              <w:rPr>
                <w:rFonts w:hint="eastAsia" w:ascii="宋体" w:hAnsi="宋体" w:eastAsia="宋体" w:cs="宋体"/>
                <w:b/>
                <w:kern w:val="0"/>
                <w:sz w:val="21"/>
                <w:szCs w:val="21"/>
                <w:highlight w:val="none"/>
                <w:lang w:eastAsia="en-US"/>
              </w:rPr>
              <w:t>评标价：</w:t>
            </w:r>
            <w:r>
              <w:rPr>
                <w:rFonts w:hint="eastAsia" w:ascii="宋体" w:hAnsi="宋体" w:eastAsia="宋体" w:cs="宋体"/>
                <w:b/>
                <w:kern w:val="0"/>
                <w:sz w:val="21"/>
                <w:szCs w:val="21"/>
                <w:highlight w:val="none"/>
                <w:u w:val="single"/>
                <w:lang w:eastAsia="zh-CN"/>
              </w:rPr>
              <w:t>3</w:t>
            </w:r>
            <w:r>
              <w:rPr>
                <w:rFonts w:hint="eastAsia" w:ascii="宋体" w:hAnsi="宋体" w:eastAsia="宋体" w:cs="宋体"/>
                <w:b/>
                <w:kern w:val="0"/>
                <w:sz w:val="21"/>
                <w:szCs w:val="21"/>
                <w:highlight w:val="none"/>
                <w:u w:val="single"/>
                <w:lang w:eastAsia="en-US"/>
              </w:rPr>
              <w:t>0</w:t>
            </w:r>
            <w:r>
              <w:rPr>
                <w:rFonts w:hint="eastAsia" w:ascii="宋体" w:hAnsi="宋体" w:eastAsia="宋体" w:cs="宋体"/>
                <w:b/>
                <w:kern w:val="0"/>
                <w:sz w:val="21"/>
                <w:szCs w:val="21"/>
                <w:highlight w:val="none"/>
                <w:lang w:eastAsia="en-US"/>
              </w:rPr>
              <w:t>分</w:t>
            </w:r>
          </w:p>
        </w:tc>
      </w:tr>
      <w:tr w14:paraId="5B29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712" w:hRule="atLeast"/>
        </w:trPr>
        <w:tc>
          <w:tcPr>
            <w:tcW w:w="423" w:type="pct"/>
            <w:vAlign w:val="center"/>
          </w:tcPr>
          <w:p w14:paraId="09A323AD">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2.2.2</w:t>
            </w:r>
          </w:p>
        </w:tc>
        <w:tc>
          <w:tcPr>
            <w:tcW w:w="785" w:type="pct"/>
            <w:vAlign w:val="center"/>
          </w:tcPr>
          <w:p w14:paraId="22A2801F">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评标基准价计算方法</w:t>
            </w:r>
          </w:p>
        </w:tc>
        <w:tc>
          <w:tcPr>
            <w:tcW w:w="3782" w:type="pct"/>
            <w:vAlign w:val="center"/>
          </w:tcPr>
          <w:p w14:paraId="695A0663">
            <w:pPr>
              <w:keepNext w:val="0"/>
              <w:keepLines w:val="0"/>
              <w:pageBreakBefore w:val="0"/>
              <w:widowControl w:val="0"/>
              <w:kinsoku/>
              <w:wordWrap/>
              <w:overflowPunct/>
              <w:topLinePunct w:val="0"/>
              <w:bidi w:val="0"/>
              <w:snapToGrid w:val="0"/>
              <w:spacing w:line="320" w:lineRule="exact"/>
              <w:ind w:right="113"/>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b/>
                <w:bCs/>
                <w:kern w:val="0"/>
                <w:sz w:val="21"/>
                <w:szCs w:val="21"/>
                <w:highlight w:val="none"/>
                <w:lang w:eastAsia="zh-CN"/>
              </w:rPr>
              <w:t>评标基准价的计算</w:t>
            </w:r>
            <w:r>
              <w:rPr>
                <w:rFonts w:hint="eastAsia" w:ascii="宋体" w:hAnsi="宋体" w:eastAsia="宋体" w:cs="宋体"/>
                <w:kern w:val="0"/>
                <w:sz w:val="21"/>
                <w:szCs w:val="21"/>
                <w:highlight w:val="none"/>
                <w:lang w:eastAsia="zh-CN"/>
              </w:rPr>
              <w:t>：</w:t>
            </w:r>
          </w:p>
          <w:p w14:paraId="179FBFE0">
            <w:pPr>
              <w:keepNext w:val="0"/>
              <w:keepLines w:val="0"/>
              <w:pageBreakBefore w:val="0"/>
              <w:widowControl w:val="0"/>
              <w:kinsoku/>
              <w:wordWrap/>
              <w:overflowPunct/>
              <w:topLinePunct w:val="0"/>
              <w:bidi w:val="0"/>
              <w:snapToGrid w:val="0"/>
              <w:spacing w:line="320" w:lineRule="exact"/>
              <w:ind w:right="113" w:firstLine="426" w:firstLineChars="203"/>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在第二个信封开标现场，招标人当场计算并宣布评标基准价。</w:t>
            </w:r>
          </w:p>
          <w:p w14:paraId="341A246A">
            <w:pPr>
              <w:keepNext w:val="0"/>
              <w:keepLines w:val="0"/>
              <w:pageBreakBefore w:val="0"/>
              <w:widowControl w:val="0"/>
              <w:kinsoku/>
              <w:wordWrap/>
              <w:overflowPunct/>
              <w:topLinePunct w:val="0"/>
              <w:bidi w:val="0"/>
              <w:snapToGrid w:val="0"/>
              <w:spacing w:line="320" w:lineRule="exact"/>
              <w:ind w:right="113" w:firstLine="426" w:firstLineChars="203"/>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(1)评标价的确定：</w:t>
            </w:r>
          </w:p>
          <w:p w14:paraId="173DB9F1">
            <w:pPr>
              <w:keepNext w:val="0"/>
              <w:keepLines w:val="0"/>
              <w:pageBreakBefore w:val="0"/>
              <w:widowControl w:val="0"/>
              <w:kinsoku/>
              <w:wordWrap/>
              <w:overflowPunct/>
              <w:topLinePunct w:val="0"/>
              <w:bidi w:val="0"/>
              <w:snapToGrid w:val="0"/>
              <w:spacing w:line="320" w:lineRule="exact"/>
              <w:ind w:right="113" w:firstLine="426" w:firstLineChars="203"/>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评标价=投标函文字报价</w:t>
            </w:r>
          </w:p>
          <w:p w14:paraId="6C425A11">
            <w:pPr>
              <w:keepNext w:val="0"/>
              <w:keepLines w:val="0"/>
              <w:pageBreakBefore w:val="0"/>
              <w:widowControl w:val="0"/>
              <w:kinsoku/>
              <w:wordWrap/>
              <w:overflowPunct/>
              <w:topLinePunct w:val="0"/>
              <w:bidi w:val="0"/>
              <w:snapToGrid w:val="0"/>
              <w:spacing w:line="320" w:lineRule="exact"/>
              <w:ind w:right="113" w:firstLine="426" w:firstLineChars="203"/>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(2)评标价平均值的计算：</w:t>
            </w:r>
          </w:p>
          <w:p w14:paraId="2FD8FA85">
            <w:pPr>
              <w:keepNext w:val="0"/>
              <w:keepLines w:val="0"/>
              <w:pageBreakBefore w:val="0"/>
              <w:widowControl w:val="0"/>
              <w:kinsoku/>
              <w:wordWrap/>
              <w:overflowPunct/>
              <w:topLinePunct w:val="0"/>
              <w:bidi w:val="0"/>
              <w:snapToGrid w:val="0"/>
              <w:spacing w:line="320" w:lineRule="exact"/>
              <w:ind w:right="113" w:firstLine="426" w:firstLineChars="203"/>
              <w:jc w:val="both"/>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除按第二章“投标人须知”第5.2.4项规定开标现场被宣布为不进入评标基准价计算的投标报价之外，所有投标人评标价去掉一个最高值和一个最低值后的算术平均值即为评标价平均值（如果参与评标价平均值计算的有效投标人少于5家时，则计算评标价平均值时不去掉最高值和最低值）。</w:t>
            </w:r>
          </w:p>
          <w:p w14:paraId="5B7F06B6">
            <w:pPr>
              <w:keepNext w:val="0"/>
              <w:keepLines w:val="0"/>
              <w:pageBreakBefore w:val="0"/>
              <w:widowControl w:val="0"/>
              <w:kinsoku/>
              <w:wordWrap/>
              <w:overflowPunct/>
              <w:topLinePunct w:val="0"/>
              <w:bidi w:val="0"/>
              <w:snapToGrid w:val="0"/>
              <w:spacing w:line="320" w:lineRule="exact"/>
              <w:ind w:right="113" w:firstLine="426" w:firstLineChars="203"/>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(3)评标基准价的确定：</w:t>
            </w:r>
          </w:p>
          <w:p w14:paraId="029B1F93">
            <w:pPr>
              <w:keepNext w:val="0"/>
              <w:keepLines w:val="0"/>
              <w:pageBreakBefore w:val="0"/>
              <w:widowControl w:val="0"/>
              <w:kinsoku/>
              <w:wordWrap/>
              <w:overflowPunct/>
              <w:topLinePunct w:val="0"/>
              <w:bidi w:val="0"/>
              <w:snapToGrid w:val="0"/>
              <w:spacing w:line="320" w:lineRule="exact"/>
              <w:ind w:right="113" w:firstLine="426" w:firstLineChars="203"/>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评标价平均值直接作为评标基准价（评标基准价保留小数点后两位，小数点后第三位四舍五入）。</w:t>
            </w:r>
          </w:p>
          <w:p w14:paraId="4C894B23">
            <w:pPr>
              <w:keepNext w:val="0"/>
              <w:keepLines w:val="0"/>
              <w:pageBreakBefore w:val="0"/>
              <w:widowControl w:val="0"/>
              <w:kinsoku/>
              <w:wordWrap/>
              <w:overflowPunct/>
              <w:topLinePunct w:val="0"/>
              <w:bidi w:val="0"/>
              <w:snapToGrid w:val="0"/>
              <w:spacing w:line="320" w:lineRule="exact"/>
              <w:ind w:firstLine="420" w:firstLineChars="20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在评标过程中，评标委员会应对招标人计算的评标基准价进行复核，存在计算错误的应予以修正并在评标报告中作出说明。除此之外，评标基准价在整个评标期间保持不变，不随任何因素发生变化。</w:t>
            </w:r>
          </w:p>
        </w:tc>
      </w:tr>
      <w:tr w14:paraId="0A54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423" w:type="pct"/>
            <w:vAlign w:val="center"/>
          </w:tcPr>
          <w:p w14:paraId="0D0FBA67">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2.2.3</w:t>
            </w:r>
          </w:p>
        </w:tc>
        <w:tc>
          <w:tcPr>
            <w:tcW w:w="785" w:type="pct"/>
            <w:vAlign w:val="center"/>
          </w:tcPr>
          <w:p w14:paraId="3B7A81E6">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评标价的偏差率计算公式</w:t>
            </w:r>
          </w:p>
        </w:tc>
        <w:tc>
          <w:tcPr>
            <w:tcW w:w="3782" w:type="pct"/>
            <w:vAlign w:val="center"/>
          </w:tcPr>
          <w:p w14:paraId="1FC07881">
            <w:pPr>
              <w:keepNext w:val="0"/>
              <w:keepLines w:val="0"/>
              <w:pageBreakBefore w:val="0"/>
              <w:widowControl w:val="0"/>
              <w:kinsoku/>
              <w:wordWrap/>
              <w:overflowPunct/>
              <w:topLinePunct w:val="0"/>
              <w:bidi w:val="0"/>
              <w:snapToGrid w:val="0"/>
              <w:spacing w:line="320" w:lineRule="exact"/>
              <w:jc w:val="both"/>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w:t>
            </w:r>
          </w:p>
        </w:tc>
      </w:tr>
      <w:tr w14:paraId="5BBBB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1728" w:hRule="atLeast"/>
        </w:trPr>
        <w:tc>
          <w:tcPr>
            <w:tcW w:w="423" w:type="pct"/>
            <w:vAlign w:val="center"/>
          </w:tcPr>
          <w:p w14:paraId="42370CFF">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3.5.3</w:t>
            </w:r>
          </w:p>
        </w:tc>
        <w:tc>
          <w:tcPr>
            <w:tcW w:w="1462" w:type="dxa"/>
            <w:vAlign w:val="center"/>
          </w:tcPr>
          <w:p w14:paraId="55C42C67">
            <w:pPr>
              <w:keepNext w:val="0"/>
              <w:keepLines w:val="0"/>
              <w:pageBreakBefore w:val="0"/>
              <w:widowControl w:val="0"/>
              <w:kinsoku/>
              <w:wordWrap/>
              <w:overflowPunct/>
              <w:topLinePunct w:val="0"/>
              <w:bidi w:val="0"/>
              <w:snapToGrid w:val="0"/>
              <w:spacing w:line="320" w:lineRule="exact"/>
              <w:ind w:left="113" w:leftChars="0" w:right="113" w:rightChars="0"/>
              <w:jc w:val="center"/>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en-US"/>
              </w:rPr>
              <w:t>异常低价评审</w:t>
            </w:r>
          </w:p>
        </w:tc>
        <w:tc>
          <w:tcPr>
            <w:tcW w:w="7042" w:type="dxa"/>
            <w:vAlign w:val="center"/>
          </w:tcPr>
          <w:p w14:paraId="0952E129">
            <w:pPr>
              <w:keepNext w:val="0"/>
              <w:keepLines w:val="0"/>
              <w:pageBreakBefore w:val="0"/>
              <w:widowControl w:val="0"/>
              <w:kinsoku/>
              <w:wordWrap/>
              <w:overflowPunct/>
              <w:topLinePunct w:val="0"/>
              <w:bidi w:val="0"/>
              <w:snapToGrid w:val="0"/>
              <w:spacing w:line="320" w:lineRule="exact"/>
              <w:jc w:val="both"/>
              <w:textAlignment w:val="auto"/>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本款修改为：</w:t>
            </w:r>
          </w:p>
          <w:p w14:paraId="7C38D7E3">
            <w:pPr>
              <w:keepNext w:val="0"/>
              <w:keepLines w:val="0"/>
              <w:pageBreakBefore w:val="0"/>
              <w:widowControl w:val="0"/>
              <w:kinsoku/>
              <w:wordWrap/>
              <w:overflowPunct/>
              <w:topLinePunct w:val="0"/>
              <w:bidi w:val="0"/>
              <w:snapToGrid w:val="0"/>
              <w:spacing w:line="320" w:lineRule="exact"/>
              <w:ind w:right="113" w:rightChars="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color w:val="auto"/>
                <w:kern w:val="0"/>
                <w:sz w:val="21"/>
                <w:szCs w:val="21"/>
                <w:highlight w:val="none"/>
                <w:lang w:eastAsia="en-US"/>
              </w:rPr>
              <w:t>评标委员会发现投标人的投标报价低于最高投标限价的</w:t>
            </w:r>
            <w:r>
              <w:rPr>
                <w:rFonts w:hint="eastAsia" w:ascii="宋体" w:hAnsi="宋体" w:eastAsia="宋体" w:cs="宋体"/>
                <w:color w:val="auto"/>
                <w:kern w:val="0"/>
                <w:sz w:val="21"/>
                <w:szCs w:val="21"/>
                <w:highlight w:val="none"/>
                <w:lang w:val="en-US" w:eastAsia="zh-CN"/>
              </w:rPr>
              <w:t>65</w:t>
            </w:r>
            <w:r>
              <w:rPr>
                <w:rFonts w:hint="eastAsia" w:ascii="宋体" w:hAnsi="宋体" w:eastAsia="宋体" w:cs="宋体"/>
                <w:color w:val="auto"/>
                <w:kern w:val="0"/>
                <w:sz w:val="21"/>
                <w:szCs w:val="21"/>
                <w:highlight w:val="none"/>
                <w:lang w:eastAsia="en-US"/>
              </w:rPr>
              <w:t>%</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含）</w:t>
            </w:r>
            <w:r>
              <w:rPr>
                <w:rFonts w:hint="eastAsia" w:ascii="宋体" w:hAnsi="宋体" w:eastAsia="宋体" w:cs="宋体"/>
                <w:color w:val="auto"/>
                <w:kern w:val="0"/>
                <w:sz w:val="21"/>
                <w:szCs w:val="21"/>
                <w:highlight w:val="none"/>
                <w:lang w:eastAsia="en-US"/>
              </w:rPr>
              <w:t>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401FA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3793" w:hRule="atLeast"/>
        </w:trPr>
        <w:tc>
          <w:tcPr>
            <w:tcW w:w="778" w:type="dxa"/>
            <w:vAlign w:val="center"/>
          </w:tcPr>
          <w:p w14:paraId="09AC2387">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3.6.1</w:t>
            </w:r>
          </w:p>
        </w:tc>
        <w:tc>
          <w:tcPr>
            <w:tcW w:w="1444" w:type="dxa"/>
            <w:vAlign w:val="center"/>
          </w:tcPr>
          <w:p w14:paraId="5D985532">
            <w:pPr>
              <w:keepNext w:val="0"/>
              <w:keepLines w:val="0"/>
              <w:pageBreakBefore w:val="0"/>
              <w:widowControl w:val="0"/>
              <w:kinsoku/>
              <w:wordWrap/>
              <w:overflowPunct/>
              <w:topLinePunct w:val="0"/>
              <w:bidi w:val="0"/>
              <w:adjustRightInd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信息</w:t>
            </w:r>
          </w:p>
          <w:p w14:paraId="6C0AE9A5">
            <w:pPr>
              <w:keepNext w:val="0"/>
              <w:keepLines w:val="0"/>
              <w:pageBreakBefore w:val="0"/>
              <w:widowControl w:val="0"/>
              <w:kinsoku/>
              <w:wordWrap/>
              <w:overflowPunct/>
              <w:topLinePunct w:val="0"/>
              <w:bidi w:val="0"/>
              <w:adjustRightInd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查询</w:t>
            </w:r>
          </w:p>
        </w:tc>
        <w:tc>
          <w:tcPr>
            <w:tcW w:w="6956" w:type="dxa"/>
            <w:vAlign w:val="center"/>
          </w:tcPr>
          <w:p w14:paraId="6E2BFAB6">
            <w:pPr>
              <w:autoSpaceDE w:val="0"/>
              <w:autoSpaceDN w:val="0"/>
              <w:snapToGrid w:val="0"/>
              <w:spacing w:line="320" w:lineRule="exact"/>
              <w:jc w:val="left"/>
              <w:rPr>
                <w:rFonts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zh-CN"/>
              </w:rPr>
              <w:t>本款修改为：</w:t>
            </w:r>
          </w:p>
          <w:p w14:paraId="3248993B">
            <w:pPr>
              <w:numPr>
                <w:ilvl w:val="0"/>
                <w:numId w:val="0"/>
              </w:numPr>
              <w:autoSpaceDE w:val="0"/>
              <w:autoSpaceDN w:val="0"/>
              <w:snapToGrid w:val="0"/>
              <w:spacing w:line="320" w:lineRule="exact"/>
              <w:ind w:firstLine="420" w:firstLineChars="200"/>
              <w:jc w:val="left"/>
              <w:rPr>
                <w:rFonts w:hint="default"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lang w:eastAsia="zh-CN"/>
              </w:rPr>
              <w:t>评标委员会在评标过程中</w:t>
            </w:r>
            <w:r>
              <w:rPr>
                <w:rFonts w:hint="eastAsia" w:ascii="宋体" w:hAnsi="宋体" w:eastAsia="宋体" w:cs="宋体"/>
                <w:kern w:val="0"/>
                <w:sz w:val="21"/>
                <w:szCs w:val="21"/>
                <w:highlight w:val="none"/>
                <w:lang w:val="en-US" w:eastAsia="zh-CN"/>
              </w:rPr>
              <w:t>将对投标人的信誉情况进行查询。如投标人存在下列情形之一的，</w:t>
            </w:r>
            <w:r>
              <w:rPr>
                <w:rFonts w:hint="eastAsia" w:ascii="宋体" w:hAnsi="宋体" w:eastAsia="宋体" w:cs="宋体"/>
                <w:kern w:val="0"/>
                <w:sz w:val="21"/>
                <w:szCs w:val="21"/>
                <w:highlight w:val="none"/>
                <w:lang w:eastAsia="zh-CN"/>
              </w:rPr>
              <w:t>评标委员会应否决其投标。</w:t>
            </w:r>
          </w:p>
          <w:p w14:paraId="0B35B313">
            <w:pPr>
              <w:numPr>
                <w:ilvl w:val="0"/>
                <w:numId w:val="0"/>
              </w:numPr>
              <w:autoSpaceDE w:val="0"/>
              <w:autoSpaceDN w:val="0"/>
              <w:snapToGrid w:val="0"/>
              <w:spacing w:line="320" w:lineRule="exact"/>
              <w:ind w:firstLine="420" w:firstLineChars="200"/>
              <w:jc w:val="left"/>
              <w:rPr>
                <w:rFonts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val="en-US" w:eastAsia="zh-CN"/>
              </w:rPr>
              <w:t>（1）</w:t>
            </w:r>
            <w:r>
              <w:rPr>
                <w:rFonts w:hint="eastAsia" w:ascii="宋体" w:hAnsi="宋体" w:eastAsia="宋体" w:cs="宋体"/>
                <w:kern w:val="0"/>
                <w:sz w:val="21"/>
                <w:szCs w:val="21"/>
                <w:highlight w:val="none"/>
                <w:lang w:eastAsia="zh-CN"/>
              </w:rPr>
              <w:t>在国家企业信用信息公示系统（https://www.gsxt.gov.cn/）中被列入严重违法失信名单（黑名单）（不含分公司）；</w:t>
            </w:r>
          </w:p>
          <w:p w14:paraId="583D4A70">
            <w:pPr>
              <w:numPr>
                <w:ilvl w:val="0"/>
                <w:numId w:val="0"/>
              </w:numPr>
              <w:autoSpaceDE w:val="0"/>
              <w:autoSpaceDN w:val="0"/>
              <w:snapToGrid w:val="0"/>
              <w:spacing w:line="320" w:lineRule="exact"/>
              <w:ind w:firstLine="420" w:firstLineChars="200"/>
              <w:jc w:val="left"/>
              <w:rPr>
                <w:rFonts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val="en-US" w:eastAsia="zh-CN"/>
              </w:rPr>
              <w:t>（2）</w:t>
            </w:r>
            <w:r>
              <w:rPr>
                <w:rFonts w:hint="eastAsia" w:ascii="宋体" w:hAnsi="宋体" w:eastAsia="宋体" w:cs="宋体"/>
                <w:kern w:val="0"/>
                <w:sz w:val="21"/>
                <w:szCs w:val="21"/>
                <w:highlight w:val="none"/>
                <w:lang w:eastAsia="zh-CN"/>
              </w:rPr>
              <w:t>在“信用中国”网站（http://www.creditchina.gov.cn/）中被列入经营（活动）异常名录、重大税收违法失信主体名单和政府采购严重违法失信行为记录名单（均不含分公司）；</w:t>
            </w:r>
          </w:p>
          <w:p w14:paraId="6D160320">
            <w:pPr>
              <w:numPr>
                <w:ilvl w:val="0"/>
                <w:numId w:val="0"/>
              </w:numPr>
              <w:autoSpaceDE w:val="0"/>
              <w:autoSpaceDN w:val="0"/>
              <w:snapToGrid w:val="0"/>
              <w:spacing w:line="320" w:lineRule="exact"/>
              <w:ind w:firstLine="420" w:firstLineChars="200"/>
              <w:jc w:val="left"/>
              <w:rPr>
                <w:rFonts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lang w:eastAsia="zh-CN"/>
              </w:rPr>
              <w:t>在中国执行信息公开网（zxgk.court.gov.cn）中被列入失信被执行人（不含分公司）。</w:t>
            </w:r>
          </w:p>
          <w:p w14:paraId="5092DE51">
            <w:pPr>
              <w:numPr>
                <w:ilvl w:val="0"/>
                <w:numId w:val="0"/>
              </w:numPr>
              <w:adjustRightInd w:val="0"/>
              <w:snapToGrid w:val="0"/>
              <w:spacing w:line="300" w:lineRule="exact"/>
              <w:ind w:firstLine="420" w:firstLineChars="200"/>
              <w:jc w:val="both"/>
              <w:rPr>
                <w:rFonts w:hint="eastAsia" w:ascii="宋体" w:hAnsi="宋体" w:eastAsia="宋体" w:cs="Times New Roman"/>
                <w:kern w:val="2"/>
                <w:sz w:val="21"/>
                <w:szCs w:val="21"/>
                <w:highlight w:val="none"/>
                <w:lang w:eastAsia="zh-CN"/>
              </w:rPr>
            </w:pPr>
            <w:r>
              <w:rPr>
                <w:rFonts w:hint="eastAsia" w:ascii="宋体" w:hAnsi="宋体" w:eastAsia="宋体" w:cs="宋体"/>
                <w:kern w:val="0"/>
                <w:sz w:val="21"/>
                <w:szCs w:val="21"/>
                <w:highlight w:val="none"/>
                <w:lang w:val="en-US" w:eastAsia="zh-CN"/>
              </w:rPr>
              <w:t>2.</w:t>
            </w:r>
            <w:r>
              <w:rPr>
                <w:rFonts w:hint="eastAsia" w:ascii="宋体" w:hAnsi="宋体" w:eastAsia="宋体" w:cs="Times New Roman"/>
                <w:kern w:val="2"/>
                <w:sz w:val="21"/>
                <w:szCs w:val="21"/>
                <w:highlight w:val="none"/>
                <w:lang w:eastAsia="zh-CN"/>
              </w:rPr>
              <w:t>所附一级注册造价工程师信息的网页截图复印件与“全国建筑市场监管公共服务平台（http://jzsc.mohurd.gov.cn/）”核查的结果一致，并满足招标文件资格审查条件要求。一级注册造价工程师的注册单位名称必须与投标人名称一致；</w:t>
            </w:r>
          </w:p>
          <w:p w14:paraId="58247FF2">
            <w:pPr>
              <w:keepNext w:val="0"/>
              <w:keepLines w:val="0"/>
              <w:pageBreakBefore w:val="0"/>
              <w:widowControl w:val="0"/>
              <w:kinsoku/>
              <w:wordWrap/>
              <w:overflowPunct/>
              <w:topLinePunct w:val="0"/>
              <w:autoSpaceDE w:val="0"/>
              <w:autoSpaceDN w:val="0"/>
              <w:bidi w:val="0"/>
              <w:snapToGrid w:val="0"/>
              <w:spacing w:line="320" w:lineRule="exact"/>
              <w:ind w:firstLine="420" w:firstLineChars="200"/>
              <w:jc w:val="left"/>
              <w:textAlignment w:val="auto"/>
              <w:rPr>
                <w:rFonts w:hint="default" w:ascii="宋体" w:hAnsi="宋体" w:eastAsia="宋体" w:cs="宋体"/>
                <w:kern w:val="0"/>
                <w:sz w:val="21"/>
                <w:szCs w:val="21"/>
                <w:highlight w:val="none"/>
                <w:lang w:val="en-US" w:eastAsia="zh-CN"/>
              </w:rPr>
            </w:pPr>
            <w:r>
              <w:rPr>
                <w:rFonts w:hint="eastAsia" w:ascii="宋体" w:hAnsi="宋体" w:eastAsia="宋体" w:cs="Times New Roman"/>
                <w:kern w:val="2"/>
                <w:sz w:val="21"/>
                <w:szCs w:val="21"/>
                <w:highlight w:val="none"/>
                <w:lang w:eastAsia="zh-CN"/>
              </w:rPr>
              <w:t>如投标人未提供相关网页截图复印件或相关网页截图复印件中的信息无法证实投标人满足招标文件规定的资格审查条件，则该证书不予认定。</w:t>
            </w:r>
          </w:p>
          <w:p w14:paraId="14D9C547">
            <w:pPr>
              <w:keepNext w:val="0"/>
              <w:keepLines w:val="0"/>
              <w:pageBreakBefore w:val="0"/>
              <w:widowControl w:val="0"/>
              <w:kinsoku/>
              <w:wordWrap/>
              <w:overflowPunct/>
              <w:topLinePunct w:val="0"/>
              <w:autoSpaceDE w:val="0"/>
              <w:autoSpaceDN w:val="0"/>
              <w:bidi w:val="0"/>
              <w:snapToGrid w:val="0"/>
              <w:spacing w:line="320" w:lineRule="exact"/>
              <w:ind w:firstLine="420" w:firstLineChars="200"/>
              <w:jc w:val="left"/>
              <w:textAlignment w:val="auto"/>
              <w:rPr>
                <w:rFonts w:hint="default"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3.</w:t>
            </w:r>
            <w:r>
              <w:rPr>
                <w:rFonts w:hint="eastAsia" w:ascii="宋体" w:hAnsi="宋体" w:eastAsia="宋体" w:cs="宋体"/>
                <w:kern w:val="0"/>
                <w:sz w:val="21"/>
                <w:szCs w:val="21"/>
                <w:highlight w:val="none"/>
                <w:lang w:eastAsia="zh-CN"/>
              </w:rPr>
              <w:t>评标委员会在评标时按照投标人提供的验证方式对电子保函或电子保证保险进行验证。如投标人未提供电子保函或电子保证保险的验证方式，或根据提供的验证方式无法核实的，评标委员会应否决其投标。</w:t>
            </w:r>
          </w:p>
        </w:tc>
      </w:tr>
      <w:tr w14:paraId="6BB9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1605" w:hRule="atLeast"/>
        </w:trPr>
        <w:tc>
          <w:tcPr>
            <w:tcW w:w="423" w:type="pct"/>
            <w:vAlign w:val="center"/>
          </w:tcPr>
          <w:p w14:paraId="3794AAB4">
            <w:pPr>
              <w:keepNext w:val="0"/>
              <w:keepLines w:val="0"/>
              <w:pageBreakBefore w:val="0"/>
              <w:widowControl w:val="0"/>
              <w:kinsoku/>
              <w:wordWrap/>
              <w:overflowPunct/>
              <w:topLinePunct w:val="0"/>
              <w:bidi w:val="0"/>
              <w:adjustRightInd w:val="0"/>
              <w:snapToGrid w:val="0"/>
              <w:spacing w:line="320" w:lineRule="exact"/>
              <w:jc w:val="center"/>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zh-CN"/>
              </w:rPr>
              <w:t>增加3.6.3</w:t>
            </w:r>
          </w:p>
        </w:tc>
        <w:tc>
          <w:tcPr>
            <w:tcW w:w="1462" w:type="dxa"/>
            <w:vAlign w:val="center"/>
          </w:tcPr>
          <w:p w14:paraId="352752B0">
            <w:pPr>
              <w:keepNext w:val="0"/>
              <w:keepLines w:val="0"/>
              <w:pageBreakBefore w:val="0"/>
              <w:widowControl w:val="0"/>
              <w:kinsoku/>
              <w:wordWrap/>
              <w:overflowPunct/>
              <w:topLinePunct w:val="0"/>
              <w:bidi w:val="0"/>
              <w:snapToGrid w:val="0"/>
              <w:spacing w:line="320" w:lineRule="exact"/>
              <w:ind w:left="113" w:leftChars="0" w:right="113" w:rightChars="0"/>
              <w:jc w:val="center"/>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en-US"/>
              </w:rPr>
              <w:t>异常投标情形核查</w:t>
            </w:r>
          </w:p>
        </w:tc>
        <w:tc>
          <w:tcPr>
            <w:tcW w:w="7042" w:type="dxa"/>
            <w:vAlign w:val="center"/>
          </w:tcPr>
          <w:p w14:paraId="65089356">
            <w:pPr>
              <w:keepNext w:val="0"/>
              <w:keepLines w:val="0"/>
              <w:pageBreakBefore w:val="0"/>
              <w:widowControl w:val="0"/>
              <w:kinsoku/>
              <w:wordWrap/>
              <w:overflowPunct/>
              <w:topLinePunct w:val="0"/>
              <w:bidi w:val="0"/>
              <w:snapToGrid w:val="0"/>
              <w:spacing w:line="320" w:lineRule="exact"/>
              <w:ind w:right="113"/>
              <w:jc w:val="left"/>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增加3.6.3款：</w:t>
            </w:r>
          </w:p>
          <w:p w14:paraId="77FBAC81">
            <w:pPr>
              <w:keepNext w:val="0"/>
              <w:keepLines w:val="0"/>
              <w:pageBreakBefore w:val="0"/>
              <w:widowControl w:val="0"/>
              <w:kinsoku/>
              <w:wordWrap/>
              <w:overflowPunct/>
              <w:topLinePunct w:val="0"/>
              <w:bidi w:val="0"/>
              <w:snapToGrid w:val="0"/>
              <w:spacing w:line="320" w:lineRule="exact"/>
              <w:ind w:right="113"/>
              <w:jc w:val="left"/>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当认定该投标人</w:t>
            </w:r>
            <w:r>
              <w:rPr>
                <w:rFonts w:hint="eastAsia" w:ascii="宋体" w:hAnsi="宋体" w:eastAsia="宋体" w:cs="宋体"/>
                <w:kern w:val="0"/>
                <w:sz w:val="21"/>
                <w:szCs w:val="21"/>
                <w:highlight w:val="none"/>
                <w:lang w:val="en-US" w:eastAsia="zh-CN"/>
              </w:rPr>
              <w:t>存在串通投标情形，</w:t>
            </w:r>
            <w:r>
              <w:rPr>
                <w:rFonts w:hint="eastAsia" w:ascii="宋体" w:hAnsi="宋体" w:eastAsia="宋体" w:cs="宋体"/>
                <w:kern w:val="0"/>
                <w:sz w:val="21"/>
                <w:szCs w:val="21"/>
                <w:highlight w:val="none"/>
                <w:lang w:eastAsia="en-US"/>
              </w:rPr>
              <w:t>并否决其投标。</w:t>
            </w:r>
          </w:p>
          <w:p w14:paraId="1DB5C5FF">
            <w:pPr>
              <w:keepNext w:val="0"/>
              <w:keepLines w:val="0"/>
              <w:pageBreakBefore w:val="0"/>
              <w:widowControl w:val="0"/>
              <w:kinsoku/>
              <w:wordWrap/>
              <w:overflowPunct/>
              <w:topLinePunct w:val="0"/>
              <w:bidi w:val="0"/>
              <w:snapToGrid w:val="0"/>
              <w:spacing w:line="320" w:lineRule="exact"/>
              <w:ind w:right="113"/>
              <w:jc w:val="left"/>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有下列情形之一的，属于投标文件异常一致或投标活动异常关联等异常投标情形：</w:t>
            </w:r>
          </w:p>
          <w:p w14:paraId="26310FF6">
            <w:pPr>
              <w:keepNext w:val="0"/>
              <w:keepLines w:val="0"/>
              <w:pageBreakBefore w:val="0"/>
              <w:widowControl w:val="0"/>
              <w:kinsoku/>
              <w:wordWrap/>
              <w:overflowPunct/>
              <w:topLinePunct w:val="0"/>
              <w:bidi w:val="0"/>
              <w:snapToGrid w:val="0"/>
              <w:spacing w:line="320" w:lineRule="exact"/>
              <w:ind w:right="113"/>
              <w:jc w:val="left"/>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（1）投标人投标文件制作机器码雷同；</w:t>
            </w:r>
          </w:p>
          <w:p w14:paraId="61EE7F55">
            <w:pPr>
              <w:keepNext w:val="0"/>
              <w:keepLines w:val="0"/>
              <w:pageBreakBefore w:val="0"/>
              <w:widowControl w:val="0"/>
              <w:kinsoku/>
              <w:wordWrap/>
              <w:overflowPunct/>
              <w:topLinePunct w:val="0"/>
              <w:bidi w:val="0"/>
              <w:snapToGrid w:val="0"/>
              <w:spacing w:line="320" w:lineRule="exact"/>
              <w:ind w:right="113"/>
              <w:jc w:val="left"/>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（2）投标文件创建标识码雷同；</w:t>
            </w:r>
          </w:p>
          <w:p w14:paraId="685579DA">
            <w:pPr>
              <w:keepNext w:val="0"/>
              <w:keepLines w:val="0"/>
              <w:pageBreakBefore w:val="0"/>
              <w:widowControl w:val="0"/>
              <w:kinsoku/>
              <w:wordWrap/>
              <w:overflowPunct/>
              <w:topLinePunct w:val="0"/>
              <w:bidi w:val="0"/>
              <w:snapToGrid w:val="0"/>
              <w:spacing w:line="320" w:lineRule="exact"/>
              <w:ind w:right="113"/>
              <w:jc w:val="left"/>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（3）投标文件制作计算机MAC地址雷同；</w:t>
            </w:r>
          </w:p>
          <w:p w14:paraId="1F61E4C9">
            <w:pPr>
              <w:keepNext w:val="0"/>
              <w:keepLines w:val="0"/>
              <w:pageBreakBefore w:val="0"/>
              <w:widowControl w:val="0"/>
              <w:kinsoku/>
              <w:wordWrap/>
              <w:overflowPunct/>
              <w:topLinePunct w:val="0"/>
              <w:bidi w:val="0"/>
              <w:snapToGrid w:val="0"/>
              <w:spacing w:line="320" w:lineRule="exact"/>
              <w:ind w:right="113"/>
              <w:jc w:val="left"/>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（4）投标文件制作计算机硬盘序列号雷同；</w:t>
            </w:r>
          </w:p>
          <w:p w14:paraId="3E566417">
            <w:pPr>
              <w:keepNext w:val="0"/>
              <w:keepLines w:val="0"/>
              <w:pageBreakBefore w:val="0"/>
              <w:widowControl w:val="0"/>
              <w:kinsoku/>
              <w:wordWrap/>
              <w:overflowPunct/>
              <w:topLinePunct w:val="0"/>
              <w:bidi w:val="0"/>
              <w:snapToGrid w:val="0"/>
              <w:spacing w:line="320" w:lineRule="exact"/>
              <w:ind w:right="113"/>
              <w:jc w:val="left"/>
              <w:textAlignment w:val="auto"/>
              <w:rPr>
                <w:rFonts w:hint="eastAsia" w:ascii="宋体" w:hAnsi="宋体" w:eastAsia="宋体" w:cs="宋体"/>
                <w:kern w:val="0"/>
                <w:sz w:val="21"/>
                <w:szCs w:val="21"/>
                <w:highlight w:val="none"/>
                <w:lang w:eastAsia="en-US"/>
              </w:rPr>
            </w:pPr>
            <w:r>
              <w:rPr>
                <w:rFonts w:hint="eastAsia" w:ascii="宋体" w:hAnsi="宋体" w:eastAsia="宋体" w:cs="宋体"/>
                <w:kern w:val="0"/>
                <w:sz w:val="21"/>
                <w:szCs w:val="21"/>
                <w:highlight w:val="none"/>
                <w:lang w:eastAsia="en-US"/>
              </w:rPr>
              <w:t>（</w:t>
            </w:r>
            <w:r>
              <w:rPr>
                <w:rFonts w:hint="eastAsia" w:ascii="宋体" w:hAnsi="宋体" w:eastAsia="宋体" w:cs="宋体"/>
                <w:kern w:val="0"/>
                <w:sz w:val="21"/>
                <w:szCs w:val="21"/>
                <w:highlight w:val="none"/>
                <w:lang w:val="en-US" w:eastAsia="zh-CN"/>
              </w:rPr>
              <w:t>5</w:t>
            </w:r>
            <w:r>
              <w:rPr>
                <w:rFonts w:hint="eastAsia" w:ascii="宋体" w:hAnsi="宋体" w:eastAsia="宋体" w:cs="宋体"/>
                <w:kern w:val="0"/>
                <w:sz w:val="21"/>
                <w:szCs w:val="21"/>
                <w:highlight w:val="none"/>
                <w:lang w:eastAsia="en-US"/>
              </w:rPr>
              <w:t>）投标文件上传IP地址雷同；</w:t>
            </w:r>
          </w:p>
          <w:p w14:paraId="1D792AE4">
            <w:pPr>
              <w:keepNext w:val="0"/>
              <w:keepLines w:val="0"/>
              <w:pageBreakBefore w:val="0"/>
              <w:widowControl w:val="0"/>
              <w:kinsoku/>
              <w:wordWrap/>
              <w:overflowPunct/>
              <w:topLinePunct w:val="0"/>
              <w:bidi w:val="0"/>
              <w:snapToGrid w:val="0"/>
              <w:spacing w:line="320" w:lineRule="exact"/>
              <w:ind w:right="113" w:rightChars="0"/>
              <w:jc w:val="left"/>
              <w:textAlignment w:val="auto"/>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eastAsia="en-US"/>
              </w:rPr>
              <w:t>（</w:t>
            </w:r>
            <w:r>
              <w:rPr>
                <w:rFonts w:hint="eastAsia" w:ascii="宋体" w:hAnsi="宋体" w:eastAsia="宋体" w:cs="宋体"/>
                <w:kern w:val="0"/>
                <w:sz w:val="21"/>
                <w:szCs w:val="21"/>
                <w:highlight w:val="none"/>
                <w:lang w:val="en-US" w:eastAsia="zh-CN"/>
              </w:rPr>
              <w:t>6</w:t>
            </w:r>
            <w:r>
              <w:rPr>
                <w:rFonts w:hint="eastAsia" w:ascii="宋体" w:hAnsi="宋体" w:eastAsia="宋体" w:cs="宋体"/>
                <w:kern w:val="0"/>
                <w:sz w:val="21"/>
                <w:szCs w:val="21"/>
                <w:highlight w:val="none"/>
                <w:lang w:eastAsia="en-US"/>
              </w:rPr>
              <w:t>）投标文件解密IP地址雷同。</w:t>
            </w:r>
          </w:p>
        </w:tc>
      </w:tr>
      <w:tr w14:paraId="045B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5000" w:type="pct"/>
            <w:gridSpan w:val="4"/>
            <w:vAlign w:val="center"/>
          </w:tcPr>
          <w:p w14:paraId="71E2AB91">
            <w:pPr>
              <w:keepNext w:val="0"/>
              <w:keepLines w:val="0"/>
              <w:pageBreakBefore w:val="0"/>
              <w:widowControl w:val="0"/>
              <w:kinsoku/>
              <w:wordWrap/>
              <w:overflowPunct/>
              <w:topLinePunct w:val="0"/>
              <w:bidi w:val="0"/>
              <w:snapToGrid w:val="0"/>
              <w:spacing w:line="320" w:lineRule="exact"/>
              <w:ind w:right="113"/>
              <w:jc w:val="left"/>
              <w:textAlignment w:val="auto"/>
              <w:rPr>
                <w:rFonts w:hint="eastAsia" w:ascii="宋体" w:hAnsi="宋体" w:eastAsia="宋体" w:cs="宋体"/>
                <w:bCs/>
                <w:kern w:val="0"/>
                <w:sz w:val="21"/>
                <w:szCs w:val="21"/>
                <w:highlight w:val="none"/>
                <w:lang w:eastAsia="zh-CN"/>
              </w:rPr>
            </w:pPr>
            <w:r>
              <w:rPr>
                <w:rFonts w:hint="eastAsia" w:ascii="宋体" w:hAnsi="宋体" w:eastAsia="宋体" w:cs="宋体"/>
                <w:kern w:val="0"/>
                <w:sz w:val="21"/>
                <w:szCs w:val="21"/>
                <w:highlight w:val="none"/>
                <w:lang w:eastAsia="zh-CN"/>
              </w:rPr>
              <w:t>需要补充的其他内容：</w:t>
            </w:r>
            <w:r>
              <w:rPr>
                <w:rFonts w:hint="eastAsia" w:ascii="宋体" w:hAnsi="宋体" w:eastAsia="宋体" w:cs="宋体"/>
                <w:bCs/>
                <w:kern w:val="0"/>
                <w:sz w:val="21"/>
                <w:szCs w:val="21"/>
                <w:highlight w:val="none"/>
                <w:lang w:eastAsia="zh-CN"/>
              </w:rPr>
              <w:t>无</w:t>
            </w:r>
          </w:p>
        </w:tc>
      </w:tr>
    </w:tbl>
    <w:p w14:paraId="24109140">
      <w:pPr>
        <w:spacing w:before="46"/>
        <w:jc w:val="left"/>
        <w:rPr>
          <w:rFonts w:ascii="Calibri" w:hAnsi="Calibri" w:eastAsia="宋体" w:cs="宋体"/>
          <w:kern w:val="0"/>
          <w:sz w:val="18"/>
          <w:szCs w:val="18"/>
          <w:highlight w:val="none"/>
          <w:lang w:eastAsia="zh-CN"/>
        </w:rPr>
      </w:pPr>
    </w:p>
    <w:p w14:paraId="6A97328E">
      <w:pPr>
        <w:jc w:val="right"/>
        <w:rPr>
          <w:rFonts w:hint="eastAsia" w:ascii="宋体" w:hAnsi="宋体" w:eastAsia="宋体" w:cs="宋体"/>
          <w:kern w:val="0"/>
          <w:sz w:val="18"/>
          <w:szCs w:val="18"/>
          <w:highlight w:val="none"/>
          <w:lang w:eastAsia="en-US"/>
        </w:rPr>
      </w:pPr>
      <w:r>
        <w:rPr>
          <w:rFonts w:ascii="Calibri" w:hAnsi="Calibri" w:eastAsia="宋体" w:cs="宋体"/>
          <w:kern w:val="0"/>
          <w:sz w:val="18"/>
          <w:szCs w:val="18"/>
          <w:highlight w:val="none"/>
          <w:lang w:eastAsia="zh-CN"/>
        </w:rPr>
        <w:br w:type="page"/>
      </w:r>
      <w:r>
        <w:rPr>
          <w:rFonts w:hint="eastAsia" w:ascii="宋体" w:hAnsi="宋体" w:eastAsia="宋体" w:cs="宋体"/>
          <w:kern w:val="0"/>
          <w:sz w:val="18"/>
          <w:szCs w:val="18"/>
          <w:highlight w:val="none"/>
          <w:lang w:eastAsia="en-US"/>
        </w:rPr>
        <w:t>续上表</w:t>
      </w:r>
    </w:p>
    <w:tbl>
      <w:tblPr>
        <w:tblStyle w:val="4"/>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979"/>
        <w:gridCol w:w="675"/>
        <w:gridCol w:w="1566"/>
        <w:gridCol w:w="910"/>
        <w:gridCol w:w="4781"/>
      </w:tblGrid>
      <w:tr w14:paraId="2BB97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blHeader/>
          <w:jc w:val="center"/>
        </w:trPr>
        <w:tc>
          <w:tcPr>
            <w:tcW w:w="4871" w:type="dxa"/>
            <w:gridSpan w:val="5"/>
            <w:vAlign w:val="center"/>
          </w:tcPr>
          <w:p w14:paraId="54F76FE3">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评分因素与权重分值</w:t>
            </w:r>
          </w:p>
        </w:tc>
        <w:tc>
          <w:tcPr>
            <w:tcW w:w="4781" w:type="dxa"/>
            <w:vMerge w:val="restart"/>
            <w:vAlign w:val="center"/>
          </w:tcPr>
          <w:p w14:paraId="7D1D94E7">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评分标准</w:t>
            </w:r>
          </w:p>
        </w:tc>
      </w:tr>
      <w:tr w14:paraId="3B390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blHeader/>
          <w:jc w:val="center"/>
        </w:trPr>
        <w:tc>
          <w:tcPr>
            <w:tcW w:w="741" w:type="dxa"/>
            <w:tcBorders>
              <w:top w:val="single" w:color="auto" w:sz="4" w:space="0"/>
              <w:left w:val="single" w:color="auto" w:sz="4" w:space="0"/>
              <w:bottom w:val="single" w:color="auto" w:sz="4" w:space="0"/>
              <w:right w:val="single" w:color="auto" w:sz="4" w:space="0"/>
            </w:tcBorders>
            <w:vAlign w:val="center"/>
          </w:tcPr>
          <w:p w14:paraId="58181351">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条款号</w:t>
            </w:r>
          </w:p>
        </w:tc>
        <w:tc>
          <w:tcPr>
            <w:tcW w:w="979" w:type="dxa"/>
            <w:tcBorders>
              <w:top w:val="single" w:color="auto" w:sz="4" w:space="0"/>
              <w:left w:val="single" w:color="auto" w:sz="4" w:space="0"/>
              <w:bottom w:val="single" w:color="auto" w:sz="4" w:space="0"/>
              <w:right w:val="single" w:color="auto" w:sz="4" w:space="0"/>
            </w:tcBorders>
            <w:vAlign w:val="center"/>
          </w:tcPr>
          <w:p w14:paraId="18513221">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评分因素</w:t>
            </w:r>
          </w:p>
        </w:tc>
        <w:tc>
          <w:tcPr>
            <w:tcW w:w="675" w:type="dxa"/>
            <w:tcBorders>
              <w:top w:val="single" w:color="auto" w:sz="4" w:space="0"/>
              <w:left w:val="single" w:color="auto" w:sz="4" w:space="0"/>
              <w:bottom w:val="single" w:color="auto" w:sz="4" w:space="0"/>
              <w:right w:val="single" w:color="auto" w:sz="4" w:space="0"/>
            </w:tcBorders>
            <w:vAlign w:val="center"/>
          </w:tcPr>
          <w:p w14:paraId="6DE1EF6A">
            <w:pPr>
              <w:keepNext w:val="0"/>
              <w:keepLines w:val="0"/>
              <w:pageBreakBefore w:val="0"/>
              <w:widowControl w:val="0"/>
              <w:kinsoku/>
              <w:wordWrap/>
              <w:overflowPunct/>
              <w:topLinePunct w:val="0"/>
              <w:autoSpaceDE/>
              <w:autoSpaceDN/>
              <w:bidi w:val="0"/>
              <w:adjustRightInd/>
              <w:snapToGrid w:val="0"/>
              <w:spacing w:line="320" w:lineRule="exact"/>
              <w:ind w:left="-40" w:leftChars="-19" w:right="-31" w:rightChars="-15" w:firstLine="1"/>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评分因素权重分值</w:t>
            </w:r>
          </w:p>
        </w:tc>
        <w:tc>
          <w:tcPr>
            <w:tcW w:w="1566" w:type="dxa"/>
            <w:tcBorders>
              <w:top w:val="single" w:color="auto" w:sz="4" w:space="0"/>
              <w:left w:val="single" w:color="auto" w:sz="4" w:space="0"/>
              <w:bottom w:val="single" w:color="auto" w:sz="4" w:space="0"/>
              <w:right w:val="single" w:color="auto" w:sz="4" w:space="0"/>
            </w:tcBorders>
            <w:vAlign w:val="center"/>
          </w:tcPr>
          <w:p w14:paraId="7A1AA693">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color w:val="auto"/>
                <w:spacing w:val="0"/>
                <w:w w:val="100"/>
                <w:position w:val="0"/>
                <w:sz w:val="21"/>
                <w:szCs w:val="21"/>
                <w:highlight w:val="none"/>
                <w:u w:val="none"/>
                <w:shd w:val="clear" w:color="auto" w:fill="FFFFFF"/>
                <w:lang w:val="zh-CN" w:eastAsia="zh-CN" w:bidi="zh-CN"/>
              </w:rPr>
              <w:t>各评分因素细分项</w:t>
            </w:r>
          </w:p>
        </w:tc>
        <w:tc>
          <w:tcPr>
            <w:tcW w:w="910" w:type="dxa"/>
            <w:tcBorders>
              <w:left w:val="single" w:color="auto" w:sz="4" w:space="0"/>
            </w:tcBorders>
            <w:vAlign w:val="center"/>
          </w:tcPr>
          <w:p w14:paraId="30D4DE14">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分值</w:t>
            </w:r>
          </w:p>
        </w:tc>
        <w:tc>
          <w:tcPr>
            <w:tcW w:w="4781" w:type="dxa"/>
            <w:vMerge w:val="continue"/>
            <w:vAlign w:val="center"/>
          </w:tcPr>
          <w:p w14:paraId="62B0BA0A">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p>
        </w:tc>
      </w:tr>
      <w:tr w14:paraId="76C64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1" w:type="dxa"/>
            <w:vMerge w:val="restart"/>
            <w:tcBorders>
              <w:top w:val="single" w:color="auto" w:sz="4" w:space="0"/>
            </w:tcBorders>
            <w:vAlign w:val="center"/>
          </w:tcPr>
          <w:p w14:paraId="17F96373">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2.2.4（1）</w:t>
            </w:r>
          </w:p>
        </w:tc>
        <w:tc>
          <w:tcPr>
            <w:tcW w:w="979" w:type="dxa"/>
            <w:vMerge w:val="restart"/>
            <w:tcBorders>
              <w:top w:val="single" w:color="auto" w:sz="4" w:space="0"/>
            </w:tcBorders>
            <w:vAlign w:val="center"/>
          </w:tcPr>
          <w:p w14:paraId="2CB5E661">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实施</w:t>
            </w:r>
          </w:p>
          <w:p w14:paraId="6977F916">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方案</w:t>
            </w:r>
          </w:p>
          <w:p w14:paraId="53A2C436">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zh-CN" w:bidi="ar-SA"/>
              </w:rPr>
              <w:t>（暗标）</w:t>
            </w:r>
          </w:p>
        </w:tc>
        <w:tc>
          <w:tcPr>
            <w:tcW w:w="675" w:type="dxa"/>
            <w:vMerge w:val="restart"/>
            <w:tcBorders>
              <w:top w:val="single" w:color="auto" w:sz="4" w:space="0"/>
            </w:tcBorders>
            <w:vAlign w:val="center"/>
          </w:tcPr>
          <w:p w14:paraId="339EB6C6">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zh-CN" w:bidi="ar-SA"/>
              </w:rPr>
              <w:t>40</w:t>
            </w:r>
            <w:r>
              <w:rPr>
                <w:rFonts w:hint="eastAsia" w:ascii="宋体" w:hAnsi="宋体" w:eastAsia="宋体" w:cs="宋体"/>
                <w:sz w:val="21"/>
                <w:szCs w:val="21"/>
                <w:highlight w:val="none"/>
                <w:lang w:val="en-US" w:eastAsia="en-US" w:bidi="ar-SA"/>
              </w:rPr>
              <w:t>分</w:t>
            </w:r>
          </w:p>
        </w:tc>
        <w:tc>
          <w:tcPr>
            <w:tcW w:w="1566" w:type="dxa"/>
            <w:tcBorders>
              <w:top w:val="single" w:color="auto" w:sz="4" w:space="0"/>
            </w:tcBorders>
            <w:vAlign w:val="center"/>
          </w:tcPr>
          <w:p w14:paraId="24D8C59F">
            <w:pPr>
              <w:keepNext w:val="0"/>
              <w:keepLines w:val="0"/>
              <w:pageBreakBefore w:val="0"/>
              <w:widowControl w:val="0"/>
              <w:kinsoku/>
              <w:wordWrap/>
              <w:overflowPunct/>
              <w:topLinePunct w:val="0"/>
              <w:autoSpaceDE/>
              <w:autoSpaceDN/>
              <w:bidi w:val="0"/>
              <w:adjustRightInd/>
              <w:snapToGrid w:val="0"/>
              <w:spacing w:line="320" w:lineRule="exact"/>
              <w:ind w:left="233" w:leftChars="0" w:right="43" w:rightChars="0" w:hanging="185" w:firstLineChars="0"/>
              <w:jc w:val="center"/>
              <w:textAlignment w:val="auto"/>
              <w:rPr>
                <w:rFonts w:hint="eastAsia" w:ascii="宋体" w:hAnsi="宋体" w:eastAsia="宋体" w:cs="宋体"/>
                <w:spacing w:val="5"/>
                <w:sz w:val="21"/>
                <w:szCs w:val="21"/>
                <w:highlight w:val="none"/>
                <w:lang w:val="en-US" w:eastAsia="en-US" w:bidi="ar-SA"/>
              </w:rPr>
            </w:pPr>
            <w:r>
              <w:rPr>
                <w:rFonts w:hint="eastAsia" w:ascii="宋体" w:hAnsi="宋体" w:eastAsia="宋体" w:cs="宋体"/>
                <w:spacing w:val="8"/>
                <w:sz w:val="21"/>
                <w:szCs w:val="21"/>
                <w:highlight w:val="none"/>
                <w:lang w:val="en-US" w:eastAsia="en-US" w:bidi="ar-SA"/>
              </w:rPr>
              <w:t>对本项目的认知与</w:t>
            </w:r>
            <w:r>
              <w:rPr>
                <w:rFonts w:hint="eastAsia" w:ascii="宋体" w:hAnsi="宋体" w:eastAsia="宋体" w:cs="宋体"/>
                <w:spacing w:val="5"/>
                <w:sz w:val="21"/>
                <w:szCs w:val="21"/>
                <w:highlight w:val="none"/>
                <w:lang w:val="en-US" w:eastAsia="en-US" w:bidi="ar-SA"/>
              </w:rPr>
              <w:t>理解</w:t>
            </w:r>
          </w:p>
          <w:p w14:paraId="78B786D4">
            <w:pPr>
              <w:keepNext w:val="0"/>
              <w:keepLines w:val="0"/>
              <w:pageBreakBefore w:val="0"/>
              <w:widowControl w:val="0"/>
              <w:kinsoku/>
              <w:wordWrap/>
              <w:overflowPunct/>
              <w:topLinePunct w:val="0"/>
              <w:autoSpaceDE/>
              <w:autoSpaceDN/>
              <w:bidi w:val="0"/>
              <w:adjustRightInd/>
              <w:snapToGrid w:val="0"/>
              <w:spacing w:line="320" w:lineRule="exact"/>
              <w:ind w:left="233" w:leftChars="0" w:right="43" w:rightChars="0" w:hanging="185" w:firstLineChars="0"/>
              <w:jc w:val="center"/>
              <w:textAlignment w:val="auto"/>
              <w:rPr>
                <w:rFonts w:hint="eastAsia" w:ascii="宋体" w:hAnsi="宋体" w:eastAsia="宋体" w:cs="宋体"/>
                <w:sz w:val="21"/>
                <w:szCs w:val="21"/>
                <w:highlight w:val="none"/>
                <w:lang w:val="en-US" w:eastAsia="zh-CN" w:bidi="ar-SA"/>
              </w:rPr>
            </w:pPr>
            <w:r>
              <w:rPr>
                <w:rFonts w:hint="eastAsia" w:ascii="宋体" w:hAnsi="宋体" w:eastAsia="宋体" w:cs="宋体"/>
                <w:spacing w:val="5"/>
                <w:sz w:val="21"/>
                <w:szCs w:val="21"/>
                <w:highlight w:val="none"/>
                <w:lang w:val="en-US" w:eastAsia="en-US" w:bidi="ar-SA"/>
              </w:rPr>
              <w:t>（10分）</w:t>
            </w:r>
          </w:p>
        </w:tc>
        <w:tc>
          <w:tcPr>
            <w:tcW w:w="910" w:type="dxa"/>
            <w:vAlign w:val="center"/>
          </w:tcPr>
          <w:p w14:paraId="5192954D">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宋体" w:hAnsi="宋体" w:eastAsia="宋体" w:cs="宋体"/>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10分</w:t>
            </w:r>
          </w:p>
        </w:tc>
        <w:tc>
          <w:tcPr>
            <w:tcW w:w="4781" w:type="dxa"/>
            <w:vAlign w:val="top"/>
          </w:tcPr>
          <w:p w14:paraId="6271CA4D">
            <w:pPr>
              <w:keepNext w:val="0"/>
              <w:keepLines w:val="0"/>
              <w:pageBreakBefore w:val="0"/>
              <w:widowControl w:val="0"/>
              <w:kinsoku/>
              <w:wordWrap/>
              <w:overflowPunct/>
              <w:topLinePunct w:val="0"/>
              <w:autoSpaceDE/>
              <w:autoSpaceDN/>
              <w:bidi w:val="0"/>
              <w:adjustRightInd/>
              <w:snapToGrid w:val="0"/>
              <w:spacing w:line="320" w:lineRule="exact"/>
              <w:jc w:val="both"/>
              <w:textAlignment w:val="auto"/>
              <w:rPr>
                <w:rFonts w:hint="eastAsia" w:ascii="宋体" w:hAnsi="宋体" w:eastAsia="宋体" w:cs="宋体"/>
                <w:sz w:val="21"/>
                <w:szCs w:val="21"/>
                <w:highlight w:val="none"/>
                <w:lang w:val="en-US" w:eastAsia="en-US" w:bidi="ar-SA"/>
              </w:rPr>
            </w:pPr>
            <w:r>
              <w:rPr>
                <w:rFonts w:hint="eastAsia" w:ascii="宋体" w:hAnsi="宋体" w:eastAsia="宋体" w:cs="宋体"/>
                <w:spacing w:val="3"/>
                <w:sz w:val="21"/>
                <w:szCs w:val="21"/>
                <w:highlight w:val="none"/>
                <w:lang w:val="en-US" w:eastAsia="en-US" w:bidi="ar-SA"/>
              </w:rPr>
              <w:t>1、分析科学、合理、针对性强、可行性强的，得8.0-10.0分；</w:t>
            </w:r>
          </w:p>
          <w:p w14:paraId="741D3BA0">
            <w:pPr>
              <w:keepNext w:val="0"/>
              <w:keepLines w:val="0"/>
              <w:pageBreakBefore w:val="0"/>
              <w:widowControl w:val="0"/>
              <w:kinsoku/>
              <w:wordWrap/>
              <w:overflowPunct/>
              <w:topLinePunct w:val="0"/>
              <w:autoSpaceDE/>
              <w:autoSpaceDN/>
              <w:bidi w:val="0"/>
              <w:adjustRightInd/>
              <w:snapToGrid w:val="0"/>
              <w:spacing w:line="320" w:lineRule="exact"/>
              <w:ind w:right="5"/>
              <w:textAlignment w:val="auto"/>
              <w:rPr>
                <w:rFonts w:hint="eastAsia" w:ascii="宋体" w:hAnsi="宋体" w:eastAsia="宋体" w:cs="宋体"/>
                <w:sz w:val="21"/>
                <w:szCs w:val="21"/>
                <w:highlight w:val="none"/>
                <w:lang w:val="en-US" w:eastAsia="en-US" w:bidi="ar-SA"/>
              </w:rPr>
            </w:pPr>
            <w:r>
              <w:rPr>
                <w:rFonts w:hint="eastAsia" w:ascii="宋体" w:hAnsi="宋体" w:eastAsia="宋体" w:cs="宋体"/>
                <w:spacing w:val="-3"/>
                <w:sz w:val="21"/>
                <w:szCs w:val="21"/>
                <w:highlight w:val="none"/>
                <w:lang w:val="en-US" w:eastAsia="en-US" w:bidi="ar-SA"/>
              </w:rPr>
              <w:t>2、分析较科学、较合理、针对性较强、可行性较强的，得6.0-8.0</w:t>
            </w:r>
            <w:r>
              <w:rPr>
                <w:rFonts w:hint="eastAsia" w:ascii="宋体" w:hAnsi="宋体" w:eastAsia="宋体" w:cs="宋体"/>
                <w:spacing w:val="-1"/>
                <w:sz w:val="21"/>
                <w:szCs w:val="21"/>
                <w:highlight w:val="none"/>
                <w:lang w:val="en-US" w:eastAsia="en-US" w:bidi="ar-SA"/>
              </w:rPr>
              <w:t>分；</w:t>
            </w:r>
          </w:p>
          <w:p w14:paraId="1B3F1EAB">
            <w:pPr>
              <w:keepNext w:val="0"/>
              <w:keepLines w:val="0"/>
              <w:pageBreakBefore w:val="0"/>
              <w:widowControl w:val="0"/>
              <w:kinsoku/>
              <w:wordWrap/>
              <w:overflowPunct/>
              <w:topLinePunct w:val="0"/>
              <w:autoSpaceDE/>
              <w:autoSpaceDN/>
              <w:bidi w:val="0"/>
              <w:adjustRightInd/>
              <w:snapToGrid w:val="0"/>
              <w:spacing w:line="320" w:lineRule="exact"/>
              <w:ind w:right="23" w:rightChars="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pacing w:val="9"/>
                <w:sz w:val="21"/>
                <w:szCs w:val="21"/>
                <w:highlight w:val="none"/>
                <w:lang w:val="en-US" w:eastAsia="en-US" w:bidi="ar-SA"/>
              </w:rPr>
              <w:t>3、分析基本科学、基本合理、针对性一般、可行性一般的，得</w:t>
            </w:r>
            <w:r>
              <w:rPr>
                <w:rFonts w:hint="eastAsia" w:ascii="宋体" w:hAnsi="宋体" w:eastAsia="宋体" w:cs="宋体"/>
                <w:sz w:val="21"/>
                <w:szCs w:val="21"/>
                <w:highlight w:val="none"/>
                <w:lang w:val="en-US" w:eastAsia="en-US" w:bidi="ar-SA"/>
              </w:rPr>
              <w:t>6.0分；</w:t>
            </w:r>
          </w:p>
        </w:tc>
      </w:tr>
      <w:tr w14:paraId="04002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1" w:type="dxa"/>
            <w:vMerge w:val="continue"/>
            <w:vAlign w:val="center"/>
          </w:tcPr>
          <w:p w14:paraId="44BAC3EB">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zh-CN" w:bidi="ar-SA"/>
              </w:rPr>
            </w:pPr>
          </w:p>
        </w:tc>
        <w:tc>
          <w:tcPr>
            <w:tcW w:w="979" w:type="dxa"/>
            <w:vMerge w:val="continue"/>
            <w:vAlign w:val="center"/>
          </w:tcPr>
          <w:p w14:paraId="7A07DE75">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zh-CN" w:bidi="ar-SA"/>
              </w:rPr>
            </w:pPr>
          </w:p>
        </w:tc>
        <w:tc>
          <w:tcPr>
            <w:tcW w:w="675" w:type="dxa"/>
            <w:vMerge w:val="continue"/>
            <w:vAlign w:val="center"/>
          </w:tcPr>
          <w:p w14:paraId="533EA0A2">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zh-CN" w:bidi="ar-SA"/>
              </w:rPr>
            </w:pPr>
          </w:p>
        </w:tc>
        <w:tc>
          <w:tcPr>
            <w:tcW w:w="1566" w:type="dxa"/>
            <w:vAlign w:val="center"/>
          </w:tcPr>
          <w:p w14:paraId="2FFB16CD">
            <w:pPr>
              <w:keepNext w:val="0"/>
              <w:keepLines w:val="0"/>
              <w:pageBreakBefore w:val="0"/>
              <w:widowControl w:val="0"/>
              <w:kinsoku/>
              <w:wordWrap/>
              <w:overflowPunct/>
              <w:topLinePunct w:val="0"/>
              <w:autoSpaceDE/>
              <w:autoSpaceDN/>
              <w:bidi w:val="0"/>
              <w:adjustRightInd/>
              <w:snapToGrid w:val="0"/>
              <w:spacing w:line="320" w:lineRule="exact"/>
              <w:ind w:left="10" w:leftChars="0"/>
              <w:jc w:val="center"/>
              <w:textAlignment w:val="auto"/>
              <w:rPr>
                <w:rFonts w:hint="eastAsia" w:ascii="宋体" w:hAnsi="宋体" w:eastAsia="宋体" w:cs="宋体"/>
                <w:spacing w:val="6"/>
                <w:sz w:val="21"/>
                <w:szCs w:val="21"/>
                <w:highlight w:val="none"/>
                <w:lang w:val="en-US" w:eastAsia="en-US" w:bidi="ar-SA"/>
              </w:rPr>
            </w:pPr>
            <w:r>
              <w:rPr>
                <w:rFonts w:hint="eastAsia" w:ascii="宋体" w:hAnsi="宋体" w:eastAsia="宋体" w:cs="宋体"/>
                <w:spacing w:val="6"/>
                <w:sz w:val="21"/>
                <w:szCs w:val="21"/>
                <w:highlight w:val="none"/>
                <w:lang w:val="en-US" w:eastAsia="en-US" w:bidi="ar-SA"/>
              </w:rPr>
              <w:t>服务方案</w:t>
            </w:r>
          </w:p>
          <w:p w14:paraId="34B630A2">
            <w:pPr>
              <w:keepNext w:val="0"/>
              <w:keepLines w:val="0"/>
              <w:pageBreakBefore w:val="0"/>
              <w:widowControl w:val="0"/>
              <w:kinsoku/>
              <w:wordWrap/>
              <w:overflowPunct/>
              <w:topLinePunct w:val="0"/>
              <w:autoSpaceDE/>
              <w:autoSpaceDN/>
              <w:bidi w:val="0"/>
              <w:adjustRightInd/>
              <w:snapToGrid w:val="0"/>
              <w:spacing w:line="320" w:lineRule="exact"/>
              <w:ind w:left="10" w:leftChars="0"/>
              <w:jc w:val="center"/>
              <w:textAlignment w:val="auto"/>
              <w:rPr>
                <w:rFonts w:hint="eastAsia" w:ascii="宋体" w:hAnsi="宋体" w:eastAsia="宋体" w:cs="宋体"/>
                <w:sz w:val="21"/>
                <w:szCs w:val="21"/>
                <w:highlight w:val="none"/>
                <w:lang w:val="en-US" w:eastAsia="zh-CN" w:bidi="ar-SA"/>
              </w:rPr>
            </w:pPr>
            <w:r>
              <w:rPr>
                <w:rFonts w:hint="eastAsia" w:ascii="宋体" w:hAnsi="宋体" w:eastAsia="宋体" w:cs="宋体"/>
                <w:spacing w:val="6"/>
                <w:sz w:val="21"/>
                <w:szCs w:val="21"/>
                <w:highlight w:val="none"/>
                <w:lang w:val="en-US" w:eastAsia="en-US" w:bidi="ar-SA"/>
              </w:rPr>
              <w:t>（10分）</w:t>
            </w:r>
          </w:p>
        </w:tc>
        <w:tc>
          <w:tcPr>
            <w:tcW w:w="910" w:type="dxa"/>
            <w:vAlign w:val="center"/>
          </w:tcPr>
          <w:p w14:paraId="7482F0C4">
            <w:pPr>
              <w:keepNext w:val="0"/>
              <w:keepLines w:val="0"/>
              <w:pageBreakBefore w:val="0"/>
              <w:widowControl/>
              <w:kinsoku/>
              <w:wordWrap/>
              <w:overflowPunct/>
              <w:topLinePunct w:val="0"/>
              <w:autoSpaceDE/>
              <w:autoSpaceDN/>
              <w:bidi w:val="0"/>
              <w:adjustRightInd/>
              <w:snapToGrid w:val="0"/>
              <w:spacing w:line="320" w:lineRule="exact"/>
              <w:jc w:val="center"/>
              <w:textAlignment w:val="top"/>
              <w:rPr>
                <w:rFonts w:hint="eastAsia" w:ascii="宋体" w:hAnsi="宋体" w:eastAsia="宋体" w:cs="宋体"/>
                <w:kern w:val="0"/>
                <w:sz w:val="21"/>
                <w:szCs w:val="21"/>
                <w:highlight w:val="none"/>
                <w:lang w:eastAsia="en-US"/>
              </w:rPr>
            </w:pPr>
            <w:r>
              <w:rPr>
                <w:rFonts w:hint="eastAsia" w:ascii="宋体" w:hAnsi="宋体" w:eastAsia="宋体" w:cs="宋体"/>
                <w:color w:val="auto"/>
                <w:kern w:val="0"/>
                <w:sz w:val="21"/>
                <w:szCs w:val="21"/>
                <w:highlight w:val="none"/>
                <w:lang w:val="en-US" w:eastAsia="zh-CN"/>
              </w:rPr>
              <w:t>10分</w:t>
            </w:r>
          </w:p>
        </w:tc>
        <w:tc>
          <w:tcPr>
            <w:tcW w:w="4781" w:type="dxa"/>
            <w:vAlign w:val="top"/>
          </w:tcPr>
          <w:p w14:paraId="24EDB7C4">
            <w:pPr>
              <w:keepNext w:val="0"/>
              <w:keepLines w:val="0"/>
              <w:pageBreakBefore w:val="0"/>
              <w:widowControl w:val="0"/>
              <w:kinsoku/>
              <w:wordWrap/>
              <w:overflowPunct/>
              <w:topLinePunct w:val="0"/>
              <w:autoSpaceDE/>
              <w:autoSpaceDN/>
              <w:bidi w:val="0"/>
              <w:adjustRightInd/>
              <w:snapToGrid w:val="0"/>
              <w:spacing w:line="320" w:lineRule="exact"/>
              <w:ind w:right="85"/>
              <w:textAlignment w:val="auto"/>
              <w:rPr>
                <w:rFonts w:hint="eastAsia" w:ascii="宋体" w:hAnsi="宋体" w:eastAsia="宋体" w:cs="宋体"/>
                <w:sz w:val="21"/>
                <w:szCs w:val="21"/>
                <w:highlight w:val="none"/>
                <w:lang w:val="en-US" w:eastAsia="en-US" w:bidi="ar-SA"/>
              </w:rPr>
            </w:pPr>
            <w:r>
              <w:rPr>
                <w:rFonts w:hint="eastAsia" w:ascii="宋体" w:hAnsi="宋体" w:eastAsia="宋体" w:cs="宋体"/>
                <w:spacing w:val="9"/>
                <w:sz w:val="21"/>
                <w:szCs w:val="21"/>
                <w:highlight w:val="none"/>
                <w:lang w:val="en-US" w:eastAsia="en-US" w:bidi="ar-SA"/>
              </w:rPr>
              <w:t>1、服务方案制定详细完善、科学全面且操作性强</w:t>
            </w:r>
            <w:r>
              <w:rPr>
                <w:rFonts w:hint="eastAsia" w:ascii="宋体" w:hAnsi="宋体" w:eastAsia="宋体" w:cs="宋体"/>
                <w:spacing w:val="8"/>
                <w:sz w:val="21"/>
                <w:szCs w:val="21"/>
                <w:highlight w:val="none"/>
                <w:lang w:val="en-US" w:eastAsia="en-US" w:bidi="ar-SA"/>
              </w:rPr>
              <w:t>，完全满足</w:t>
            </w:r>
            <w:r>
              <w:rPr>
                <w:rFonts w:hint="eastAsia" w:ascii="宋体" w:hAnsi="宋体" w:eastAsia="宋体" w:cs="宋体"/>
                <w:spacing w:val="4"/>
                <w:sz w:val="21"/>
                <w:szCs w:val="21"/>
                <w:highlight w:val="none"/>
                <w:lang w:val="en-US" w:eastAsia="en-US" w:bidi="ar-SA"/>
              </w:rPr>
              <w:t>项目需求得8.0-10.0分；</w:t>
            </w:r>
          </w:p>
          <w:p w14:paraId="226829D6">
            <w:pPr>
              <w:keepNext w:val="0"/>
              <w:keepLines w:val="0"/>
              <w:pageBreakBefore w:val="0"/>
              <w:widowControl w:val="0"/>
              <w:kinsoku/>
              <w:wordWrap/>
              <w:overflowPunct/>
              <w:topLinePunct w:val="0"/>
              <w:autoSpaceDE/>
              <w:autoSpaceDN/>
              <w:bidi w:val="0"/>
              <w:adjustRightInd/>
              <w:snapToGrid w:val="0"/>
              <w:spacing w:line="320" w:lineRule="exact"/>
              <w:ind w:right="85"/>
              <w:textAlignment w:val="auto"/>
              <w:rPr>
                <w:rFonts w:hint="eastAsia" w:ascii="宋体" w:hAnsi="宋体" w:eastAsia="宋体" w:cs="宋体"/>
                <w:sz w:val="21"/>
                <w:szCs w:val="21"/>
                <w:highlight w:val="none"/>
                <w:lang w:val="en-US" w:eastAsia="en-US" w:bidi="ar-SA"/>
              </w:rPr>
            </w:pPr>
            <w:r>
              <w:rPr>
                <w:rFonts w:hint="eastAsia" w:ascii="宋体" w:hAnsi="宋体" w:eastAsia="宋体" w:cs="宋体"/>
                <w:spacing w:val="9"/>
                <w:sz w:val="21"/>
                <w:szCs w:val="21"/>
                <w:highlight w:val="none"/>
                <w:lang w:val="en-US" w:eastAsia="en-US" w:bidi="ar-SA"/>
              </w:rPr>
              <w:t>2、服务方案制定较全面完善、操作性较强，能较好满足项目</w:t>
            </w:r>
            <w:r>
              <w:rPr>
                <w:rFonts w:hint="eastAsia" w:ascii="宋体" w:hAnsi="宋体" w:eastAsia="宋体" w:cs="宋体"/>
                <w:spacing w:val="2"/>
                <w:sz w:val="21"/>
                <w:szCs w:val="21"/>
                <w:highlight w:val="none"/>
                <w:lang w:val="en-US" w:eastAsia="en-US" w:bidi="ar-SA"/>
              </w:rPr>
              <w:t>需求得6.0-8.0分；</w:t>
            </w:r>
          </w:p>
          <w:p w14:paraId="60A4C94F">
            <w:pPr>
              <w:keepNext w:val="0"/>
              <w:keepLines w:val="0"/>
              <w:pageBreakBefore w:val="0"/>
              <w:widowControl w:val="0"/>
              <w:kinsoku/>
              <w:wordWrap/>
              <w:overflowPunct/>
              <w:topLinePunct w:val="0"/>
              <w:autoSpaceDE/>
              <w:autoSpaceDN/>
              <w:bidi w:val="0"/>
              <w:adjustRightInd/>
              <w:snapToGrid w:val="0"/>
              <w:spacing w:line="320" w:lineRule="exact"/>
              <w:ind w:right="137" w:rightChars="0"/>
              <w:textAlignment w:val="auto"/>
              <w:rPr>
                <w:rFonts w:hint="eastAsia" w:ascii="宋体" w:hAnsi="宋体" w:eastAsia="宋体" w:cs="宋体"/>
                <w:spacing w:val="-4"/>
                <w:sz w:val="21"/>
                <w:szCs w:val="21"/>
                <w:highlight w:val="none"/>
                <w:lang w:val="en-US" w:eastAsia="zh-CN" w:bidi="ar-SA"/>
              </w:rPr>
            </w:pPr>
            <w:r>
              <w:rPr>
                <w:rFonts w:hint="eastAsia" w:ascii="宋体" w:hAnsi="宋体" w:eastAsia="宋体" w:cs="宋体"/>
                <w:spacing w:val="10"/>
                <w:sz w:val="21"/>
                <w:szCs w:val="21"/>
                <w:highlight w:val="none"/>
                <w:lang w:val="en-US" w:eastAsia="en-US" w:bidi="ar-SA"/>
              </w:rPr>
              <w:t>3、服务方案满足项目需求，内容较详细、操作性一般得6.0</w:t>
            </w:r>
            <w:r>
              <w:rPr>
                <w:rFonts w:hint="eastAsia" w:ascii="宋体" w:hAnsi="宋体" w:eastAsia="宋体" w:cs="宋体"/>
                <w:spacing w:val="-1"/>
                <w:sz w:val="21"/>
                <w:szCs w:val="21"/>
                <w:highlight w:val="none"/>
                <w:lang w:val="en-US" w:eastAsia="en-US" w:bidi="ar-SA"/>
              </w:rPr>
              <w:t>分；</w:t>
            </w:r>
          </w:p>
        </w:tc>
      </w:tr>
      <w:tr w14:paraId="1A75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jc w:val="center"/>
        </w:trPr>
        <w:tc>
          <w:tcPr>
            <w:tcW w:w="741" w:type="dxa"/>
            <w:vMerge w:val="continue"/>
            <w:vAlign w:val="center"/>
          </w:tcPr>
          <w:p w14:paraId="01660063">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zh-CN" w:bidi="ar-SA"/>
              </w:rPr>
            </w:pPr>
          </w:p>
        </w:tc>
        <w:tc>
          <w:tcPr>
            <w:tcW w:w="979" w:type="dxa"/>
            <w:vMerge w:val="continue"/>
            <w:vAlign w:val="center"/>
          </w:tcPr>
          <w:p w14:paraId="188CB613">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zh-CN" w:bidi="ar-SA"/>
              </w:rPr>
            </w:pPr>
          </w:p>
        </w:tc>
        <w:tc>
          <w:tcPr>
            <w:tcW w:w="675" w:type="dxa"/>
            <w:vMerge w:val="continue"/>
            <w:vAlign w:val="center"/>
          </w:tcPr>
          <w:p w14:paraId="7C6E5CD4">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zh-CN" w:bidi="ar-SA"/>
              </w:rPr>
            </w:pPr>
          </w:p>
        </w:tc>
        <w:tc>
          <w:tcPr>
            <w:tcW w:w="1566" w:type="dxa"/>
            <w:vAlign w:val="center"/>
          </w:tcPr>
          <w:p w14:paraId="5B4443F0">
            <w:pPr>
              <w:keepNext w:val="0"/>
              <w:keepLines w:val="0"/>
              <w:pageBreakBefore w:val="0"/>
              <w:widowControl w:val="0"/>
              <w:kinsoku/>
              <w:wordWrap/>
              <w:overflowPunct/>
              <w:topLinePunct w:val="0"/>
              <w:autoSpaceDE/>
              <w:autoSpaceDN/>
              <w:bidi w:val="0"/>
              <w:adjustRightInd/>
              <w:snapToGrid w:val="0"/>
              <w:spacing w:line="320" w:lineRule="exact"/>
              <w:ind w:left="124" w:leftChars="0" w:right="43" w:rightChars="0" w:hanging="73" w:firstLineChars="0"/>
              <w:jc w:val="center"/>
              <w:textAlignment w:val="auto"/>
              <w:rPr>
                <w:rFonts w:hint="eastAsia" w:ascii="宋体" w:hAnsi="宋体" w:eastAsia="宋体" w:cs="宋体"/>
                <w:sz w:val="21"/>
                <w:szCs w:val="21"/>
                <w:highlight w:val="none"/>
                <w:lang w:val="en-US" w:eastAsia="zh-CN" w:bidi="ar-SA"/>
              </w:rPr>
            </w:pPr>
            <w:r>
              <w:rPr>
                <w:rFonts w:hint="eastAsia" w:ascii="宋体" w:hAnsi="宋体" w:eastAsia="宋体" w:cs="宋体"/>
                <w:spacing w:val="8"/>
                <w:sz w:val="21"/>
                <w:szCs w:val="21"/>
                <w:highlight w:val="none"/>
                <w:lang w:val="en-US" w:eastAsia="en-US" w:bidi="ar-SA"/>
              </w:rPr>
              <w:t>工作质量控制方法</w:t>
            </w:r>
            <w:r>
              <w:rPr>
                <w:rFonts w:hint="eastAsia" w:ascii="宋体" w:hAnsi="宋体" w:eastAsia="宋体" w:cs="宋体"/>
                <w:spacing w:val="5"/>
                <w:sz w:val="21"/>
                <w:szCs w:val="21"/>
                <w:highlight w:val="none"/>
                <w:lang w:val="en-US" w:eastAsia="en-US" w:bidi="ar-SA"/>
              </w:rPr>
              <w:t>及措施（10分）</w:t>
            </w:r>
          </w:p>
        </w:tc>
        <w:tc>
          <w:tcPr>
            <w:tcW w:w="910" w:type="dxa"/>
            <w:vAlign w:val="center"/>
          </w:tcPr>
          <w:p w14:paraId="275C6772">
            <w:pPr>
              <w:keepNext w:val="0"/>
              <w:keepLines w:val="0"/>
              <w:pageBreakBefore w:val="0"/>
              <w:widowControl/>
              <w:kinsoku/>
              <w:wordWrap/>
              <w:overflowPunct/>
              <w:topLinePunct w:val="0"/>
              <w:autoSpaceDE/>
              <w:autoSpaceDN/>
              <w:bidi w:val="0"/>
              <w:adjustRightInd/>
              <w:snapToGrid w:val="0"/>
              <w:spacing w:line="320" w:lineRule="exact"/>
              <w:jc w:val="center"/>
              <w:textAlignment w:val="top"/>
              <w:rPr>
                <w:rFonts w:hint="eastAsia" w:ascii="宋体" w:hAnsi="宋体" w:eastAsia="宋体" w:cs="宋体"/>
                <w:kern w:val="0"/>
                <w:sz w:val="21"/>
                <w:szCs w:val="21"/>
                <w:highlight w:val="none"/>
                <w:lang w:eastAsia="en-US"/>
              </w:rPr>
            </w:pPr>
            <w:r>
              <w:rPr>
                <w:rFonts w:hint="eastAsia" w:ascii="宋体" w:hAnsi="宋体" w:eastAsia="宋体" w:cs="宋体"/>
                <w:color w:val="auto"/>
                <w:kern w:val="0"/>
                <w:sz w:val="21"/>
                <w:szCs w:val="21"/>
                <w:highlight w:val="none"/>
                <w:lang w:val="en-US" w:eastAsia="zh-CN"/>
              </w:rPr>
              <w:t>10分</w:t>
            </w:r>
          </w:p>
        </w:tc>
        <w:tc>
          <w:tcPr>
            <w:tcW w:w="4781" w:type="dxa"/>
            <w:vAlign w:val="top"/>
          </w:tcPr>
          <w:p w14:paraId="706CA2FD">
            <w:pPr>
              <w:keepNext w:val="0"/>
              <w:keepLines w:val="0"/>
              <w:pageBreakBefore w:val="0"/>
              <w:widowControl w:val="0"/>
              <w:kinsoku/>
              <w:wordWrap/>
              <w:overflowPunct/>
              <w:topLinePunct w:val="0"/>
              <w:autoSpaceDE/>
              <w:autoSpaceDN/>
              <w:bidi w:val="0"/>
              <w:adjustRightInd/>
              <w:snapToGrid w:val="0"/>
              <w:spacing w:line="320" w:lineRule="exact"/>
              <w:ind w:right="90" w:firstLine="76"/>
              <w:textAlignment w:val="auto"/>
              <w:rPr>
                <w:rFonts w:hint="eastAsia" w:ascii="宋体" w:hAnsi="宋体" w:eastAsia="宋体" w:cs="宋体"/>
                <w:sz w:val="21"/>
                <w:szCs w:val="21"/>
                <w:highlight w:val="none"/>
                <w:lang w:val="en-US" w:eastAsia="en-US" w:bidi="ar-SA"/>
              </w:rPr>
            </w:pPr>
            <w:r>
              <w:rPr>
                <w:rFonts w:hint="eastAsia" w:ascii="宋体" w:hAnsi="宋体" w:eastAsia="宋体" w:cs="宋体"/>
                <w:spacing w:val="7"/>
                <w:sz w:val="21"/>
                <w:szCs w:val="21"/>
                <w:highlight w:val="none"/>
                <w:lang w:val="en-US" w:eastAsia="en-US" w:bidi="ar-SA"/>
              </w:rPr>
              <w:t>1.拟采取的控制方法及措施符合法律法规</w:t>
            </w:r>
            <w:r>
              <w:rPr>
                <w:rFonts w:hint="eastAsia" w:ascii="宋体" w:hAnsi="宋体" w:eastAsia="宋体" w:cs="宋体"/>
                <w:spacing w:val="6"/>
                <w:sz w:val="21"/>
                <w:szCs w:val="21"/>
                <w:highlight w:val="none"/>
                <w:lang w:val="en-US" w:eastAsia="en-US" w:bidi="ar-SA"/>
              </w:rPr>
              <w:t>要求，针对性、可操</w:t>
            </w:r>
            <w:r>
              <w:rPr>
                <w:rFonts w:hint="eastAsia" w:ascii="宋体" w:hAnsi="宋体" w:eastAsia="宋体" w:cs="宋体"/>
                <w:spacing w:val="3"/>
                <w:sz w:val="21"/>
                <w:szCs w:val="21"/>
                <w:highlight w:val="none"/>
                <w:lang w:val="en-US" w:eastAsia="en-US" w:bidi="ar-SA"/>
              </w:rPr>
              <w:t>作性强得8.0-10.0分；</w:t>
            </w:r>
          </w:p>
          <w:p w14:paraId="5C04D119">
            <w:pPr>
              <w:keepNext w:val="0"/>
              <w:keepLines w:val="0"/>
              <w:pageBreakBefore w:val="0"/>
              <w:widowControl w:val="0"/>
              <w:kinsoku/>
              <w:wordWrap/>
              <w:overflowPunct/>
              <w:topLinePunct w:val="0"/>
              <w:autoSpaceDE/>
              <w:autoSpaceDN/>
              <w:bidi w:val="0"/>
              <w:adjustRightInd/>
              <w:snapToGrid w:val="0"/>
              <w:spacing w:line="320" w:lineRule="exact"/>
              <w:ind w:right="90" w:firstLine="63"/>
              <w:textAlignment w:val="auto"/>
              <w:rPr>
                <w:rFonts w:hint="eastAsia" w:ascii="宋体" w:hAnsi="宋体" w:eastAsia="宋体" w:cs="宋体"/>
                <w:sz w:val="21"/>
                <w:szCs w:val="21"/>
                <w:highlight w:val="none"/>
                <w:lang w:val="en-US" w:eastAsia="en-US" w:bidi="ar-SA"/>
              </w:rPr>
            </w:pPr>
            <w:r>
              <w:rPr>
                <w:rFonts w:hint="eastAsia" w:ascii="宋体" w:hAnsi="宋体" w:eastAsia="宋体" w:cs="宋体"/>
                <w:spacing w:val="7"/>
                <w:sz w:val="21"/>
                <w:szCs w:val="21"/>
                <w:highlight w:val="none"/>
                <w:lang w:val="en-US" w:eastAsia="en-US" w:bidi="ar-SA"/>
              </w:rPr>
              <w:t>2.拟采取的控制方法及措施符合法律法规要求，针对性、可操</w:t>
            </w:r>
            <w:r>
              <w:rPr>
                <w:rFonts w:hint="eastAsia" w:ascii="宋体" w:hAnsi="宋体" w:eastAsia="宋体" w:cs="宋体"/>
                <w:spacing w:val="3"/>
                <w:sz w:val="21"/>
                <w:szCs w:val="21"/>
                <w:highlight w:val="none"/>
                <w:lang w:val="en-US" w:eastAsia="en-US" w:bidi="ar-SA"/>
              </w:rPr>
              <w:t>作性较强得6.0-8.0分；</w:t>
            </w:r>
          </w:p>
          <w:p w14:paraId="796A9DAF">
            <w:pPr>
              <w:keepNext w:val="0"/>
              <w:keepLines w:val="0"/>
              <w:pageBreakBefore w:val="0"/>
              <w:widowControl w:val="0"/>
              <w:kinsoku/>
              <w:wordWrap/>
              <w:overflowPunct/>
              <w:topLinePunct w:val="0"/>
              <w:autoSpaceDE/>
              <w:autoSpaceDN/>
              <w:bidi w:val="0"/>
              <w:adjustRightInd/>
              <w:snapToGrid w:val="0"/>
              <w:spacing w:line="320" w:lineRule="exact"/>
              <w:ind w:left="77" w:leftChars="0" w:right="6" w:rightChars="0" w:firstLine="1" w:firstLineChars="0"/>
              <w:textAlignment w:val="auto"/>
              <w:rPr>
                <w:rFonts w:hint="eastAsia" w:ascii="宋体" w:hAnsi="宋体" w:eastAsia="宋体" w:cs="宋体"/>
                <w:i w:val="0"/>
                <w:iCs w:val="0"/>
                <w:caps w:val="0"/>
                <w:color w:val="000000"/>
                <w:spacing w:val="0"/>
                <w:sz w:val="21"/>
                <w:szCs w:val="21"/>
                <w:highlight w:val="none"/>
                <w:lang w:val="en-US" w:eastAsia="zh-CN" w:bidi="ar-SA"/>
              </w:rPr>
            </w:pPr>
            <w:r>
              <w:rPr>
                <w:rFonts w:hint="eastAsia" w:ascii="宋体" w:hAnsi="宋体" w:eastAsia="宋体" w:cs="宋体"/>
                <w:spacing w:val="6"/>
                <w:sz w:val="21"/>
                <w:szCs w:val="21"/>
                <w:highlight w:val="none"/>
                <w:lang w:val="en-US" w:eastAsia="en-US" w:bidi="ar-SA"/>
              </w:rPr>
              <w:t>3.拟采取的控制方法及措施符合法律法规要求，针对性、可操作</w:t>
            </w:r>
            <w:r>
              <w:rPr>
                <w:rFonts w:hint="eastAsia" w:ascii="宋体" w:hAnsi="宋体" w:eastAsia="宋体" w:cs="宋体"/>
                <w:spacing w:val="4"/>
                <w:sz w:val="21"/>
                <w:szCs w:val="21"/>
                <w:highlight w:val="none"/>
                <w:lang w:val="en-US" w:eastAsia="en-US" w:bidi="ar-SA"/>
              </w:rPr>
              <w:t>性一般，6.0；</w:t>
            </w:r>
          </w:p>
        </w:tc>
      </w:tr>
      <w:tr w14:paraId="562D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741" w:type="dxa"/>
            <w:vMerge w:val="continue"/>
            <w:vAlign w:val="center"/>
          </w:tcPr>
          <w:p w14:paraId="489DA2FE">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zh-CN" w:bidi="ar-SA"/>
              </w:rPr>
            </w:pPr>
          </w:p>
        </w:tc>
        <w:tc>
          <w:tcPr>
            <w:tcW w:w="979" w:type="dxa"/>
            <w:vMerge w:val="continue"/>
            <w:vAlign w:val="center"/>
          </w:tcPr>
          <w:p w14:paraId="35F37D94">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zh-CN" w:bidi="ar-SA"/>
              </w:rPr>
            </w:pPr>
          </w:p>
        </w:tc>
        <w:tc>
          <w:tcPr>
            <w:tcW w:w="675" w:type="dxa"/>
            <w:vMerge w:val="continue"/>
            <w:vAlign w:val="center"/>
          </w:tcPr>
          <w:p w14:paraId="726E1EF2">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zh-CN" w:bidi="ar-SA"/>
              </w:rPr>
            </w:pPr>
          </w:p>
        </w:tc>
        <w:tc>
          <w:tcPr>
            <w:tcW w:w="1566" w:type="dxa"/>
            <w:vAlign w:val="center"/>
          </w:tcPr>
          <w:p w14:paraId="1A1AA74E">
            <w:pPr>
              <w:keepNext w:val="0"/>
              <w:keepLines w:val="0"/>
              <w:pageBreakBefore w:val="0"/>
              <w:widowControl w:val="0"/>
              <w:kinsoku/>
              <w:wordWrap/>
              <w:overflowPunct/>
              <w:topLinePunct w:val="0"/>
              <w:autoSpaceDE/>
              <w:autoSpaceDN/>
              <w:bidi w:val="0"/>
              <w:adjustRightInd/>
              <w:snapToGrid w:val="0"/>
              <w:spacing w:line="320" w:lineRule="exact"/>
              <w:ind w:right="43" w:rightChars="0"/>
              <w:jc w:val="center"/>
              <w:textAlignment w:val="auto"/>
              <w:rPr>
                <w:rFonts w:hint="eastAsia" w:ascii="宋体" w:hAnsi="宋体" w:eastAsia="宋体" w:cs="宋体"/>
                <w:spacing w:val="4"/>
                <w:sz w:val="21"/>
                <w:szCs w:val="21"/>
                <w:highlight w:val="none"/>
                <w:lang w:val="en-US" w:eastAsia="en-US" w:bidi="ar-SA"/>
              </w:rPr>
            </w:pPr>
            <w:r>
              <w:rPr>
                <w:rFonts w:hint="eastAsia" w:ascii="宋体" w:hAnsi="宋体" w:eastAsia="宋体" w:cs="宋体"/>
                <w:spacing w:val="8"/>
                <w:sz w:val="21"/>
                <w:szCs w:val="21"/>
                <w:highlight w:val="none"/>
                <w:lang w:val="en-US" w:eastAsia="en-US" w:bidi="ar-SA"/>
              </w:rPr>
              <w:t>工作进度安排及保</w:t>
            </w:r>
            <w:r>
              <w:rPr>
                <w:rFonts w:hint="eastAsia" w:ascii="宋体" w:hAnsi="宋体" w:eastAsia="宋体" w:cs="宋体"/>
                <w:spacing w:val="4"/>
                <w:sz w:val="21"/>
                <w:szCs w:val="21"/>
                <w:highlight w:val="none"/>
                <w:lang w:val="en-US" w:eastAsia="en-US" w:bidi="ar-SA"/>
              </w:rPr>
              <w:t>证措施</w:t>
            </w:r>
          </w:p>
          <w:p w14:paraId="2CAA86C3">
            <w:pPr>
              <w:keepNext w:val="0"/>
              <w:keepLines w:val="0"/>
              <w:pageBreakBefore w:val="0"/>
              <w:widowControl w:val="0"/>
              <w:kinsoku/>
              <w:wordWrap/>
              <w:overflowPunct/>
              <w:topLinePunct w:val="0"/>
              <w:autoSpaceDE/>
              <w:autoSpaceDN/>
              <w:bidi w:val="0"/>
              <w:adjustRightInd/>
              <w:snapToGrid w:val="0"/>
              <w:spacing w:line="320" w:lineRule="exact"/>
              <w:ind w:right="43" w:rightChars="0"/>
              <w:jc w:val="center"/>
              <w:textAlignment w:val="auto"/>
              <w:rPr>
                <w:rFonts w:hint="eastAsia" w:ascii="宋体" w:hAnsi="宋体" w:eastAsia="宋体" w:cs="宋体"/>
                <w:sz w:val="21"/>
                <w:szCs w:val="21"/>
                <w:highlight w:val="none"/>
                <w:lang w:val="en-US" w:eastAsia="zh-CN" w:bidi="ar-SA"/>
              </w:rPr>
            </w:pPr>
            <w:r>
              <w:rPr>
                <w:rFonts w:hint="eastAsia" w:ascii="宋体" w:hAnsi="宋体" w:eastAsia="宋体" w:cs="宋体"/>
                <w:spacing w:val="4"/>
                <w:sz w:val="21"/>
                <w:szCs w:val="21"/>
                <w:highlight w:val="none"/>
                <w:lang w:val="en-US" w:eastAsia="en-US" w:bidi="ar-SA"/>
              </w:rPr>
              <w:t>（5分）</w:t>
            </w:r>
          </w:p>
        </w:tc>
        <w:tc>
          <w:tcPr>
            <w:tcW w:w="910" w:type="dxa"/>
            <w:vAlign w:val="center"/>
          </w:tcPr>
          <w:p w14:paraId="7889D2D8">
            <w:pPr>
              <w:keepNext w:val="0"/>
              <w:keepLines w:val="0"/>
              <w:pageBreakBefore w:val="0"/>
              <w:widowControl/>
              <w:kinsoku/>
              <w:wordWrap/>
              <w:overflowPunct/>
              <w:topLinePunct w:val="0"/>
              <w:autoSpaceDE/>
              <w:autoSpaceDN/>
              <w:bidi w:val="0"/>
              <w:adjustRightInd/>
              <w:snapToGrid w:val="0"/>
              <w:spacing w:line="320" w:lineRule="exact"/>
              <w:jc w:val="center"/>
              <w:textAlignment w:val="top"/>
              <w:rPr>
                <w:rFonts w:hint="eastAsia" w:ascii="宋体" w:hAnsi="宋体" w:eastAsia="宋体" w:cs="宋体"/>
                <w:kern w:val="0"/>
                <w:sz w:val="21"/>
                <w:szCs w:val="21"/>
                <w:highlight w:val="none"/>
                <w:lang w:eastAsia="en-US"/>
              </w:rPr>
            </w:pPr>
            <w:r>
              <w:rPr>
                <w:rFonts w:hint="eastAsia" w:ascii="宋体" w:hAnsi="宋体" w:eastAsia="宋体" w:cs="宋体"/>
                <w:color w:val="auto"/>
                <w:kern w:val="0"/>
                <w:sz w:val="21"/>
                <w:szCs w:val="21"/>
                <w:highlight w:val="none"/>
                <w:lang w:val="en-US" w:eastAsia="zh-CN"/>
              </w:rPr>
              <w:t>5分</w:t>
            </w:r>
          </w:p>
        </w:tc>
        <w:tc>
          <w:tcPr>
            <w:tcW w:w="4781" w:type="dxa"/>
            <w:vAlign w:val="top"/>
          </w:tcPr>
          <w:p w14:paraId="39444A6F">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sz w:val="21"/>
                <w:szCs w:val="21"/>
                <w:highlight w:val="none"/>
                <w:lang w:val="en-US" w:eastAsia="en-US" w:bidi="ar-SA"/>
              </w:rPr>
            </w:pPr>
            <w:r>
              <w:rPr>
                <w:rFonts w:hint="eastAsia" w:ascii="宋体" w:hAnsi="宋体" w:eastAsia="宋体" w:cs="宋体"/>
                <w:spacing w:val="6"/>
                <w:sz w:val="21"/>
                <w:szCs w:val="21"/>
                <w:highlight w:val="none"/>
                <w:lang w:val="en-US" w:eastAsia="en-US" w:bidi="ar-SA"/>
              </w:rPr>
              <w:t>1、工作进度计划及保证措施合理的，得4.0-5.0分；</w:t>
            </w:r>
          </w:p>
          <w:p w14:paraId="12A3E520">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sz w:val="21"/>
                <w:szCs w:val="21"/>
                <w:highlight w:val="none"/>
                <w:lang w:val="en-US" w:eastAsia="en-US" w:bidi="ar-SA"/>
              </w:rPr>
            </w:pPr>
            <w:r>
              <w:rPr>
                <w:rFonts w:hint="eastAsia" w:ascii="宋体" w:hAnsi="宋体" w:eastAsia="宋体" w:cs="宋体"/>
                <w:spacing w:val="7"/>
                <w:sz w:val="21"/>
                <w:szCs w:val="21"/>
                <w:highlight w:val="none"/>
                <w:lang w:val="en-US" w:eastAsia="en-US" w:bidi="ar-SA"/>
              </w:rPr>
              <w:t>2、工作进度计划及保证措施较合理的，得3.0</w:t>
            </w:r>
            <w:r>
              <w:rPr>
                <w:rFonts w:hint="eastAsia" w:ascii="宋体" w:hAnsi="宋体" w:eastAsia="宋体" w:cs="宋体"/>
                <w:spacing w:val="6"/>
                <w:sz w:val="21"/>
                <w:szCs w:val="21"/>
                <w:highlight w:val="none"/>
                <w:lang w:val="en-US" w:eastAsia="en-US" w:bidi="ar-SA"/>
              </w:rPr>
              <w:t>-4.0分；</w:t>
            </w:r>
          </w:p>
          <w:p w14:paraId="00D4BF06">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i w:val="0"/>
                <w:iCs w:val="0"/>
                <w:caps w:val="0"/>
                <w:color w:val="000000"/>
                <w:spacing w:val="0"/>
                <w:sz w:val="21"/>
                <w:szCs w:val="21"/>
                <w:highlight w:val="none"/>
                <w:lang w:val="en-US" w:eastAsia="zh-CN" w:bidi="ar-SA"/>
              </w:rPr>
            </w:pPr>
            <w:r>
              <w:rPr>
                <w:rFonts w:hint="eastAsia" w:ascii="宋体" w:hAnsi="宋体" w:eastAsia="宋体" w:cs="宋体"/>
                <w:spacing w:val="7"/>
                <w:sz w:val="21"/>
                <w:szCs w:val="21"/>
                <w:highlight w:val="none"/>
                <w:lang w:val="en-US" w:eastAsia="en-US" w:bidi="ar-SA"/>
              </w:rPr>
              <w:t>3、工作进度计划及保证措施基本合理的，得3.0分；</w:t>
            </w:r>
          </w:p>
        </w:tc>
      </w:tr>
      <w:tr w14:paraId="6554A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741" w:type="dxa"/>
            <w:vMerge w:val="continue"/>
            <w:vAlign w:val="center"/>
          </w:tcPr>
          <w:p w14:paraId="4069B6BF">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zh-CN" w:bidi="ar-SA"/>
              </w:rPr>
            </w:pPr>
          </w:p>
        </w:tc>
        <w:tc>
          <w:tcPr>
            <w:tcW w:w="979" w:type="dxa"/>
            <w:vMerge w:val="continue"/>
            <w:vAlign w:val="center"/>
          </w:tcPr>
          <w:p w14:paraId="51168C34">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zh-CN" w:bidi="ar-SA"/>
              </w:rPr>
            </w:pPr>
          </w:p>
        </w:tc>
        <w:tc>
          <w:tcPr>
            <w:tcW w:w="675" w:type="dxa"/>
            <w:vMerge w:val="continue"/>
            <w:vAlign w:val="center"/>
          </w:tcPr>
          <w:p w14:paraId="4EE96C68">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zh-CN" w:bidi="ar-SA"/>
              </w:rPr>
            </w:pPr>
          </w:p>
        </w:tc>
        <w:tc>
          <w:tcPr>
            <w:tcW w:w="1566" w:type="dxa"/>
            <w:vAlign w:val="center"/>
          </w:tcPr>
          <w:p w14:paraId="1C01EE8A">
            <w:pPr>
              <w:keepNext w:val="0"/>
              <w:keepLines w:val="0"/>
              <w:pageBreakBefore w:val="0"/>
              <w:widowControl w:val="0"/>
              <w:kinsoku/>
              <w:wordWrap/>
              <w:overflowPunct/>
              <w:topLinePunct w:val="0"/>
              <w:autoSpaceDE/>
              <w:autoSpaceDN/>
              <w:bidi w:val="0"/>
              <w:adjustRightInd/>
              <w:snapToGrid w:val="0"/>
              <w:spacing w:line="320" w:lineRule="exact"/>
              <w:ind w:left="49"/>
              <w:jc w:val="center"/>
              <w:textAlignment w:val="auto"/>
              <w:rPr>
                <w:rFonts w:hint="eastAsia" w:ascii="宋体" w:hAnsi="宋体" w:eastAsia="宋体" w:cs="宋体"/>
                <w:spacing w:val="15"/>
                <w:sz w:val="21"/>
                <w:szCs w:val="21"/>
                <w:highlight w:val="none"/>
                <w:lang w:val="en-US" w:eastAsia="en-US" w:bidi="ar-SA"/>
              </w:rPr>
            </w:pPr>
            <w:r>
              <w:rPr>
                <w:rFonts w:hint="eastAsia" w:ascii="宋体" w:hAnsi="宋体" w:eastAsia="宋体" w:cs="宋体"/>
                <w:spacing w:val="8"/>
                <w:sz w:val="21"/>
                <w:szCs w:val="21"/>
                <w:highlight w:val="none"/>
                <w:lang w:val="en-US" w:eastAsia="en-US" w:bidi="ar-SA"/>
              </w:rPr>
              <w:t>服务承诺及保证措</w:t>
            </w:r>
            <w:r>
              <w:rPr>
                <w:rFonts w:hint="eastAsia" w:ascii="宋体" w:hAnsi="宋体" w:eastAsia="宋体" w:cs="宋体"/>
                <w:spacing w:val="15"/>
                <w:sz w:val="21"/>
                <w:szCs w:val="21"/>
                <w:highlight w:val="none"/>
                <w:lang w:val="en-US" w:eastAsia="en-US" w:bidi="ar-SA"/>
              </w:rPr>
              <w:t>施</w:t>
            </w:r>
          </w:p>
          <w:p w14:paraId="613593A7">
            <w:pPr>
              <w:keepNext w:val="0"/>
              <w:keepLines w:val="0"/>
              <w:pageBreakBefore w:val="0"/>
              <w:widowControl w:val="0"/>
              <w:kinsoku/>
              <w:wordWrap/>
              <w:overflowPunct/>
              <w:topLinePunct w:val="0"/>
              <w:autoSpaceDE/>
              <w:autoSpaceDN/>
              <w:bidi w:val="0"/>
              <w:adjustRightInd/>
              <w:snapToGrid w:val="0"/>
              <w:spacing w:line="320" w:lineRule="exact"/>
              <w:ind w:left="49" w:leftChars="0"/>
              <w:jc w:val="center"/>
              <w:textAlignment w:val="auto"/>
              <w:rPr>
                <w:rFonts w:hint="eastAsia" w:ascii="宋体" w:hAnsi="宋体" w:eastAsia="宋体" w:cs="宋体"/>
                <w:sz w:val="21"/>
                <w:szCs w:val="21"/>
                <w:highlight w:val="none"/>
                <w:lang w:val="en-US" w:eastAsia="zh-CN" w:bidi="ar-SA"/>
              </w:rPr>
            </w:pPr>
            <w:r>
              <w:rPr>
                <w:rFonts w:hint="eastAsia" w:ascii="宋体" w:hAnsi="宋体" w:eastAsia="宋体" w:cs="宋体"/>
                <w:spacing w:val="15"/>
                <w:sz w:val="21"/>
                <w:szCs w:val="21"/>
                <w:highlight w:val="none"/>
                <w:lang w:val="en-US" w:eastAsia="en-US" w:bidi="ar-SA"/>
              </w:rPr>
              <w:t>（5分）</w:t>
            </w:r>
          </w:p>
        </w:tc>
        <w:tc>
          <w:tcPr>
            <w:tcW w:w="910" w:type="dxa"/>
            <w:vAlign w:val="center"/>
          </w:tcPr>
          <w:p w14:paraId="6E54EDBF">
            <w:pPr>
              <w:keepNext w:val="0"/>
              <w:keepLines w:val="0"/>
              <w:pageBreakBefore w:val="0"/>
              <w:widowControl/>
              <w:kinsoku/>
              <w:wordWrap/>
              <w:overflowPunct/>
              <w:topLinePunct w:val="0"/>
              <w:autoSpaceDE/>
              <w:autoSpaceDN/>
              <w:bidi w:val="0"/>
              <w:adjustRightInd/>
              <w:snapToGrid w:val="0"/>
              <w:spacing w:line="320" w:lineRule="exact"/>
              <w:jc w:val="center"/>
              <w:textAlignment w:val="top"/>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5分</w:t>
            </w:r>
          </w:p>
        </w:tc>
        <w:tc>
          <w:tcPr>
            <w:tcW w:w="4781" w:type="dxa"/>
            <w:vAlign w:val="top"/>
          </w:tcPr>
          <w:p w14:paraId="1346E03D">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sz w:val="21"/>
                <w:szCs w:val="21"/>
                <w:highlight w:val="none"/>
                <w:lang w:val="en-US" w:eastAsia="en-US" w:bidi="ar-SA"/>
              </w:rPr>
            </w:pPr>
            <w:r>
              <w:rPr>
                <w:rFonts w:hint="eastAsia" w:ascii="宋体" w:hAnsi="宋体" w:eastAsia="宋体" w:cs="宋体"/>
                <w:spacing w:val="2"/>
                <w:sz w:val="21"/>
                <w:szCs w:val="21"/>
                <w:highlight w:val="none"/>
                <w:lang w:val="en-US" w:eastAsia="en-US" w:bidi="ar-SA"/>
              </w:rPr>
              <w:t>1、方案承诺完善、详细、与本项目的实际契合度高，可行性强，</w:t>
            </w:r>
            <w:r>
              <w:rPr>
                <w:rFonts w:hint="eastAsia" w:ascii="宋体" w:hAnsi="宋体" w:eastAsia="宋体" w:cs="宋体"/>
                <w:spacing w:val="5"/>
                <w:sz w:val="21"/>
                <w:szCs w:val="21"/>
                <w:highlight w:val="none"/>
                <w:lang w:val="en-US" w:eastAsia="en-US" w:bidi="ar-SA"/>
              </w:rPr>
              <w:t>保障措施完善、保障有力，得4.0-5.0分；</w:t>
            </w:r>
          </w:p>
          <w:p w14:paraId="1317034B">
            <w:pPr>
              <w:keepNext w:val="0"/>
              <w:keepLines w:val="0"/>
              <w:pageBreakBefore w:val="0"/>
              <w:widowControl w:val="0"/>
              <w:kinsoku/>
              <w:wordWrap/>
              <w:overflowPunct/>
              <w:topLinePunct w:val="0"/>
              <w:autoSpaceDE/>
              <w:autoSpaceDN/>
              <w:bidi w:val="0"/>
              <w:adjustRightInd/>
              <w:snapToGrid w:val="0"/>
              <w:spacing w:line="320" w:lineRule="exact"/>
              <w:ind w:right="23"/>
              <w:textAlignment w:val="auto"/>
              <w:rPr>
                <w:rFonts w:hint="eastAsia" w:ascii="宋体" w:hAnsi="宋体" w:eastAsia="宋体" w:cs="宋体"/>
                <w:sz w:val="21"/>
                <w:szCs w:val="21"/>
                <w:highlight w:val="none"/>
                <w:lang w:val="en-US" w:eastAsia="en-US" w:bidi="ar-SA"/>
              </w:rPr>
            </w:pPr>
            <w:r>
              <w:rPr>
                <w:rFonts w:hint="eastAsia" w:ascii="宋体" w:hAnsi="宋体" w:eastAsia="宋体" w:cs="宋体"/>
                <w:spacing w:val="9"/>
                <w:sz w:val="21"/>
                <w:szCs w:val="21"/>
                <w:highlight w:val="none"/>
                <w:lang w:val="en-US" w:eastAsia="en-US" w:bidi="ar-SA"/>
              </w:rPr>
              <w:t>2、方案承诺较详细、与本项目的实际有一定的契合度，可行性</w:t>
            </w:r>
            <w:r>
              <w:rPr>
                <w:rFonts w:hint="eastAsia" w:ascii="宋体" w:hAnsi="宋体" w:eastAsia="宋体" w:cs="宋体"/>
                <w:spacing w:val="7"/>
                <w:sz w:val="21"/>
                <w:szCs w:val="21"/>
                <w:highlight w:val="none"/>
                <w:lang w:val="en-US" w:eastAsia="en-US" w:bidi="ar-SA"/>
              </w:rPr>
              <w:t>较强，保障措施较完善、保障较有力，得3.0-4.0分；</w:t>
            </w:r>
          </w:p>
          <w:p w14:paraId="122C967D">
            <w:pPr>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ascii="宋体" w:hAnsi="宋体" w:eastAsia="宋体" w:cs="宋体"/>
                <w:i w:val="0"/>
                <w:iCs w:val="0"/>
                <w:caps w:val="0"/>
                <w:color w:val="000000"/>
                <w:spacing w:val="0"/>
                <w:sz w:val="21"/>
                <w:szCs w:val="21"/>
                <w:highlight w:val="none"/>
                <w:lang w:val="en-US" w:eastAsia="zh-CN" w:bidi="ar-SA"/>
              </w:rPr>
            </w:pPr>
            <w:r>
              <w:rPr>
                <w:rFonts w:hint="eastAsia" w:ascii="宋体" w:hAnsi="宋体" w:eastAsia="宋体" w:cs="宋体"/>
                <w:spacing w:val="6"/>
                <w:sz w:val="21"/>
                <w:szCs w:val="21"/>
                <w:highlight w:val="none"/>
                <w:lang w:val="en-US" w:eastAsia="en-US" w:bidi="ar-SA"/>
              </w:rPr>
              <w:t>3、方案承诺基本可行，保障措施，得3.0分。</w:t>
            </w:r>
          </w:p>
        </w:tc>
      </w:tr>
      <w:tr w14:paraId="2993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41" w:type="dxa"/>
            <w:tcBorders>
              <w:top w:val="nil"/>
            </w:tcBorders>
            <w:vAlign w:val="center"/>
          </w:tcPr>
          <w:p w14:paraId="13037668">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2.2.4（2）</w:t>
            </w:r>
          </w:p>
        </w:tc>
        <w:tc>
          <w:tcPr>
            <w:tcW w:w="979" w:type="dxa"/>
            <w:tcBorders>
              <w:top w:val="nil"/>
            </w:tcBorders>
            <w:vAlign w:val="center"/>
          </w:tcPr>
          <w:p w14:paraId="3A80BBEB">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主要人员</w:t>
            </w:r>
          </w:p>
        </w:tc>
        <w:tc>
          <w:tcPr>
            <w:tcW w:w="675" w:type="dxa"/>
            <w:tcBorders>
              <w:top w:val="nil"/>
            </w:tcBorders>
            <w:vAlign w:val="center"/>
          </w:tcPr>
          <w:p w14:paraId="264409E8">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zh-CN" w:bidi="ar-SA"/>
              </w:rPr>
              <w:t>15</w:t>
            </w:r>
            <w:r>
              <w:rPr>
                <w:rFonts w:hint="eastAsia" w:ascii="宋体" w:hAnsi="宋体" w:eastAsia="宋体" w:cs="宋体"/>
                <w:sz w:val="21"/>
                <w:szCs w:val="21"/>
                <w:highlight w:val="none"/>
                <w:lang w:val="en-US" w:eastAsia="en-US" w:bidi="ar-SA"/>
              </w:rPr>
              <w:t>分</w:t>
            </w:r>
          </w:p>
        </w:tc>
        <w:tc>
          <w:tcPr>
            <w:tcW w:w="1566" w:type="dxa"/>
            <w:vAlign w:val="center"/>
          </w:tcPr>
          <w:p w14:paraId="2D4D3C18">
            <w:pPr>
              <w:keepNext w:val="0"/>
              <w:keepLines w:val="0"/>
              <w:pageBreakBefore w:val="0"/>
              <w:kinsoku/>
              <w:wordWrap/>
              <w:overflowPunct/>
              <w:topLinePunct w:val="0"/>
              <w:autoSpaceDE/>
              <w:autoSpaceDN/>
              <w:bidi w:val="0"/>
              <w:adjustRightInd/>
              <w:snapToGrid w:val="0"/>
              <w:spacing w:line="320" w:lineRule="exact"/>
              <w:jc w:val="center"/>
              <w:rPr>
                <w:rFonts w:hint="eastAsia" w:ascii="宋体" w:hAnsi="宋体" w:eastAsia="宋体" w:cs="宋体"/>
                <w:kern w:val="2"/>
                <w:sz w:val="21"/>
                <w:szCs w:val="21"/>
                <w:highlight w:val="none"/>
                <w:lang w:eastAsia="en-US"/>
              </w:rPr>
            </w:pPr>
            <w:r>
              <w:rPr>
                <w:rFonts w:hint="eastAsia" w:ascii="宋体" w:hAnsi="宋体" w:eastAsia="宋体" w:cs="宋体"/>
                <w:spacing w:val="8"/>
                <w:kern w:val="0"/>
                <w:sz w:val="21"/>
                <w:szCs w:val="21"/>
                <w:highlight w:val="none"/>
                <w:lang w:eastAsia="en-US"/>
              </w:rPr>
              <w:t>项目负责人任职资</w:t>
            </w:r>
            <w:r>
              <w:rPr>
                <w:rFonts w:hint="eastAsia" w:ascii="宋体" w:hAnsi="宋体" w:eastAsia="宋体" w:cs="宋体"/>
                <w:spacing w:val="5"/>
                <w:kern w:val="0"/>
                <w:sz w:val="21"/>
                <w:szCs w:val="21"/>
                <w:highlight w:val="none"/>
                <w:lang w:eastAsia="en-US"/>
              </w:rPr>
              <w:t>格与业绩</w:t>
            </w:r>
          </w:p>
        </w:tc>
        <w:tc>
          <w:tcPr>
            <w:tcW w:w="910" w:type="dxa"/>
            <w:vAlign w:val="center"/>
          </w:tcPr>
          <w:p w14:paraId="1BC38252">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zh-CN" w:bidi="ar-SA"/>
              </w:rPr>
              <w:t>15</w:t>
            </w:r>
            <w:r>
              <w:rPr>
                <w:rFonts w:hint="eastAsia" w:ascii="宋体" w:hAnsi="宋体" w:eastAsia="宋体" w:cs="宋体"/>
                <w:sz w:val="21"/>
                <w:szCs w:val="21"/>
                <w:highlight w:val="none"/>
                <w:lang w:val="en-US" w:eastAsia="en-US" w:bidi="ar-SA"/>
              </w:rPr>
              <w:t>分</w:t>
            </w:r>
          </w:p>
        </w:tc>
        <w:tc>
          <w:tcPr>
            <w:tcW w:w="4781" w:type="dxa"/>
            <w:tcBorders>
              <w:bottom w:val="single" w:color="auto" w:sz="4" w:space="0"/>
            </w:tcBorders>
            <w:vAlign w:val="center"/>
          </w:tcPr>
          <w:p w14:paraId="61A0E74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20" w:lineRule="exact"/>
              <w:ind w:left="0" w:right="0"/>
              <w:textAlignment w:val="auto"/>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1.项目负责人</w:t>
            </w:r>
            <w:r>
              <w:rPr>
                <w:rFonts w:hint="eastAsia" w:ascii="宋体" w:hAnsi="宋体" w:eastAsia="宋体" w:cs="宋体"/>
                <w:sz w:val="21"/>
                <w:szCs w:val="21"/>
                <w:highlight w:val="none"/>
                <w:lang w:val="en-US" w:eastAsia="en-US" w:bidi="ar-SA"/>
              </w:rPr>
              <w:t>满足“资格审查条件（项目负责人最低要求）”得</w:t>
            </w:r>
            <w:r>
              <w:rPr>
                <w:rFonts w:hint="eastAsia" w:ascii="宋体" w:hAnsi="宋体" w:eastAsia="宋体" w:cs="宋体"/>
                <w:sz w:val="21"/>
                <w:szCs w:val="21"/>
                <w:highlight w:val="none"/>
                <w:lang w:val="en-US" w:eastAsia="zh-CN" w:bidi="ar-SA"/>
              </w:rPr>
              <w:t>9</w:t>
            </w:r>
            <w:r>
              <w:rPr>
                <w:rFonts w:hint="eastAsia" w:ascii="宋体" w:hAnsi="宋体" w:eastAsia="宋体" w:cs="宋体"/>
                <w:sz w:val="21"/>
                <w:szCs w:val="21"/>
                <w:highlight w:val="none"/>
                <w:lang w:val="en-US" w:eastAsia="en-US" w:bidi="ar-SA"/>
              </w:rPr>
              <w:t>分</w:t>
            </w:r>
            <w:r>
              <w:rPr>
                <w:rFonts w:hint="eastAsia" w:ascii="宋体" w:hAnsi="宋体" w:eastAsia="宋体" w:cs="宋体"/>
                <w:sz w:val="21"/>
                <w:szCs w:val="21"/>
                <w:highlight w:val="none"/>
                <w:lang w:val="en-US" w:eastAsia="zh-CN" w:bidi="ar-SA"/>
              </w:rPr>
              <w:t>；</w:t>
            </w:r>
          </w:p>
          <w:p w14:paraId="0D5DEEAE">
            <w:pPr>
              <w:keepNext w:val="0"/>
              <w:keepLines w:val="0"/>
              <w:pageBreakBefore w:val="0"/>
              <w:widowControl w:val="0"/>
              <w:kinsoku/>
              <w:wordWrap/>
              <w:overflowPunct/>
              <w:topLinePunct w:val="0"/>
              <w:autoSpaceDE/>
              <w:autoSpaceDN/>
              <w:bidi w:val="0"/>
              <w:adjustRightInd/>
              <w:snapToGrid w:val="0"/>
              <w:spacing w:after="0" w:line="320" w:lineRule="exact"/>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2.项目负责人每增加1项</w:t>
            </w:r>
            <w:r>
              <w:rPr>
                <w:rFonts w:hint="eastAsia" w:ascii="宋体" w:hAnsi="宋体" w:eastAsia="宋体" w:cs="宋体"/>
                <w:sz w:val="21"/>
                <w:szCs w:val="21"/>
                <w:highlight w:val="none"/>
                <w:lang w:val="en-US" w:eastAsia="en-US" w:bidi="ar-SA"/>
              </w:rPr>
              <w:t>满足“资格审查条件（项目负责人最低要求）”</w:t>
            </w:r>
            <w:r>
              <w:rPr>
                <w:rFonts w:hint="eastAsia" w:ascii="宋体" w:hAnsi="宋体" w:eastAsia="宋体" w:cs="宋体"/>
                <w:sz w:val="21"/>
                <w:szCs w:val="21"/>
                <w:highlight w:val="none"/>
                <w:lang w:val="en-US" w:eastAsia="zh-CN" w:bidi="ar-SA"/>
              </w:rPr>
              <w:t>业绩加6</w:t>
            </w:r>
            <w:r>
              <w:rPr>
                <w:rFonts w:hint="eastAsia" w:ascii="宋体" w:hAnsi="宋体" w:eastAsia="宋体" w:cs="宋体"/>
                <w:sz w:val="21"/>
                <w:szCs w:val="21"/>
                <w:highlight w:val="none"/>
                <w:lang w:val="en-US" w:eastAsia="en-US" w:bidi="ar-SA"/>
              </w:rPr>
              <w:t>分，最多加</w:t>
            </w:r>
            <w:r>
              <w:rPr>
                <w:rFonts w:hint="eastAsia" w:ascii="宋体" w:hAnsi="宋体" w:eastAsia="宋体" w:cs="宋体"/>
                <w:sz w:val="21"/>
                <w:szCs w:val="21"/>
                <w:highlight w:val="none"/>
                <w:lang w:val="en-US" w:eastAsia="zh-CN" w:bidi="ar-SA"/>
              </w:rPr>
              <w:t>6</w:t>
            </w:r>
            <w:r>
              <w:rPr>
                <w:rFonts w:hint="eastAsia" w:ascii="宋体" w:hAnsi="宋体" w:eastAsia="宋体" w:cs="宋体"/>
                <w:sz w:val="21"/>
                <w:szCs w:val="21"/>
                <w:highlight w:val="none"/>
                <w:lang w:val="en-US" w:eastAsia="en-US" w:bidi="ar-SA"/>
              </w:rPr>
              <w:t>分。</w:t>
            </w:r>
          </w:p>
        </w:tc>
      </w:tr>
      <w:tr w14:paraId="3F5CE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jc w:val="center"/>
        </w:trPr>
        <w:tc>
          <w:tcPr>
            <w:tcW w:w="741" w:type="dxa"/>
            <w:tcBorders>
              <w:top w:val="nil"/>
            </w:tcBorders>
            <w:vAlign w:val="center"/>
          </w:tcPr>
          <w:p w14:paraId="27F1C7FD">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2.2.4（3）</w:t>
            </w:r>
          </w:p>
        </w:tc>
        <w:tc>
          <w:tcPr>
            <w:tcW w:w="979" w:type="dxa"/>
            <w:tcBorders>
              <w:top w:val="nil"/>
            </w:tcBorders>
            <w:vAlign w:val="center"/>
          </w:tcPr>
          <w:p w14:paraId="7E5020B5">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评标价</w:t>
            </w:r>
          </w:p>
        </w:tc>
        <w:tc>
          <w:tcPr>
            <w:tcW w:w="675" w:type="dxa"/>
            <w:tcBorders>
              <w:top w:val="nil"/>
              <w:bottom w:val="single" w:color="auto" w:sz="4" w:space="0"/>
            </w:tcBorders>
            <w:vAlign w:val="center"/>
          </w:tcPr>
          <w:p w14:paraId="7E58165E">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30分</w:t>
            </w:r>
          </w:p>
        </w:tc>
        <w:tc>
          <w:tcPr>
            <w:tcW w:w="7257" w:type="dxa"/>
            <w:gridSpan w:val="3"/>
            <w:tcBorders>
              <w:bottom w:val="single" w:color="auto" w:sz="4" w:space="0"/>
            </w:tcBorders>
            <w:vAlign w:val="center"/>
          </w:tcPr>
          <w:p w14:paraId="6A266EE3">
            <w:pPr>
              <w:keepNext w:val="0"/>
              <w:keepLines w:val="0"/>
              <w:pageBreakBefore w:val="0"/>
              <w:kinsoku/>
              <w:wordWrap/>
              <w:overflowPunct/>
              <w:topLinePunct w:val="0"/>
              <w:autoSpaceDE/>
              <w:autoSpaceDN/>
              <w:bidi w:val="0"/>
              <w:adjustRightInd/>
              <w:snapToGrid w:val="0"/>
              <w:spacing w:line="320" w:lineRule="exact"/>
              <w:jc w:val="left"/>
              <w:rPr>
                <w:rFonts w:hint="eastAsia" w:ascii="宋体" w:hAnsi="宋体" w:eastAsia="宋体" w:cs="宋体"/>
                <w:kern w:val="2"/>
                <w:sz w:val="21"/>
                <w:szCs w:val="21"/>
                <w:highlight w:val="none"/>
                <w:lang w:eastAsia="zh-CN"/>
              </w:rPr>
            </w:pPr>
            <w:r>
              <w:rPr>
                <w:rFonts w:hint="eastAsia" w:ascii="宋体" w:hAnsi="宋体" w:eastAsia="宋体" w:cs="宋体"/>
                <w:kern w:val="2"/>
                <w:sz w:val="21"/>
                <w:szCs w:val="21"/>
                <w:highlight w:val="none"/>
                <w:lang w:eastAsia="zh-CN"/>
              </w:rPr>
              <w:t>评标价得分计算公式：</w:t>
            </w:r>
          </w:p>
          <w:p w14:paraId="1502196F">
            <w:pPr>
              <w:keepNext w:val="0"/>
              <w:keepLines w:val="0"/>
              <w:pageBreakBefore w:val="0"/>
              <w:kinsoku/>
              <w:wordWrap/>
              <w:overflowPunct/>
              <w:topLinePunct w:val="0"/>
              <w:autoSpaceDE/>
              <w:autoSpaceDN/>
              <w:bidi w:val="0"/>
              <w:adjustRightInd/>
              <w:snapToGrid w:val="0"/>
              <w:spacing w:line="320" w:lineRule="exact"/>
              <w:jc w:val="left"/>
              <w:rPr>
                <w:rFonts w:hint="eastAsia" w:ascii="宋体" w:hAnsi="宋体" w:eastAsia="宋体" w:cs="宋体"/>
                <w:kern w:val="2"/>
                <w:sz w:val="21"/>
                <w:szCs w:val="21"/>
                <w:highlight w:val="none"/>
                <w:lang w:eastAsia="zh-CN"/>
              </w:rPr>
            </w:pPr>
            <w:r>
              <w:rPr>
                <w:rFonts w:hint="eastAsia" w:ascii="宋体" w:hAnsi="宋体" w:eastAsia="宋体" w:cs="宋体"/>
                <w:kern w:val="2"/>
                <w:sz w:val="21"/>
                <w:szCs w:val="21"/>
                <w:highlight w:val="none"/>
                <w:lang w:eastAsia="zh-CN"/>
              </w:rPr>
              <w:t>（1）如果投标人的评标价＞评标基准价，则评标价得分=F-（投标人评标价-评标基准价）/评标基准价×100×E1；</w:t>
            </w:r>
          </w:p>
          <w:p w14:paraId="187EFE46">
            <w:pPr>
              <w:keepNext w:val="0"/>
              <w:keepLines w:val="0"/>
              <w:pageBreakBefore w:val="0"/>
              <w:kinsoku/>
              <w:wordWrap/>
              <w:overflowPunct/>
              <w:topLinePunct w:val="0"/>
              <w:autoSpaceDE/>
              <w:autoSpaceDN/>
              <w:bidi w:val="0"/>
              <w:adjustRightInd/>
              <w:snapToGrid w:val="0"/>
              <w:spacing w:line="320" w:lineRule="exact"/>
              <w:jc w:val="left"/>
              <w:rPr>
                <w:rFonts w:hint="eastAsia" w:ascii="宋体" w:hAnsi="宋体" w:eastAsia="宋体" w:cs="宋体"/>
                <w:kern w:val="2"/>
                <w:sz w:val="21"/>
                <w:szCs w:val="21"/>
                <w:highlight w:val="none"/>
                <w:lang w:eastAsia="zh-CN"/>
              </w:rPr>
            </w:pPr>
            <w:r>
              <w:rPr>
                <w:rFonts w:hint="eastAsia" w:ascii="宋体" w:hAnsi="宋体" w:eastAsia="宋体" w:cs="宋体"/>
                <w:kern w:val="2"/>
                <w:sz w:val="21"/>
                <w:szCs w:val="21"/>
                <w:highlight w:val="none"/>
                <w:lang w:eastAsia="zh-CN"/>
              </w:rPr>
              <w:t>（2）如果投标人的评标价≤评标基准价，则评标价得分=F+（投标人评标价-评标基准价）/评标基准价×100×E2。</w:t>
            </w:r>
          </w:p>
          <w:p w14:paraId="0B58E55A">
            <w:pPr>
              <w:keepNext w:val="0"/>
              <w:keepLines w:val="0"/>
              <w:pageBreakBefore w:val="0"/>
              <w:kinsoku/>
              <w:wordWrap/>
              <w:overflowPunct/>
              <w:topLinePunct w:val="0"/>
              <w:autoSpaceDE/>
              <w:autoSpaceDN/>
              <w:bidi w:val="0"/>
              <w:adjustRightInd/>
              <w:snapToGrid w:val="0"/>
              <w:spacing w:line="320" w:lineRule="exact"/>
              <w:jc w:val="left"/>
              <w:rPr>
                <w:rFonts w:hint="eastAsia" w:ascii="宋体" w:hAnsi="宋体" w:eastAsia="宋体" w:cs="宋体"/>
                <w:kern w:val="2"/>
                <w:sz w:val="21"/>
                <w:szCs w:val="21"/>
                <w:highlight w:val="none"/>
                <w:lang w:eastAsia="en-US"/>
              </w:rPr>
            </w:pPr>
            <w:r>
              <w:rPr>
                <w:rFonts w:hint="eastAsia" w:ascii="宋体" w:hAnsi="宋体" w:eastAsia="宋体" w:cs="宋体"/>
                <w:kern w:val="2"/>
                <w:sz w:val="21"/>
                <w:szCs w:val="21"/>
                <w:highlight w:val="none"/>
                <w:lang w:eastAsia="zh-CN"/>
              </w:rPr>
              <w:t>其中，F=30；E1=0.4；E2=0.2；评标价最低得分为0分。</w:t>
            </w:r>
            <w:r>
              <w:rPr>
                <w:rFonts w:hint="eastAsia" w:ascii="宋体" w:hAnsi="宋体" w:eastAsia="宋体" w:cs="宋体"/>
                <w:kern w:val="2"/>
                <w:sz w:val="21"/>
                <w:szCs w:val="21"/>
                <w:highlight w:val="none"/>
                <w:lang w:eastAsia="en-US"/>
              </w:rPr>
              <w:t>得分保留两位小数。</w:t>
            </w:r>
          </w:p>
        </w:tc>
      </w:tr>
      <w:tr w14:paraId="5318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741" w:type="dxa"/>
            <w:vAlign w:val="center"/>
          </w:tcPr>
          <w:p w14:paraId="177F4FE0">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2.2.4（4）</w:t>
            </w:r>
          </w:p>
        </w:tc>
        <w:tc>
          <w:tcPr>
            <w:tcW w:w="979" w:type="dxa"/>
            <w:vAlign w:val="center"/>
          </w:tcPr>
          <w:p w14:paraId="2273C728">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其他因素</w:t>
            </w:r>
          </w:p>
        </w:tc>
        <w:tc>
          <w:tcPr>
            <w:tcW w:w="675" w:type="dxa"/>
            <w:tcBorders>
              <w:top w:val="single" w:color="auto" w:sz="4" w:space="0"/>
            </w:tcBorders>
            <w:vAlign w:val="center"/>
          </w:tcPr>
          <w:p w14:paraId="2C622509">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zh-CN" w:bidi="ar-SA"/>
              </w:rPr>
              <w:t>15</w:t>
            </w:r>
            <w:r>
              <w:rPr>
                <w:rFonts w:hint="eastAsia" w:ascii="宋体" w:hAnsi="宋体" w:eastAsia="宋体" w:cs="宋体"/>
                <w:sz w:val="21"/>
                <w:szCs w:val="21"/>
                <w:highlight w:val="none"/>
                <w:lang w:val="en-US" w:eastAsia="en-US" w:bidi="ar-SA"/>
              </w:rPr>
              <w:t>分</w:t>
            </w:r>
          </w:p>
        </w:tc>
        <w:tc>
          <w:tcPr>
            <w:tcW w:w="1566" w:type="dxa"/>
            <w:tcBorders>
              <w:top w:val="single" w:color="auto" w:sz="4" w:space="0"/>
            </w:tcBorders>
            <w:vAlign w:val="center"/>
          </w:tcPr>
          <w:p w14:paraId="5CF96072">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业绩</w:t>
            </w:r>
          </w:p>
        </w:tc>
        <w:tc>
          <w:tcPr>
            <w:tcW w:w="910" w:type="dxa"/>
            <w:tcBorders>
              <w:top w:val="single" w:color="auto" w:sz="4" w:space="0"/>
            </w:tcBorders>
            <w:vAlign w:val="center"/>
          </w:tcPr>
          <w:p w14:paraId="66B2F6FA">
            <w:pPr>
              <w:keepNext w:val="0"/>
              <w:keepLines w:val="0"/>
              <w:pageBreakBefore w:val="0"/>
              <w:widowControl w:val="0"/>
              <w:kinsoku/>
              <w:wordWrap/>
              <w:overflowPunct/>
              <w:topLinePunct w:val="0"/>
              <w:autoSpaceDE/>
              <w:autoSpaceDN/>
              <w:bidi w:val="0"/>
              <w:adjustRightInd/>
              <w:snapToGrid w:val="0"/>
              <w:spacing w:line="320" w:lineRule="exact"/>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zh-CN" w:bidi="ar-SA"/>
              </w:rPr>
              <w:t>15</w:t>
            </w:r>
            <w:r>
              <w:rPr>
                <w:rFonts w:hint="eastAsia" w:ascii="宋体" w:hAnsi="宋体" w:eastAsia="宋体" w:cs="宋体"/>
                <w:sz w:val="21"/>
                <w:szCs w:val="21"/>
                <w:highlight w:val="none"/>
                <w:lang w:val="en-US" w:eastAsia="en-US" w:bidi="ar-SA"/>
              </w:rPr>
              <w:t>分</w:t>
            </w:r>
          </w:p>
        </w:tc>
        <w:tc>
          <w:tcPr>
            <w:tcW w:w="4781" w:type="dxa"/>
            <w:tcBorders>
              <w:top w:val="single" w:color="auto" w:sz="4" w:space="0"/>
            </w:tcBorders>
            <w:vAlign w:val="center"/>
          </w:tcPr>
          <w:p w14:paraId="2BFDCE93">
            <w:pPr>
              <w:keepNext w:val="0"/>
              <w:keepLines w:val="0"/>
              <w:pageBreakBefore w:val="0"/>
              <w:kinsoku/>
              <w:wordWrap/>
              <w:overflowPunct/>
              <w:topLinePunct w:val="0"/>
              <w:autoSpaceDE/>
              <w:autoSpaceDN/>
              <w:bidi w:val="0"/>
              <w:adjustRightInd/>
              <w:snapToGrid w:val="0"/>
              <w:spacing w:line="320" w:lineRule="exact"/>
              <w:jc w:val="left"/>
              <w:rPr>
                <w:rFonts w:hint="eastAsia" w:ascii="宋体" w:hAnsi="宋体" w:eastAsia="宋体" w:cs="宋体"/>
                <w:kern w:val="2"/>
                <w:sz w:val="21"/>
                <w:szCs w:val="21"/>
                <w:highlight w:val="none"/>
                <w:lang w:eastAsia="zh-CN"/>
              </w:rPr>
            </w:pPr>
            <w:bookmarkStart w:id="4" w:name="OLE_LINK2"/>
            <w:r>
              <w:rPr>
                <w:rFonts w:hint="eastAsia" w:ascii="宋体" w:hAnsi="宋体" w:eastAsia="宋体" w:cs="宋体"/>
                <w:kern w:val="2"/>
                <w:sz w:val="21"/>
                <w:szCs w:val="21"/>
                <w:highlight w:val="none"/>
                <w:lang w:eastAsia="zh-CN"/>
              </w:rPr>
              <w:t>满足“资格审查条件（业绩最低要求）”得</w:t>
            </w:r>
            <w:r>
              <w:rPr>
                <w:rFonts w:hint="eastAsia" w:ascii="宋体" w:hAnsi="宋体" w:eastAsia="宋体" w:cs="宋体"/>
                <w:kern w:val="2"/>
                <w:sz w:val="21"/>
                <w:szCs w:val="21"/>
                <w:highlight w:val="none"/>
                <w:lang w:val="en-US" w:eastAsia="zh-CN"/>
              </w:rPr>
              <w:t>9</w:t>
            </w:r>
            <w:r>
              <w:rPr>
                <w:rFonts w:hint="eastAsia" w:ascii="宋体" w:hAnsi="宋体" w:eastAsia="宋体" w:cs="宋体"/>
                <w:kern w:val="2"/>
                <w:sz w:val="21"/>
                <w:szCs w:val="21"/>
                <w:highlight w:val="none"/>
                <w:lang w:eastAsia="zh-CN"/>
              </w:rPr>
              <w:t>分；</w:t>
            </w:r>
          </w:p>
          <w:p w14:paraId="16C24D9B">
            <w:pPr>
              <w:keepNext w:val="0"/>
              <w:keepLines w:val="0"/>
              <w:pageBreakBefore w:val="0"/>
              <w:kinsoku/>
              <w:wordWrap/>
              <w:overflowPunct/>
              <w:topLinePunct w:val="0"/>
              <w:autoSpaceDE/>
              <w:autoSpaceDN/>
              <w:bidi w:val="0"/>
              <w:adjustRightInd/>
              <w:snapToGrid w:val="0"/>
              <w:spacing w:line="320" w:lineRule="exact"/>
              <w:jc w:val="left"/>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highlight w:val="none"/>
                <w:lang w:val="en-US" w:eastAsia="zh-CN"/>
              </w:rPr>
              <w:t>每增加1项</w:t>
            </w:r>
            <w:r>
              <w:rPr>
                <w:rFonts w:hint="eastAsia" w:ascii="宋体" w:hAnsi="宋体" w:eastAsia="宋体" w:cs="宋体"/>
                <w:kern w:val="0"/>
                <w:sz w:val="21"/>
                <w:szCs w:val="21"/>
                <w:highlight w:val="none"/>
                <w:lang w:eastAsia="en-US"/>
              </w:rPr>
              <w:t>满足“资格审查条件（</w:t>
            </w:r>
            <w:r>
              <w:rPr>
                <w:rFonts w:hint="eastAsia" w:ascii="宋体" w:hAnsi="宋体" w:eastAsia="宋体" w:cs="宋体"/>
                <w:kern w:val="2"/>
                <w:sz w:val="21"/>
                <w:szCs w:val="21"/>
                <w:highlight w:val="none"/>
                <w:lang w:eastAsia="zh-CN"/>
              </w:rPr>
              <w:t>业绩最低要求</w:t>
            </w:r>
            <w:r>
              <w:rPr>
                <w:rFonts w:hint="eastAsia" w:ascii="宋体" w:hAnsi="宋体" w:eastAsia="宋体" w:cs="宋体"/>
                <w:kern w:val="0"/>
                <w:sz w:val="21"/>
                <w:szCs w:val="21"/>
                <w:highlight w:val="none"/>
                <w:lang w:eastAsia="en-US"/>
              </w:rPr>
              <w:t>）”</w:t>
            </w:r>
            <w:r>
              <w:rPr>
                <w:rFonts w:hint="eastAsia" w:ascii="宋体" w:hAnsi="宋体" w:eastAsia="宋体" w:cs="宋体"/>
                <w:kern w:val="0"/>
                <w:sz w:val="21"/>
                <w:szCs w:val="21"/>
                <w:highlight w:val="none"/>
                <w:lang w:val="en-US" w:eastAsia="zh-CN"/>
              </w:rPr>
              <w:t>的</w:t>
            </w:r>
            <w:r>
              <w:rPr>
                <w:rFonts w:hint="eastAsia" w:ascii="宋体" w:hAnsi="宋体" w:eastAsia="宋体" w:cs="宋体"/>
                <w:kern w:val="0"/>
                <w:sz w:val="21"/>
                <w:szCs w:val="21"/>
                <w:highlight w:val="none"/>
                <w:lang w:eastAsia="en-US"/>
              </w:rPr>
              <w:t>业绩</w:t>
            </w:r>
            <w:r>
              <w:rPr>
                <w:rFonts w:hint="eastAsia" w:ascii="宋体" w:hAnsi="宋体" w:eastAsia="宋体" w:cs="宋体"/>
                <w:kern w:val="2"/>
                <w:sz w:val="21"/>
                <w:szCs w:val="21"/>
                <w:highlight w:val="none"/>
                <w:lang w:eastAsia="zh-CN"/>
              </w:rPr>
              <w:t>加</w:t>
            </w:r>
            <w:r>
              <w:rPr>
                <w:rFonts w:hint="eastAsia" w:ascii="宋体" w:hAnsi="宋体" w:eastAsia="宋体" w:cs="宋体"/>
                <w:kern w:val="2"/>
                <w:sz w:val="21"/>
                <w:szCs w:val="21"/>
                <w:highlight w:val="none"/>
                <w:lang w:val="en-US" w:eastAsia="zh-CN"/>
              </w:rPr>
              <w:t>3</w:t>
            </w:r>
            <w:r>
              <w:rPr>
                <w:rFonts w:hint="eastAsia" w:ascii="宋体" w:hAnsi="宋体" w:eastAsia="宋体" w:cs="宋体"/>
                <w:kern w:val="2"/>
                <w:sz w:val="21"/>
                <w:szCs w:val="21"/>
                <w:highlight w:val="none"/>
                <w:lang w:eastAsia="zh-CN"/>
              </w:rPr>
              <w:t>分，最多加</w:t>
            </w:r>
            <w:r>
              <w:rPr>
                <w:rFonts w:hint="eastAsia" w:ascii="宋体" w:hAnsi="宋体" w:eastAsia="宋体" w:cs="宋体"/>
                <w:kern w:val="2"/>
                <w:sz w:val="21"/>
                <w:szCs w:val="21"/>
                <w:highlight w:val="none"/>
                <w:lang w:val="en-US" w:eastAsia="zh-CN"/>
              </w:rPr>
              <w:t>6</w:t>
            </w:r>
            <w:r>
              <w:rPr>
                <w:rFonts w:hint="eastAsia" w:ascii="宋体" w:hAnsi="宋体" w:eastAsia="宋体" w:cs="宋体"/>
                <w:kern w:val="2"/>
                <w:sz w:val="21"/>
                <w:szCs w:val="21"/>
                <w:highlight w:val="none"/>
                <w:lang w:eastAsia="zh-CN"/>
              </w:rPr>
              <w:t>分。</w:t>
            </w:r>
            <w:bookmarkEnd w:id="4"/>
          </w:p>
        </w:tc>
      </w:tr>
    </w:tbl>
    <w:p w14:paraId="4A731505">
      <w:pPr>
        <w:jc w:val="left"/>
        <w:rPr>
          <w:rFonts w:hint="eastAsia" w:ascii="宋体" w:hAnsi="宋体" w:eastAsia="宋体" w:cs="宋体"/>
          <w:kern w:val="0"/>
          <w:sz w:val="21"/>
          <w:szCs w:val="21"/>
          <w:highlight w:val="none"/>
          <w:lang w:val="zh-CN" w:eastAsia="zh-CN"/>
        </w:rPr>
      </w:pPr>
      <w:r>
        <w:rPr>
          <w:rFonts w:hint="eastAsia" w:ascii="宋体" w:hAnsi="宋体" w:eastAsia="宋体" w:cs="宋体"/>
          <w:kern w:val="0"/>
          <w:sz w:val="21"/>
          <w:szCs w:val="21"/>
          <w:highlight w:val="none"/>
          <w:lang w:val="zh-CN" w:eastAsia="zh-CN"/>
        </w:rPr>
        <w:t>注：1、第2.2.4（1）项各评委打分保留1位小数，投标人该项得分以各评委打分平均值计算所得，保留两位小数，第三位小数四舍五入。</w:t>
      </w:r>
    </w:p>
    <w:p w14:paraId="73261C61">
      <w:r>
        <w:rPr>
          <w:rFonts w:hint="eastAsia" w:ascii="宋体" w:hAnsi="宋体" w:eastAsia="宋体" w:cs="宋体"/>
          <w:sz w:val="21"/>
          <w:szCs w:val="21"/>
          <w:highlight w:val="none"/>
          <w:lang w:val="en-US" w:eastAsia="zh-CN" w:bidi="ar-SA"/>
        </w:rPr>
        <w:t>2、</w:t>
      </w:r>
      <w:r>
        <w:rPr>
          <w:rFonts w:hint="eastAsia" w:ascii="宋体" w:hAnsi="宋体" w:eastAsia="宋体" w:cs="宋体"/>
          <w:sz w:val="21"/>
          <w:szCs w:val="21"/>
          <w:highlight w:val="none"/>
          <w:lang w:val="zh-CN" w:eastAsia="zh-CN" w:bidi="ar-SA"/>
        </w:rPr>
        <w:t>第2.2.4（1）项评</w:t>
      </w:r>
      <w:r>
        <w:rPr>
          <w:rFonts w:hint="eastAsia" w:ascii="宋体" w:hAnsi="宋体" w:eastAsia="宋体" w:cs="宋体"/>
          <w:sz w:val="21"/>
          <w:szCs w:val="21"/>
          <w:highlight w:val="none"/>
          <w:lang w:val="en-US" w:eastAsia="zh-CN" w:bidi="ar-SA"/>
        </w:rPr>
        <w:t>分</w:t>
      </w:r>
      <w:r>
        <w:rPr>
          <w:rFonts w:hint="eastAsia" w:ascii="宋体" w:hAnsi="宋体" w:eastAsia="宋体" w:cs="宋体"/>
          <w:sz w:val="21"/>
          <w:szCs w:val="21"/>
          <w:highlight w:val="none"/>
          <w:lang w:val="zh-CN" w:eastAsia="zh-CN" w:bidi="ar-SA"/>
        </w:rPr>
        <w:t>因素</w:t>
      </w:r>
      <w:r>
        <w:rPr>
          <w:rFonts w:hint="eastAsia" w:ascii="宋体" w:hAnsi="宋体" w:eastAsia="宋体" w:cs="宋体"/>
          <w:sz w:val="21"/>
          <w:szCs w:val="21"/>
          <w:highlight w:val="none"/>
          <w:lang w:val="en-US" w:eastAsia="zh-CN" w:bidi="ar-SA"/>
        </w:rPr>
        <w:t>细分项</w:t>
      </w:r>
      <w:r>
        <w:rPr>
          <w:rFonts w:hint="eastAsia" w:ascii="宋体" w:hAnsi="宋体" w:eastAsia="宋体" w:cs="宋体"/>
          <w:sz w:val="21"/>
          <w:szCs w:val="21"/>
          <w:highlight w:val="none"/>
          <w:lang w:val="zh-CN" w:eastAsia="zh-CN" w:bidi="ar-SA"/>
        </w:rPr>
        <w:t>缺项则该项得0分。</w:t>
      </w:r>
    </w:p>
    <w:sectPr>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58CC8">
    <w:pPr>
      <w:widowControl w:val="0"/>
      <w:bidi w:val="0"/>
      <w:spacing w:after="120"/>
      <w:rPr>
        <w:rFonts w:ascii="Times New Roman" w:hAnsi="Times New Roman" w:eastAsia="宋体" w:cs="宋体"/>
        <w:sz w:val="18"/>
        <w:szCs w:val="24"/>
        <w:lang w:val="en-US" w:eastAsia="en-US" w:bidi="ar-SA"/>
      </w:rPr>
    </w:pPr>
    <w:r>
      <w:rPr>
        <w:rFonts w:ascii="Times New Roman" w:hAnsi="Times New Roman" w:eastAsia="宋体" w:cs="宋体"/>
        <w:sz w:val="18"/>
        <w:szCs w:val="24"/>
        <w:lang w:val="en-US" w:eastAsia="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AC05E5">
                          <w:pPr>
                            <w:widowControl w:val="0"/>
                            <w:tabs>
                              <w:tab w:val="center" w:pos="4153"/>
                              <w:tab w:val="right" w:pos="8306"/>
                            </w:tabs>
                            <w:snapToGrid w:val="0"/>
                            <w:rPr>
                              <w:rFonts w:ascii="Calibri" w:hAnsi="Calibri" w:eastAsia="宋体" w:cs="宋体"/>
                              <w:sz w:val="18"/>
                              <w:szCs w:val="18"/>
                              <w:lang w:val="en-US" w:eastAsia="en-US" w:bidi="ar-SA"/>
                            </w:rPr>
                          </w:pPr>
                          <w:r>
                            <w:rPr>
                              <w:rFonts w:ascii="Calibri" w:hAnsi="Calibri" w:eastAsia="宋体" w:cs="宋体"/>
                              <w:sz w:val="18"/>
                              <w:szCs w:val="18"/>
                              <w:lang w:val="en-US" w:eastAsia="en-US" w:bidi="ar-SA"/>
                            </w:rPr>
                            <w:fldChar w:fldCharType="begin"/>
                          </w:r>
                          <w:r>
                            <w:rPr>
                              <w:rFonts w:ascii="Calibri" w:hAnsi="Calibri" w:eastAsia="宋体" w:cs="宋体"/>
                              <w:sz w:val="18"/>
                              <w:szCs w:val="18"/>
                              <w:lang w:val="en-US" w:eastAsia="en-US" w:bidi="ar-SA"/>
                            </w:rPr>
                            <w:instrText xml:space="preserve"> PAGE  \* MERGEFORMAT </w:instrText>
                          </w:r>
                          <w:r>
                            <w:rPr>
                              <w:rFonts w:ascii="Calibri" w:hAnsi="Calibri" w:eastAsia="宋体" w:cs="宋体"/>
                              <w:sz w:val="18"/>
                              <w:szCs w:val="18"/>
                              <w:lang w:val="en-US" w:eastAsia="en-US" w:bidi="ar-SA"/>
                            </w:rPr>
                            <w:fldChar w:fldCharType="separate"/>
                          </w:r>
                          <w:r>
                            <w:rPr>
                              <w:rFonts w:ascii="Calibri" w:hAnsi="Calibri" w:eastAsia="宋体" w:cs="宋体"/>
                              <w:sz w:val="18"/>
                              <w:szCs w:val="18"/>
                              <w:lang w:val="en-US" w:eastAsia="en-US" w:bidi="ar-SA"/>
                            </w:rPr>
                            <w:t>2</w:t>
                          </w:r>
                          <w:r>
                            <w:rPr>
                              <w:rFonts w:ascii="Calibri" w:hAnsi="Calibri" w:eastAsia="宋体" w:cs="宋体"/>
                              <w:sz w:val="18"/>
                              <w:szCs w:val="18"/>
                              <w:lang w:val="en-US" w:eastAsia="en-US" w:bidi="ar-SA"/>
                            </w:rPr>
                            <w:fldChar w:fldCharType="end"/>
                          </w:r>
                        </w:p>
                      </w:txbxContent>
                    </wps:txbx>
                    <wps:bodyPr wrap="none" lIns="0" tIns="0" rIns="0" bIns="0">
                      <a:spAutoFit/>
                    </wps:bodyPr>
                  </wps:wsp>
                </a:graphicData>
              </a:graphic>
            </wp:anchor>
          </w:drawing>
        </mc:Choice>
        <mc:Fallback>
          <w:pict>
            <v:shape id="文本框 106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Dwnz9/FAQAAkAMAAA4AAAAAAAAAAQAgAAAAHgEAAGRycy9lMm9Eb2MueG1s&#10;UEsFBgAAAAAGAAYAWQEAAFUFAAAAAA==&#10;">
              <v:fill on="f" focussize="0,0"/>
              <v:stroke on="f"/>
              <v:imagedata o:title=""/>
              <o:lock v:ext="edit" aspectratio="f"/>
              <v:textbox inset="0mm,0mm,0mm,0mm" style="mso-fit-shape-to-text:t;">
                <w:txbxContent>
                  <w:p w14:paraId="71AC05E5">
                    <w:pPr>
                      <w:widowControl w:val="0"/>
                      <w:tabs>
                        <w:tab w:val="center" w:pos="4153"/>
                        <w:tab w:val="right" w:pos="8306"/>
                      </w:tabs>
                      <w:snapToGrid w:val="0"/>
                      <w:rPr>
                        <w:rFonts w:ascii="Calibri" w:hAnsi="Calibri" w:eastAsia="宋体" w:cs="宋体"/>
                        <w:sz w:val="18"/>
                        <w:szCs w:val="18"/>
                        <w:lang w:val="en-US" w:eastAsia="en-US" w:bidi="ar-SA"/>
                      </w:rPr>
                    </w:pPr>
                    <w:r>
                      <w:rPr>
                        <w:rFonts w:ascii="Calibri" w:hAnsi="Calibri" w:eastAsia="宋体" w:cs="宋体"/>
                        <w:sz w:val="18"/>
                        <w:szCs w:val="18"/>
                        <w:lang w:val="en-US" w:eastAsia="en-US" w:bidi="ar-SA"/>
                      </w:rPr>
                      <w:fldChar w:fldCharType="begin"/>
                    </w:r>
                    <w:r>
                      <w:rPr>
                        <w:rFonts w:ascii="Calibri" w:hAnsi="Calibri" w:eastAsia="宋体" w:cs="宋体"/>
                        <w:sz w:val="18"/>
                        <w:szCs w:val="18"/>
                        <w:lang w:val="en-US" w:eastAsia="en-US" w:bidi="ar-SA"/>
                      </w:rPr>
                      <w:instrText xml:space="preserve"> PAGE  \* MERGEFORMAT </w:instrText>
                    </w:r>
                    <w:r>
                      <w:rPr>
                        <w:rFonts w:ascii="Calibri" w:hAnsi="Calibri" w:eastAsia="宋体" w:cs="宋体"/>
                        <w:sz w:val="18"/>
                        <w:szCs w:val="18"/>
                        <w:lang w:val="en-US" w:eastAsia="en-US" w:bidi="ar-SA"/>
                      </w:rPr>
                      <w:fldChar w:fldCharType="separate"/>
                    </w:r>
                    <w:r>
                      <w:rPr>
                        <w:rFonts w:ascii="Calibri" w:hAnsi="Calibri" w:eastAsia="宋体" w:cs="宋体"/>
                        <w:sz w:val="18"/>
                        <w:szCs w:val="18"/>
                        <w:lang w:val="en-US" w:eastAsia="en-US" w:bidi="ar-SA"/>
                      </w:rPr>
                      <w:t>2</w:t>
                    </w:r>
                    <w:r>
                      <w:rPr>
                        <w:rFonts w:ascii="Calibri" w:hAnsi="Calibri" w:eastAsia="宋体" w:cs="宋体"/>
                        <w:sz w:val="18"/>
                        <w:szCs w:val="18"/>
                        <w:lang w:val="en-US" w:eastAsia="en-US"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DB0B0">
    <w:pPr>
      <w:widowControl w:val="0"/>
      <w:tabs>
        <w:tab w:val="center" w:pos="4153"/>
        <w:tab w:val="right" w:pos="8306"/>
      </w:tabs>
      <w:snapToGrid w:val="0"/>
      <w:rPr>
        <w:rFonts w:ascii="Calibri" w:hAnsi="Calibri" w:eastAsia="宋体" w:cs="宋体"/>
        <w:sz w:val="18"/>
        <w:szCs w:val="18"/>
        <w:lang w:val="en-US" w:eastAsia="en-US" w:bidi="ar-S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E650C"/>
    <w:multiLevelType w:val="multilevel"/>
    <w:tmpl w:val="4C6E650C"/>
    <w:lvl w:ilvl="0" w:tentative="0">
      <w:start w:val="1"/>
      <w:numFmt w:val="decimal"/>
      <w:pStyle w:val="3"/>
      <w:suff w:val="space"/>
      <w:lvlText w:val="%1."/>
      <w:lvlJc w:val="left"/>
      <w:pPr>
        <w:tabs>
          <w:tab w:val="left" w:pos="0"/>
        </w:tabs>
        <w:ind w:left="0" w:firstLine="0"/>
      </w:pPr>
      <w:rPr>
        <w:rFonts w:hint="default" w:ascii="Times New Roman" w:hAnsi="Times New Roman" w:eastAsia="宋体"/>
        <w:b/>
        <w:i w:val="0"/>
        <w:sz w:val="21"/>
        <w:szCs w:val="21"/>
      </w:rPr>
    </w:lvl>
    <w:lvl w:ilvl="1" w:tentative="0">
      <w:start w:val="1"/>
      <w:numFmt w:val="decimal"/>
      <w:pStyle w:val="2"/>
      <w:suff w:val="space"/>
      <w:lvlText w:val="%1.%2"/>
      <w:lvlJc w:val="left"/>
      <w:pPr>
        <w:tabs>
          <w:tab w:val="left" w:pos="0"/>
        </w:tabs>
        <w:ind w:left="240" w:firstLine="0"/>
      </w:pPr>
      <w:rPr>
        <w:rFonts w:hint="default" w:ascii="Times New Roman" w:hAnsi="Times New Roman" w:eastAsia="宋体"/>
        <w:b/>
        <w:i w:val="0"/>
        <w:sz w:val="21"/>
        <w:szCs w:val="21"/>
      </w:rPr>
    </w:lvl>
    <w:lvl w:ilvl="2" w:tentative="0">
      <w:start w:val="1"/>
      <w:numFmt w:val="decimal"/>
      <w:suff w:val="space"/>
      <w:lvlText w:val="%1.%2.%3"/>
      <w:lvlJc w:val="left"/>
      <w:pPr>
        <w:ind w:left="993" w:firstLine="0"/>
      </w:pPr>
      <w:rPr>
        <w:rFonts w:hint="default" w:ascii="Times New Roman" w:hAnsi="Times New Roman" w:eastAsia="宋体"/>
        <w:b/>
        <w:i w:val="0"/>
        <w:sz w:val="32"/>
      </w:rPr>
    </w:lvl>
    <w:lvl w:ilvl="3" w:tentative="0">
      <w:start w:val="1"/>
      <w:numFmt w:val="decimal"/>
      <w:suff w:val="space"/>
      <w:lvlText w:val="%1.%2.%3.%4"/>
      <w:lvlJc w:val="left"/>
      <w:pPr>
        <w:ind w:left="0" w:firstLine="0"/>
      </w:pPr>
      <w:rPr>
        <w:rFonts w:hint="default" w:ascii="Times New Roman" w:hAnsi="Times New Roman" w:eastAsia="宋体"/>
        <w:b/>
        <w:i w:val="0"/>
        <w:sz w:val="24"/>
      </w:rPr>
    </w:lvl>
    <w:lvl w:ilvl="4" w:tentative="0">
      <w:start w:val="1"/>
      <w:numFmt w:val="decimal"/>
      <w:suff w:val="space"/>
      <w:lvlText w:val="%1.%2.%3.%4.%5"/>
      <w:lvlJc w:val="left"/>
      <w:pPr>
        <w:ind w:left="0" w:firstLine="0"/>
      </w:pPr>
      <w:rPr>
        <w:rFonts w:hint="default" w:ascii="Times New Roman" w:hAnsi="Times New Roman" w:eastAsia="宋体"/>
        <w:b/>
        <w:i w:val="0"/>
        <w:sz w:val="24"/>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4E12AE"/>
    <w:rsid w:val="2F8266AE"/>
    <w:rsid w:val="5B186CE0"/>
    <w:rsid w:val="7F2A5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numPr>
        <w:ilvl w:val="1"/>
        <w:numId w:val="1"/>
      </w:numPr>
      <w:spacing w:before="260" w:beforeLines="0" w:beforeAutospacing="0" w:after="260" w:afterLines="0" w:afterAutospacing="0" w:line="413" w:lineRule="auto"/>
      <w:ind w:left="240"/>
      <w:outlineLvl w:val="1"/>
    </w:pPr>
    <w:rPr>
      <w:rFonts w:ascii="Arial" w:hAnsi="Arial" w:eastAsia="黑体"/>
      <w:b/>
      <w:sz w:val="32"/>
    </w:rPr>
  </w:style>
  <w:style w:type="paragraph" w:styleId="3">
    <w:name w:val="heading 3"/>
    <w:basedOn w:val="1"/>
    <w:next w:val="1"/>
    <w:semiHidden/>
    <w:unhideWhenUsed/>
    <w:qFormat/>
    <w:uiPriority w:val="0"/>
    <w:pPr>
      <w:keepNext/>
      <w:keepLines/>
      <w:numPr>
        <w:ilvl w:val="0"/>
        <w:numId w:val="1"/>
      </w:numPr>
      <w:spacing w:before="50" w:after="50" w:line="416" w:lineRule="auto"/>
      <w:outlineLvl w:val="2"/>
    </w:pPr>
    <w:rPr>
      <w:rFonts w:ascii="宋体" w:hAnsi="宋体" w:eastAsia="宋体" w:cs="Times New Roman"/>
      <w:b/>
      <w:bCs/>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2550</Words>
  <Characters>2883</Characters>
  <Lines>0</Lines>
  <Paragraphs>0</Paragraphs>
  <TotalTime>0</TotalTime>
  <ScaleCrop>false</ScaleCrop>
  <LinksUpToDate>false</LinksUpToDate>
  <CharactersWithSpaces>2913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2025-07-30T08:06:00Z</dcterms:created>
  <dc:creator>zjyd-2</dc:creator>
  <cp:lastModifiedBy>冯士峰</cp:lastModifiedBy>
  <dcterms:modified xsi:type="dcterms:W3CDTF">2026-09-30T11:25:18Z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CF58DBFDBD8A45269F9CDECC14BC5366_12</vt:lpwstr>
  </property>
  <property fmtid="{D5CDD505-2E9C-101B-9397-08002B2CF9AE}" pid="4" name="KSOTemplateDocerSaveRecord">
    <vt:lpwstr>eyJoZGlkIjoiMjNhMGNiNzBmYzRmYmU1YWU1ZDVjYzI3MTI0YTIzZjQiLCJ1c2VySWQiOiIxNjg3ODQzOTczIn0=</vt:lpwstr>
  </property>
</Properties>
</file>