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2E2683">
      <w:pPr>
        <w:keepNext w:val="0"/>
        <w:keepLines w:val="0"/>
        <w:pageBreakBefore w:val="0"/>
        <w:widowControl w:val="0"/>
        <w:kinsoku/>
        <w:wordWrap w:val="0"/>
        <w:overflowPunct/>
        <w:topLinePunct w:val="0"/>
        <w:autoSpaceDE/>
        <w:autoSpaceDN/>
        <w:bidi w:val="0"/>
        <w:adjustRightInd/>
        <w:snapToGrid/>
        <w:spacing w:line="360" w:lineRule="auto"/>
        <w:textAlignment w:val="auto"/>
        <w:outlineLvl w:val="3"/>
        <w:rPr>
          <w:b/>
          <w:color w:val="auto"/>
          <w:sz w:val="24"/>
          <w:szCs w:val="24"/>
          <w:highlight w:val="none"/>
        </w:rPr>
      </w:pPr>
      <w:r>
        <w:rPr>
          <w:b/>
          <w:color w:val="auto"/>
          <w:sz w:val="24"/>
          <w:szCs w:val="24"/>
          <w:highlight w:val="none"/>
        </w:rPr>
        <w:t>附件1：</w:t>
      </w:r>
      <w:bookmarkStart w:id="0" w:name="_Toc404712451"/>
      <w:r>
        <w:rPr>
          <w:b/>
          <w:color w:val="auto"/>
          <w:sz w:val="24"/>
          <w:szCs w:val="24"/>
          <w:highlight w:val="none"/>
        </w:rPr>
        <w:t>资格审查条件</w:t>
      </w:r>
      <w:bookmarkEnd w:id="0"/>
      <w:bookmarkStart w:id="1" w:name="_GoBack"/>
      <w:bookmarkEnd w:id="1"/>
    </w:p>
    <w:p w14:paraId="73B9763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color w:val="auto"/>
          <w:highlight w:val="none"/>
        </w:rPr>
      </w:pPr>
      <w:r>
        <w:rPr>
          <w:b/>
          <w:color w:val="auto"/>
          <w:sz w:val="24"/>
          <w:highlight w:val="none"/>
        </w:rPr>
        <w:t>附录1  资格审查条件（资质最低要求）</w:t>
      </w:r>
    </w:p>
    <w:tbl>
      <w:tblPr>
        <w:tblStyle w:val="8"/>
        <w:tblpPr w:leftFromText="181" w:rightFromText="181" w:vertAnchor="text" w:horzAnchor="margin" w:tblpXSpec="center" w:tblpY="30"/>
        <w:tblW w:w="4733"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28" w:type="dxa"/>
          <w:left w:w="28" w:type="dxa"/>
          <w:bottom w:w="28" w:type="dxa"/>
          <w:right w:w="28" w:type="dxa"/>
        </w:tblCellMar>
      </w:tblPr>
      <w:tblGrid>
        <w:gridCol w:w="7915"/>
      </w:tblGrid>
      <w:tr w14:paraId="713A84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542" w:hRule="atLeast"/>
          <w:tblHeader/>
          <w:jc w:val="center"/>
        </w:trPr>
        <w:tc>
          <w:tcPr>
            <w:tcW w:w="8640" w:type="dxa"/>
            <w:tcBorders>
              <w:left w:val="single" w:color="auto" w:sz="4" w:space="0"/>
            </w:tcBorders>
            <w:vAlign w:val="center"/>
          </w:tcPr>
          <w:p w14:paraId="41D696E2">
            <w:pPr>
              <w:wordWrap w:val="0"/>
              <w:adjustRightInd w:val="0"/>
              <w:snapToGrid w:val="0"/>
              <w:jc w:val="center"/>
              <w:rPr>
                <w:b/>
                <w:bCs/>
                <w:color w:val="auto"/>
                <w:szCs w:val="21"/>
                <w:highlight w:val="none"/>
              </w:rPr>
            </w:pPr>
            <w:r>
              <w:rPr>
                <w:b/>
                <w:bCs/>
                <w:color w:val="auto"/>
                <w:szCs w:val="21"/>
                <w:highlight w:val="none"/>
              </w:rPr>
              <w:t>资质要求</w:t>
            </w:r>
          </w:p>
        </w:tc>
      </w:tr>
      <w:tr w14:paraId="1A416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681" w:hRule="atLeast"/>
          <w:jc w:val="center"/>
        </w:trPr>
        <w:tc>
          <w:tcPr>
            <w:tcW w:w="8640" w:type="dxa"/>
            <w:vMerge w:val="restart"/>
            <w:tcBorders>
              <w:left w:val="single" w:color="auto" w:sz="4" w:space="0"/>
            </w:tcBorders>
            <w:vAlign w:val="center"/>
          </w:tcPr>
          <w:p w14:paraId="429871AA">
            <w:pPr>
              <w:adjustRightInd w:val="0"/>
              <w:snapToGrid w:val="0"/>
              <w:rPr>
                <w:rFonts w:ascii="宋体" w:hAnsi="宋体" w:cs="宋体"/>
                <w:color w:val="auto"/>
                <w:szCs w:val="21"/>
                <w:highlight w:val="none"/>
              </w:rPr>
            </w:pPr>
            <w:r>
              <w:rPr>
                <w:rFonts w:hint="eastAsia" w:ascii="宋体" w:hAnsi="宋体" w:cs="宋体"/>
                <w:color w:val="auto"/>
                <w:szCs w:val="21"/>
                <w:highlight w:val="none"/>
              </w:rPr>
              <w:t>制造商：</w:t>
            </w:r>
            <w:r>
              <w:rPr>
                <w:rFonts w:hint="eastAsia" w:ascii="宋体" w:hAnsi="宋体"/>
                <w:color w:val="auto"/>
                <w:szCs w:val="21"/>
                <w:highlight w:val="none"/>
              </w:rPr>
              <w:t>中华人民共和国境内的法人或其他组织，持有有效的营业执照</w:t>
            </w:r>
            <w:r>
              <w:rPr>
                <w:rFonts w:hint="eastAsia" w:ascii="宋体" w:hAnsi="宋体" w:cs="宋体"/>
                <w:color w:val="auto"/>
                <w:szCs w:val="21"/>
                <w:highlight w:val="none"/>
              </w:rPr>
              <w:t>；</w:t>
            </w:r>
          </w:p>
          <w:p w14:paraId="5E646B75">
            <w:pPr>
              <w:wordWrap w:val="0"/>
              <w:adjustRightInd w:val="0"/>
              <w:snapToGrid w:val="0"/>
              <w:rPr>
                <w:rFonts w:ascii="宋体" w:hAnsi="宋体" w:cs="宋体"/>
                <w:color w:val="auto"/>
                <w:szCs w:val="21"/>
                <w:highlight w:val="none"/>
              </w:rPr>
            </w:pPr>
            <w:r>
              <w:rPr>
                <w:rFonts w:hint="eastAsia" w:ascii="宋体" w:hAnsi="宋体" w:cs="宋体"/>
                <w:color w:val="auto"/>
                <w:szCs w:val="21"/>
                <w:highlight w:val="none"/>
              </w:rPr>
              <w:t>代理商：</w:t>
            </w:r>
            <w:r>
              <w:rPr>
                <w:rFonts w:hint="eastAsia" w:ascii="宋体" w:hAnsi="宋体"/>
                <w:color w:val="auto"/>
                <w:szCs w:val="21"/>
                <w:highlight w:val="none"/>
              </w:rPr>
              <w:t>中华人民共和国境内的法人或其他组织，持有有效的营业执照</w:t>
            </w:r>
            <w:r>
              <w:rPr>
                <w:rFonts w:hint="eastAsia" w:ascii="宋体" w:hAnsi="宋体" w:cs="宋体"/>
                <w:color w:val="auto"/>
                <w:szCs w:val="21"/>
                <w:highlight w:val="none"/>
              </w:rPr>
              <w:t>，具有制造商出具的针对本招标项目所投网络安全设备（防火墙）的唯一授权书，且该制造商满足前述关于“制造商”的要求。</w:t>
            </w:r>
          </w:p>
        </w:tc>
      </w:tr>
      <w:tr w14:paraId="7B79E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467" w:hRule="atLeast"/>
          <w:jc w:val="center"/>
        </w:trPr>
        <w:tc>
          <w:tcPr>
            <w:tcW w:w="8640" w:type="dxa"/>
            <w:vMerge w:val="continue"/>
            <w:tcBorders>
              <w:left w:val="single" w:color="auto" w:sz="4" w:space="0"/>
            </w:tcBorders>
            <w:vAlign w:val="center"/>
          </w:tcPr>
          <w:p w14:paraId="0985CB82">
            <w:pPr>
              <w:wordWrap w:val="0"/>
              <w:adjustRightInd w:val="0"/>
              <w:snapToGrid w:val="0"/>
              <w:rPr>
                <w:rFonts w:ascii="宋体" w:hAnsi="宋体" w:cs="宋体"/>
                <w:color w:val="auto"/>
                <w:szCs w:val="21"/>
                <w:highlight w:val="none"/>
              </w:rPr>
            </w:pPr>
          </w:p>
        </w:tc>
      </w:tr>
    </w:tbl>
    <w:p w14:paraId="308F06D3">
      <w:pPr>
        <w:wordWrap w:val="0"/>
        <w:jc w:val="center"/>
        <w:rPr>
          <w:b/>
          <w:color w:val="auto"/>
          <w:sz w:val="24"/>
          <w:highlight w:val="none"/>
        </w:rPr>
      </w:pPr>
    </w:p>
    <w:p w14:paraId="008A6B49">
      <w:pPr>
        <w:wordWrap w:val="0"/>
        <w:jc w:val="center"/>
        <w:rPr>
          <w:b/>
          <w:color w:val="auto"/>
          <w:sz w:val="24"/>
          <w:highlight w:val="none"/>
        </w:rPr>
      </w:pPr>
    </w:p>
    <w:p w14:paraId="36A3D3EB">
      <w:pPr>
        <w:wordWrap w:val="0"/>
        <w:jc w:val="center"/>
        <w:rPr>
          <w:b/>
          <w:color w:val="auto"/>
          <w:sz w:val="24"/>
          <w:highlight w:val="none"/>
        </w:rPr>
      </w:pPr>
      <w:r>
        <w:rPr>
          <w:b/>
          <w:color w:val="auto"/>
          <w:sz w:val="24"/>
          <w:highlight w:val="none"/>
        </w:rPr>
        <w:t>附录</w:t>
      </w:r>
      <w:r>
        <w:rPr>
          <w:rFonts w:hint="eastAsia"/>
          <w:b/>
          <w:color w:val="auto"/>
          <w:sz w:val="24"/>
          <w:highlight w:val="none"/>
        </w:rPr>
        <w:t>2</w:t>
      </w:r>
      <w:r>
        <w:rPr>
          <w:b/>
          <w:color w:val="auto"/>
          <w:sz w:val="24"/>
          <w:highlight w:val="none"/>
        </w:rPr>
        <w:t xml:space="preserve">  资格审查条件（业绩最低要求）</w:t>
      </w:r>
    </w:p>
    <w:tbl>
      <w:tblPr>
        <w:tblStyle w:val="8"/>
        <w:tblW w:w="4742" w:type="pct"/>
        <w:tblInd w:w="2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887"/>
      </w:tblGrid>
      <w:tr w14:paraId="2AF6E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8" w:hRule="atLeast"/>
        </w:trPr>
        <w:tc>
          <w:tcPr>
            <w:tcW w:w="5000" w:type="pct"/>
            <w:vAlign w:val="center"/>
          </w:tcPr>
          <w:p w14:paraId="5BAF8F2E">
            <w:pPr>
              <w:wordWrap w:val="0"/>
              <w:adjustRightInd w:val="0"/>
              <w:snapToGrid w:val="0"/>
              <w:jc w:val="center"/>
              <w:rPr>
                <w:b/>
                <w:color w:val="auto"/>
                <w:szCs w:val="21"/>
                <w:highlight w:val="none"/>
                <w:shd w:val="clear" w:color="auto" w:fill="FFFFFF"/>
              </w:rPr>
            </w:pPr>
            <w:r>
              <w:rPr>
                <w:b/>
                <w:color w:val="auto"/>
                <w:szCs w:val="21"/>
                <w:highlight w:val="none"/>
                <w:shd w:val="clear" w:color="auto" w:fill="FFFFFF"/>
              </w:rPr>
              <w:t>业绩要求</w:t>
            </w:r>
          </w:p>
        </w:tc>
      </w:tr>
      <w:tr w14:paraId="371B4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7" w:hRule="atLeast"/>
        </w:trPr>
        <w:tc>
          <w:tcPr>
            <w:tcW w:w="5000" w:type="pct"/>
            <w:vAlign w:val="center"/>
          </w:tcPr>
          <w:p w14:paraId="6078854C">
            <w:pPr>
              <w:pStyle w:val="14"/>
              <w:spacing w:line="360" w:lineRule="auto"/>
              <w:ind w:firstLine="420" w:firstLineChars="200"/>
              <w:jc w:val="left"/>
              <w:rPr>
                <w:rFonts w:ascii="Times New Roman" w:hAnsi="Times New Roman" w:cs="Times New Roman"/>
                <w:color w:val="auto"/>
                <w:sz w:val="21"/>
                <w:szCs w:val="22"/>
                <w:highlight w:val="none"/>
                <w:lang w:eastAsia="zh-CN"/>
              </w:rPr>
            </w:pPr>
            <w:r>
              <w:rPr>
                <w:rFonts w:hint="eastAsia" w:ascii="Times New Roman" w:hAnsi="Times New Roman" w:cs="Times New Roman"/>
                <w:color w:val="auto"/>
                <w:sz w:val="21"/>
                <w:szCs w:val="22"/>
                <w:highlight w:val="none"/>
                <w:lang w:eastAsia="zh-CN"/>
              </w:rPr>
              <w:t>投标人近3年内(2023年10月1日至投标截止时间，以合同签订时间为准)，至少具有一项所投品牌网络安全设备（含防火墙）的供货业绩。</w:t>
            </w:r>
          </w:p>
        </w:tc>
      </w:tr>
    </w:tbl>
    <w:p w14:paraId="7025D098">
      <w:pPr>
        <w:pStyle w:val="14"/>
        <w:spacing w:line="360" w:lineRule="auto"/>
        <w:ind w:firstLine="420" w:firstLineChars="200"/>
        <w:jc w:val="left"/>
        <w:rPr>
          <w:rFonts w:ascii="Times New Roman" w:hAnsi="Times New Roman" w:cs="Times New Roman"/>
          <w:color w:val="auto"/>
          <w:sz w:val="21"/>
          <w:szCs w:val="22"/>
          <w:highlight w:val="none"/>
          <w:lang w:eastAsia="zh-CN"/>
        </w:rPr>
      </w:pPr>
      <w:r>
        <w:rPr>
          <w:rFonts w:hint="eastAsia" w:ascii="Times New Roman" w:hAnsi="Times New Roman" w:cs="Times New Roman"/>
          <w:color w:val="auto"/>
          <w:sz w:val="21"/>
          <w:szCs w:val="22"/>
          <w:highlight w:val="none"/>
          <w:lang w:eastAsia="zh-CN"/>
        </w:rPr>
        <w:t>注：业绩不包含制造商和代理商签订的合同。</w:t>
      </w:r>
    </w:p>
    <w:p w14:paraId="6075D0FD">
      <w:pPr>
        <w:pStyle w:val="14"/>
        <w:spacing w:line="360" w:lineRule="auto"/>
        <w:ind w:firstLine="964" w:firstLineChars="400"/>
        <w:jc w:val="left"/>
        <w:rPr>
          <w:b/>
          <w:strike/>
          <w:color w:val="auto"/>
          <w:sz w:val="24"/>
          <w:highlight w:val="none"/>
          <w:lang w:eastAsia="zh-CN"/>
        </w:rPr>
      </w:pPr>
    </w:p>
    <w:p w14:paraId="3F094806">
      <w:pPr>
        <w:wordWrap w:val="0"/>
        <w:jc w:val="center"/>
        <w:rPr>
          <w:b/>
          <w:color w:val="auto"/>
          <w:sz w:val="24"/>
          <w:highlight w:val="none"/>
        </w:rPr>
      </w:pPr>
    </w:p>
    <w:p w14:paraId="6A25EE09">
      <w:pPr>
        <w:wordWrap w:val="0"/>
        <w:jc w:val="center"/>
        <w:rPr>
          <w:b/>
          <w:color w:val="auto"/>
          <w:sz w:val="24"/>
          <w:highlight w:val="none"/>
        </w:rPr>
      </w:pPr>
    </w:p>
    <w:p w14:paraId="0F3A42F2">
      <w:pPr>
        <w:wordWrap w:val="0"/>
        <w:jc w:val="center"/>
        <w:rPr>
          <w:color w:val="auto"/>
          <w:highlight w:val="none"/>
        </w:rPr>
      </w:pPr>
      <w:r>
        <w:rPr>
          <w:b/>
          <w:color w:val="auto"/>
          <w:sz w:val="24"/>
          <w:highlight w:val="none"/>
        </w:rPr>
        <w:t>附录3  资格审查条件（信誉最低要求）</w:t>
      </w:r>
    </w:p>
    <w:tbl>
      <w:tblPr>
        <w:tblStyle w:val="8"/>
        <w:tblW w:w="468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7982"/>
      </w:tblGrid>
      <w:tr w14:paraId="31A8FB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24" w:hRule="atLeast"/>
          <w:jc w:val="center"/>
        </w:trPr>
        <w:tc>
          <w:tcPr>
            <w:tcW w:w="5000" w:type="pct"/>
            <w:vAlign w:val="center"/>
          </w:tcPr>
          <w:p w14:paraId="0F33CAED">
            <w:pPr>
              <w:wordWrap w:val="0"/>
              <w:adjustRightInd w:val="0"/>
              <w:snapToGrid w:val="0"/>
              <w:jc w:val="center"/>
              <w:rPr>
                <w:b/>
                <w:color w:val="auto"/>
                <w:szCs w:val="21"/>
                <w:highlight w:val="none"/>
              </w:rPr>
            </w:pPr>
            <w:r>
              <w:rPr>
                <w:b/>
                <w:color w:val="auto"/>
                <w:szCs w:val="21"/>
                <w:highlight w:val="none"/>
              </w:rPr>
              <w:t>信誉要求</w:t>
            </w:r>
          </w:p>
        </w:tc>
      </w:tr>
      <w:tr w14:paraId="736C14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171" w:hRule="atLeast"/>
          <w:jc w:val="center"/>
        </w:trPr>
        <w:tc>
          <w:tcPr>
            <w:tcW w:w="5000" w:type="pct"/>
            <w:vAlign w:val="center"/>
          </w:tcPr>
          <w:p w14:paraId="522AEB6F">
            <w:pPr>
              <w:wordWrap w:val="0"/>
              <w:rPr>
                <w:color w:val="auto"/>
                <w:highlight w:val="none"/>
              </w:rPr>
            </w:pPr>
            <w:r>
              <w:rPr>
                <w:color w:val="auto"/>
                <w:highlight w:val="none"/>
              </w:rPr>
              <w:t>投标人在近一年（</w:t>
            </w:r>
            <w:r>
              <w:rPr>
                <w:rFonts w:hint="eastAsia"/>
                <w:color w:val="auto"/>
                <w:highlight w:val="none"/>
              </w:rPr>
              <w:t>2025年</w:t>
            </w:r>
            <w:r>
              <w:rPr>
                <w:rFonts w:hint="eastAsia" w:eastAsia="宋体"/>
                <w:color w:val="auto"/>
                <w:highlight w:val="none"/>
                <w:lang w:eastAsia="zh-CN"/>
              </w:rPr>
              <w:t>10月</w:t>
            </w:r>
            <w:r>
              <w:rPr>
                <w:rFonts w:hint="eastAsia"/>
                <w:color w:val="auto"/>
                <w:highlight w:val="none"/>
              </w:rPr>
              <w:t>1日</w:t>
            </w:r>
            <w:r>
              <w:rPr>
                <w:color w:val="auto"/>
                <w:highlight w:val="none"/>
              </w:rPr>
              <w:t>至投标截止时间）不曾在</w:t>
            </w:r>
            <w:r>
              <w:rPr>
                <w:rFonts w:hint="eastAsia"/>
                <w:color w:val="auto"/>
                <w:highlight w:val="none"/>
              </w:rPr>
              <w:t>所投品牌网络安全设备</w:t>
            </w:r>
            <w:r>
              <w:rPr>
                <w:color w:val="auto"/>
                <w:highlight w:val="none"/>
              </w:rPr>
              <w:t>供货</w:t>
            </w:r>
            <w:r>
              <w:rPr>
                <w:rFonts w:hint="eastAsia"/>
                <w:color w:val="auto"/>
                <w:highlight w:val="none"/>
              </w:rPr>
              <w:t>合同</w:t>
            </w:r>
            <w:r>
              <w:rPr>
                <w:color w:val="auto"/>
                <w:highlight w:val="none"/>
              </w:rPr>
              <w:t>中违约被</w:t>
            </w:r>
            <w:r>
              <w:rPr>
                <w:rFonts w:hint="eastAsia"/>
                <w:color w:val="auto"/>
                <w:highlight w:val="none"/>
              </w:rPr>
              <w:t>驱逐</w:t>
            </w:r>
            <w:r>
              <w:rPr>
                <w:color w:val="auto"/>
                <w:highlight w:val="none"/>
              </w:rPr>
              <w:t>或因投标人自身的原因而使合同被解除。</w:t>
            </w:r>
          </w:p>
        </w:tc>
      </w:tr>
    </w:tbl>
    <w:p w14:paraId="321D82CC">
      <w:pPr>
        <w:wordWrap w:val="0"/>
        <w:rPr>
          <w:b/>
          <w:color w:val="auto"/>
          <w:sz w:val="24"/>
          <w:highlight w:val="none"/>
        </w:rPr>
      </w:pPr>
    </w:p>
    <w:p w14:paraId="6CFA5963">
      <w:pPr>
        <w:wordWrap w:val="0"/>
        <w:rPr>
          <w:b/>
          <w:color w:val="auto"/>
          <w:sz w:val="24"/>
          <w:highlight w:val="none"/>
        </w:rPr>
      </w:pPr>
    </w:p>
    <w:p w14:paraId="71FDC1CE">
      <w:pPr>
        <w:wordWrap w:val="0"/>
        <w:autoSpaceDE w:val="0"/>
        <w:autoSpaceDN w:val="0"/>
        <w:adjustRightInd w:val="0"/>
        <w:ind w:right="-20"/>
        <w:jc w:val="left"/>
        <w:outlineLvl w:val="3"/>
        <w:rPr>
          <w:b/>
          <w:color w:val="auto"/>
          <w:sz w:val="28"/>
          <w:szCs w:val="28"/>
          <w:highlight w:val="none"/>
        </w:rPr>
      </w:pPr>
      <w:r>
        <w:rPr>
          <w:b/>
          <w:color w:val="auto"/>
          <w:sz w:val="28"/>
          <w:szCs w:val="28"/>
          <w:highlight w:val="none"/>
        </w:rPr>
        <w:br w:type="page"/>
      </w:r>
      <w:r>
        <w:rPr>
          <w:b/>
          <w:color w:val="auto"/>
          <w:sz w:val="24"/>
          <w:szCs w:val="24"/>
          <w:highlight w:val="none"/>
        </w:rPr>
        <w:t>附件2：评标办法</w:t>
      </w:r>
    </w:p>
    <w:p w14:paraId="47C722D5">
      <w:pPr>
        <w:pStyle w:val="4"/>
        <w:wordWrap w:val="0"/>
        <w:spacing w:before="120"/>
        <w:ind w:left="0"/>
        <w:rPr>
          <w:color w:val="auto"/>
          <w:spacing w:val="1"/>
          <w:sz w:val="28"/>
          <w:szCs w:val="28"/>
          <w:highlight w:val="none"/>
          <w:lang w:eastAsia="zh-CN"/>
        </w:rPr>
      </w:pPr>
      <w:r>
        <w:rPr>
          <w:rFonts w:hint="eastAsia"/>
          <w:color w:val="auto"/>
          <w:spacing w:val="2"/>
          <w:highlight w:val="none"/>
          <w:lang w:eastAsia="zh-CN"/>
        </w:rPr>
        <w:t>评标办法前附表</w:t>
      </w:r>
    </w:p>
    <w:tbl>
      <w:tblPr>
        <w:tblStyle w:val="8"/>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43"/>
        <w:gridCol w:w="1317"/>
        <w:gridCol w:w="7197"/>
      </w:tblGrid>
      <w:tr w14:paraId="48F8F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19" w:hRule="atLeast"/>
          <w:tblHeader/>
          <w:jc w:val="center"/>
        </w:trPr>
        <w:tc>
          <w:tcPr>
            <w:tcW w:w="2460" w:type="dxa"/>
            <w:gridSpan w:val="2"/>
            <w:vAlign w:val="center"/>
          </w:tcPr>
          <w:p w14:paraId="57B06745">
            <w:pPr>
              <w:adjustRightInd w:val="0"/>
              <w:snapToGrid w:val="0"/>
              <w:spacing w:line="320" w:lineRule="exact"/>
              <w:jc w:val="center"/>
              <w:rPr>
                <w:rFonts w:ascii="宋体" w:hAnsi="宋体" w:cs="宋体"/>
                <w:b/>
                <w:color w:val="auto"/>
                <w:szCs w:val="21"/>
                <w:highlight w:val="none"/>
              </w:rPr>
            </w:pPr>
            <w:r>
              <w:rPr>
                <w:rFonts w:hint="eastAsia" w:ascii="宋体" w:hAnsi="宋体" w:cs="宋体"/>
                <w:b/>
                <w:color w:val="auto"/>
                <w:szCs w:val="21"/>
                <w:highlight w:val="none"/>
              </w:rPr>
              <w:t>条款号</w:t>
            </w:r>
          </w:p>
        </w:tc>
        <w:tc>
          <w:tcPr>
            <w:tcW w:w="7197" w:type="dxa"/>
            <w:vAlign w:val="center"/>
          </w:tcPr>
          <w:p w14:paraId="54605B47">
            <w:pPr>
              <w:adjustRightInd w:val="0"/>
              <w:snapToGrid w:val="0"/>
              <w:spacing w:line="320" w:lineRule="exact"/>
              <w:jc w:val="center"/>
              <w:rPr>
                <w:rFonts w:ascii="宋体" w:hAnsi="宋体" w:cs="宋体"/>
                <w:b/>
                <w:color w:val="auto"/>
                <w:szCs w:val="21"/>
                <w:highlight w:val="none"/>
              </w:rPr>
            </w:pPr>
            <w:r>
              <w:rPr>
                <w:rFonts w:hint="eastAsia" w:ascii="宋体" w:hAnsi="宋体" w:cs="宋体"/>
                <w:b/>
                <w:color w:val="auto"/>
                <w:szCs w:val="21"/>
                <w:highlight w:val="none"/>
              </w:rPr>
              <w:t>评审因素与标准</w:t>
            </w:r>
          </w:p>
        </w:tc>
      </w:tr>
      <w:tr w14:paraId="2DB26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677" w:hRule="atLeast"/>
          <w:jc w:val="center"/>
        </w:trPr>
        <w:tc>
          <w:tcPr>
            <w:tcW w:w="1143" w:type="dxa"/>
            <w:vAlign w:val="center"/>
          </w:tcPr>
          <w:p w14:paraId="6307968D">
            <w:pPr>
              <w:snapToGrid w:val="0"/>
              <w:spacing w:line="320" w:lineRule="exact"/>
              <w:jc w:val="center"/>
              <w:rPr>
                <w:rFonts w:ascii="宋体" w:hAnsi="宋体" w:cs="宋体"/>
                <w:b/>
                <w:color w:val="auto"/>
                <w:szCs w:val="21"/>
                <w:highlight w:val="none"/>
              </w:rPr>
            </w:pPr>
            <w:r>
              <w:rPr>
                <w:rFonts w:hint="eastAsia" w:ascii="宋体" w:hAnsi="宋体" w:cs="宋体"/>
                <w:b/>
                <w:color w:val="auto"/>
                <w:szCs w:val="21"/>
                <w:highlight w:val="none"/>
              </w:rPr>
              <w:t>1</w:t>
            </w:r>
          </w:p>
        </w:tc>
        <w:tc>
          <w:tcPr>
            <w:tcW w:w="1317" w:type="dxa"/>
            <w:vAlign w:val="center"/>
          </w:tcPr>
          <w:p w14:paraId="54B52BED">
            <w:pPr>
              <w:snapToGrid w:val="0"/>
              <w:spacing w:line="320" w:lineRule="exact"/>
              <w:jc w:val="center"/>
              <w:rPr>
                <w:rFonts w:ascii="宋体" w:hAnsi="宋体" w:cs="宋体"/>
                <w:b/>
                <w:color w:val="auto"/>
                <w:szCs w:val="21"/>
                <w:highlight w:val="none"/>
              </w:rPr>
            </w:pPr>
            <w:r>
              <w:rPr>
                <w:rFonts w:hint="eastAsia" w:ascii="宋体" w:hAnsi="宋体" w:cs="宋体"/>
                <w:color w:val="auto"/>
                <w:szCs w:val="21"/>
                <w:highlight w:val="none"/>
              </w:rPr>
              <w:t>评标办法</w:t>
            </w:r>
          </w:p>
        </w:tc>
        <w:tc>
          <w:tcPr>
            <w:tcW w:w="7197" w:type="dxa"/>
            <w:vAlign w:val="center"/>
          </w:tcPr>
          <w:p w14:paraId="7F283EB9">
            <w:pPr>
              <w:wordWrap w:val="0"/>
              <w:adjustRightInd w:val="0"/>
              <w:snapToGrid w:val="0"/>
              <w:spacing w:line="320" w:lineRule="exact"/>
              <w:jc w:val="left"/>
              <w:rPr>
                <w:rFonts w:ascii="宋体" w:hAnsi="宋体" w:cs="Arial"/>
                <w:color w:val="auto"/>
                <w:kern w:val="0"/>
                <w:szCs w:val="21"/>
                <w:highlight w:val="none"/>
              </w:rPr>
            </w:pPr>
            <w:r>
              <w:rPr>
                <w:rFonts w:hint="eastAsia" w:ascii="宋体" w:hAnsi="宋体" w:cs="Arial"/>
                <w:color w:val="auto"/>
                <w:kern w:val="0"/>
                <w:szCs w:val="21"/>
                <w:highlight w:val="none"/>
              </w:rPr>
              <w:t>本条修改为：</w:t>
            </w:r>
          </w:p>
          <w:p w14:paraId="2D456945">
            <w:pPr>
              <w:widowControl/>
              <w:snapToGrid w:val="0"/>
              <w:spacing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本次评标采用技术评分最低标价法，双信封形式。</w:t>
            </w:r>
          </w:p>
          <w:p w14:paraId="7F1A3FD9">
            <w:pPr>
              <w:widowControl/>
              <w:snapToGrid w:val="0"/>
              <w:spacing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评标委员会对满足招标文件实质性要求的投标文件第一个信封，按照本章第2.2款规定的评分标准进行打分，并按综合得分由高到低顺序确定</w:t>
            </w:r>
            <w:r>
              <w:rPr>
                <w:rFonts w:hint="eastAsia" w:ascii="宋体" w:hAnsi="宋体" w:cs="宋体"/>
                <w:b/>
                <w:bCs/>
                <w:color w:val="auto"/>
                <w:kern w:val="0"/>
                <w:szCs w:val="21"/>
                <w:highlight w:val="none"/>
              </w:rPr>
              <w:t>前3名</w:t>
            </w:r>
            <w:r>
              <w:rPr>
                <w:rFonts w:hint="eastAsia" w:ascii="宋体" w:hAnsi="宋体" w:cs="宋体"/>
                <w:color w:val="auto"/>
                <w:kern w:val="0"/>
                <w:szCs w:val="21"/>
                <w:highlight w:val="none"/>
              </w:rPr>
              <w:t>投标人进入第二个信封评审。若综合得分相同，以技术部分得分高的投标人优先，技术部分得分也相同的，以技术部分（明标）得分高的投标人优先；技术部分（明标）得分也相同的，以</w:t>
            </w:r>
            <w:r>
              <w:rPr>
                <w:rFonts w:hint="eastAsia" w:ascii="宋体" w:hAnsi="宋体" w:cs="宋体"/>
                <w:color w:val="auto"/>
                <w:szCs w:val="21"/>
                <w:highlight w:val="none"/>
              </w:rPr>
              <w:t>满足资格审查条件附录2（业绩最低要求）要求的累计业绩数量多的投标人优先</w:t>
            </w:r>
            <w:r>
              <w:rPr>
                <w:rFonts w:hint="eastAsia" w:ascii="宋体" w:hAnsi="宋体" w:cs="宋体"/>
                <w:color w:val="auto"/>
                <w:kern w:val="0"/>
                <w:szCs w:val="21"/>
                <w:highlight w:val="none"/>
              </w:rPr>
              <w:t>。</w:t>
            </w:r>
          </w:p>
          <w:p w14:paraId="7CA7FEDD">
            <w:pPr>
              <w:widowControl/>
              <w:snapToGrid w:val="0"/>
              <w:spacing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未通过第信封评审或综合得分未进入前3名的投标人，其第二信封在整个评标期间不再开封，不随任何因素发生变化。</w:t>
            </w:r>
          </w:p>
          <w:p w14:paraId="2188E974">
            <w:pPr>
              <w:snapToGrid w:val="0"/>
              <w:spacing w:line="320" w:lineRule="exact"/>
              <w:ind w:firstLine="420" w:firstLineChars="200"/>
              <w:rPr>
                <w:rFonts w:ascii="宋体" w:hAnsi="宋体" w:cs="Arial"/>
                <w:color w:val="auto"/>
                <w:kern w:val="0"/>
                <w:szCs w:val="21"/>
                <w:highlight w:val="none"/>
              </w:rPr>
            </w:pPr>
            <w:r>
              <w:rPr>
                <w:rFonts w:hint="eastAsia"/>
                <w:color w:val="auto"/>
                <w:szCs w:val="24"/>
                <w:highlight w:val="none"/>
              </w:rPr>
              <w:t>当通过第一个信封初步评审的投标人未超过3个时，评标委员</w:t>
            </w:r>
            <w:r>
              <w:rPr>
                <w:rFonts w:hint="eastAsia" w:ascii="宋体" w:hAnsi="宋体" w:cs="Arial"/>
                <w:color w:val="auto"/>
                <w:kern w:val="0"/>
                <w:szCs w:val="21"/>
                <w:highlight w:val="none"/>
              </w:rPr>
              <w:t>会不再进行打分，均进入第二个信封评审；</w:t>
            </w:r>
          </w:p>
          <w:p w14:paraId="296C547E">
            <w:pPr>
              <w:widowControl/>
              <w:snapToGrid w:val="0"/>
              <w:spacing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评标委员会按评标价由低到高的顺序，向招标人推荐1-3名中标候选人。</w:t>
            </w:r>
          </w:p>
          <w:p w14:paraId="6B0794D0">
            <w:pPr>
              <w:widowControl/>
              <w:snapToGrid w:val="0"/>
              <w:spacing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评标价相等时，评标委员会依次按照以下优先顺序推荐中标候选人：</w:t>
            </w:r>
          </w:p>
          <w:p w14:paraId="4BCDF7E1">
            <w:pPr>
              <w:widowControl/>
              <w:snapToGrid w:val="0"/>
              <w:spacing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Arial"/>
                <w:color w:val="auto"/>
                <w:kern w:val="0"/>
                <w:szCs w:val="21"/>
                <w:highlight w:val="none"/>
              </w:rPr>
              <w:t>技术得分较高的投标人优先；</w:t>
            </w:r>
          </w:p>
          <w:p w14:paraId="10B89527">
            <w:pPr>
              <w:widowControl/>
              <w:snapToGrid w:val="0"/>
              <w:spacing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（2）第一个信封技术部分（明标）得分较高的优先；</w:t>
            </w:r>
          </w:p>
          <w:p w14:paraId="6C07ECDD">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kern w:val="0"/>
                <w:szCs w:val="21"/>
                <w:highlight w:val="none"/>
              </w:rPr>
              <w:t>（3）</w:t>
            </w:r>
            <w:r>
              <w:rPr>
                <w:rFonts w:hint="eastAsia" w:ascii="宋体" w:hAnsi="宋体" w:cs="宋体"/>
                <w:color w:val="auto"/>
                <w:szCs w:val="21"/>
                <w:highlight w:val="none"/>
              </w:rPr>
              <w:t>满足资格审查条件附录2（业绩最低要求）要求的累计业绩数量多的投标人优先。</w:t>
            </w:r>
          </w:p>
        </w:tc>
      </w:tr>
      <w:tr w14:paraId="299A8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20" w:hRule="atLeast"/>
          <w:jc w:val="center"/>
        </w:trPr>
        <w:tc>
          <w:tcPr>
            <w:tcW w:w="1143" w:type="dxa"/>
            <w:vAlign w:val="center"/>
          </w:tcPr>
          <w:p w14:paraId="4871F8CF">
            <w:pPr>
              <w:adjustRightInd w:val="0"/>
              <w:snapToGrid w:val="0"/>
              <w:spacing w:line="320" w:lineRule="exact"/>
              <w:jc w:val="center"/>
              <w:rPr>
                <w:rFonts w:ascii="宋体" w:hAnsi="宋体" w:cs="宋体"/>
                <w:color w:val="auto"/>
                <w:szCs w:val="21"/>
                <w:highlight w:val="none"/>
              </w:rPr>
            </w:pPr>
            <w:r>
              <w:rPr>
                <w:rFonts w:hint="eastAsia" w:ascii="宋体" w:hAnsi="宋体" w:cs="宋体"/>
                <w:color w:val="auto"/>
                <w:szCs w:val="21"/>
                <w:highlight w:val="none"/>
              </w:rPr>
              <w:t>2.1.1</w:t>
            </w:r>
          </w:p>
          <w:p w14:paraId="0496E0D8">
            <w:pPr>
              <w:adjustRightInd w:val="0"/>
              <w:snapToGrid w:val="0"/>
              <w:spacing w:line="320" w:lineRule="exact"/>
              <w:jc w:val="center"/>
              <w:rPr>
                <w:rFonts w:ascii="宋体" w:hAnsi="宋体" w:cs="宋体"/>
                <w:color w:val="auto"/>
                <w:szCs w:val="21"/>
                <w:highlight w:val="none"/>
              </w:rPr>
            </w:pPr>
            <w:r>
              <w:rPr>
                <w:rFonts w:hint="eastAsia" w:ascii="宋体" w:hAnsi="宋体" w:cs="宋体"/>
                <w:color w:val="auto"/>
                <w:szCs w:val="21"/>
                <w:highlight w:val="none"/>
              </w:rPr>
              <w:t>2.1.3</w:t>
            </w:r>
          </w:p>
        </w:tc>
        <w:tc>
          <w:tcPr>
            <w:tcW w:w="1317" w:type="dxa"/>
            <w:vAlign w:val="center"/>
          </w:tcPr>
          <w:p w14:paraId="35785744">
            <w:pPr>
              <w:adjustRightInd w:val="0"/>
              <w:snapToGrid w:val="0"/>
              <w:spacing w:line="320" w:lineRule="exact"/>
              <w:jc w:val="center"/>
              <w:rPr>
                <w:rFonts w:ascii="宋体" w:hAnsi="宋体" w:cs="宋体"/>
                <w:color w:val="auto"/>
                <w:szCs w:val="21"/>
                <w:highlight w:val="none"/>
              </w:rPr>
            </w:pPr>
            <w:r>
              <w:rPr>
                <w:rFonts w:hint="eastAsia" w:ascii="宋体" w:hAnsi="宋体" w:cs="宋体"/>
                <w:color w:val="auto"/>
                <w:szCs w:val="21"/>
                <w:highlight w:val="none"/>
              </w:rPr>
              <w:t>形式评审与响应性评审标准</w:t>
            </w:r>
          </w:p>
        </w:tc>
        <w:tc>
          <w:tcPr>
            <w:tcW w:w="7197" w:type="dxa"/>
            <w:vAlign w:val="center"/>
          </w:tcPr>
          <w:p w14:paraId="31E6D899">
            <w:pPr>
              <w:snapToGrid w:val="0"/>
              <w:spacing w:line="320" w:lineRule="exact"/>
              <w:ind w:firstLine="422" w:firstLineChars="200"/>
              <w:rPr>
                <w:rFonts w:ascii="宋体" w:hAnsi="宋体" w:cs="宋体"/>
                <w:color w:val="auto"/>
                <w:szCs w:val="21"/>
                <w:highlight w:val="none"/>
              </w:rPr>
            </w:pPr>
            <w:r>
              <w:rPr>
                <w:rFonts w:hint="eastAsia" w:ascii="宋体" w:hAnsi="宋体" w:cs="宋体"/>
                <w:b/>
                <w:bCs/>
                <w:color w:val="auto"/>
                <w:szCs w:val="21"/>
                <w:highlight w:val="none"/>
              </w:rPr>
              <w:t>第一个信封（商务文件及技术文件）评审标准：</w:t>
            </w:r>
          </w:p>
          <w:p w14:paraId="377976BD">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（1）投标文件按照招标文件规定的格式、内容填写，字迹清晰可辨：</w:t>
            </w:r>
          </w:p>
          <w:p w14:paraId="7D9AD49A">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a.投标函按照招标文件规定填报了招标人名称、项目名称、补遗书编号（如有）、交货地点、交货期、质量标准；</w:t>
            </w:r>
          </w:p>
          <w:p w14:paraId="70B1456E">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b.投标文件组成齐全完整，内容均按规定填写；</w:t>
            </w:r>
          </w:p>
          <w:p w14:paraId="32283404">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（2）投标文件上法定代表人或其委托代理人的签字、投标人的单位章盖章齐全，符合招标文件规定。</w:t>
            </w:r>
          </w:p>
          <w:p w14:paraId="0646E554">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（3）投标人按照招标文件的规定提供了投标保证金，满足投标人须知3.4.1规定。</w:t>
            </w:r>
          </w:p>
          <w:p w14:paraId="51F34577">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（4）投标人法定代表人授权委托代理人签署投标文件的，须提交授权委托书，授权委托书的签字盖章符合招标文件规定。</w:t>
            </w:r>
          </w:p>
          <w:p w14:paraId="43C86041">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（5）投标人法定代表人亲自签署投标文件的，提供了法定代表人身份证明,法定代表人身份证明的签字盖章符合招标文件规定。</w:t>
            </w:r>
          </w:p>
          <w:p w14:paraId="7ED726CB">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（6）投标人未以联合体形式投标。</w:t>
            </w:r>
          </w:p>
          <w:p w14:paraId="21E1EA30">
            <w:pPr>
              <w:snapToGrid w:val="0"/>
              <w:spacing w:line="320" w:lineRule="exact"/>
              <w:ind w:right="113" w:firstLine="420" w:firstLineChars="200"/>
              <w:rPr>
                <w:rFonts w:ascii="宋体" w:hAnsi="宋体" w:cs="宋体"/>
                <w:color w:val="auto"/>
                <w:szCs w:val="21"/>
                <w:highlight w:val="none"/>
              </w:rPr>
            </w:pPr>
            <w:r>
              <w:rPr>
                <w:rFonts w:hint="eastAsia" w:ascii="宋体" w:hAnsi="宋体" w:cs="宋体"/>
                <w:color w:val="auto"/>
                <w:szCs w:val="21"/>
                <w:highlight w:val="none"/>
              </w:rPr>
              <w:t>（7）投标人未对本项目进行分包。</w:t>
            </w:r>
          </w:p>
          <w:p w14:paraId="194C37B5">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（8）同一投标人未提交两个以上不同的投标文件。</w:t>
            </w:r>
          </w:p>
          <w:p w14:paraId="0B1D7A7D">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（9）投标文件中未出现有关投标报价的内容。</w:t>
            </w:r>
          </w:p>
          <w:p w14:paraId="59C8C47A">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（10）投标文件载明的招标项目完成期限未超过招标文件规定的时限。</w:t>
            </w:r>
          </w:p>
          <w:p w14:paraId="5C38B214">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（11）权利义务符合招标文件规定：</w:t>
            </w:r>
          </w:p>
          <w:p w14:paraId="4EB82642">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a．投标人应接受招标文件规定的风险划分原则，未提出新的风险划分办法；</w:t>
            </w:r>
          </w:p>
          <w:p w14:paraId="3C4C33FE">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b．投标人未增加发包人的责任范围，或减少投标人义务；</w:t>
            </w:r>
          </w:p>
          <w:p w14:paraId="14B01E14">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c．投标人未提出不同的工程验收、计量、支付办法；</w:t>
            </w:r>
          </w:p>
          <w:p w14:paraId="1E836BAE">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d．投标人对合同纠纷、事故处理办法未提出异议；</w:t>
            </w:r>
          </w:p>
          <w:p w14:paraId="14380ABE">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e．投标人在投标活动中无欺诈行为；</w:t>
            </w:r>
          </w:p>
          <w:p w14:paraId="6AF12EF2">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f．投标人未对合同条款有重要保留</w:t>
            </w:r>
          </w:p>
          <w:p w14:paraId="44AC92FF">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（12）投标文件对招标文件的实质性要求和条件作出响应。</w:t>
            </w:r>
          </w:p>
          <w:p w14:paraId="663FA671">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（13）投标文件中投标设备的主要技术指标满足招标文件（供货要求中带★的条款）的要求，并按照招标文件1.11.3款规定提供了技术支持资料。</w:t>
            </w:r>
          </w:p>
          <w:p w14:paraId="3F27AAC9">
            <w:pPr>
              <w:snapToGrid w:val="0"/>
              <w:spacing w:line="320" w:lineRule="exact"/>
              <w:ind w:firstLine="422" w:firstLineChars="200"/>
              <w:rPr>
                <w:rFonts w:ascii="宋体" w:hAnsi="宋体" w:cs="宋体"/>
                <w:color w:val="auto"/>
                <w:szCs w:val="21"/>
                <w:highlight w:val="none"/>
              </w:rPr>
            </w:pPr>
            <w:r>
              <w:rPr>
                <w:rFonts w:hint="eastAsia" w:ascii="宋体" w:hAnsi="宋体" w:cs="宋体"/>
                <w:b/>
                <w:bCs/>
                <w:color w:val="auto"/>
                <w:szCs w:val="21"/>
                <w:highlight w:val="none"/>
              </w:rPr>
              <w:t>第一个信封暗标部分评审标准：</w:t>
            </w:r>
          </w:p>
          <w:p w14:paraId="28DEE003">
            <w:pPr>
              <w:snapToGrid w:val="0"/>
              <w:spacing w:line="320" w:lineRule="exact"/>
              <w:ind w:firstLine="420" w:firstLineChars="200"/>
              <w:rPr>
                <w:rFonts w:ascii="宋体" w:hAnsi="宋体" w:cs="宋体"/>
                <w:b/>
                <w:bCs/>
                <w:color w:val="auto"/>
                <w:szCs w:val="21"/>
                <w:highlight w:val="none"/>
              </w:rPr>
            </w:pPr>
            <w:r>
              <w:rPr>
                <w:rFonts w:hint="eastAsia" w:ascii="宋体" w:hAnsi="宋体" w:cs="宋体"/>
                <w:color w:val="auto"/>
                <w:szCs w:val="21"/>
                <w:highlight w:val="none"/>
              </w:rPr>
              <w:t>（1）供货能力及进度保障（暗标）、技术服务及质保期服务（暗标）编制</w:t>
            </w:r>
            <w:r>
              <w:rPr>
                <w:rFonts w:hint="eastAsia" w:ascii="宋体" w:hAnsi="宋体" w:cs="宋体"/>
                <w:color w:val="auto"/>
                <w:highlight w:val="none"/>
              </w:rPr>
              <w:t>符合招标文件第二章“投标人须知前附表”第3.7.3款的规定。</w:t>
            </w:r>
          </w:p>
          <w:p w14:paraId="0264D439">
            <w:pPr>
              <w:snapToGrid w:val="0"/>
              <w:spacing w:line="320" w:lineRule="exact"/>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第二个信封（报价文件）评审标准：</w:t>
            </w:r>
          </w:p>
          <w:p w14:paraId="69B86D40">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（1）投标文件按照招标文件规定的格式、内容填写，字迹清晰可辨：</w:t>
            </w:r>
          </w:p>
          <w:p w14:paraId="22CC804B">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a.投标函按照招标文件规定填报了招标人名称、项目名称、补遗书编号（如有）、投标报价（包括大写金额和小写金额）；</w:t>
            </w:r>
          </w:p>
          <w:p w14:paraId="633BD5C6">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b.分项报价表说明与招标文件规定一致，未对实质性内容进行修改和删除。</w:t>
            </w:r>
          </w:p>
          <w:p w14:paraId="60A4DC65">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c.投标文件组成齐全完整，内容均按规定填写。</w:t>
            </w:r>
          </w:p>
          <w:p w14:paraId="3C627AEC">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（2）投标文件上法定代表人或委托代理人的签字、投标人的单位章盖章齐全，符合招标文件规定。</w:t>
            </w:r>
          </w:p>
          <w:p w14:paraId="2729C2DE">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（3）投标报价未超过招标文件设定的最高投标限价。</w:t>
            </w:r>
          </w:p>
          <w:p w14:paraId="22C93577">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（4）投标报价的大写金额能够确定具体数值。</w:t>
            </w:r>
          </w:p>
          <w:p w14:paraId="009507FC">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（5）同一投标人未提交两个以上不同的投标报价。</w:t>
            </w:r>
          </w:p>
          <w:p w14:paraId="7F995E15">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（6）分项报价表中投标报价与投标函大写报价金额一致。</w:t>
            </w:r>
          </w:p>
        </w:tc>
      </w:tr>
      <w:tr w14:paraId="720C0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986" w:hRule="atLeast"/>
          <w:jc w:val="center"/>
        </w:trPr>
        <w:tc>
          <w:tcPr>
            <w:tcW w:w="1143" w:type="dxa"/>
            <w:vAlign w:val="center"/>
          </w:tcPr>
          <w:p w14:paraId="2081D6E9">
            <w:pPr>
              <w:adjustRightInd w:val="0"/>
              <w:snapToGrid w:val="0"/>
              <w:spacing w:line="320" w:lineRule="exact"/>
              <w:jc w:val="center"/>
              <w:rPr>
                <w:rFonts w:ascii="宋体" w:hAnsi="宋体" w:cs="宋体"/>
                <w:color w:val="auto"/>
                <w:szCs w:val="21"/>
                <w:highlight w:val="none"/>
              </w:rPr>
            </w:pPr>
            <w:r>
              <w:rPr>
                <w:rFonts w:hint="eastAsia" w:ascii="宋体" w:hAnsi="宋体" w:cs="宋体"/>
                <w:color w:val="auto"/>
                <w:szCs w:val="21"/>
                <w:highlight w:val="none"/>
              </w:rPr>
              <w:t>2.1.2</w:t>
            </w:r>
          </w:p>
        </w:tc>
        <w:tc>
          <w:tcPr>
            <w:tcW w:w="1317" w:type="dxa"/>
            <w:vAlign w:val="center"/>
          </w:tcPr>
          <w:p w14:paraId="3E612FD7">
            <w:pPr>
              <w:adjustRightInd w:val="0"/>
              <w:snapToGrid w:val="0"/>
              <w:spacing w:line="320" w:lineRule="exact"/>
              <w:jc w:val="center"/>
              <w:rPr>
                <w:rFonts w:ascii="宋体" w:hAnsi="宋体" w:cs="宋体"/>
                <w:color w:val="auto"/>
                <w:szCs w:val="21"/>
                <w:highlight w:val="none"/>
              </w:rPr>
            </w:pPr>
            <w:r>
              <w:rPr>
                <w:rFonts w:hint="eastAsia" w:ascii="宋体" w:hAnsi="宋体" w:cs="宋体"/>
                <w:color w:val="auto"/>
                <w:szCs w:val="21"/>
                <w:highlight w:val="none"/>
              </w:rPr>
              <w:t>资格评审标准</w:t>
            </w:r>
          </w:p>
        </w:tc>
        <w:tc>
          <w:tcPr>
            <w:tcW w:w="7197" w:type="dxa"/>
            <w:vAlign w:val="center"/>
          </w:tcPr>
          <w:p w14:paraId="73F5601C">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olor w:val="auto"/>
                <w:szCs w:val="21"/>
                <w:highlight w:val="none"/>
              </w:rPr>
              <w:t>投标人</w:t>
            </w:r>
            <w:r>
              <w:rPr>
                <w:rFonts w:hint="eastAsia"/>
                <w:color w:val="auto"/>
                <w:szCs w:val="21"/>
                <w:highlight w:val="none"/>
              </w:rPr>
              <w:t>具有有效的营业执照</w:t>
            </w:r>
            <w:r>
              <w:rPr>
                <w:rFonts w:ascii="宋体" w:hAnsi="宋体"/>
                <w:color w:val="auto"/>
                <w:szCs w:val="21"/>
                <w:highlight w:val="none"/>
              </w:rPr>
              <w:t>和基本账户开户许可证（或基本存款账户信息）</w:t>
            </w:r>
            <w:r>
              <w:rPr>
                <w:rFonts w:hint="eastAsia" w:ascii="宋体" w:hAnsi="宋体" w:cs="宋体"/>
                <w:color w:val="auto"/>
                <w:szCs w:val="21"/>
                <w:highlight w:val="none"/>
              </w:rPr>
              <w:t>；</w:t>
            </w:r>
          </w:p>
          <w:p w14:paraId="39EC2033">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（2）投标人的资质符合招标文件规定；</w:t>
            </w:r>
          </w:p>
          <w:p w14:paraId="421AFCB8">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（3）投标人的业绩符合招标文件规定；</w:t>
            </w:r>
          </w:p>
          <w:p w14:paraId="6F6AF11A">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（4）投标人的信誉符合招标文件规定；</w:t>
            </w:r>
          </w:p>
          <w:p w14:paraId="1681D438">
            <w:pPr>
              <w:snapToGrid w:val="0"/>
              <w:spacing w:line="3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（5）投标人不存在第二章“投标人须知”第1.4.3项规定的任何一种情形。</w:t>
            </w:r>
          </w:p>
        </w:tc>
      </w:tr>
      <w:tr w14:paraId="48C1F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1143" w:type="dxa"/>
            <w:vAlign w:val="center"/>
          </w:tcPr>
          <w:p w14:paraId="7B037451">
            <w:pPr>
              <w:adjustRightInd w:val="0"/>
              <w:snapToGrid w:val="0"/>
              <w:spacing w:line="320" w:lineRule="exact"/>
              <w:jc w:val="center"/>
              <w:rPr>
                <w:rFonts w:ascii="宋体" w:hAnsi="宋体" w:cs="宋体"/>
                <w:b/>
                <w:color w:val="auto"/>
                <w:szCs w:val="21"/>
                <w:highlight w:val="none"/>
              </w:rPr>
            </w:pPr>
            <w:r>
              <w:rPr>
                <w:rFonts w:hint="eastAsia" w:ascii="宋体" w:hAnsi="宋体" w:cs="宋体"/>
                <w:b/>
                <w:color w:val="auto"/>
                <w:szCs w:val="21"/>
                <w:highlight w:val="none"/>
              </w:rPr>
              <w:t>条款号</w:t>
            </w:r>
          </w:p>
        </w:tc>
        <w:tc>
          <w:tcPr>
            <w:tcW w:w="1317" w:type="dxa"/>
            <w:vAlign w:val="center"/>
          </w:tcPr>
          <w:p w14:paraId="578350FC">
            <w:pPr>
              <w:adjustRightInd w:val="0"/>
              <w:snapToGrid w:val="0"/>
              <w:spacing w:line="320" w:lineRule="exact"/>
              <w:jc w:val="center"/>
              <w:rPr>
                <w:rFonts w:ascii="宋体" w:hAnsi="宋体" w:cs="宋体"/>
                <w:b/>
                <w:color w:val="auto"/>
                <w:szCs w:val="21"/>
                <w:highlight w:val="none"/>
              </w:rPr>
            </w:pPr>
            <w:r>
              <w:rPr>
                <w:rFonts w:hint="eastAsia" w:ascii="宋体" w:hAnsi="宋体" w:cs="宋体"/>
                <w:b/>
                <w:color w:val="auto"/>
                <w:szCs w:val="21"/>
                <w:highlight w:val="none"/>
              </w:rPr>
              <w:t>条款内容</w:t>
            </w:r>
          </w:p>
        </w:tc>
        <w:tc>
          <w:tcPr>
            <w:tcW w:w="7197" w:type="dxa"/>
            <w:vAlign w:val="center"/>
          </w:tcPr>
          <w:p w14:paraId="0214D97B">
            <w:pPr>
              <w:adjustRightInd w:val="0"/>
              <w:snapToGrid w:val="0"/>
              <w:spacing w:line="320" w:lineRule="exact"/>
              <w:jc w:val="center"/>
              <w:rPr>
                <w:rFonts w:ascii="宋体" w:hAnsi="宋体" w:cs="宋体"/>
                <w:b/>
                <w:color w:val="auto"/>
                <w:szCs w:val="21"/>
                <w:highlight w:val="none"/>
              </w:rPr>
            </w:pPr>
            <w:r>
              <w:rPr>
                <w:rFonts w:hint="eastAsia" w:ascii="宋体" w:hAnsi="宋体" w:cs="宋体"/>
                <w:b/>
                <w:color w:val="auto"/>
                <w:szCs w:val="21"/>
                <w:highlight w:val="none"/>
              </w:rPr>
              <w:t>编列内容</w:t>
            </w:r>
          </w:p>
        </w:tc>
      </w:tr>
      <w:tr w14:paraId="510EC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vAlign w:val="center"/>
          </w:tcPr>
          <w:p w14:paraId="6C7F0EFE">
            <w:pPr>
              <w:widowControl/>
              <w:adjustRightInd w:val="0"/>
              <w:snapToGrid w:val="0"/>
              <w:spacing w:line="320" w:lineRule="exact"/>
              <w:jc w:val="center"/>
              <w:rPr>
                <w:rFonts w:ascii="宋体" w:hAnsi="宋体" w:cs="宋体"/>
                <w:color w:val="auto"/>
                <w:szCs w:val="21"/>
                <w:highlight w:val="none"/>
              </w:rPr>
            </w:pPr>
            <w:r>
              <w:rPr>
                <w:rFonts w:hint="eastAsia" w:ascii="宋体" w:hAnsi="宋体" w:cs="宋体"/>
                <w:color w:val="auto"/>
                <w:kern w:val="0"/>
                <w:szCs w:val="21"/>
                <w:highlight w:val="none"/>
              </w:rPr>
              <w:t>2.2.1</w:t>
            </w:r>
          </w:p>
        </w:tc>
        <w:tc>
          <w:tcPr>
            <w:tcW w:w="1317" w:type="dxa"/>
            <w:vAlign w:val="center"/>
          </w:tcPr>
          <w:p w14:paraId="5C853E6F">
            <w:pPr>
              <w:widowControl/>
              <w:adjustRightInd w:val="0"/>
              <w:snapToGrid w:val="0"/>
              <w:spacing w:line="3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第一个信封分值构成</w:t>
            </w:r>
          </w:p>
          <w:p w14:paraId="24AB5DEE">
            <w:pPr>
              <w:widowControl/>
              <w:adjustRightInd w:val="0"/>
              <w:snapToGrid w:val="0"/>
              <w:spacing w:line="320" w:lineRule="exact"/>
              <w:jc w:val="center"/>
              <w:rPr>
                <w:rFonts w:ascii="宋体" w:hAnsi="宋体" w:cs="宋体"/>
                <w:color w:val="auto"/>
                <w:szCs w:val="21"/>
                <w:highlight w:val="none"/>
              </w:rPr>
            </w:pPr>
            <w:r>
              <w:rPr>
                <w:rFonts w:hint="eastAsia" w:ascii="宋体" w:hAnsi="宋体" w:cs="宋体"/>
                <w:color w:val="auto"/>
                <w:kern w:val="0"/>
                <w:szCs w:val="21"/>
                <w:highlight w:val="none"/>
              </w:rPr>
              <w:t>（总分100分）</w:t>
            </w:r>
          </w:p>
        </w:tc>
        <w:tc>
          <w:tcPr>
            <w:tcW w:w="7197" w:type="dxa"/>
            <w:vAlign w:val="center"/>
          </w:tcPr>
          <w:p w14:paraId="40ED3466">
            <w:pPr>
              <w:widowControl/>
              <w:adjustRightInd w:val="0"/>
              <w:snapToGrid w:val="0"/>
              <w:spacing w:line="32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商务部分：20分</w:t>
            </w:r>
          </w:p>
          <w:p w14:paraId="4C34BE8D">
            <w:pPr>
              <w:widowControl/>
              <w:adjustRightInd w:val="0"/>
              <w:snapToGrid w:val="0"/>
              <w:spacing w:line="32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技术部分</w:t>
            </w:r>
            <w:r>
              <w:rPr>
                <w:rFonts w:hint="eastAsia" w:ascii="宋体" w:hAnsi="宋体" w:cs="宋体"/>
                <w:color w:val="auto"/>
                <w:szCs w:val="21"/>
                <w:highlight w:val="none"/>
              </w:rPr>
              <w:t>（供货方案）</w:t>
            </w:r>
            <w:r>
              <w:rPr>
                <w:rFonts w:hint="eastAsia" w:ascii="宋体" w:hAnsi="宋体" w:cs="宋体"/>
                <w:color w:val="auto"/>
                <w:kern w:val="0"/>
                <w:szCs w:val="21"/>
                <w:highlight w:val="none"/>
              </w:rPr>
              <w:t>：80分</w:t>
            </w:r>
          </w:p>
          <w:p w14:paraId="22931BAE">
            <w:pPr>
              <w:widowControl/>
              <w:adjustRightInd w:val="0"/>
              <w:snapToGrid w:val="0"/>
              <w:spacing w:line="320" w:lineRule="exact"/>
              <w:jc w:val="left"/>
              <w:rPr>
                <w:rFonts w:ascii="宋体" w:hAnsi="宋体" w:cs="宋体"/>
                <w:color w:val="auto"/>
                <w:szCs w:val="21"/>
                <w:highlight w:val="none"/>
              </w:rPr>
            </w:pPr>
            <w:r>
              <w:rPr>
                <w:rFonts w:hint="eastAsia" w:ascii="宋体" w:hAnsi="宋体" w:cs="宋体"/>
                <w:color w:val="auto"/>
                <w:kern w:val="0"/>
                <w:szCs w:val="21"/>
                <w:highlight w:val="none"/>
              </w:rPr>
              <w:t>其他评分因素：0分</w:t>
            </w:r>
          </w:p>
        </w:tc>
      </w:tr>
      <w:tr w14:paraId="40FF4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vAlign w:val="center"/>
          </w:tcPr>
          <w:p w14:paraId="5CCB342A">
            <w:pPr>
              <w:widowControl/>
              <w:adjustRightInd w:val="0"/>
              <w:snapToGrid w:val="0"/>
              <w:spacing w:line="320" w:lineRule="exact"/>
              <w:jc w:val="center"/>
              <w:rPr>
                <w:rFonts w:ascii="宋体" w:hAnsi="宋体" w:cs="宋体"/>
                <w:color w:val="auto"/>
                <w:szCs w:val="21"/>
                <w:highlight w:val="none"/>
              </w:rPr>
            </w:pPr>
            <w:r>
              <w:rPr>
                <w:rFonts w:hint="eastAsia" w:ascii="宋体" w:hAnsi="宋体" w:cs="宋体"/>
                <w:color w:val="auto"/>
                <w:kern w:val="0"/>
                <w:szCs w:val="21"/>
                <w:highlight w:val="none"/>
              </w:rPr>
              <w:t>2.2.3</w:t>
            </w:r>
          </w:p>
        </w:tc>
        <w:tc>
          <w:tcPr>
            <w:tcW w:w="1317" w:type="dxa"/>
            <w:vAlign w:val="center"/>
          </w:tcPr>
          <w:p w14:paraId="7935D291">
            <w:pPr>
              <w:widowControl/>
              <w:adjustRightInd w:val="0"/>
              <w:snapToGrid w:val="0"/>
              <w:spacing w:line="320" w:lineRule="exact"/>
              <w:jc w:val="center"/>
              <w:rPr>
                <w:rFonts w:ascii="宋体" w:hAnsi="宋体" w:cs="宋体"/>
                <w:color w:val="auto"/>
                <w:szCs w:val="21"/>
                <w:highlight w:val="none"/>
              </w:rPr>
            </w:pPr>
            <w:r>
              <w:rPr>
                <w:rFonts w:hint="eastAsia" w:ascii="宋体" w:hAnsi="宋体" w:cs="宋体"/>
                <w:color w:val="auto"/>
                <w:kern w:val="0"/>
                <w:szCs w:val="21"/>
                <w:highlight w:val="none"/>
              </w:rPr>
              <w:t>第二个信封详细评审标准</w:t>
            </w:r>
          </w:p>
        </w:tc>
        <w:tc>
          <w:tcPr>
            <w:tcW w:w="7197" w:type="dxa"/>
            <w:vAlign w:val="center"/>
          </w:tcPr>
          <w:p w14:paraId="1C05387B">
            <w:pPr>
              <w:widowControl/>
              <w:adjustRightInd w:val="0"/>
              <w:snapToGrid w:val="0"/>
              <w:spacing w:line="32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评标价计算公式：</w:t>
            </w:r>
          </w:p>
          <w:p w14:paraId="2CC402EB">
            <w:pPr>
              <w:widowControl/>
              <w:adjustRightInd w:val="0"/>
              <w:snapToGrid w:val="0"/>
              <w:spacing w:line="320" w:lineRule="exact"/>
              <w:jc w:val="left"/>
              <w:rPr>
                <w:rFonts w:ascii="宋体" w:hAnsi="宋体" w:cs="宋体"/>
                <w:color w:val="auto"/>
                <w:szCs w:val="21"/>
                <w:highlight w:val="none"/>
              </w:rPr>
            </w:pPr>
            <w:r>
              <w:rPr>
                <w:rFonts w:hint="eastAsia" w:ascii="宋体" w:hAnsi="宋体" w:cs="宋体"/>
                <w:color w:val="auto"/>
                <w:kern w:val="0"/>
                <w:szCs w:val="21"/>
                <w:highlight w:val="none"/>
              </w:rPr>
              <w:t>评标价=投标函文字报价。</w:t>
            </w:r>
          </w:p>
        </w:tc>
      </w:tr>
      <w:tr w14:paraId="569C0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7EB8104F">
            <w:pPr>
              <w:widowControl/>
              <w:adjustRightInd w:val="0"/>
              <w:snapToGrid w:val="0"/>
              <w:spacing w:line="320" w:lineRule="exact"/>
              <w:jc w:val="center"/>
              <w:rPr>
                <w:rFonts w:ascii="宋体" w:hAnsi="宋体" w:cs="宋体"/>
                <w:color w:val="auto"/>
                <w:szCs w:val="21"/>
                <w:highlight w:val="none"/>
              </w:rPr>
            </w:pPr>
            <w:r>
              <w:rPr>
                <w:rFonts w:hint="eastAsia" w:ascii="宋体" w:hAnsi="宋体" w:cs="宋体"/>
                <w:color w:val="auto"/>
                <w:kern w:val="0"/>
                <w:szCs w:val="21"/>
                <w:highlight w:val="none"/>
              </w:rPr>
              <w:t>3.2.4</w:t>
            </w:r>
          </w:p>
        </w:tc>
        <w:tc>
          <w:tcPr>
            <w:tcW w:w="1317" w:type="dxa"/>
            <w:vAlign w:val="center"/>
          </w:tcPr>
          <w:p w14:paraId="7E9D2E2A">
            <w:pPr>
              <w:widowControl/>
              <w:adjustRightInd w:val="0"/>
              <w:snapToGrid w:val="0"/>
              <w:spacing w:line="320" w:lineRule="exact"/>
              <w:jc w:val="center"/>
              <w:rPr>
                <w:rFonts w:ascii="宋体" w:hAnsi="宋体" w:cs="宋体"/>
                <w:color w:val="auto"/>
                <w:szCs w:val="21"/>
                <w:highlight w:val="none"/>
              </w:rPr>
            </w:pPr>
            <w:r>
              <w:rPr>
                <w:rFonts w:hint="eastAsia" w:ascii="宋体" w:hAnsi="宋体" w:cs="宋体"/>
                <w:color w:val="auto"/>
                <w:kern w:val="0"/>
                <w:szCs w:val="21"/>
                <w:highlight w:val="none"/>
              </w:rPr>
              <w:t>通过第一个信封详细评审的投标人数量</w:t>
            </w:r>
          </w:p>
        </w:tc>
        <w:tc>
          <w:tcPr>
            <w:tcW w:w="7197" w:type="dxa"/>
            <w:vAlign w:val="center"/>
          </w:tcPr>
          <w:p w14:paraId="6F703BCC">
            <w:pPr>
              <w:widowControl/>
              <w:adjustRightInd w:val="0"/>
              <w:snapToGrid w:val="0"/>
              <w:spacing w:line="320" w:lineRule="exact"/>
              <w:jc w:val="left"/>
              <w:rPr>
                <w:rFonts w:ascii="宋体" w:hAnsi="宋体" w:cs="宋体"/>
                <w:color w:val="auto"/>
                <w:szCs w:val="21"/>
                <w:highlight w:val="none"/>
              </w:rPr>
            </w:pPr>
            <w:r>
              <w:rPr>
                <w:rFonts w:hint="eastAsia" w:ascii="宋体" w:hAnsi="宋体" w:cs="宋体"/>
                <w:color w:val="auto"/>
                <w:kern w:val="0"/>
                <w:szCs w:val="21"/>
                <w:highlight w:val="none"/>
              </w:rPr>
              <w:t>按照投标人的综合得分由高到低排序，选择前3名进入第二信封评审。</w:t>
            </w:r>
          </w:p>
        </w:tc>
      </w:tr>
      <w:tr w14:paraId="1DB24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4C719EB9">
            <w:pPr>
              <w:widowControl/>
              <w:adjustRightInd w:val="0"/>
              <w:snapToGrid w:val="0"/>
              <w:spacing w:line="320" w:lineRule="exact"/>
              <w:jc w:val="center"/>
              <w:rPr>
                <w:rFonts w:ascii="宋体" w:hAnsi="宋体" w:cs="微软雅黑"/>
                <w:color w:val="auto"/>
                <w:szCs w:val="21"/>
                <w:highlight w:val="none"/>
              </w:rPr>
            </w:pPr>
            <w:r>
              <w:rPr>
                <w:rFonts w:hint="eastAsia" w:ascii="宋体" w:hAnsi="宋体" w:cs="宋体"/>
                <w:color w:val="auto"/>
                <w:kern w:val="0"/>
                <w:szCs w:val="21"/>
                <w:highlight w:val="none"/>
              </w:rPr>
              <w:t>3.5</w:t>
            </w:r>
          </w:p>
        </w:tc>
        <w:tc>
          <w:tcPr>
            <w:tcW w:w="8514" w:type="dxa"/>
            <w:gridSpan w:val="2"/>
            <w:vAlign w:val="center"/>
          </w:tcPr>
          <w:p w14:paraId="7A9F13D1">
            <w:pPr>
              <w:snapToGrid w:val="0"/>
              <w:spacing w:line="320" w:lineRule="exact"/>
              <w:rPr>
                <w:rFonts w:ascii="宋体" w:hAnsi="宋体" w:cs="宋体"/>
                <w:color w:val="auto"/>
                <w:szCs w:val="21"/>
                <w:highlight w:val="none"/>
              </w:rPr>
            </w:pPr>
            <w:r>
              <w:rPr>
                <w:rFonts w:hint="eastAsia" w:ascii="宋体" w:hAnsi="宋体" w:cs="宋体"/>
                <w:color w:val="auto"/>
                <w:szCs w:val="21"/>
                <w:highlight w:val="none"/>
              </w:rPr>
              <w:t>本款修改为：</w:t>
            </w:r>
          </w:p>
          <w:p w14:paraId="53C5F6FC">
            <w:pPr>
              <w:widowControl/>
              <w:adjustRightInd w:val="0"/>
              <w:snapToGrid w:val="0"/>
              <w:spacing w:line="320" w:lineRule="exact"/>
              <w:jc w:val="left"/>
              <w:rPr>
                <w:rFonts w:ascii="宋体" w:hAnsi="宋体" w:cs="宋体"/>
                <w:color w:val="auto"/>
                <w:szCs w:val="21"/>
                <w:highlight w:val="none"/>
              </w:rPr>
            </w:pPr>
            <w:r>
              <w:rPr>
                <w:rFonts w:hint="eastAsia" w:ascii="宋体" w:hAnsi="宋体" w:cs="宋体"/>
                <w:color w:val="auto"/>
                <w:szCs w:val="21"/>
                <w:highlight w:val="none"/>
              </w:rPr>
              <w:t>评标委员会发现投标人的投标报价低于通过第二信封形式和响应性评审的投标人投标报价平均值的50%（含）时</w:t>
            </w:r>
            <w:r>
              <w:rPr>
                <w:rFonts w:hint="eastAsia" w:ascii="宋体" w:hAnsi="宋体" w:cs="宋体"/>
                <w:color w:val="auto"/>
                <w:kern w:val="0"/>
                <w:szCs w:val="21"/>
                <w:highlight w:val="none"/>
              </w:rPr>
              <w:t>，</w:t>
            </w:r>
            <w:r>
              <w:rPr>
                <w:rFonts w:hint="eastAsia" w:ascii="宋体" w:hAnsi="宋体" w:cs="宋体"/>
                <w:color w:val="auto"/>
                <w:szCs w:val="21"/>
                <w:highlight w:val="none"/>
              </w:rPr>
              <w:t>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1D93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2EA25B57">
            <w:pPr>
              <w:widowControl/>
              <w:adjustRightInd w:val="0"/>
              <w:snapToGrid w:val="0"/>
              <w:spacing w:line="320" w:lineRule="exact"/>
              <w:jc w:val="center"/>
              <w:rPr>
                <w:rFonts w:ascii="宋体" w:hAnsi="宋体" w:cs="宋体"/>
                <w:color w:val="auto"/>
                <w:szCs w:val="21"/>
                <w:highlight w:val="none"/>
              </w:rPr>
            </w:pPr>
            <w:r>
              <w:rPr>
                <w:rFonts w:hint="eastAsia" w:ascii="宋体" w:hAnsi="宋体" w:cs="宋体"/>
                <w:color w:val="auto"/>
                <w:kern w:val="0"/>
                <w:szCs w:val="21"/>
                <w:highlight w:val="none"/>
              </w:rPr>
              <w:t>3.6.1</w:t>
            </w:r>
          </w:p>
        </w:tc>
        <w:tc>
          <w:tcPr>
            <w:tcW w:w="1317" w:type="dxa"/>
            <w:vAlign w:val="center"/>
          </w:tcPr>
          <w:p w14:paraId="10F2B586">
            <w:pPr>
              <w:widowControl/>
              <w:adjustRightInd w:val="0"/>
              <w:snapToGrid w:val="0"/>
              <w:spacing w:line="320" w:lineRule="exact"/>
              <w:jc w:val="center"/>
              <w:rPr>
                <w:rFonts w:ascii="宋体" w:hAnsi="宋体" w:cs="宋体"/>
                <w:color w:val="auto"/>
                <w:szCs w:val="21"/>
                <w:highlight w:val="none"/>
              </w:rPr>
            </w:pPr>
            <w:r>
              <w:rPr>
                <w:rFonts w:hint="eastAsia" w:ascii="宋体" w:hAnsi="宋体" w:cs="宋体"/>
                <w:bCs/>
                <w:color w:val="auto"/>
                <w:kern w:val="0"/>
                <w:szCs w:val="21"/>
                <w:highlight w:val="none"/>
              </w:rPr>
              <w:t>投标文件相关信息的核查</w:t>
            </w:r>
          </w:p>
        </w:tc>
        <w:tc>
          <w:tcPr>
            <w:tcW w:w="7197" w:type="dxa"/>
            <w:vAlign w:val="center"/>
          </w:tcPr>
          <w:p w14:paraId="1F22186C">
            <w:pPr>
              <w:autoSpaceDE w:val="0"/>
              <w:autoSpaceDN w:val="0"/>
              <w:snapToGrid w:val="0"/>
              <w:spacing w:line="32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本款修改为：</w:t>
            </w:r>
          </w:p>
          <w:p w14:paraId="38DDF765">
            <w:pPr>
              <w:autoSpaceDE w:val="0"/>
              <w:autoSpaceDN w:val="0"/>
              <w:snapToGrid w:val="0"/>
              <w:spacing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1.评标委员会在评标过程中将对投标人的信誉情况进行查询。如投标人存在下列情形之一的，评标委员会应否决其投标。</w:t>
            </w:r>
          </w:p>
          <w:p w14:paraId="6566F39F">
            <w:pPr>
              <w:autoSpaceDE w:val="0"/>
              <w:autoSpaceDN w:val="0"/>
              <w:snapToGrid w:val="0"/>
              <w:spacing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（1）在国家企业信用信息公示系统（https://www.gsxt.gov.cn/）中被列入严重违法失信名单（黑名单）（不含分公司）；</w:t>
            </w:r>
          </w:p>
          <w:p w14:paraId="2A7C11B1">
            <w:pPr>
              <w:autoSpaceDE w:val="0"/>
              <w:autoSpaceDN w:val="0"/>
              <w:snapToGrid w:val="0"/>
              <w:spacing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（2）在“信用中国”网站（http://www.creditchina.gov.cn/）中被列入</w:t>
            </w:r>
            <w:r>
              <w:rPr>
                <w:rFonts w:hint="eastAsia" w:ascii="宋体" w:hAnsi="宋体" w:cs="宋体"/>
                <w:color w:val="auto"/>
                <w:szCs w:val="21"/>
                <w:highlight w:val="none"/>
              </w:rPr>
              <w:t>失信被执行人、</w:t>
            </w:r>
            <w:r>
              <w:rPr>
                <w:rFonts w:hint="eastAsia" w:ascii="宋体" w:hAnsi="宋体" w:cs="宋体"/>
                <w:color w:val="auto"/>
                <w:kern w:val="0"/>
                <w:szCs w:val="21"/>
                <w:highlight w:val="none"/>
              </w:rPr>
              <w:t>经营（活动）异常名录、重大税收违法失信主体名单和政府采购严重违法失信行为记录名单（均不含分公司）；</w:t>
            </w:r>
          </w:p>
          <w:p w14:paraId="3B7EB447">
            <w:pPr>
              <w:widowControl/>
              <w:snapToGrid w:val="0"/>
              <w:spacing w:line="320" w:lineRule="exact"/>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2.评标委员会在评标时按照投标人提供的验证方式对电子保函或电子保证保险进行验证。如投标人未提供电子保函或电子保证保险的验证方式，或根据提供的验证方式无法核实的，评标委员会应否决其投标。</w:t>
            </w:r>
          </w:p>
        </w:tc>
      </w:tr>
      <w:tr w14:paraId="437DB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577F31FD">
            <w:pPr>
              <w:widowControl/>
              <w:snapToGrid w:val="0"/>
              <w:spacing w:line="320" w:lineRule="exact"/>
              <w:jc w:val="center"/>
              <w:rPr>
                <w:rFonts w:ascii="宋体" w:hAnsi="宋体" w:cs="宋体"/>
                <w:color w:val="auto"/>
                <w:szCs w:val="21"/>
                <w:highlight w:val="none"/>
              </w:rPr>
            </w:pPr>
            <w:r>
              <w:rPr>
                <w:rFonts w:hint="eastAsia" w:ascii="宋体" w:hAnsi="宋体" w:cs="宋体"/>
                <w:color w:val="auto"/>
                <w:kern w:val="0"/>
                <w:szCs w:val="21"/>
                <w:highlight w:val="none"/>
              </w:rPr>
              <w:t>3.6.3</w:t>
            </w:r>
          </w:p>
        </w:tc>
        <w:tc>
          <w:tcPr>
            <w:tcW w:w="1317" w:type="dxa"/>
            <w:vAlign w:val="center"/>
          </w:tcPr>
          <w:p w14:paraId="120196D9">
            <w:pPr>
              <w:widowControl/>
              <w:adjustRightInd w:val="0"/>
              <w:snapToGrid w:val="0"/>
              <w:spacing w:line="320" w:lineRule="exact"/>
              <w:jc w:val="center"/>
              <w:rPr>
                <w:rFonts w:ascii="宋体" w:hAnsi="宋体" w:cs="宋体"/>
                <w:color w:val="auto"/>
                <w:szCs w:val="21"/>
                <w:highlight w:val="none"/>
              </w:rPr>
            </w:pPr>
            <w:r>
              <w:rPr>
                <w:rFonts w:hint="eastAsia" w:ascii="宋体" w:hAnsi="宋体" w:cs="宋体"/>
                <w:color w:val="auto"/>
                <w:kern w:val="0"/>
                <w:szCs w:val="21"/>
                <w:highlight w:val="none"/>
              </w:rPr>
              <w:t>投标人异常投标情形的核查</w:t>
            </w:r>
          </w:p>
        </w:tc>
        <w:tc>
          <w:tcPr>
            <w:tcW w:w="7197" w:type="dxa"/>
            <w:vAlign w:val="center"/>
          </w:tcPr>
          <w:p w14:paraId="0215F921">
            <w:pPr>
              <w:widowControl/>
              <w:snapToGrid w:val="0"/>
              <w:spacing w:line="320" w:lineRule="exact"/>
              <w:jc w:val="left"/>
              <w:rPr>
                <w:rFonts w:ascii="宋体" w:hAnsi="宋体" w:cs="宋体"/>
                <w:color w:val="auto"/>
                <w:kern w:val="0"/>
                <w:szCs w:val="21"/>
                <w:highlight w:val="none"/>
              </w:rPr>
            </w:pPr>
            <w:r>
              <w:rPr>
                <w:rFonts w:hint="eastAsia" w:ascii="宋体" w:hAnsi="宋体" w:cs="宋体"/>
                <w:color w:val="auto"/>
                <w:szCs w:val="21"/>
                <w:highlight w:val="none"/>
              </w:rPr>
              <w:t>补充本款：</w:t>
            </w:r>
          </w:p>
          <w:p w14:paraId="59DF804D">
            <w:pPr>
              <w:widowControl/>
              <w:snapToGrid w:val="0"/>
              <w:spacing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评标委员会在评标过程中发现存在投标文件异常一致或投标活动异常关联等异常投标情形的，应当要求投标人在规定时间内作出书面说明并提供相应的证明材料。投标人不能合理说明或者不能提供相应证明材料的，评标委员会应当认定投标人存在串通投标情形，并否决其投标。</w:t>
            </w:r>
          </w:p>
          <w:p w14:paraId="31B9C173">
            <w:pPr>
              <w:widowControl/>
              <w:snapToGrid w:val="0"/>
              <w:spacing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有下列情形之一的，属于投标文件异常一致或投标活动异常关联等异常投标情形：</w:t>
            </w:r>
          </w:p>
          <w:p w14:paraId="774918ED">
            <w:pPr>
              <w:widowControl/>
              <w:snapToGrid w:val="0"/>
              <w:spacing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（1）投标人投标文件制作机器码雷同；</w:t>
            </w:r>
          </w:p>
          <w:p w14:paraId="1E541622">
            <w:pPr>
              <w:widowControl/>
              <w:snapToGrid w:val="0"/>
              <w:spacing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（2）投标文件创建标识码雷同；</w:t>
            </w:r>
          </w:p>
          <w:p w14:paraId="51143535">
            <w:pPr>
              <w:widowControl/>
              <w:snapToGrid w:val="0"/>
              <w:spacing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（3）投标文件制作计算机MAC地址雷同；</w:t>
            </w:r>
          </w:p>
          <w:p w14:paraId="2C780A5B">
            <w:pPr>
              <w:widowControl/>
              <w:snapToGrid w:val="0"/>
              <w:spacing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（4）投标文件制作计算机硬盘序列号雷同；</w:t>
            </w:r>
          </w:p>
          <w:p w14:paraId="70AB2BEA">
            <w:pPr>
              <w:widowControl/>
              <w:snapToGrid w:val="0"/>
              <w:spacing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（5）投标文件上传IP地址雷同；</w:t>
            </w:r>
          </w:p>
          <w:p w14:paraId="291A5ACA">
            <w:pPr>
              <w:widowControl/>
              <w:snapToGrid w:val="0"/>
              <w:spacing w:line="320" w:lineRule="exact"/>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（6）投标文件解密IP地址雷同。</w:t>
            </w:r>
          </w:p>
        </w:tc>
      </w:tr>
      <w:tr w14:paraId="4F4FB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69CE24E8">
            <w:pPr>
              <w:widowControl/>
              <w:autoSpaceDE w:val="0"/>
              <w:autoSpaceDN w:val="0"/>
              <w:adjustRightInd w:val="0"/>
              <w:snapToGrid w:val="0"/>
              <w:spacing w:line="320" w:lineRule="exact"/>
              <w:ind w:right="-20"/>
              <w:jc w:val="center"/>
              <w:rPr>
                <w:rFonts w:ascii="宋体" w:hAnsi="宋体" w:cs="宋体"/>
                <w:color w:val="auto"/>
                <w:szCs w:val="21"/>
                <w:highlight w:val="none"/>
              </w:rPr>
            </w:pPr>
            <w:r>
              <w:rPr>
                <w:rFonts w:hint="eastAsia" w:ascii="宋体" w:hAnsi="宋体" w:cs="微软雅黑"/>
                <w:color w:val="auto"/>
                <w:kern w:val="0"/>
                <w:szCs w:val="21"/>
                <w:highlight w:val="none"/>
              </w:rPr>
              <w:t>3.8.1</w:t>
            </w:r>
          </w:p>
        </w:tc>
        <w:tc>
          <w:tcPr>
            <w:tcW w:w="1317" w:type="dxa"/>
            <w:vAlign w:val="center"/>
          </w:tcPr>
          <w:p w14:paraId="32D0B1FB">
            <w:pPr>
              <w:widowControl/>
              <w:snapToGrid w:val="0"/>
              <w:spacing w:line="320" w:lineRule="exact"/>
              <w:jc w:val="center"/>
              <w:rPr>
                <w:rFonts w:ascii="宋体" w:hAnsi="宋体" w:cs="宋体"/>
                <w:color w:val="auto"/>
                <w:szCs w:val="21"/>
                <w:highlight w:val="none"/>
              </w:rPr>
            </w:pPr>
            <w:r>
              <w:rPr>
                <w:rFonts w:hint="eastAsia" w:ascii="宋体" w:hAnsi="宋体" w:cs="Arial"/>
                <w:color w:val="auto"/>
                <w:kern w:val="0"/>
                <w:szCs w:val="21"/>
                <w:highlight w:val="none"/>
              </w:rPr>
              <w:t>中标候选人的确定</w:t>
            </w:r>
          </w:p>
        </w:tc>
        <w:tc>
          <w:tcPr>
            <w:tcW w:w="7197" w:type="dxa"/>
            <w:vAlign w:val="center"/>
          </w:tcPr>
          <w:p w14:paraId="02998C85">
            <w:pPr>
              <w:widowControl/>
              <w:snapToGrid w:val="0"/>
              <w:spacing w:line="320" w:lineRule="exact"/>
              <w:jc w:val="left"/>
              <w:rPr>
                <w:rFonts w:ascii="宋体" w:hAnsi="宋体" w:cs="宋体"/>
                <w:color w:val="auto"/>
                <w:szCs w:val="21"/>
                <w:highlight w:val="none"/>
              </w:rPr>
            </w:pPr>
            <w:r>
              <w:rPr>
                <w:rFonts w:hint="eastAsia" w:ascii="宋体" w:hAnsi="宋体" w:cs="Arial"/>
                <w:color w:val="auto"/>
                <w:kern w:val="0"/>
                <w:szCs w:val="21"/>
                <w:highlight w:val="none"/>
              </w:rPr>
              <w:t>评标委员会按照评标价由低到高的顺序，向招标人推荐1-3名中标候选人。</w:t>
            </w:r>
          </w:p>
        </w:tc>
      </w:tr>
    </w:tbl>
    <w:p w14:paraId="03F4DD70">
      <w:pPr>
        <w:rPr>
          <w:rFonts w:ascii="宋体" w:hAnsi="宋体" w:cs="宋体"/>
          <w:color w:val="auto"/>
          <w:spacing w:val="2"/>
          <w:sz w:val="24"/>
          <w:szCs w:val="24"/>
          <w:highlight w:val="none"/>
        </w:rPr>
      </w:pPr>
      <w:r>
        <w:rPr>
          <w:rFonts w:hint="eastAsia" w:ascii="宋体" w:hAnsi="宋体" w:cs="宋体"/>
          <w:color w:val="auto"/>
          <w:spacing w:val="2"/>
          <w:sz w:val="24"/>
          <w:szCs w:val="24"/>
          <w:highlight w:val="none"/>
        </w:rPr>
        <w:br w:type="page"/>
      </w:r>
      <w:r>
        <w:rPr>
          <w:rFonts w:hint="eastAsia" w:ascii="宋体" w:hAnsi="宋体" w:cs="宋体"/>
          <w:color w:val="auto"/>
          <w:sz w:val="24"/>
          <w:szCs w:val="24"/>
          <w:highlight w:val="none"/>
          <w:lang w:bidi="ar"/>
        </w:rPr>
        <w:t>具体</w:t>
      </w:r>
      <w:r>
        <w:rPr>
          <w:rFonts w:hint="eastAsia" w:ascii="宋体" w:hAnsi="宋体" w:cs="宋体"/>
          <w:color w:val="auto"/>
          <w:szCs w:val="21"/>
          <w:highlight w:val="none"/>
          <w:lang w:bidi="ar"/>
        </w:rPr>
        <w:t xml:space="preserve">评分标准如下： </w:t>
      </w:r>
    </w:p>
    <w:tbl>
      <w:tblPr>
        <w:tblStyle w:val="8"/>
        <w:tblpPr w:leftFromText="180" w:rightFromText="180" w:vertAnchor="text" w:tblpXSpec="center" w:tblpY="1"/>
        <w:tblOverlap w:val="never"/>
        <w:tblW w:w="97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064"/>
        <w:gridCol w:w="1136"/>
        <w:gridCol w:w="864"/>
        <w:gridCol w:w="5914"/>
      </w:tblGrid>
      <w:tr w14:paraId="313C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812" w:type="dxa"/>
            <w:vAlign w:val="center"/>
          </w:tcPr>
          <w:p w14:paraId="43C70A4B">
            <w:pPr>
              <w:snapToGrid w:val="0"/>
              <w:spacing w:line="320" w:lineRule="exact"/>
              <w:jc w:val="center"/>
              <w:textAlignment w:val="baseline"/>
              <w:rPr>
                <w:rFonts w:ascii="宋体" w:hAnsi="宋体" w:cs="宋体"/>
                <w:color w:val="auto"/>
                <w:kern w:val="0"/>
                <w:szCs w:val="21"/>
                <w:highlight w:val="none"/>
              </w:rPr>
            </w:pPr>
            <w:r>
              <w:rPr>
                <w:rFonts w:hint="eastAsia" w:ascii="宋体" w:hAnsi="宋体" w:cs="宋体"/>
                <w:color w:val="auto"/>
                <w:szCs w:val="21"/>
                <w:highlight w:val="none"/>
              </w:rPr>
              <w:t>条款号</w:t>
            </w:r>
          </w:p>
        </w:tc>
        <w:tc>
          <w:tcPr>
            <w:tcW w:w="1064" w:type="dxa"/>
            <w:vAlign w:val="center"/>
          </w:tcPr>
          <w:p w14:paraId="430A0602">
            <w:pPr>
              <w:snapToGrid w:val="0"/>
              <w:spacing w:line="320" w:lineRule="exact"/>
              <w:jc w:val="center"/>
              <w:textAlignment w:val="baseline"/>
              <w:rPr>
                <w:rFonts w:ascii="宋体" w:hAnsi="宋体" w:cs="宋体"/>
                <w:color w:val="auto"/>
                <w:szCs w:val="21"/>
                <w:highlight w:val="none"/>
              </w:rPr>
            </w:pPr>
            <w:r>
              <w:rPr>
                <w:rFonts w:hint="eastAsia" w:ascii="宋体" w:hAnsi="宋体" w:cs="宋体"/>
                <w:color w:val="auto"/>
                <w:szCs w:val="21"/>
                <w:highlight w:val="none"/>
              </w:rPr>
              <w:t>评分</w:t>
            </w:r>
          </w:p>
          <w:p w14:paraId="0E2CEF9A">
            <w:pPr>
              <w:snapToGrid w:val="0"/>
              <w:spacing w:line="320" w:lineRule="exact"/>
              <w:jc w:val="center"/>
              <w:textAlignment w:val="baseline"/>
              <w:rPr>
                <w:rFonts w:ascii="宋体" w:hAnsi="宋体" w:cs="宋体"/>
                <w:color w:val="auto"/>
                <w:szCs w:val="21"/>
                <w:highlight w:val="none"/>
              </w:rPr>
            </w:pPr>
            <w:r>
              <w:rPr>
                <w:rFonts w:hint="eastAsia" w:ascii="宋体" w:hAnsi="宋体" w:cs="宋体"/>
                <w:color w:val="auto"/>
                <w:szCs w:val="21"/>
                <w:highlight w:val="none"/>
              </w:rPr>
              <w:t>因素</w:t>
            </w:r>
          </w:p>
        </w:tc>
        <w:tc>
          <w:tcPr>
            <w:tcW w:w="1136" w:type="dxa"/>
            <w:vAlign w:val="center"/>
          </w:tcPr>
          <w:p w14:paraId="5F4D3B5E">
            <w:pPr>
              <w:widowControl/>
              <w:adjustRightInd w:val="0"/>
              <w:snapToGrid w:val="0"/>
              <w:spacing w:line="320" w:lineRule="exact"/>
              <w:jc w:val="center"/>
              <w:rPr>
                <w:rFonts w:ascii="宋体" w:hAnsi="宋体" w:cs="宋体"/>
                <w:color w:val="auto"/>
                <w:kern w:val="0"/>
                <w:szCs w:val="21"/>
                <w:highlight w:val="none"/>
                <w:u w:val="single"/>
              </w:rPr>
            </w:pPr>
            <w:r>
              <w:rPr>
                <w:rFonts w:hint="eastAsia" w:ascii="宋体" w:hAnsi="宋体" w:cs="宋体"/>
                <w:color w:val="auto"/>
                <w:kern w:val="0"/>
                <w:szCs w:val="21"/>
                <w:highlight w:val="none"/>
              </w:rPr>
              <w:t>评分因素</w:t>
            </w:r>
          </w:p>
        </w:tc>
        <w:tc>
          <w:tcPr>
            <w:tcW w:w="864" w:type="dxa"/>
            <w:vAlign w:val="center"/>
          </w:tcPr>
          <w:p w14:paraId="6C9A6797">
            <w:pPr>
              <w:widowControl/>
              <w:snapToGrid w:val="0"/>
              <w:spacing w:line="320" w:lineRule="exact"/>
              <w:jc w:val="center"/>
              <w:rPr>
                <w:rFonts w:ascii="宋体" w:hAnsi="宋体" w:cs="宋体"/>
                <w:color w:val="auto"/>
                <w:kern w:val="0"/>
                <w:szCs w:val="21"/>
                <w:highlight w:val="none"/>
              </w:rPr>
            </w:pPr>
            <w:r>
              <w:rPr>
                <w:rFonts w:hint="eastAsia" w:ascii="宋体" w:hAnsi="宋体" w:cs="宋体"/>
                <w:color w:val="auto"/>
                <w:spacing w:val="-3"/>
                <w:kern w:val="0"/>
                <w:szCs w:val="21"/>
                <w:highlight w:val="none"/>
              </w:rPr>
              <w:t>分</w:t>
            </w:r>
            <w:r>
              <w:rPr>
                <w:rFonts w:hint="eastAsia" w:ascii="宋体" w:hAnsi="宋体" w:cs="宋体"/>
                <w:color w:val="auto"/>
                <w:spacing w:val="-2"/>
                <w:kern w:val="0"/>
                <w:szCs w:val="21"/>
                <w:highlight w:val="none"/>
              </w:rPr>
              <w:t>值</w:t>
            </w:r>
          </w:p>
        </w:tc>
        <w:tc>
          <w:tcPr>
            <w:tcW w:w="5914" w:type="dxa"/>
            <w:vAlign w:val="center"/>
          </w:tcPr>
          <w:p w14:paraId="6004A3C7">
            <w:pPr>
              <w:widowControl/>
              <w:snapToGrid w:val="0"/>
              <w:spacing w:line="320" w:lineRule="exact"/>
              <w:jc w:val="center"/>
              <w:rPr>
                <w:rFonts w:ascii="宋体" w:hAnsi="宋体" w:cs="宋体"/>
                <w:color w:val="auto"/>
                <w:spacing w:val="-3"/>
                <w:kern w:val="0"/>
                <w:szCs w:val="21"/>
                <w:highlight w:val="none"/>
              </w:rPr>
            </w:pPr>
            <w:r>
              <w:rPr>
                <w:rFonts w:hint="eastAsia" w:ascii="宋体" w:hAnsi="宋体" w:cs="宋体"/>
                <w:color w:val="auto"/>
                <w:spacing w:val="-1"/>
                <w:kern w:val="0"/>
                <w:szCs w:val="21"/>
                <w:highlight w:val="none"/>
              </w:rPr>
              <w:t>评分</w:t>
            </w:r>
            <w:r>
              <w:rPr>
                <w:rFonts w:hint="eastAsia" w:ascii="宋体" w:hAnsi="宋体" w:cs="宋体"/>
                <w:color w:val="auto"/>
                <w:kern w:val="0"/>
                <w:szCs w:val="21"/>
                <w:highlight w:val="none"/>
              </w:rPr>
              <w:t>标准</w:t>
            </w:r>
          </w:p>
        </w:tc>
      </w:tr>
      <w:tr w14:paraId="222FF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812" w:type="dxa"/>
            <w:vMerge w:val="restart"/>
            <w:vAlign w:val="center"/>
          </w:tcPr>
          <w:p w14:paraId="5116C092">
            <w:pPr>
              <w:widowControl/>
              <w:snapToGrid w:val="0"/>
              <w:spacing w:line="3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2.2.2</w:t>
            </w:r>
          </w:p>
          <w:p w14:paraId="765C3CAD">
            <w:pPr>
              <w:widowControl/>
              <w:snapToGrid w:val="0"/>
              <w:spacing w:line="3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1064" w:type="dxa"/>
            <w:vMerge w:val="restart"/>
            <w:vAlign w:val="center"/>
          </w:tcPr>
          <w:p w14:paraId="0A543D2F">
            <w:pPr>
              <w:widowControl/>
              <w:snapToGrid w:val="0"/>
              <w:spacing w:line="3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商务部分</w:t>
            </w:r>
          </w:p>
          <w:p w14:paraId="72B7A9E5">
            <w:pPr>
              <w:widowControl/>
              <w:snapToGrid w:val="0"/>
              <w:spacing w:line="3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（20分）</w:t>
            </w:r>
          </w:p>
        </w:tc>
        <w:tc>
          <w:tcPr>
            <w:tcW w:w="1136" w:type="dxa"/>
            <w:vMerge w:val="restart"/>
            <w:vAlign w:val="center"/>
          </w:tcPr>
          <w:p w14:paraId="6F0A84E4">
            <w:pPr>
              <w:widowControl/>
              <w:adjustRightInd w:val="0"/>
              <w:snapToGrid w:val="0"/>
              <w:spacing w:line="3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业绩</w:t>
            </w:r>
          </w:p>
        </w:tc>
        <w:tc>
          <w:tcPr>
            <w:tcW w:w="864" w:type="dxa"/>
            <w:vMerge w:val="restart"/>
            <w:vAlign w:val="center"/>
          </w:tcPr>
          <w:p w14:paraId="4880A5C5">
            <w:pPr>
              <w:widowControl/>
              <w:snapToGrid w:val="0"/>
              <w:spacing w:line="3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20分</w:t>
            </w:r>
          </w:p>
        </w:tc>
        <w:tc>
          <w:tcPr>
            <w:tcW w:w="5914" w:type="dxa"/>
            <w:vAlign w:val="center"/>
          </w:tcPr>
          <w:p w14:paraId="41885112">
            <w:pPr>
              <w:widowControl/>
              <w:snapToGrid w:val="0"/>
              <w:spacing w:line="320" w:lineRule="exact"/>
              <w:ind w:right="113"/>
              <w:jc w:val="left"/>
              <w:rPr>
                <w:rFonts w:ascii="宋体" w:hAnsi="宋体" w:cs="宋体"/>
                <w:color w:val="auto"/>
                <w:kern w:val="0"/>
                <w:szCs w:val="21"/>
                <w:highlight w:val="none"/>
              </w:rPr>
            </w:pPr>
            <w:r>
              <w:rPr>
                <w:rFonts w:hint="eastAsia" w:ascii="宋体" w:hAnsi="宋体" w:cs="宋体"/>
                <w:color w:val="auto"/>
                <w:kern w:val="0"/>
                <w:szCs w:val="21"/>
                <w:highlight w:val="none"/>
              </w:rPr>
              <w:t>满足资格审查条件（业绩最低要求）得12分；</w:t>
            </w:r>
          </w:p>
        </w:tc>
      </w:tr>
      <w:tr w14:paraId="02D98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812" w:type="dxa"/>
            <w:vMerge w:val="continue"/>
            <w:vAlign w:val="center"/>
          </w:tcPr>
          <w:p w14:paraId="61685F7D">
            <w:pPr>
              <w:widowControl/>
              <w:snapToGrid w:val="0"/>
              <w:spacing w:line="320" w:lineRule="exact"/>
              <w:jc w:val="center"/>
              <w:rPr>
                <w:rFonts w:ascii="宋体" w:hAnsi="宋体" w:cs="宋体"/>
                <w:color w:val="auto"/>
                <w:kern w:val="0"/>
                <w:szCs w:val="21"/>
                <w:highlight w:val="none"/>
              </w:rPr>
            </w:pPr>
          </w:p>
        </w:tc>
        <w:tc>
          <w:tcPr>
            <w:tcW w:w="1064" w:type="dxa"/>
            <w:vMerge w:val="continue"/>
            <w:vAlign w:val="center"/>
          </w:tcPr>
          <w:p w14:paraId="19E07CF2">
            <w:pPr>
              <w:widowControl/>
              <w:snapToGrid w:val="0"/>
              <w:spacing w:line="320" w:lineRule="exact"/>
              <w:jc w:val="center"/>
              <w:rPr>
                <w:rFonts w:ascii="宋体" w:hAnsi="宋体" w:cs="宋体"/>
                <w:color w:val="auto"/>
                <w:kern w:val="0"/>
                <w:szCs w:val="21"/>
                <w:highlight w:val="none"/>
              </w:rPr>
            </w:pPr>
          </w:p>
        </w:tc>
        <w:tc>
          <w:tcPr>
            <w:tcW w:w="1136" w:type="dxa"/>
            <w:vMerge w:val="continue"/>
            <w:vAlign w:val="center"/>
          </w:tcPr>
          <w:p w14:paraId="6F5AF9D9">
            <w:pPr>
              <w:widowControl/>
              <w:adjustRightInd w:val="0"/>
              <w:snapToGrid w:val="0"/>
              <w:spacing w:line="320" w:lineRule="exact"/>
              <w:jc w:val="center"/>
              <w:rPr>
                <w:rFonts w:ascii="宋体" w:hAnsi="宋体" w:cs="宋体"/>
                <w:color w:val="auto"/>
                <w:kern w:val="0"/>
                <w:szCs w:val="21"/>
                <w:highlight w:val="none"/>
              </w:rPr>
            </w:pPr>
          </w:p>
        </w:tc>
        <w:tc>
          <w:tcPr>
            <w:tcW w:w="864" w:type="dxa"/>
            <w:vMerge w:val="continue"/>
            <w:vAlign w:val="center"/>
          </w:tcPr>
          <w:p w14:paraId="670DC1C8">
            <w:pPr>
              <w:widowControl/>
              <w:snapToGrid w:val="0"/>
              <w:spacing w:line="320" w:lineRule="exact"/>
              <w:jc w:val="center"/>
              <w:rPr>
                <w:rFonts w:ascii="宋体" w:hAnsi="宋体" w:cs="宋体"/>
                <w:color w:val="auto"/>
                <w:kern w:val="0"/>
                <w:szCs w:val="21"/>
                <w:highlight w:val="none"/>
              </w:rPr>
            </w:pPr>
          </w:p>
        </w:tc>
        <w:tc>
          <w:tcPr>
            <w:tcW w:w="5914" w:type="dxa"/>
            <w:vAlign w:val="center"/>
          </w:tcPr>
          <w:p w14:paraId="46470F77">
            <w:pPr>
              <w:widowControl/>
              <w:snapToGrid w:val="0"/>
              <w:spacing w:line="320" w:lineRule="exact"/>
              <w:ind w:right="113"/>
              <w:jc w:val="left"/>
              <w:rPr>
                <w:rFonts w:ascii="宋体" w:hAnsi="宋体" w:cs="宋体"/>
                <w:color w:val="auto"/>
                <w:kern w:val="0"/>
                <w:szCs w:val="21"/>
                <w:highlight w:val="none"/>
              </w:rPr>
            </w:pPr>
            <w:r>
              <w:rPr>
                <w:rFonts w:hint="eastAsia" w:ascii="宋体" w:hAnsi="宋体" w:cs="宋体"/>
                <w:color w:val="auto"/>
                <w:szCs w:val="21"/>
                <w:highlight w:val="none"/>
              </w:rPr>
              <w:t>每增加</w:t>
            </w:r>
            <w:r>
              <w:rPr>
                <w:rFonts w:ascii="宋体" w:hAnsi="宋体" w:cs="宋体"/>
                <w:color w:val="auto"/>
                <w:szCs w:val="21"/>
                <w:highlight w:val="none"/>
              </w:rPr>
              <w:t>1项满足资格审查条件（业绩最低要求）的业绩加4</w:t>
            </w:r>
            <w:r>
              <w:rPr>
                <w:rFonts w:hint="eastAsia" w:ascii="宋体" w:hAnsi="宋体" w:cs="宋体"/>
                <w:color w:val="auto"/>
                <w:szCs w:val="21"/>
                <w:highlight w:val="none"/>
              </w:rPr>
              <w:t>分，最多加</w:t>
            </w:r>
            <w:r>
              <w:rPr>
                <w:rFonts w:ascii="宋体" w:hAnsi="宋体" w:cs="宋体"/>
                <w:color w:val="auto"/>
                <w:szCs w:val="21"/>
                <w:highlight w:val="none"/>
              </w:rPr>
              <w:t>8</w:t>
            </w:r>
            <w:r>
              <w:rPr>
                <w:rFonts w:hint="eastAsia" w:ascii="宋体" w:hAnsi="宋体" w:cs="宋体"/>
                <w:color w:val="auto"/>
                <w:szCs w:val="21"/>
                <w:highlight w:val="none"/>
              </w:rPr>
              <w:t>分。</w:t>
            </w:r>
          </w:p>
        </w:tc>
      </w:tr>
      <w:tr w14:paraId="6181B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6" w:hRule="atLeast"/>
          <w:jc w:val="center"/>
        </w:trPr>
        <w:tc>
          <w:tcPr>
            <w:tcW w:w="812" w:type="dxa"/>
            <w:vMerge w:val="restart"/>
            <w:vAlign w:val="center"/>
          </w:tcPr>
          <w:p w14:paraId="6E43C734">
            <w:pPr>
              <w:widowControl/>
              <w:snapToGrid w:val="0"/>
              <w:spacing w:line="3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2.2.2</w:t>
            </w:r>
          </w:p>
          <w:p w14:paraId="14A514DD">
            <w:pPr>
              <w:widowControl/>
              <w:snapToGrid w:val="0"/>
              <w:spacing w:line="3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1064" w:type="dxa"/>
            <w:vMerge w:val="restart"/>
            <w:vAlign w:val="center"/>
          </w:tcPr>
          <w:p w14:paraId="188F97A2">
            <w:pPr>
              <w:widowControl/>
              <w:snapToGrid w:val="0"/>
              <w:spacing w:line="3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技术部分</w:t>
            </w:r>
            <w:r>
              <w:rPr>
                <w:rFonts w:hint="eastAsia" w:ascii="宋体" w:hAnsi="宋体" w:cs="宋体"/>
                <w:color w:val="auto"/>
                <w:szCs w:val="21"/>
                <w:highlight w:val="none"/>
              </w:rPr>
              <w:t>（供货方案）</w:t>
            </w:r>
          </w:p>
          <w:p w14:paraId="1B3D62AF">
            <w:pPr>
              <w:snapToGrid w:val="0"/>
              <w:spacing w:line="320" w:lineRule="exact"/>
              <w:rPr>
                <w:rFonts w:ascii="宋体" w:hAnsi="宋体" w:cs="宋体"/>
                <w:color w:val="auto"/>
                <w:szCs w:val="21"/>
                <w:highlight w:val="none"/>
              </w:rPr>
            </w:pPr>
            <w:r>
              <w:rPr>
                <w:rFonts w:hint="eastAsia" w:ascii="宋体" w:hAnsi="宋体" w:cs="宋体"/>
                <w:color w:val="auto"/>
                <w:szCs w:val="21"/>
                <w:highlight w:val="none"/>
              </w:rPr>
              <w:t>（80分）</w:t>
            </w:r>
          </w:p>
        </w:tc>
        <w:tc>
          <w:tcPr>
            <w:tcW w:w="1136" w:type="dxa"/>
            <w:vAlign w:val="center"/>
          </w:tcPr>
          <w:p w14:paraId="06F63758">
            <w:pPr>
              <w:pStyle w:val="15"/>
              <w:snapToGrid w:val="0"/>
              <w:spacing w:line="320" w:lineRule="exact"/>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投标人综合能力评价</w:t>
            </w:r>
          </w:p>
        </w:tc>
        <w:tc>
          <w:tcPr>
            <w:tcW w:w="864" w:type="dxa"/>
            <w:vAlign w:val="center"/>
          </w:tcPr>
          <w:p w14:paraId="2E1CFA7D">
            <w:pPr>
              <w:autoSpaceDE w:val="0"/>
              <w:autoSpaceDN w:val="0"/>
              <w:adjustRightInd w:val="0"/>
              <w:snapToGrid w:val="0"/>
              <w:spacing w:line="320" w:lineRule="exact"/>
              <w:jc w:val="center"/>
              <w:rPr>
                <w:rFonts w:ascii="宋体" w:hAnsi="宋体" w:cs="宋体"/>
                <w:color w:val="auto"/>
                <w:kern w:val="0"/>
                <w:szCs w:val="21"/>
                <w:highlight w:val="none"/>
              </w:rPr>
            </w:pPr>
            <w:r>
              <w:rPr>
                <w:rFonts w:hint="eastAsia" w:ascii="宋体" w:hAnsi="宋体" w:cs="宋体"/>
                <w:color w:val="auto"/>
                <w:szCs w:val="21"/>
                <w:highlight w:val="none"/>
              </w:rPr>
              <w:t>20分</w:t>
            </w:r>
          </w:p>
        </w:tc>
        <w:tc>
          <w:tcPr>
            <w:tcW w:w="5914" w:type="dxa"/>
            <w:vAlign w:val="center"/>
          </w:tcPr>
          <w:p w14:paraId="2E40A088">
            <w:pPr>
              <w:autoSpaceDE w:val="0"/>
              <w:autoSpaceDN w:val="0"/>
              <w:adjustRightInd w:val="0"/>
              <w:snapToGrid w:val="0"/>
              <w:spacing w:line="320" w:lineRule="exact"/>
              <w:rPr>
                <w:rFonts w:ascii="宋体" w:hAnsi="宋体" w:cs="宋体"/>
                <w:color w:val="auto"/>
                <w:szCs w:val="21"/>
                <w:highlight w:val="none"/>
              </w:rPr>
            </w:pPr>
            <w:r>
              <w:rPr>
                <w:rFonts w:hint="eastAsia" w:ascii="宋体" w:hAnsi="宋体" w:cs="宋体"/>
                <w:color w:val="auto"/>
                <w:szCs w:val="21"/>
                <w:highlight w:val="none"/>
              </w:rPr>
              <w:t>投标人综合能力强，能很好满足招标文件要求，得16-20分；</w:t>
            </w:r>
          </w:p>
          <w:p w14:paraId="2396EAEE">
            <w:pPr>
              <w:autoSpaceDE w:val="0"/>
              <w:autoSpaceDN w:val="0"/>
              <w:adjustRightInd w:val="0"/>
              <w:snapToGrid w:val="0"/>
              <w:spacing w:line="320" w:lineRule="exact"/>
              <w:rPr>
                <w:rFonts w:ascii="宋体" w:hAnsi="宋体" w:cs="宋体"/>
                <w:color w:val="auto"/>
                <w:szCs w:val="21"/>
                <w:highlight w:val="none"/>
              </w:rPr>
            </w:pPr>
            <w:r>
              <w:rPr>
                <w:rFonts w:hint="eastAsia" w:ascii="宋体" w:hAnsi="宋体" w:cs="宋体"/>
                <w:color w:val="auto"/>
                <w:szCs w:val="21"/>
                <w:highlight w:val="none"/>
              </w:rPr>
              <w:t>投标人综合能力较强，能较好满足招标文件要求，</w:t>
            </w:r>
            <w:r>
              <w:rPr>
                <w:rFonts w:hint="eastAsia" w:ascii="宋体" w:hAnsi="宋体" w:cs="宋体"/>
                <w:color w:val="auto"/>
                <w:szCs w:val="21"/>
                <w:highlight w:val="none"/>
                <w:lang w:val="zh-CN"/>
              </w:rPr>
              <w:t>得</w:t>
            </w:r>
            <w:r>
              <w:rPr>
                <w:rFonts w:hint="eastAsia" w:ascii="宋体" w:hAnsi="宋体" w:cs="宋体"/>
                <w:color w:val="auto"/>
                <w:szCs w:val="21"/>
                <w:highlight w:val="none"/>
              </w:rPr>
              <w:t>12</w:t>
            </w:r>
            <w:r>
              <w:rPr>
                <w:rFonts w:hint="eastAsia" w:ascii="宋体" w:hAnsi="宋体" w:cs="宋体"/>
                <w:color w:val="auto"/>
                <w:szCs w:val="21"/>
                <w:highlight w:val="none"/>
                <w:lang w:val="zh-CN"/>
              </w:rPr>
              <w:t>-</w:t>
            </w:r>
            <w:r>
              <w:rPr>
                <w:rFonts w:hint="eastAsia" w:ascii="宋体" w:hAnsi="宋体" w:cs="宋体"/>
                <w:color w:val="auto"/>
                <w:szCs w:val="21"/>
                <w:highlight w:val="none"/>
              </w:rPr>
              <w:t>16</w:t>
            </w:r>
            <w:r>
              <w:rPr>
                <w:rFonts w:hint="eastAsia" w:ascii="宋体" w:hAnsi="宋体" w:cs="宋体"/>
                <w:color w:val="auto"/>
                <w:szCs w:val="21"/>
                <w:highlight w:val="none"/>
                <w:lang w:val="zh-CN"/>
              </w:rPr>
              <w:t>分；</w:t>
            </w:r>
          </w:p>
          <w:p w14:paraId="6751284F">
            <w:pPr>
              <w:autoSpaceDE w:val="0"/>
              <w:autoSpaceDN w:val="0"/>
              <w:adjustRightInd w:val="0"/>
              <w:snapToGrid w:val="0"/>
              <w:spacing w:line="320" w:lineRule="exact"/>
              <w:rPr>
                <w:rFonts w:ascii="宋体" w:hAnsi="宋体" w:cs="宋体"/>
                <w:color w:val="auto"/>
                <w:kern w:val="0"/>
                <w:szCs w:val="21"/>
                <w:highlight w:val="none"/>
              </w:rPr>
            </w:pPr>
            <w:r>
              <w:rPr>
                <w:rFonts w:hint="eastAsia" w:ascii="宋体" w:hAnsi="宋体" w:cs="宋体"/>
                <w:color w:val="auto"/>
                <w:szCs w:val="21"/>
                <w:highlight w:val="none"/>
              </w:rPr>
              <w:t>投标人综合能力一般，满足招标文件要求，</w:t>
            </w:r>
            <w:r>
              <w:rPr>
                <w:rFonts w:hint="eastAsia" w:ascii="宋体" w:hAnsi="宋体" w:cs="宋体"/>
                <w:color w:val="auto"/>
                <w:szCs w:val="21"/>
                <w:highlight w:val="none"/>
                <w:lang w:val="zh-CN"/>
              </w:rPr>
              <w:t>得</w:t>
            </w:r>
            <w:r>
              <w:rPr>
                <w:rFonts w:hint="eastAsia" w:ascii="宋体" w:hAnsi="宋体" w:cs="宋体"/>
                <w:color w:val="auto"/>
                <w:szCs w:val="21"/>
                <w:highlight w:val="none"/>
              </w:rPr>
              <w:t>12</w:t>
            </w:r>
            <w:r>
              <w:rPr>
                <w:rFonts w:hint="eastAsia" w:ascii="宋体" w:hAnsi="宋体" w:cs="宋体"/>
                <w:color w:val="auto"/>
                <w:szCs w:val="21"/>
                <w:highlight w:val="none"/>
                <w:lang w:val="zh-CN"/>
              </w:rPr>
              <w:t>分。</w:t>
            </w:r>
          </w:p>
        </w:tc>
      </w:tr>
      <w:tr w14:paraId="195B1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12" w:type="dxa"/>
            <w:vMerge w:val="continue"/>
            <w:vAlign w:val="center"/>
          </w:tcPr>
          <w:p w14:paraId="321C17EA">
            <w:pPr>
              <w:widowControl/>
              <w:snapToGrid w:val="0"/>
              <w:spacing w:line="320" w:lineRule="exact"/>
              <w:jc w:val="center"/>
              <w:rPr>
                <w:rFonts w:ascii="宋体" w:hAnsi="宋体" w:cs="宋体"/>
                <w:color w:val="auto"/>
                <w:kern w:val="0"/>
                <w:szCs w:val="21"/>
                <w:highlight w:val="none"/>
              </w:rPr>
            </w:pPr>
          </w:p>
        </w:tc>
        <w:tc>
          <w:tcPr>
            <w:tcW w:w="1064" w:type="dxa"/>
            <w:vMerge w:val="continue"/>
            <w:vAlign w:val="center"/>
          </w:tcPr>
          <w:p w14:paraId="0AFE4988">
            <w:pPr>
              <w:widowControl/>
              <w:snapToGrid w:val="0"/>
              <w:spacing w:line="320" w:lineRule="exact"/>
              <w:jc w:val="center"/>
              <w:rPr>
                <w:rFonts w:ascii="宋体" w:hAnsi="宋体" w:cs="宋体"/>
                <w:color w:val="auto"/>
                <w:kern w:val="0"/>
                <w:szCs w:val="21"/>
                <w:highlight w:val="none"/>
              </w:rPr>
            </w:pPr>
          </w:p>
        </w:tc>
        <w:tc>
          <w:tcPr>
            <w:tcW w:w="1136" w:type="dxa"/>
            <w:vAlign w:val="center"/>
          </w:tcPr>
          <w:p w14:paraId="4B692753">
            <w:pPr>
              <w:pStyle w:val="15"/>
              <w:snapToGrid w:val="0"/>
              <w:spacing w:line="320" w:lineRule="exact"/>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投标设备技术性能指标响应程度</w:t>
            </w:r>
          </w:p>
        </w:tc>
        <w:tc>
          <w:tcPr>
            <w:tcW w:w="864" w:type="dxa"/>
            <w:vAlign w:val="center"/>
          </w:tcPr>
          <w:p w14:paraId="59283048">
            <w:pPr>
              <w:autoSpaceDE w:val="0"/>
              <w:autoSpaceDN w:val="0"/>
              <w:adjustRightInd w:val="0"/>
              <w:snapToGrid w:val="0"/>
              <w:spacing w:line="320" w:lineRule="exact"/>
              <w:jc w:val="center"/>
              <w:rPr>
                <w:rFonts w:ascii="宋体" w:hAnsi="宋体" w:cs="宋体"/>
                <w:color w:val="auto"/>
                <w:kern w:val="0"/>
                <w:szCs w:val="21"/>
                <w:highlight w:val="none"/>
                <w:u w:val="single"/>
              </w:rPr>
            </w:pPr>
            <w:r>
              <w:rPr>
                <w:rFonts w:hint="eastAsia" w:ascii="宋体" w:hAnsi="宋体" w:cs="宋体"/>
                <w:color w:val="auto"/>
                <w:szCs w:val="21"/>
                <w:highlight w:val="none"/>
              </w:rPr>
              <w:t>20分</w:t>
            </w:r>
          </w:p>
        </w:tc>
        <w:tc>
          <w:tcPr>
            <w:tcW w:w="5914" w:type="dxa"/>
          </w:tcPr>
          <w:p w14:paraId="11044866">
            <w:pPr>
              <w:autoSpaceDE w:val="0"/>
              <w:autoSpaceDN w:val="0"/>
              <w:adjustRightInd w:val="0"/>
              <w:snapToGrid w:val="0"/>
              <w:spacing w:line="320" w:lineRule="exact"/>
              <w:rPr>
                <w:rFonts w:ascii="宋体" w:hAnsi="宋体" w:cs="宋体"/>
                <w:color w:val="auto"/>
                <w:szCs w:val="21"/>
                <w:highlight w:val="none"/>
                <w:lang w:val="zh-CN"/>
              </w:rPr>
            </w:pPr>
            <w:r>
              <w:rPr>
                <w:rFonts w:hint="eastAsia" w:ascii="宋体" w:hAnsi="宋体" w:cs="宋体"/>
                <w:color w:val="auto"/>
                <w:szCs w:val="21"/>
                <w:highlight w:val="none"/>
                <w:lang w:val="zh-CN"/>
              </w:rPr>
              <w:t>1.投标产品选型合理，主要组成部件的技术性能参数及功能参数指标高，实用性强、产品设计科学合理、质量可靠，得</w:t>
            </w:r>
            <w:r>
              <w:rPr>
                <w:rFonts w:hint="eastAsia" w:ascii="宋体" w:hAnsi="宋体" w:cs="宋体"/>
                <w:color w:val="auto"/>
                <w:szCs w:val="21"/>
                <w:highlight w:val="none"/>
              </w:rPr>
              <w:t>16</w:t>
            </w:r>
            <w:r>
              <w:rPr>
                <w:rFonts w:hint="eastAsia" w:ascii="宋体" w:hAnsi="宋体" w:cs="宋体"/>
                <w:color w:val="auto"/>
                <w:szCs w:val="21"/>
                <w:highlight w:val="none"/>
                <w:lang w:val="zh-CN"/>
              </w:rPr>
              <w:t>-</w:t>
            </w:r>
            <w:r>
              <w:rPr>
                <w:rFonts w:hint="eastAsia" w:ascii="宋体" w:hAnsi="宋体" w:cs="宋体"/>
                <w:color w:val="auto"/>
                <w:szCs w:val="21"/>
                <w:highlight w:val="none"/>
              </w:rPr>
              <w:t>2</w:t>
            </w:r>
            <w:r>
              <w:rPr>
                <w:rFonts w:hint="eastAsia" w:ascii="宋体" w:hAnsi="宋体" w:cs="宋体"/>
                <w:color w:val="auto"/>
                <w:szCs w:val="21"/>
                <w:highlight w:val="none"/>
                <w:lang w:val="zh-CN"/>
              </w:rPr>
              <w:t>0分；</w:t>
            </w:r>
          </w:p>
          <w:p w14:paraId="44FBAF68">
            <w:pPr>
              <w:autoSpaceDE w:val="0"/>
              <w:autoSpaceDN w:val="0"/>
              <w:adjustRightInd w:val="0"/>
              <w:snapToGrid w:val="0"/>
              <w:spacing w:line="320" w:lineRule="exact"/>
              <w:rPr>
                <w:rFonts w:ascii="宋体" w:hAnsi="宋体" w:cs="宋体"/>
                <w:color w:val="auto"/>
                <w:szCs w:val="21"/>
                <w:highlight w:val="none"/>
                <w:lang w:val="zh-CN"/>
              </w:rPr>
            </w:pPr>
            <w:r>
              <w:rPr>
                <w:rFonts w:hint="eastAsia" w:ascii="宋体" w:hAnsi="宋体" w:cs="宋体"/>
                <w:color w:val="auto"/>
                <w:szCs w:val="21"/>
                <w:highlight w:val="none"/>
                <w:lang w:val="zh-CN"/>
              </w:rPr>
              <w:t>2.投标产品选型较合理，主要组成部件的技术性能参数及功能参数指标较高，实用性较强、产品设计较合理、质量较可靠，得</w:t>
            </w:r>
            <w:r>
              <w:rPr>
                <w:rFonts w:hint="eastAsia" w:ascii="宋体" w:hAnsi="宋体" w:cs="宋体"/>
                <w:color w:val="auto"/>
                <w:szCs w:val="21"/>
                <w:highlight w:val="none"/>
              </w:rPr>
              <w:t>12</w:t>
            </w:r>
            <w:r>
              <w:rPr>
                <w:rFonts w:hint="eastAsia" w:ascii="宋体" w:hAnsi="宋体" w:cs="宋体"/>
                <w:color w:val="auto"/>
                <w:szCs w:val="21"/>
                <w:highlight w:val="none"/>
                <w:lang w:val="zh-CN"/>
              </w:rPr>
              <w:t>-</w:t>
            </w:r>
            <w:r>
              <w:rPr>
                <w:rFonts w:hint="eastAsia" w:ascii="宋体" w:hAnsi="宋体" w:cs="宋体"/>
                <w:color w:val="auto"/>
                <w:szCs w:val="21"/>
                <w:highlight w:val="none"/>
              </w:rPr>
              <w:t>16</w:t>
            </w:r>
            <w:r>
              <w:rPr>
                <w:rFonts w:hint="eastAsia" w:ascii="宋体" w:hAnsi="宋体" w:cs="宋体"/>
                <w:color w:val="auto"/>
                <w:szCs w:val="21"/>
                <w:highlight w:val="none"/>
                <w:lang w:val="zh-CN"/>
              </w:rPr>
              <w:t>分；</w:t>
            </w:r>
          </w:p>
          <w:p w14:paraId="496C3EE9">
            <w:pPr>
              <w:autoSpaceDE w:val="0"/>
              <w:autoSpaceDN w:val="0"/>
              <w:adjustRightInd w:val="0"/>
              <w:snapToGrid w:val="0"/>
              <w:spacing w:line="320" w:lineRule="exact"/>
              <w:rPr>
                <w:rFonts w:ascii="宋体" w:hAnsi="宋体" w:cs="宋体"/>
                <w:color w:val="auto"/>
                <w:kern w:val="0"/>
                <w:szCs w:val="21"/>
                <w:highlight w:val="none"/>
              </w:rPr>
            </w:pPr>
            <w:r>
              <w:rPr>
                <w:rFonts w:hint="eastAsia" w:ascii="宋体" w:hAnsi="宋体" w:cs="宋体"/>
                <w:color w:val="auto"/>
                <w:szCs w:val="21"/>
                <w:highlight w:val="none"/>
                <w:lang w:val="zh-CN"/>
              </w:rPr>
              <w:t>3.投标产品选型一般，主要组成部件的技术性能参数及功能参数指标一般，实用性一般、产品设计一般、质量一般，得</w:t>
            </w:r>
            <w:r>
              <w:rPr>
                <w:rFonts w:hint="eastAsia" w:ascii="宋体" w:hAnsi="宋体" w:cs="宋体"/>
                <w:color w:val="auto"/>
                <w:szCs w:val="21"/>
                <w:highlight w:val="none"/>
              </w:rPr>
              <w:t>12</w:t>
            </w:r>
            <w:r>
              <w:rPr>
                <w:rFonts w:hint="eastAsia" w:ascii="宋体" w:hAnsi="宋体" w:cs="宋体"/>
                <w:color w:val="auto"/>
                <w:szCs w:val="21"/>
                <w:highlight w:val="none"/>
                <w:lang w:val="zh-CN"/>
              </w:rPr>
              <w:t>分。</w:t>
            </w:r>
          </w:p>
        </w:tc>
      </w:tr>
      <w:tr w14:paraId="663AC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7" w:hRule="atLeast"/>
          <w:jc w:val="center"/>
        </w:trPr>
        <w:tc>
          <w:tcPr>
            <w:tcW w:w="812" w:type="dxa"/>
            <w:vMerge w:val="continue"/>
            <w:vAlign w:val="center"/>
          </w:tcPr>
          <w:p w14:paraId="004FFD16">
            <w:pPr>
              <w:widowControl/>
              <w:snapToGrid w:val="0"/>
              <w:spacing w:line="320" w:lineRule="exact"/>
              <w:jc w:val="center"/>
              <w:rPr>
                <w:rFonts w:ascii="宋体" w:hAnsi="宋体" w:cs="宋体"/>
                <w:color w:val="auto"/>
                <w:kern w:val="0"/>
                <w:szCs w:val="21"/>
                <w:highlight w:val="none"/>
              </w:rPr>
            </w:pPr>
          </w:p>
        </w:tc>
        <w:tc>
          <w:tcPr>
            <w:tcW w:w="1064" w:type="dxa"/>
            <w:vMerge w:val="continue"/>
            <w:vAlign w:val="center"/>
          </w:tcPr>
          <w:p w14:paraId="4AFBD68C">
            <w:pPr>
              <w:widowControl/>
              <w:snapToGrid w:val="0"/>
              <w:spacing w:line="320" w:lineRule="exact"/>
              <w:jc w:val="center"/>
              <w:rPr>
                <w:rFonts w:ascii="宋体" w:hAnsi="宋体" w:cs="宋体"/>
                <w:color w:val="auto"/>
                <w:kern w:val="0"/>
                <w:szCs w:val="21"/>
                <w:highlight w:val="none"/>
              </w:rPr>
            </w:pPr>
          </w:p>
        </w:tc>
        <w:tc>
          <w:tcPr>
            <w:tcW w:w="1136" w:type="dxa"/>
            <w:vAlign w:val="center"/>
          </w:tcPr>
          <w:p w14:paraId="48CA55E2">
            <w:pPr>
              <w:widowControl/>
              <w:adjustRightInd w:val="0"/>
              <w:snapToGrid w:val="0"/>
              <w:spacing w:line="3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供货能力及进度保障</w:t>
            </w:r>
          </w:p>
          <w:p w14:paraId="297A3C5C">
            <w:pPr>
              <w:widowControl/>
              <w:adjustRightInd w:val="0"/>
              <w:snapToGrid w:val="0"/>
              <w:spacing w:line="320" w:lineRule="exact"/>
              <w:jc w:val="center"/>
              <w:rPr>
                <w:rFonts w:ascii="宋体" w:hAnsi="宋体" w:cs="宋体"/>
                <w:color w:val="auto"/>
                <w:kern w:val="0"/>
                <w:szCs w:val="21"/>
                <w:highlight w:val="none"/>
              </w:rPr>
            </w:pPr>
            <w:r>
              <w:rPr>
                <w:rFonts w:hint="eastAsia" w:ascii="宋体" w:hAnsi="宋体" w:cs="宋体"/>
                <w:b/>
                <w:bCs/>
                <w:color w:val="auto"/>
                <w:kern w:val="0"/>
                <w:szCs w:val="21"/>
                <w:highlight w:val="none"/>
              </w:rPr>
              <w:t>（暗标）</w:t>
            </w:r>
          </w:p>
        </w:tc>
        <w:tc>
          <w:tcPr>
            <w:tcW w:w="864" w:type="dxa"/>
            <w:vAlign w:val="center"/>
          </w:tcPr>
          <w:p w14:paraId="4CFC139A">
            <w:pPr>
              <w:widowControl/>
              <w:snapToGrid w:val="0"/>
              <w:spacing w:line="320" w:lineRule="exact"/>
              <w:ind w:right="113"/>
              <w:jc w:val="center"/>
              <w:rPr>
                <w:rFonts w:ascii="宋体" w:hAnsi="宋体" w:cs="宋体"/>
                <w:color w:val="auto"/>
                <w:kern w:val="0"/>
                <w:szCs w:val="21"/>
                <w:highlight w:val="none"/>
              </w:rPr>
            </w:pPr>
            <w:r>
              <w:rPr>
                <w:rFonts w:hint="eastAsia" w:ascii="宋体" w:hAnsi="宋体" w:cs="宋体"/>
                <w:color w:val="auto"/>
                <w:kern w:val="0"/>
                <w:szCs w:val="21"/>
                <w:highlight w:val="none"/>
              </w:rPr>
              <w:t>20分</w:t>
            </w:r>
          </w:p>
        </w:tc>
        <w:tc>
          <w:tcPr>
            <w:tcW w:w="5914" w:type="dxa"/>
          </w:tcPr>
          <w:p w14:paraId="5B229202">
            <w:pPr>
              <w:snapToGrid w:val="0"/>
              <w:spacing w:line="320" w:lineRule="exact"/>
              <w:rPr>
                <w:rFonts w:ascii="宋体" w:hAnsi="宋体" w:cs="宋体"/>
                <w:color w:val="auto"/>
                <w:szCs w:val="21"/>
                <w:highlight w:val="none"/>
              </w:rPr>
            </w:pPr>
            <w:r>
              <w:rPr>
                <w:rFonts w:hint="eastAsia" w:ascii="宋体" w:hAnsi="宋体" w:cs="宋体"/>
                <w:color w:val="auto"/>
                <w:szCs w:val="21"/>
                <w:highlight w:val="none"/>
              </w:rPr>
              <w:t>1.投标人提供的供货计划切实可行、供货能力强、交货进度有保障、能够保质保量的完成供货，针对供货过程中的特殊情况有预案，得16-20分；</w:t>
            </w:r>
          </w:p>
          <w:p w14:paraId="39D2F77A">
            <w:pPr>
              <w:snapToGrid w:val="0"/>
              <w:spacing w:line="320" w:lineRule="exact"/>
              <w:rPr>
                <w:rFonts w:ascii="宋体" w:hAnsi="宋体" w:cs="宋体"/>
                <w:color w:val="auto"/>
                <w:szCs w:val="21"/>
                <w:highlight w:val="none"/>
              </w:rPr>
            </w:pPr>
            <w:r>
              <w:rPr>
                <w:rFonts w:hint="eastAsia" w:ascii="宋体" w:hAnsi="宋体" w:cs="宋体"/>
                <w:color w:val="auto"/>
                <w:szCs w:val="21"/>
                <w:highlight w:val="none"/>
              </w:rPr>
              <w:t>2.投标人提供的供货计划可行、供货能力较强、交货进度满足招标文件要求，得12-16分；</w:t>
            </w:r>
          </w:p>
          <w:p w14:paraId="098DCE9D">
            <w:pPr>
              <w:snapToGrid w:val="0"/>
              <w:spacing w:line="320" w:lineRule="exact"/>
              <w:rPr>
                <w:rFonts w:ascii="宋体" w:hAnsi="宋体" w:cs="宋体"/>
                <w:color w:val="auto"/>
                <w:kern w:val="0"/>
                <w:szCs w:val="21"/>
                <w:highlight w:val="none"/>
              </w:rPr>
            </w:pPr>
            <w:r>
              <w:rPr>
                <w:rFonts w:hint="eastAsia" w:ascii="宋体" w:hAnsi="宋体" w:cs="宋体"/>
                <w:color w:val="auto"/>
                <w:szCs w:val="21"/>
                <w:highlight w:val="none"/>
              </w:rPr>
              <w:t>3.投标人提供的供货计划一般、供货能力一般、交货进度基本满足招标文件要求，得12分。</w:t>
            </w:r>
          </w:p>
        </w:tc>
      </w:tr>
      <w:tr w14:paraId="66ECA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jc w:val="center"/>
        </w:trPr>
        <w:tc>
          <w:tcPr>
            <w:tcW w:w="812" w:type="dxa"/>
            <w:vMerge w:val="continue"/>
            <w:vAlign w:val="center"/>
          </w:tcPr>
          <w:p w14:paraId="20DE4C25">
            <w:pPr>
              <w:widowControl/>
              <w:snapToGrid w:val="0"/>
              <w:spacing w:line="320" w:lineRule="exact"/>
              <w:jc w:val="center"/>
              <w:rPr>
                <w:rFonts w:ascii="宋体" w:hAnsi="宋体" w:cs="宋体"/>
                <w:color w:val="auto"/>
                <w:kern w:val="0"/>
                <w:szCs w:val="21"/>
                <w:highlight w:val="none"/>
              </w:rPr>
            </w:pPr>
          </w:p>
        </w:tc>
        <w:tc>
          <w:tcPr>
            <w:tcW w:w="1064" w:type="dxa"/>
            <w:vMerge w:val="continue"/>
            <w:vAlign w:val="center"/>
          </w:tcPr>
          <w:p w14:paraId="724B693D">
            <w:pPr>
              <w:widowControl/>
              <w:snapToGrid w:val="0"/>
              <w:spacing w:line="320" w:lineRule="exact"/>
              <w:jc w:val="center"/>
              <w:rPr>
                <w:rFonts w:ascii="宋体" w:hAnsi="宋体" w:cs="宋体"/>
                <w:color w:val="auto"/>
                <w:kern w:val="0"/>
                <w:szCs w:val="21"/>
                <w:highlight w:val="none"/>
              </w:rPr>
            </w:pPr>
          </w:p>
        </w:tc>
        <w:tc>
          <w:tcPr>
            <w:tcW w:w="1136" w:type="dxa"/>
            <w:vAlign w:val="center"/>
          </w:tcPr>
          <w:p w14:paraId="3B106A7F">
            <w:pPr>
              <w:autoSpaceDE w:val="0"/>
              <w:autoSpaceDN w:val="0"/>
              <w:snapToGrid w:val="0"/>
              <w:spacing w:line="320" w:lineRule="exact"/>
              <w:jc w:val="center"/>
              <w:rPr>
                <w:rFonts w:ascii="宋体" w:hAnsi="宋体" w:cs="宋体"/>
                <w:color w:val="auto"/>
                <w:szCs w:val="21"/>
                <w:highlight w:val="none"/>
                <w:lang w:val="zh-CN" w:bidi="zh-CN"/>
              </w:rPr>
            </w:pPr>
            <w:r>
              <w:rPr>
                <w:rFonts w:hint="eastAsia" w:ascii="宋体" w:hAnsi="宋体" w:cs="宋体"/>
                <w:color w:val="auto"/>
                <w:szCs w:val="21"/>
                <w:highlight w:val="none"/>
                <w:lang w:val="zh-CN" w:bidi="zh-CN"/>
              </w:rPr>
              <w:t>技术服务及质保期服务</w:t>
            </w:r>
          </w:p>
          <w:p w14:paraId="07803532">
            <w:pPr>
              <w:autoSpaceDE w:val="0"/>
              <w:autoSpaceDN w:val="0"/>
              <w:snapToGrid w:val="0"/>
              <w:spacing w:line="320" w:lineRule="exact"/>
              <w:jc w:val="center"/>
              <w:rPr>
                <w:rFonts w:ascii="宋体" w:hAnsi="宋体" w:cs="宋体"/>
                <w:color w:val="auto"/>
                <w:szCs w:val="21"/>
                <w:highlight w:val="none"/>
                <w:lang w:val="zh-CN" w:bidi="zh-CN"/>
              </w:rPr>
            </w:pPr>
            <w:r>
              <w:rPr>
                <w:rFonts w:hint="eastAsia" w:ascii="宋体" w:hAnsi="宋体" w:cs="宋体"/>
                <w:b/>
                <w:bCs/>
                <w:color w:val="auto"/>
                <w:szCs w:val="21"/>
                <w:highlight w:val="none"/>
                <w:lang w:val="zh-CN" w:bidi="zh-CN"/>
              </w:rPr>
              <w:t>（暗标）</w:t>
            </w:r>
          </w:p>
        </w:tc>
        <w:tc>
          <w:tcPr>
            <w:tcW w:w="864" w:type="dxa"/>
            <w:vAlign w:val="center"/>
          </w:tcPr>
          <w:p w14:paraId="19DD4AD1">
            <w:pPr>
              <w:widowControl/>
              <w:snapToGrid w:val="0"/>
              <w:spacing w:line="320" w:lineRule="exact"/>
              <w:ind w:right="113"/>
              <w:jc w:val="center"/>
              <w:rPr>
                <w:rFonts w:ascii="宋体" w:hAnsi="宋体" w:cs="宋体"/>
                <w:color w:val="auto"/>
                <w:kern w:val="0"/>
                <w:szCs w:val="21"/>
                <w:highlight w:val="none"/>
              </w:rPr>
            </w:pPr>
            <w:r>
              <w:rPr>
                <w:rFonts w:hint="eastAsia" w:ascii="宋体" w:hAnsi="宋体" w:cs="宋体"/>
                <w:color w:val="auto"/>
                <w:kern w:val="0"/>
                <w:szCs w:val="21"/>
                <w:highlight w:val="none"/>
              </w:rPr>
              <w:t>20分</w:t>
            </w:r>
          </w:p>
        </w:tc>
        <w:tc>
          <w:tcPr>
            <w:tcW w:w="5914" w:type="dxa"/>
            <w:vAlign w:val="center"/>
          </w:tcPr>
          <w:p w14:paraId="2340083D">
            <w:pPr>
              <w:autoSpaceDE w:val="0"/>
              <w:autoSpaceDN w:val="0"/>
              <w:adjustRightInd w:val="0"/>
              <w:snapToGrid w:val="0"/>
              <w:spacing w:line="320" w:lineRule="exact"/>
              <w:rPr>
                <w:rFonts w:ascii="宋体" w:hAnsi="宋体" w:cs="宋体"/>
                <w:color w:val="auto"/>
                <w:szCs w:val="21"/>
                <w:highlight w:val="none"/>
              </w:rPr>
            </w:pPr>
            <w:r>
              <w:rPr>
                <w:rFonts w:hint="eastAsia" w:ascii="宋体" w:hAnsi="宋体" w:cs="宋体"/>
                <w:color w:val="auto"/>
                <w:szCs w:val="21"/>
                <w:highlight w:val="none"/>
              </w:rPr>
              <w:t>1.维护保障实施能力强，能够提供有效、稳定、可靠的维修、保养服务，售后服务体系完善且能够很好的服务招标人，得16-20分；</w:t>
            </w:r>
          </w:p>
          <w:p w14:paraId="06F2B676">
            <w:pPr>
              <w:autoSpaceDE w:val="0"/>
              <w:autoSpaceDN w:val="0"/>
              <w:adjustRightInd w:val="0"/>
              <w:snapToGrid w:val="0"/>
              <w:spacing w:line="320" w:lineRule="exact"/>
              <w:rPr>
                <w:rFonts w:ascii="宋体" w:hAnsi="宋体" w:cs="宋体"/>
                <w:color w:val="auto"/>
                <w:szCs w:val="21"/>
                <w:highlight w:val="none"/>
              </w:rPr>
            </w:pPr>
            <w:r>
              <w:rPr>
                <w:rFonts w:hint="eastAsia" w:ascii="宋体" w:hAnsi="宋体" w:cs="宋体"/>
                <w:color w:val="auto"/>
                <w:szCs w:val="21"/>
                <w:highlight w:val="none"/>
              </w:rPr>
              <w:t>2.维护保障实施能力较强，能够提供比较有效、稳定、可靠的维修、保养服务，售后服务体系较完善，能较好的服务招标人，得12-16分；</w:t>
            </w:r>
          </w:p>
          <w:p w14:paraId="1FA1D338">
            <w:pPr>
              <w:autoSpaceDE w:val="0"/>
              <w:autoSpaceDN w:val="0"/>
              <w:adjustRightInd w:val="0"/>
              <w:snapToGrid w:val="0"/>
              <w:spacing w:line="320" w:lineRule="exact"/>
              <w:rPr>
                <w:rFonts w:ascii="宋体" w:hAnsi="宋体" w:cs="宋体"/>
                <w:color w:val="auto"/>
                <w:kern w:val="0"/>
                <w:szCs w:val="21"/>
                <w:highlight w:val="none"/>
              </w:rPr>
            </w:pPr>
            <w:r>
              <w:rPr>
                <w:rFonts w:hint="eastAsia" w:ascii="宋体" w:hAnsi="宋体" w:cs="宋体"/>
                <w:color w:val="auto"/>
                <w:szCs w:val="21"/>
                <w:highlight w:val="none"/>
              </w:rPr>
              <w:t>3.维护保障实施能力一般，能够提供基本的维修、保养服务得12分。</w:t>
            </w:r>
          </w:p>
        </w:tc>
      </w:tr>
      <w:tr w14:paraId="3A6BA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812" w:type="dxa"/>
            <w:tcBorders>
              <w:bottom w:val="single" w:color="auto" w:sz="4" w:space="0"/>
            </w:tcBorders>
            <w:vAlign w:val="center"/>
          </w:tcPr>
          <w:p w14:paraId="6D7E63BA">
            <w:pPr>
              <w:widowControl/>
              <w:snapToGrid w:val="0"/>
              <w:spacing w:line="3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2.2.2</w:t>
            </w:r>
          </w:p>
          <w:p w14:paraId="04034289">
            <w:pPr>
              <w:widowControl/>
              <w:snapToGrid w:val="0"/>
              <w:spacing w:line="3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(3)</w:t>
            </w:r>
          </w:p>
        </w:tc>
        <w:tc>
          <w:tcPr>
            <w:tcW w:w="1064" w:type="dxa"/>
            <w:tcBorders>
              <w:bottom w:val="single" w:color="auto" w:sz="4" w:space="0"/>
            </w:tcBorders>
            <w:vAlign w:val="center"/>
          </w:tcPr>
          <w:p w14:paraId="36157CEF">
            <w:pPr>
              <w:widowControl/>
              <w:snapToGrid w:val="0"/>
              <w:spacing w:line="320" w:lineRule="exact"/>
              <w:ind w:left="126" w:hanging="126" w:hangingChars="60"/>
              <w:jc w:val="center"/>
              <w:rPr>
                <w:rFonts w:ascii="宋体" w:hAnsi="宋体" w:cs="宋体"/>
                <w:color w:val="auto"/>
                <w:kern w:val="0"/>
                <w:szCs w:val="21"/>
                <w:highlight w:val="none"/>
              </w:rPr>
            </w:pPr>
            <w:r>
              <w:rPr>
                <w:rFonts w:hint="eastAsia" w:ascii="宋体" w:hAnsi="宋体" w:cs="宋体"/>
                <w:color w:val="auto"/>
                <w:kern w:val="0"/>
                <w:szCs w:val="21"/>
                <w:highlight w:val="none"/>
              </w:rPr>
              <w:t>其他评分因素</w:t>
            </w:r>
          </w:p>
        </w:tc>
        <w:tc>
          <w:tcPr>
            <w:tcW w:w="7914" w:type="dxa"/>
            <w:gridSpan w:val="3"/>
            <w:tcBorders>
              <w:bottom w:val="single" w:color="auto" w:sz="4" w:space="0"/>
            </w:tcBorders>
            <w:vAlign w:val="center"/>
          </w:tcPr>
          <w:p w14:paraId="5863DB7E">
            <w:pPr>
              <w:widowControl/>
              <w:snapToGrid w:val="0"/>
              <w:spacing w:line="3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无</w:t>
            </w:r>
          </w:p>
        </w:tc>
      </w:tr>
    </w:tbl>
    <w:p w14:paraId="718D18DE">
      <w:pPr>
        <w:adjustRightInd w:val="0"/>
        <w:snapToGrid w:val="0"/>
        <w:jc w:val="left"/>
        <w:textAlignment w:val="baseline"/>
        <w:rPr>
          <w:rFonts w:ascii="宋体" w:hAnsi="宋体"/>
          <w:snapToGrid w:val="0"/>
          <w:color w:val="auto"/>
          <w:kern w:val="0"/>
          <w:szCs w:val="21"/>
          <w:highlight w:val="none"/>
        </w:rPr>
      </w:pPr>
      <w:r>
        <w:rPr>
          <w:rFonts w:ascii="宋体" w:hAnsi="宋体"/>
          <w:snapToGrid w:val="0"/>
          <w:color w:val="auto"/>
          <w:kern w:val="0"/>
          <w:szCs w:val="21"/>
          <w:highlight w:val="none"/>
        </w:rPr>
        <w:t>注：</w:t>
      </w:r>
    </w:p>
    <w:p w14:paraId="27229B40">
      <w:pPr>
        <w:adjustRightInd w:val="0"/>
        <w:snapToGrid w:val="0"/>
        <w:jc w:val="left"/>
        <w:textAlignment w:val="baseline"/>
        <w:rPr>
          <w:rFonts w:ascii="宋体" w:hAnsi="宋体"/>
          <w:snapToGrid w:val="0"/>
          <w:color w:val="auto"/>
          <w:kern w:val="0"/>
          <w:szCs w:val="21"/>
          <w:highlight w:val="none"/>
        </w:rPr>
      </w:pPr>
      <w:r>
        <w:rPr>
          <w:rFonts w:ascii="宋体" w:hAnsi="宋体"/>
          <w:snapToGrid w:val="0"/>
          <w:color w:val="auto"/>
          <w:kern w:val="0"/>
          <w:szCs w:val="21"/>
          <w:highlight w:val="none"/>
        </w:rPr>
        <w:t>1、</w:t>
      </w:r>
      <w:r>
        <w:rPr>
          <w:rFonts w:hint="eastAsia" w:ascii="宋体" w:hAnsi="宋体"/>
          <w:snapToGrid w:val="0"/>
          <w:color w:val="auto"/>
          <w:kern w:val="0"/>
          <w:szCs w:val="21"/>
          <w:highlight w:val="none"/>
        </w:rPr>
        <w:t>第2.2.2（2）项</w:t>
      </w:r>
      <w:r>
        <w:rPr>
          <w:rFonts w:ascii="宋体" w:hAnsi="宋体"/>
          <w:snapToGrid w:val="0"/>
          <w:color w:val="auto"/>
          <w:kern w:val="0"/>
          <w:szCs w:val="21"/>
          <w:highlight w:val="none"/>
        </w:rPr>
        <w:t>评委打分保留1位小数</w:t>
      </w:r>
      <w:r>
        <w:rPr>
          <w:rFonts w:hint="eastAsia" w:ascii="宋体" w:hAnsi="宋体"/>
          <w:snapToGrid w:val="0"/>
          <w:color w:val="auto"/>
          <w:kern w:val="0"/>
          <w:szCs w:val="21"/>
          <w:highlight w:val="none"/>
        </w:rPr>
        <w:t>，各评分因素得分应以评标委员会各成员的打分平均值确定，保留两位小数，第三位四舍五入。</w:t>
      </w:r>
    </w:p>
    <w:p w14:paraId="08913DE1">
      <w:r>
        <w:rPr>
          <w:rFonts w:ascii="宋体" w:hAnsi="宋体"/>
          <w:snapToGrid w:val="0"/>
          <w:color w:val="auto"/>
          <w:kern w:val="0"/>
          <w:szCs w:val="21"/>
          <w:highlight w:val="none"/>
        </w:rPr>
        <w:t>2、</w:t>
      </w:r>
      <w:r>
        <w:rPr>
          <w:rFonts w:hint="eastAsia" w:ascii="宋体" w:hAnsi="宋体"/>
          <w:snapToGrid w:val="0"/>
          <w:color w:val="auto"/>
          <w:kern w:val="0"/>
          <w:szCs w:val="21"/>
          <w:highlight w:val="none"/>
        </w:rPr>
        <w:t>第2.2.2（2）项评标委员会成员对某一项评分因素的评分低于权重分值 60%的，应在评标报告中作出说明。评分因素缺项则该项得0分。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5B4305"/>
    <w:rsid w:val="0ECD0571"/>
    <w:rsid w:val="11396325"/>
    <w:rsid w:val="14E0681B"/>
    <w:rsid w:val="1760460B"/>
    <w:rsid w:val="1E4F62D6"/>
    <w:rsid w:val="1F40383D"/>
    <w:rsid w:val="279B48E7"/>
    <w:rsid w:val="2896660E"/>
    <w:rsid w:val="2AE8488E"/>
    <w:rsid w:val="2EDF2AFC"/>
    <w:rsid w:val="33664DBE"/>
    <w:rsid w:val="35A574B6"/>
    <w:rsid w:val="395E67BE"/>
    <w:rsid w:val="39F049E4"/>
    <w:rsid w:val="3ABF5F61"/>
    <w:rsid w:val="42286BD6"/>
    <w:rsid w:val="444E2F6B"/>
    <w:rsid w:val="4A1273D5"/>
    <w:rsid w:val="4B080D08"/>
    <w:rsid w:val="4C01529A"/>
    <w:rsid w:val="4ECD1ABD"/>
    <w:rsid w:val="528205B6"/>
    <w:rsid w:val="54904D90"/>
    <w:rsid w:val="620072A5"/>
    <w:rsid w:val="62A806BA"/>
    <w:rsid w:val="643F511A"/>
    <w:rsid w:val="675B4305"/>
    <w:rsid w:val="72663C5F"/>
    <w:rsid w:val="7B804FE0"/>
    <w:rsid w:val="7F8460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1"/>
    <w:qFormat/>
    <w:uiPriority w:val="0"/>
    <w:pPr>
      <w:keepNext/>
      <w:widowControl/>
      <w:spacing w:before="50" w:beforeLines="50" w:after="50" w:afterLines="50" w:line="360" w:lineRule="auto"/>
      <w:jc w:val="center"/>
      <w:outlineLvl w:val="0"/>
    </w:pPr>
    <w:rPr>
      <w:rFonts w:ascii="宋体" w:hAnsi="宋体" w:eastAsia="宋体" w:cs="宋体"/>
      <w:b/>
      <w:bCs/>
      <w:kern w:val="36"/>
      <w:sz w:val="40"/>
      <w:szCs w:val="32"/>
    </w:rPr>
  </w:style>
  <w:style w:type="paragraph" w:styleId="3">
    <w:name w:val="heading 2"/>
    <w:basedOn w:val="1"/>
    <w:next w:val="1"/>
    <w:link w:val="10"/>
    <w:semiHidden/>
    <w:unhideWhenUsed/>
    <w:qFormat/>
    <w:uiPriority w:val="0"/>
    <w:pPr>
      <w:spacing w:line="360" w:lineRule="auto"/>
      <w:ind w:left="0"/>
      <w:jc w:val="center"/>
      <w:outlineLvl w:val="1"/>
    </w:pPr>
    <w:rPr>
      <w:rFonts w:ascii="宋体" w:hAnsi="宋体" w:eastAsia="宋体" w:cs="宋体"/>
      <w:b/>
      <w:sz w:val="32"/>
      <w:szCs w:val="30"/>
      <w:lang w:eastAsia="en-US"/>
    </w:rPr>
  </w:style>
  <w:style w:type="paragraph" w:styleId="4">
    <w:name w:val="heading 3"/>
    <w:basedOn w:val="1"/>
    <w:next w:val="1"/>
    <w:link w:val="12"/>
    <w:semiHidden/>
    <w:unhideWhenUsed/>
    <w:qFormat/>
    <w:uiPriority w:val="0"/>
    <w:pPr>
      <w:keepNext/>
      <w:widowControl/>
      <w:spacing w:line="360" w:lineRule="auto"/>
      <w:ind w:left="0"/>
      <w:jc w:val="left"/>
      <w:outlineLvl w:val="2"/>
    </w:pPr>
    <w:rPr>
      <w:rFonts w:ascii="宋体" w:hAnsi="宋体" w:eastAsia="宋体" w:cs="宋体"/>
      <w:b/>
      <w:bCs/>
      <w:sz w:val="24"/>
      <w:szCs w:val="24"/>
      <w:lang w:eastAsia="en-US"/>
    </w:rPr>
  </w:style>
  <w:style w:type="paragraph" w:styleId="5">
    <w:name w:val="heading 4"/>
    <w:basedOn w:val="1"/>
    <w:next w:val="1"/>
    <w:link w:val="13"/>
    <w:semiHidden/>
    <w:unhideWhenUsed/>
    <w:qFormat/>
    <w:uiPriority w:val="0"/>
    <w:pPr>
      <w:ind w:left="237"/>
      <w:outlineLvl w:val="3"/>
    </w:pPr>
    <w:rPr>
      <w:rFonts w:ascii="宋体" w:hAnsi="宋体" w:eastAsia="宋体" w:cs="Times New Roman"/>
      <w:b/>
      <w:sz w:val="28"/>
      <w:szCs w:val="28"/>
      <w:lang w:eastAsia="en-US"/>
    </w:rPr>
  </w:style>
  <w:style w:type="paragraph" w:styleId="6">
    <w:name w:val="heading 5"/>
    <w:basedOn w:val="1"/>
    <w:next w:val="1"/>
    <w:semiHidden/>
    <w:unhideWhenUsed/>
    <w:qFormat/>
    <w:uiPriority w:val="0"/>
    <w:pPr>
      <w:keepNext/>
      <w:keepLines/>
      <w:spacing w:beforeLines="0" w:beforeAutospacing="0" w:afterLines="0" w:afterAutospacing="0" w:line="360" w:lineRule="auto"/>
      <w:outlineLvl w:val="4"/>
    </w:pPr>
    <w:rPr>
      <w:rFonts w:ascii="宋体" w:hAnsi="宋体" w:cs="宋体" w:eastAsiaTheme="minorEastAsia"/>
      <w:b/>
      <w:sz w:val="24"/>
      <w:szCs w:val="24"/>
      <w:lang w:eastAsia="en-US"/>
    </w:rPr>
  </w:style>
  <w:style w:type="character" w:default="1" w:styleId="9">
    <w:name w:val="Default Paragraph Font"/>
    <w:unhideWhenUsed/>
    <w:qFormat/>
    <w:uiPriority w:val="1"/>
  </w:style>
  <w:style w:type="table" w:default="1" w:styleId="8">
    <w:name w:val="Normal Table"/>
    <w:semiHidden/>
    <w:qFormat/>
    <w:uiPriority w:val="0"/>
    <w:tblPr>
      <w:tblCellMar>
        <w:top w:w="0" w:type="dxa"/>
        <w:left w:w="108" w:type="dxa"/>
        <w:bottom w:w="0" w:type="dxa"/>
        <w:right w:w="108" w:type="dxa"/>
      </w:tblCellMar>
    </w:tblPr>
  </w:style>
  <w:style w:type="paragraph" w:styleId="7">
    <w:name w:val="footer"/>
    <w:basedOn w:val="1"/>
    <w:unhideWhenUsed/>
    <w:qFormat/>
    <w:uiPriority w:val="99"/>
    <w:pPr>
      <w:tabs>
        <w:tab w:val="center" w:pos="4153"/>
        <w:tab w:val="right" w:pos="8306"/>
      </w:tabs>
      <w:snapToGrid w:val="0"/>
      <w:jc w:val="left"/>
    </w:pPr>
    <w:rPr>
      <w:kern w:val="0"/>
      <w:sz w:val="18"/>
      <w:szCs w:val="18"/>
    </w:rPr>
  </w:style>
  <w:style w:type="character" w:customStyle="1" w:styleId="10">
    <w:name w:val="标题 2 Char"/>
    <w:basedOn w:val="9"/>
    <w:link w:val="3"/>
    <w:qFormat/>
    <w:uiPriority w:val="9"/>
    <w:rPr>
      <w:rFonts w:ascii="宋体" w:hAnsi="宋体" w:eastAsia="宋体" w:cs="宋体"/>
      <w:b/>
      <w:bCs/>
      <w:sz w:val="24"/>
      <w:szCs w:val="24"/>
      <w:lang w:eastAsia="en-US"/>
    </w:rPr>
  </w:style>
  <w:style w:type="character" w:customStyle="1" w:styleId="11">
    <w:name w:val="标题 1 Char"/>
    <w:basedOn w:val="9"/>
    <w:link w:val="2"/>
    <w:qFormat/>
    <w:uiPriority w:val="9"/>
    <w:rPr>
      <w:rFonts w:ascii="宋体" w:hAnsi="宋体" w:eastAsia="宋体" w:cs="宋体"/>
      <w:b/>
      <w:bCs/>
      <w:kern w:val="36"/>
      <w:sz w:val="40"/>
      <w:szCs w:val="32"/>
      <w:lang w:eastAsia="en-US"/>
    </w:rPr>
  </w:style>
  <w:style w:type="character" w:customStyle="1" w:styleId="12">
    <w:name w:val="标题 3 Char"/>
    <w:basedOn w:val="9"/>
    <w:link w:val="4"/>
    <w:qFormat/>
    <w:uiPriority w:val="9"/>
    <w:rPr>
      <w:rFonts w:ascii="宋体" w:hAnsi="宋体" w:eastAsia="宋体" w:cs="宋体"/>
      <w:b/>
      <w:bCs/>
      <w:kern w:val="0"/>
      <w:sz w:val="24"/>
      <w:szCs w:val="24"/>
      <w:lang w:eastAsia="en-US"/>
    </w:rPr>
  </w:style>
  <w:style w:type="character" w:customStyle="1" w:styleId="13">
    <w:name w:val="标题 4 字符"/>
    <w:link w:val="5"/>
    <w:qFormat/>
    <w:uiPriority w:val="0"/>
    <w:rPr>
      <w:rFonts w:ascii="宋体" w:hAnsi="宋体" w:eastAsia="宋体" w:cs="Times New Roman"/>
      <w:b/>
      <w:sz w:val="28"/>
      <w:szCs w:val="28"/>
      <w:lang w:eastAsia="en-US"/>
    </w:rPr>
  </w:style>
  <w:style w:type="paragraph" w:customStyle="1" w:styleId="14">
    <w:name w:val="Table Text"/>
    <w:basedOn w:val="1"/>
    <w:semiHidden/>
    <w:qFormat/>
    <w:uiPriority w:val="0"/>
    <w:rPr>
      <w:rFonts w:ascii="宋体" w:hAnsi="宋体" w:cs="宋体"/>
      <w:sz w:val="20"/>
      <w:szCs w:val="20"/>
      <w:lang w:eastAsia="en-US"/>
    </w:rPr>
  </w:style>
  <w:style w:type="paragraph" w:customStyle="1" w:styleId="15">
    <w:name w:val="Table Paragraph"/>
    <w:basedOn w:val="1"/>
    <w:qFormat/>
    <w:uiPriority w:val="1"/>
    <w:pPr>
      <w:jc w:val="left"/>
    </w:pPr>
    <w:rPr>
      <w:rFonts w:ascii="Calibri" w:hAnsi="Calibri"/>
      <w:kern w:val="0"/>
      <w:sz w:val="22"/>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2026-09-30T09:44:00Z</dcterms:created>
  <dc:creator>张宁</dc:creator>
  <cp:lastModifiedBy>张宁</cp:lastModifiedBy>
  <dcterms:modified xsi:type="dcterms:W3CDTF">2026-09-30T09:45:06Z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3BA754C5175B4D7DA1FAA6F70C4F853E_11</vt:lpwstr>
  </property>
  <property fmtid="{D5CDD505-2E9C-101B-9397-08002B2CF9AE}" pid="4" name="KSOTemplateDocerSaveRecord">
    <vt:lpwstr>eyJoZGlkIjoiNGFjNGU5MGM1NzNmMGRmMGE0N2VjNjk3NDcyNTAwODYiLCJ1c2VySWQiOiIxNjgyOTM3NTgwIn0=</vt:lpwstr>
  </property>
</Properties>
</file>