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9AA10">
      <w:pPr>
        <w:pStyle w:val="2"/>
        <w:spacing w:before="0" w:after="0" w:line="400" w:lineRule="exact"/>
        <w:rPr>
          <w:rFonts w:eastAsia="黑体"/>
          <w:color w:val="auto"/>
          <w:sz w:val="28"/>
          <w:szCs w:val="28"/>
          <w:highlight w:val="none"/>
        </w:rPr>
      </w:pPr>
      <w:bookmarkStart w:id="0" w:name="_Toc13232"/>
      <w:bookmarkStart w:id="1" w:name="_Toc144838350"/>
      <w:bookmarkStart w:id="2" w:name="_Toc201074914"/>
      <w:bookmarkStart w:id="3" w:name="_Toc134792338"/>
      <w:bookmarkStart w:id="4" w:name="_Toc193048000"/>
      <w:bookmarkStart w:id="5" w:name="_Toc144837284"/>
      <w:bookmarkStart w:id="6" w:name="OLE_LINK2"/>
      <w:r>
        <w:rPr>
          <w:rFonts w:eastAsia="黑体"/>
          <w:color w:val="auto"/>
          <w:sz w:val="28"/>
          <w:szCs w:val="28"/>
          <w:highlight w:val="none"/>
        </w:rPr>
        <w:t>附件1：资格审查条件</w:t>
      </w:r>
      <w:bookmarkEnd w:id="0"/>
      <w:bookmarkEnd w:id="1"/>
      <w:bookmarkEnd w:id="2"/>
      <w:bookmarkEnd w:id="3"/>
      <w:bookmarkEnd w:id="4"/>
      <w:bookmarkEnd w:id="5"/>
    </w:p>
    <w:p w14:paraId="6F2DEBEB">
      <w:pPr>
        <w:adjustRightInd w:val="0"/>
        <w:spacing w:line="400" w:lineRule="exact"/>
        <w:jc w:val="center"/>
        <w:rPr>
          <w:rFonts w:eastAsia="黑体"/>
          <w:bCs/>
          <w:color w:val="auto"/>
          <w:sz w:val="24"/>
          <w:szCs w:val="24"/>
          <w:highlight w:val="none"/>
        </w:rPr>
      </w:pPr>
      <w:r>
        <w:rPr>
          <w:rFonts w:eastAsia="黑体"/>
          <w:bCs/>
          <w:color w:val="auto"/>
          <w:sz w:val="24"/>
          <w:szCs w:val="24"/>
          <w:highlight w:val="none"/>
        </w:rPr>
        <w:t xml:space="preserve">附录1  </w:t>
      </w:r>
      <w:r>
        <w:rPr>
          <w:rFonts w:eastAsia="黑体"/>
          <w:bCs/>
          <w:color w:val="auto"/>
          <w:sz w:val="24"/>
          <w:highlight w:val="none"/>
        </w:rPr>
        <w:t>资格</w:t>
      </w:r>
      <w:r>
        <w:rPr>
          <w:rFonts w:eastAsia="黑体"/>
          <w:bCs/>
          <w:color w:val="auto"/>
          <w:sz w:val="24"/>
          <w:szCs w:val="24"/>
          <w:highlight w:val="none"/>
        </w:rPr>
        <w:t>审查条件（资质最低要求）</w:t>
      </w:r>
    </w:p>
    <w:tbl>
      <w:tblPr>
        <w:tblStyle w:val="6"/>
        <w:tblW w:w="4822"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14"/>
        <w:gridCol w:w="1120"/>
        <w:gridCol w:w="5885"/>
      </w:tblGrid>
      <w:tr w14:paraId="15B9E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38" w:type="pct"/>
            <w:vAlign w:val="center"/>
          </w:tcPr>
          <w:p w14:paraId="4FC09AD8">
            <w:pPr>
              <w:pStyle w:val="5"/>
              <w:adjustRightInd w:val="0"/>
              <w:snapToGrid w:val="0"/>
              <w:spacing w:before="0" w:beforeAutospacing="0" w:after="0" w:afterAutospacing="0" w:line="400" w:lineRule="exact"/>
              <w:ind w:firstLine="0"/>
              <w:contextualSpacing/>
              <w:jc w:val="center"/>
              <w:rPr>
                <w:rFonts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rPr>
              <w:t>类别</w:t>
            </w:r>
          </w:p>
        </w:tc>
        <w:tc>
          <w:tcPr>
            <w:tcW w:w="681" w:type="pct"/>
            <w:vAlign w:val="center"/>
          </w:tcPr>
          <w:p w14:paraId="2B012FB4">
            <w:pPr>
              <w:pStyle w:val="5"/>
              <w:adjustRightInd w:val="0"/>
              <w:snapToGrid w:val="0"/>
              <w:spacing w:before="0" w:beforeAutospacing="0" w:after="0" w:afterAutospacing="0" w:line="400" w:lineRule="exact"/>
              <w:ind w:firstLine="0"/>
              <w:contextualSpacing/>
              <w:jc w:val="center"/>
              <w:rPr>
                <w:rFonts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rPr>
              <w:t>标段号</w:t>
            </w:r>
          </w:p>
        </w:tc>
        <w:tc>
          <w:tcPr>
            <w:tcW w:w="3579" w:type="pct"/>
            <w:vAlign w:val="center"/>
          </w:tcPr>
          <w:p w14:paraId="678FE10F">
            <w:pPr>
              <w:pStyle w:val="5"/>
              <w:adjustRightInd w:val="0"/>
              <w:snapToGrid w:val="0"/>
              <w:spacing w:before="0" w:beforeAutospacing="0" w:after="0" w:afterAutospacing="0" w:line="400" w:lineRule="exact"/>
              <w:ind w:firstLine="0"/>
              <w:contextualSpacing/>
              <w:jc w:val="center"/>
              <w:rPr>
                <w:rFonts w:ascii="Times New Roman" w:hAnsi="Times New Roman"/>
                <w:bCs/>
                <w:color w:val="auto"/>
                <w:sz w:val="21"/>
                <w:szCs w:val="21"/>
                <w:highlight w:val="none"/>
              </w:rPr>
            </w:pPr>
            <w:r>
              <w:rPr>
                <w:rFonts w:ascii="Times New Roman" w:hAnsi="Times New Roman"/>
                <w:bCs/>
                <w:color w:val="auto"/>
                <w:sz w:val="21"/>
                <w:szCs w:val="21"/>
                <w:highlight w:val="none"/>
              </w:rPr>
              <w:t>施工企业资质等级要求</w:t>
            </w:r>
          </w:p>
        </w:tc>
      </w:tr>
      <w:tr w14:paraId="1EDE0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5" w:hRule="atLeast"/>
        </w:trPr>
        <w:tc>
          <w:tcPr>
            <w:tcW w:w="738" w:type="pct"/>
            <w:vAlign w:val="center"/>
          </w:tcPr>
          <w:p w14:paraId="16D455BF">
            <w:pPr>
              <w:pStyle w:val="5"/>
              <w:adjustRightInd w:val="0"/>
              <w:snapToGrid w:val="0"/>
              <w:spacing w:before="0" w:beforeAutospacing="0" w:after="0" w:afterAutospacing="0" w:line="400" w:lineRule="exact"/>
              <w:ind w:firstLine="0"/>
              <w:contextualSpacing/>
              <w:jc w:val="center"/>
              <w:rPr>
                <w:rFonts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rPr>
              <w:t>I类、II类</w:t>
            </w:r>
          </w:p>
        </w:tc>
        <w:tc>
          <w:tcPr>
            <w:tcW w:w="681" w:type="pct"/>
            <w:vAlign w:val="center"/>
          </w:tcPr>
          <w:p w14:paraId="35F6F568">
            <w:pPr>
              <w:pStyle w:val="5"/>
              <w:adjustRightInd w:val="0"/>
              <w:snapToGrid w:val="0"/>
              <w:spacing w:before="0" w:beforeAutospacing="0" w:after="0" w:afterAutospacing="0" w:line="400" w:lineRule="exact"/>
              <w:ind w:firstLine="0"/>
              <w:contextualSpacing/>
              <w:jc w:val="center"/>
              <w:rPr>
                <w:rFonts w:hint="eastAsia" w:ascii="Times New Roman" w:hAnsi="Times New Roman" w:eastAsia="宋体"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eastAsia="zh-CN"/>
              </w:rPr>
              <w:t>TJ-3</w:t>
            </w:r>
            <w:r>
              <w:rPr>
                <w:rFonts w:hint="eastAsia" w:ascii="Times New Roman" w:hAnsi="Times New Roman" w:eastAsia="宋体" w:cs="Times New Roman"/>
                <w:bCs/>
                <w:color w:val="auto"/>
                <w:sz w:val="21"/>
                <w:szCs w:val="21"/>
                <w:highlight w:val="none"/>
                <w:lang w:eastAsia="zh-CN"/>
              </w:rPr>
              <w:t>、</w:t>
            </w:r>
            <w:r>
              <w:rPr>
                <w:rFonts w:hint="eastAsia" w:ascii="Times New Roman" w:hAnsi="Times New Roman" w:cs="Times New Roman"/>
                <w:bCs/>
                <w:color w:val="auto"/>
                <w:sz w:val="21"/>
                <w:szCs w:val="21"/>
                <w:highlight w:val="none"/>
                <w:lang w:eastAsia="zh-CN"/>
              </w:rPr>
              <w:t>TJ-5</w:t>
            </w:r>
          </w:p>
        </w:tc>
        <w:tc>
          <w:tcPr>
            <w:tcW w:w="3579" w:type="pct"/>
            <w:vAlign w:val="center"/>
          </w:tcPr>
          <w:p w14:paraId="317BD7C6">
            <w:pPr>
              <w:spacing w:line="400" w:lineRule="exact"/>
              <w:ind w:firstLine="420" w:firstLineChars="200"/>
              <w:jc w:val="both"/>
              <w:rPr>
                <w:rFonts w:hint="eastAsia"/>
                <w:bCs/>
                <w:color w:val="auto"/>
                <w:sz w:val="21"/>
                <w:szCs w:val="21"/>
                <w:highlight w:val="none"/>
              </w:rPr>
            </w:pPr>
            <w:r>
              <w:rPr>
                <w:rFonts w:hint="eastAsia"/>
                <w:bCs/>
                <w:color w:val="auto"/>
                <w:sz w:val="21"/>
                <w:szCs w:val="21"/>
                <w:highlight w:val="none"/>
                <w:lang w:val="en-US" w:eastAsia="zh-CN"/>
              </w:rPr>
              <w:t>1、</w:t>
            </w:r>
            <w:r>
              <w:rPr>
                <w:rFonts w:hint="eastAsia"/>
                <w:bCs/>
                <w:color w:val="auto"/>
                <w:sz w:val="21"/>
                <w:szCs w:val="21"/>
                <w:highlight w:val="none"/>
              </w:rPr>
              <w:t>具有独立企业法人资格，持有有效的企业营业执照。</w:t>
            </w:r>
          </w:p>
          <w:p w14:paraId="28056918">
            <w:pPr>
              <w:spacing w:line="400" w:lineRule="exact"/>
              <w:ind w:firstLine="420" w:firstLineChars="200"/>
              <w:jc w:val="both"/>
              <w:rPr>
                <w:bCs/>
                <w:color w:val="auto"/>
                <w:sz w:val="21"/>
                <w:szCs w:val="21"/>
                <w:highlight w:val="none"/>
              </w:rPr>
            </w:pPr>
            <w:r>
              <w:rPr>
                <w:rFonts w:hint="eastAsia"/>
                <w:bCs/>
                <w:color w:val="auto"/>
                <w:sz w:val="21"/>
                <w:szCs w:val="21"/>
                <w:highlight w:val="none"/>
              </w:rPr>
              <w:t>2、具备住房和城乡建设行政主管部门颁发的公路工程施工总承包一级及以上资质。</w:t>
            </w:r>
          </w:p>
          <w:p w14:paraId="729D7D55">
            <w:pPr>
              <w:spacing w:line="400" w:lineRule="exact"/>
              <w:ind w:firstLine="420" w:firstLineChars="200"/>
              <w:jc w:val="both"/>
              <w:rPr>
                <w:rFonts w:hint="default" w:eastAsia="宋体"/>
                <w:bCs/>
                <w:color w:val="auto"/>
                <w:sz w:val="21"/>
                <w:szCs w:val="21"/>
                <w:highlight w:val="none"/>
                <w:lang w:val="en-US" w:eastAsia="zh-CN"/>
              </w:rPr>
            </w:pPr>
            <w:r>
              <w:rPr>
                <w:rFonts w:hint="eastAsia"/>
                <w:bCs/>
                <w:color w:val="auto"/>
                <w:sz w:val="21"/>
                <w:szCs w:val="21"/>
                <w:highlight w:val="none"/>
              </w:rPr>
              <w:t>3、具有住房和城乡建设主管部门颁发的有效的安全生产许可证。</w:t>
            </w:r>
          </w:p>
        </w:tc>
      </w:tr>
    </w:tbl>
    <w:p w14:paraId="46E1596B">
      <w:pPr>
        <w:adjustRightInd w:val="0"/>
        <w:spacing w:line="400" w:lineRule="exact"/>
        <w:jc w:val="center"/>
        <w:rPr>
          <w:rFonts w:eastAsia="黑体"/>
          <w:bCs/>
          <w:color w:val="auto"/>
          <w:sz w:val="24"/>
          <w:szCs w:val="24"/>
          <w:highlight w:val="none"/>
        </w:rPr>
      </w:pPr>
    </w:p>
    <w:p w14:paraId="4E30426D">
      <w:pPr>
        <w:adjustRightInd w:val="0"/>
        <w:spacing w:line="400" w:lineRule="exact"/>
        <w:jc w:val="center"/>
        <w:rPr>
          <w:rFonts w:eastAsia="黑体"/>
          <w:bCs/>
          <w:color w:val="auto"/>
          <w:sz w:val="24"/>
          <w:szCs w:val="24"/>
          <w:highlight w:val="none"/>
        </w:rPr>
      </w:pPr>
      <w:r>
        <w:rPr>
          <w:rFonts w:eastAsia="黑体"/>
          <w:bCs/>
          <w:color w:val="auto"/>
          <w:sz w:val="24"/>
          <w:szCs w:val="24"/>
          <w:highlight w:val="none"/>
        </w:rPr>
        <w:t>附录2  资格审查条件（财务最低要求）</w:t>
      </w:r>
    </w:p>
    <w:tbl>
      <w:tblPr>
        <w:tblStyle w:val="6"/>
        <w:tblW w:w="482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1185"/>
        <w:gridCol w:w="5815"/>
      </w:tblGrid>
      <w:tr w14:paraId="71B4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324" w:type="dxa"/>
            <w:vAlign w:val="center"/>
          </w:tcPr>
          <w:p w14:paraId="2C71204C">
            <w:pPr>
              <w:pStyle w:val="5"/>
              <w:adjustRightInd w:val="0"/>
              <w:snapToGrid w:val="0"/>
              <w:spacing w:before="0" w:beforeAutospacing="0" w:after="0" w:afterAutospacing="0" w:line="400" w:lineRule="exact"/>
              <w:ind w:firstLine="0" w:firstLineChars="0"/>
              <w:contextualSpacing/>
              <w:jc w:val="center"/>
              <w:rPr>
                <w:color w:val="auto"/>
                <w:sz w:val="24"/>
                <w:szCs w:val="24"/>
                <w:highlight w:val="none"/>
                <w:lang w:bidi="ar"/>
              </w:rPr>
            </w:pPr>
            <w:r>
              <w:rPr>
                <w:rFonts w:hint="eastAsia" w:ascii="Times New Roman" w:hAnsi="Times New Roman" w:eastAsia="宋体" w:cs="Times New Roman"/>
                <w:bCs/>
                <w:color w:val="auto"/>
                <w:sz w:val="21"/>
                <w:szCs w:val="21"/>
                <w:highlight w:val="none"/>
              </w:rPr>
              <w:t>类别</w:t>
            </w:r>
          </w:p>
        </w:tc>
        <w:tc>
          <w:tcPr>
            <w:tcW w:w="1292" w:type="dxa"/>
            <w:vAlign w:val="center"/>
          </w:tcPr>
          <w:p w14:paraId="0AF0CF24">
            <w:pPr>
              <w:pStyle w:val="5"/>
              <w:adjustRightInd w:val="0"/>
              <w:snapToGrid w:val="0"/>
              <w:spacing w:before="0" w:beforeAutospacing="0" w:after="0" w:afterAutospacing="0" w:line="400" w:lineRule="exact"/>
              <w:ind w:firstLine="0" w:firstLineChars="0"/>
              <w:contextualSpacing/>
              <w:jc w:val="center"/>
              <w:rPr>
                <w:bCs/>
                <w:color w:val="auto"/>
                <w:kern w:val="2"/>
                <w:sz w:val="21"/>
                <w:szCs w:val="21"/>
                <w:highlight w:val="none"/>
              </w:rPr>
            </w:pPr>
            <w:r>
              <w:rPr>
                <w:rFonts w:hint="eastAsia" w:ascii="Times New Roman" w:hAnsi="Times New Roman" w:eastAsia="宋体" w:cs="Times New Roman"/>
                <w:bCs/>
                <w:color w:val="auto"/>
                <w:sz w:val="21"/>
                <w:szCs w:val="21"/>
                <w:highlight w:val="none"/>
              </w:rPr>
              <w:t>标段号</w:t>
            </w:r>
          </w:p>
        </w:tc>
        <w:tc>
          <w:tcPr>
            <w:tcW w:w="3538" w:type="pct"/>
            <w:vAlign w:val="center"/>
          </w:tcPr>
          <w:p w14:paraId="53474F26">
            <w:pPr>
              <w:spacing w:before="190" w:beforeLines="50" w:after="190" w:afterLines="50" w:line="400" w:lineRule="exact"/>
              <w:jc w:val="center"/>
              <w:rPr>
                <w:bCs/>
                <w:color w:val="auto"/>
                <w:kern w:val="2"/>
                <w:sz w:val="21"/>
                <w:szCs w:val="21"/>
                <w:highlight w:val="none"/>
              </w:rPr>
            </w:pPr>
            <w:r>
              <w:rPr>
                <w:bCs/>
                <w:color w:val="auto"/>
                <w:kern w:val="2"/>
                <w:sz w:val="21"/>
                <w:szCs w:val="21"/>
                <w:highlight w:val="none"/>
              </w:rPr>
              <w:t>财务要求</w:t>
            </w:r>
          </w:p>
        </w:tc>
      </w:tr>
      <w:tr w14:paraId="3B23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5" w:hRule="atLeast"/>
        </w:trPr>
        <w:tc>
          <w:tcPr>
            <w:tcW w:w="1324" w:type="dxa"/>
            <w:vAlign w:val="center"/>
          </w:tcPr>
          <w:p w14:paraId="2DBC901F">
            <w:pPr>
              <w:pStyle w:val="5"/>
              <w:adjustRightInd w:val="0"/>
              <w:snapToGrid w:val="0"/>
              <w:spacing w:before="0" w:beforeAutospacing="0" w:after="0" w:afterAutospacing="0" w:line="400" w:lineRule="exact"/>
              <w:ind w:firstLine="0" w:firstLineChars="0"/>
              <w:contextualSpacing/>
              <w:jc w:val="center"/>
              <w:rPr>
                <w:color w:val="auto"/>
                <w:sz w:val="24"/>
                <w:szCs w:val="24"/>
                <w:highlight w:val="none"/>
                <w:lang w:bidi="ar"/>
              </w:rPr>
            </w:pPr>
            <w:r>
              <w:rPr>
                <w:rFonts w:hint="eastAsia" w:ascii="Times New Roman" w:hAnsi="Times New Roman" w:eastAsia="宋体" w:cs="Times New Roman"/>
                <w:bCs/>
                <w:color w:val="auto"/>
                <w:sz w:val="21"/>
                <w:szCs w:val="21"/>
                <w:highlight w:val="none"/>
              </w:rPr>
              <w:t>I类</w:t>
            </w:r>
          </w:p>
        </w:tc>
        <w:tc>
          <w:tcPr>
            <w:tcW w:w="1292" w:type="dxa"/>
            <w:vAlign w:val="center"/>
          </w:tcPr>
          <w:p w14:paraId="13DA6137">
            <w:pPr>
              <w:pStyle w:val="5"/>
              <w:adjustRightInd w:val="0"/>
              <w:snapToGrid w:val="0"/>
              <w:spacing w:before="0" w:beforeAutospacing="0" w:after="0" w:afterAutospacing="0" w:line="400" w:lineRule="exact"/>
              <w:ind w:firstLine="0" w:firstLineChars="0"/>
              <w:contextualSpacing/>
              <w:jc w:val="center"/>
              <w:rPr>
                <w:rFonts w:hint="eastAsia" w:eastAsia="宋体"/>
                <w:bCs/>
                <w:color w:val="auto"/>
                <w:sz w:val="21"/>
                <w:szCs w:val="21"/>
                <w:highlight w:val="none"/>
                <w:lang w:eastAsia="zh-CN"/>
              </w:rPr>
            </w:pPr>
            <w:r>
              <w:rPr>
                <w:rFonts w:hint="eastAsia" w:ascii="Times New Roman" w:hAnsi="Times New Roman" w:cs="Times New Roman"/>
                <w:bCs/>
                <w:color w:val="auto"/>
                <w:sz w:val="21"/>
                <w:szCs w:val="21"/>
                <w:highlight w:val="none"/>
                <w:lang w:eastAsia="zh-CN"/>
              </w:rPr>
              <w:t>TJ-3</w:t>
            </w:r>
          </w:p>
        </w:tc>
        <w:tc>
          <w:tcPr>
            <w:tcW w:w="3538" w:type="pct"/>
            <w:vAlign w:val="center"/>
          </w:tcPr>
          <w:p w14:paraId="3BD024DE">
            <w:pPr>
              <w:adjustRightInd w:val="0"/>
              <w:snapToGrid w:val="0"/>
              <w:spacing w:line="400" w:lineRule="exact"/>
              <w:ind w:firstLine="420" w:firstLineChars="200"/>
              <w:rPr>
                <w:rFonts w:hint="default" w:eastAsia="宋体"/>
                <w:bCs/>
                <w:color w:val="auto"/>
                <w:sz w:val="21"/>
                <w:szCs w:val="21"/>
                <w:highlight w:val="none"/>
                <w:lang w:val="en-US" w:eastAsia="zh-CN"/>
              </w:rPr>
            </w:pPr>
            <w:bookmarkStart w:id="7" w:name="_Hlk206767913"/>
            <w:r>
              <w:rPr>
                <w:bCs/>
                <w:color w:val="auto"/>
                <w:sz w:val="21"/>
                <w:szCs w:val="21"/>
                <w:highlight w:val="none"/>
              </w:rPr>
              <w:t>为本合同所提供的营运资金（以经会计师事务所</w:t>
            </w:r>
            <w:r>
              <w:rPr>
                <w:rFonts w:hint="eastAsia"/>
                <w:bCs/>
                <w:color w:val="auto"/>
                <w:sz w:val="21"/>
                <w:szCs w:val="21"/>
                <w:highlight w:val="none"/>
                <w:lang w:eastAsia="zh-CN"/>
              </w:rPr>
              <w:t>审计</w:t>
            </w:r>
            <w:r>
              <w:rPr>
                <w:bCs/>
                <w:color w:val="auto"/>
                <w:sz w:val="21"/>
                <w:szCs w:val="21"/>
                <w:highlight w:val="none"/>
              </w:rPr>
              <w:t>的财务报表（</w:t>
            </w:r>
            <w:r>
              <w:rPr>
                <w:rFonts w:hint="eastAsia"/>
                <w:bCs/>
                <w:color w:val="auto"/>
                <w:sz w:val="21"/>
                <w:szCs w:val="21"/>
                <w:highlight w:val="none"/>
              </w:rPr>
              <w:t>2025年</w:t>
            </w:r>
            <w:r>
              <w:rPr>
                <w:bCs/>
                <w:color w:val="auto"/>
                <w:sz w:val="21"/>
                <w:szCs w:val="21"/>
                <w:highlight w:val="none"/>
              </w:rPr>
              <w:t>度）中：营运资金＝流动资产－流动负债，以年末数计算）以及为本合同而专门开具的银行信贷证明（营运资金满足条件的，无需提供银行信贷证明），总和不得少于</w:t>
            </w:r>
            <w:r>
              <w:rPr>
                <w:rFonts w:hint="eastAsia"/>
                <w:bCs/>
                <w:color w:val="auto"/>
                <w:sz w:val="21"/>
                <w:szCs w:val="21"/>
                <w:highlight w:val="none"/>
                <w:lang w:val="en-US" w:eastAsia="zh-CN"/>
              </w:rPr>
              <w:t>8000</w:t>
            </w:r>
            <w:r>
              <w:rPr>
                <w:bCs/>
                <w:color w:val="auto"/>
                <w:sz w:val="21"/>
                <w:szCs w:val="21"/>
                <w:highlight w:val="none"/>
              </w:rPr>
              <w:t>万元。</w:t>
            </w:r>
            <w:bookmarkEnd w:id="7"/>
          </w:p>
        </w:tc>
      </w:tr>
      <w:tr w14:paraId="263A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5" w:hRule="atLeast"/>
        </w:trPr>
        <w:tc>
          <w:tcPr>
            <w:tcW w:w="1324" w:type="dxa"/>
            <w:vAlign w:val="center"/>
          </w:tcPr>
          <w:p w14:paraId="18BF5B6A">
            <w:pPr>
              <w:pStyle w:val="5"/>
              <w:adjustRightInd w:val="0"/>
              <w:snapToGrid w:val="0"/>
              <w:spacing w:before="0" w:beforeAutospacing="0" w:after="0" w:afterAutospacing="0" w:line="400" w:lineRule="exact"/>
              <w:ind w:firstLine="0" w:firstLineChars="0"/>
              <w:contextualSpacing/>
              <w:jc w:val="center"/>
              <w:rPr>
                <w:rFonts w:hint="eastAsia" w:ascii="Times New Roman" w:hAnsi="Times New Roman" w:eastAsia="宋体" w:cs="Times New Roman"/>
                <w:bCs/>
                <w:color w:val="auto"/>
                <w:sz w:val="21"/>
                <w:szCs w:val="21"/>
                <w:highlight w:val="none"/>
              </w:rPr>
            </w:pPr>
            <w:r>
              <w:rPr>
                <w:rFonts w:hint="eastAsia" w:ascii="Times New Roman" w:hAnsi="Times New Roman" w:eastAsia="宋体" w:cs="Times New Roman"/>
                <w:bCs/>
                <w:color w:val="auto"/>
                <w:sz w:val="21"/>
                <w:szCs w:val="21"/>
                <w:highlight w:val="none"/>
              </w:rPr>
              <w:t>II类</w:t>
            </w:r>
          </w:p>
        </w:tc>
        <w:tc>
          <w:tcPr>
            <w:tcW w:w="1292" w:type="dxa"/>
            <w:vAlign w:val="center"/>
          </w:tcPr>
          <w:p w14:paraId="19EBBDF8">
            <w:pPr>
              <w:pStyle w:val="5"/>
              <w:adjustRightInd w:val="0"/>
              <w:snapToGrid w:val="0"/>
              <w:spacing w:before="0" w:beforeAutospacing="0" w:after="0" w:afterAutospacing="0" w:line="400" w:lineRule="exact"/>
              <w:ind w:firstLine="0" w:firstLineChars="0"/>
              <w:contextualSpacing/>
              <w:jc w:val="center"/>
              <w:rPr>
                <w:rFonts w:hint="eastAsia" w:ascii="Times New Roman" w:hAnsi="Times New Roman" w:eastAsia="宋体"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eastAsia="zh-CN"/>
              </w:rPr>
              <w:t>TJ-5</w:t>
            </w:r>
          </w:p>
        </w:tc>
        <w:tc>
          <w:tcPr>
            <w:tcW w:w="3538" w:type="pct"/>
            <w:vAlign w:val="center"/>
          </w:tcPr>
          <w:p w14:paraId="3A25AC66">
            <w:pPr>
              <w:adjustRightInd w:val="0"/>
              <w:snapToGrid w:val="0"/>
              <w:spacing w:line="400" w:lineRule="exact"/>
              <w:ind w:firstLine="420" w:firstLineChars="200"/>
              <w:rPr>
                <w:rFonts w:hint="default" w:eastAsia="宋体"/>
                <w:bCs/>
                <w:color w:val="auto"/>
                <w:sz w:val="21"/>
                <w:szCs w:val="21"/>
                <w:highlight w:val="none"/>
                <w:lang w:val="en-US" w:eastAsia="zh-CN"/>
              </w:rPr>
            </w:pPr>
            <w:r>
              <w:rPr>
                <w:bCs/>
                <w:color w:val="auto"/>
                <w:sz w:val="21"/>
                <w:szCs w:val="21"/>
                <w:highlight w:val="none"/>
              </w:rPr>
              <w:t>为本合同所提供的营运资金（以经会计师事务所</w:t>
            </w:r>
            <w:r>
              <w:rPr>
                <w:rFonts w:hint="eastAsia"/>
                <w:bCs/>
                <w:color w:val="auto"/>
                <w:sz w:val="21"/>
                <w:szCs w:val="21"/>
                <w:highlight w:val="none"/>
                <w:lang w:eastAsia="zh-CN"/>
              </w:rPr>
              <w:t>审计</w:t>
            </w:r>
            <w:r>
              <w:rPr>
                <w:bCs/>
                <w:color w:val="auto"/>
                <w:sz w:val="21"/>
                <w:szCs w:val="21"/>
                <w:highlight w:val="none"/>
              </w:rPr>
              <w:t>的财务报表（</w:t>
            </w:r>
            <w:r>
              <w:rPr>
                <w:rFonts w:hint="eastAsia"/>
                <w:bCs/>
                <w:color w:val="auto"/>
                <w:sz w:val="21"/>
                <w:szCs w:val="21"/>
                <w:highlight w:val="none"/>
              </w:rPr>
              <w:t>2025年</w:t>
            </w:r>
            <w:r>
              <w:rPr>
                <w:bCs/>
                <w:color w:val="auto"/>
                <w:sz w:val="21"/>
                <w:szCs w:val="21"/>
                <w:highlight w:val="none"/>
              </w:rPr>
              <w:t>度）中：营运资金＝流动资产－流动负债，以年末数计算）以及为本合同而专门开具的银行信贷证明（营运资金满足条件的，无需提供银行信贷证明），总和不得少于</w:t>
            </w:r>
            <w:r>
              <w:rPr>
                <w:rFonts w:hint="eastAsia"/>
                <w:bCs/>
                <w:color w:val="auto"/>
                <w:sz w:val="21"/>
                <w:szCs w:val="21"/>
                <w:highlight w:val="none"/>
                <w:lang w:val="en-US" w:eastAsia="zh-CN"/>
              </w:rPr>
              <w:t>7000</w:t>
            </w:r>
            <w:r>
              <w:rPr>
                <w:bCs/>
                <w:color w:val="auto"/>
                <w:sz w:val="21"/>
                <w:szCs w:val="21"/>
                <w:highlight w:val="none"/>
              </w:rPr>
              <w:t>万元。</w:t>
            </w:r>
          </w:p>
        </w:tc>
      </w:tr>
    </w:tbl>
    <w:p w14:paraId="505B07BF">
      <w:pPr>
        <w:adjustRightInd w:val="0"/>
        <w:spacing w:line="400" w:lineRule="exact"/>
        <w:jc w:val="center"/>
        <w:rPr>
          <w:color w:val="auto"/>
          <w:highlight w:val="none"/>
        </w:rPr>
      </w:pPr>
    </w:p>
    <w:p w14:paraId="45D071EE">
      <w:pPr>
        <w:adjustRightInd w:val="0"/>
        <w:spacing w:line="400" w:lineRule="exact"/>
        <w:jc w:val="center"/>
        <w:rPr>
          <w:rFonts w:eastAsia="黑体"/>
          <w:bCs/>
          <w:color w:val="auto"/>
          <w:sz w:val="24"/>
          <w:szCs w:val="24"/>
          <w:highlight w:val="none"/>
        </w:rPr>
      </w:pPr>
      <w:r>
        <w:rPr>
          <w:rFonts w:eastAsia="黑体"/>
          <w:bCs/>
          <w:color w:val="auto"/>
          <w:sz w:val="24"/>
          <w:szCs w:val="24"/>
          <w:highlight w:val="none"/>
        </w:rPr>
        <w:t>附录3  资格审查条件（业绩最低要求）</w:t>
      </w:r>
    </w:p>
    <w:tbl>
      <w:tblPr>
        <w:tblStyle w:val="6"/>
        <w:tblW w:w="482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211"/>
        <w:gridCol w:w="1533"/>
        <w:gridCol w:w="5481"/>
      </w:tblGrid>
      <w:tr w14:paraId="7003A1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5" w:hRule="atLeast"/>
        </w:trPr>
        <w:tc>
          <w:tcPr>
            <w:tcW w:w="1322" w:type="dxa"/>
            <w:tcBorders>
              <w:top w:val="single" w:color="auto" w:sz="4" w:space="0"/>
              <w:left w:val="single" w:color="auto" w:sz="4" w:space="0"/>
              <w:bottom w:val="single" w:color="auto" w:sz="4" w:space="0"/>
              <w:right w:val="single" w:color="auto" w:sz="4" w:space="0"/>
            </w:tcBorders>
            <w:vAlign w:val="center"/>
          </w:tcPr>
          <w:p w14:paraId="68AF9FFC">
            <w:pPr>
              <w:pStyle w:val="5"/>
              <w:adjustRightInd w:val="0"/>
              <w:snapToGrid w:val="0"/>
              <w:spacing w:before="0" w:beforeAutospacing="0" w:after="0" w:afterAutospacing="0" w:line="400" w:lineRule="exact"/>
              <w:ind w:firstLine="0" w:firstLineChars="0"/>
              <w:contextualSpacing/>
              <w:jc w:val="center"/>
              <w:rPr>
                <w:bCs/>
                <w:color w:val="auto"/>
                <w:kern w:val="2"/>
                <w:sz w:val="21"/>
                <w:szCs w:val="24"/>
                <w:highlight w:val="none"/>
              </w:rPr>
            </w:pPr>
            <w:r>
              <w:rPr>
                <w:rFonts w:hint="eastAsia" w:ascii="Times New Roman" w:hAnsi="Times New Roman" w:eastAsia="宋体" w:cs="Times New Roman"/>
                <w:bCs/>
                <w:color w:val="auto"/>
                <w:sz w:val="21"/>
                <w:szCs w:val="21"/>
                <w:highlight w:val="none"/>
              </w:rPr>
              <w:t>类别</w:t>
            </w:r>
          </w:p>
        </w:tc>
        <w:tc>
          <w:tcPr>
            <w:tcW w:w="1666" w:type="dxa"/>
            <w:tcBorders>
              <w:top w:val="single" w:color="auto" w:sz="4" w:space="0"/>
              <w:left w:val="single" w:color="auto" w:sz="4" w:space="0"/>
              <w:bottom w:val="single" w:color="auto" w:sz="4" w:space="0"/>
              <w:right w:val="single" w:color="auto" w:sz="4" w:space="0"/>
            </w:tcBorders>
            <w:vAlign w:val="center"/>
          </w:tcPr>
          <w:p w14:paraId="34996F4C">
            <w:pPr>
              <w:pStyle w:val="5"/>
              <w:adjustRightInd w:val="0"/>
              <w:snapToGrid w:val="0"/>
              <w:spacing w:before="0" w:beforeAutospacing="0" w:after="0" w:afterAutospacing="0" w:line="400" w:lineRule="exact"/>
              <w:ind w:firstLine="0" w:firstLineChars="0"/>
              <w:contextualSpacing/>
              <w:jc w:val="center"/>
              <w:rPr>
                <w:bCs/>
                <w:color w:val="auto"/>
                <w:kern w:val="2"/>
                <w:sz w:val="21"/>
                <w:szCs w:val="24"/>
                <w:highlight w:val="none"/>
              </w:rPr>
            </w:pPr>
            <w:r>
              <w:rPr>
                <w:rFonts w:hint="eastAsia" w:ascii="Times New Roman" w:hAnsi="Times New Roman" w:eastAsia="宋体" w:cs="Times New Roman"/>
                <w:bCs/>
                <w:color w:val="auto"/>
                <w:sz w:val="21"/>
                <w:szCs w:val="21"/>
                <w:highlight w:val="none"/>
              </w:rPr>
              <w:t>标段号</w:t>
            </w:r>
          </w:p>
        </w:tc>
        <w:tc>
          <w:tcPr>
            <w:tcW w:w="3332" w:type="pct"/>
            <w:tcBorders>
              <w:top w:val="single" w:color="auto" w:sz="4" w:space="0"/>
              <w:left w:val="single" w:color="auto" w:sz="4" w:space="0"/>
              <w:bottom w:val="single" w:color="auto" w:sz="4" w:space="0"/>
              <w:right w:val="single" w:color="auto" w:sz="4" w:space="0"/>
            </w:tcBorders>
            <w:vAlign w:val="center"/>
          </w:tcPr>
          <w:p w14:paraId="7D4F8DE6">
            <w:pPr>
              <w:spacing w:line="400" w:lineRule="exact"/>
              <w:jc w:val="center"/>
              <w:rPr>
                <w:bCs/>
                <w:color w:val="auto"/>
                <w:kern w:val="2"/>
                <w:sz w:val="21"/>
                <w:szCs w:val="24"/>
                <w:highlight w:val="none"/>
              </w:rPr>
            </w:pPr>
            <w:r>
              <w:rPr>
                <w:bCs/>
                <w:color w:val="auto"/>
                <w:kern w:val="2"/>
                <w:sz w:val="21"/>
                <w:szCs w:val="24"/>
                <w:highlight w:val="none"/>
              </w:rPr>
              <w:t>业绩要求</w:t>
            </w:r>
          </w:p>
        </w:tc>
      </w:tr>
      <w:tr w14:paraId="3EA337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7" w:hRule="atLeast"/>
        </w:trPr>
        <w:tc>
          <w:tcPr>
            <w:tcW w:w="1322" w:type="dxa"/>
            <w:tcBorders>
              <w:top w:val="single" w:color="auto" w:sz="4" w:space="0"/>
              <w:left w:val="single" w:color="auto" w:sz="4" w:space="0"/>
              <w:bottom w:val="single" w:color="auto" w:sz="4" w:space="0"/>
              <w:right w:val="single" w:color="auto" w:sz="4" w:space="0"/>
            </w:tcBorders>
            <w:vAlign w:val="center"/>
          </w:tcPr>
          <w:p w14:paraId="5664CDE2">
            <w:pPr>
              <w:pStyle w:val="5"/>
              <w:adjustRightInd w:val="0"/>
              <w:snapToGrid w:val="0"/>
              <w:spacing w:before="0" w:beforeAutospacing="0" w:after="0" w:afterAutospacing="0" w:line="400" w:lineRule="exact"/>
              <w:ind w:firstLine="0" w:firstLineChars="0"/>
              <w:contextualSpacing/>
              <w:jc w:val="center"/>
              <w:rPr>
                <w:bCs/>
                <w:color w:val="auto"/>
                <w:kern w:val="2"/>
                <w:sz w:val="21"/>
                <w:szCs w:val="24"/>
                <w:highlight w:val="none"/>
              </w:rPr>
            </w:pPr>
            <w:r>
              <w:rPr>
                <w:rFonts w:hint="eastAsia" w:ascii="Times New Roman" w:hAnsi="Times New Roman" w:eastAsia="宋体" w:cs="Times New Roman"/>
                <w:bCs/>
                <w:color w:val="auto"/>
                <w:sz w:val="21"/>
                <w:szCs w:val="21"/>
                <w:highlight w:val="none"/>
              </w:rPr>
              <w:t>I类</w:t>
            </w:r>
          </w:p>
        </w:tc>
        <w:tc>
          <w:tcPr>
            <w:tcW w:w="1666" w:type="dxa"/>
            <w:tcBorders>
              <w:top w:val="single" w:color="auto" w:sz="4" w:space="0"/>
              <w:left w:val="single" w:color="auto" w:sz="4" w:space="0"/>
              <w:bottom w:val="single" w:color="auto" w:sz="4" w:space="0"/>
              <w:right w:val="single" w:color="auto" w:sz="4" w:space="0"/>
            </w:tcBorders>
            <w:vAlign w:val="center"/>
          </w:tcPr>
          <w:p w14:paraId="743B3F06">
            <w:pPr>
              <w:pStyle w:val="5"/>
              <w:adjustRightInd w:val="0"/>
              <w:snapToGrid w:val="0"/>
              <w:spacing w:before="0" w:beforeAutospacing="0" w:after="0" w:afterAutospacing="0" w:line="400" w:lineRule="exact"/>
              <w:ind w:firstLine="0" w:firstLineChars="0"/>
              <w:contextualSpacing/>
              <w:jc w:val="center"/>
              <w:rPr>
                <w:rFonts w:hint="eastAsia" w:eastAsia="宋体"/>
                <w:bCs/>
                <w:color w:val="auto"/>
                <w:sz w:val="21"/>
                <w:szCs w:val="21"/>
                <w:highlight w:val="none"/>
                <w:lang w:eastAsia="zh-CN"/>
              </w:rPr>
            </w:pPr>
            <w:r>
              <w:rPr>
                <w:rFonts w:hint="eastAsia" w:ascii="Times New Roman" w:hAnsi="Times New Roman" w:cs="Times New Roman"/>
                <w:bCs/>
                <w:color w:val="auto"/>
                <w:sz w:val="21"/>
                <w:szCs w:val="21"/>
                <w:highlight w:val="none"/>
                <w:lang w:eastAsia="zh-CN"/>
              </w:rPr>
              <w:t>TJ-3</w:t>
            </w:r>
          </w:p>
        </w:tc>
        <w:tc>
          <w:tcPr>
            <w:tcW w:w="3332" w:type="pct"/>
            <w:tcBorders>
              <w:top w:val="single" w:color="auto" w:sz="4" w:space="0"/>
              <w:left w:val="single" w:color="auto" w:sz="4" w:space="0"/>
              <w:bottom w:val="single" w:color="auto" w:sz="4" w:space="0"/>
              <w:right w:val="single" w:color="auto" w:sz="4" w:space="0"/>
            </w:tcBorders>
            <w:vAlign w:val="center"/>
          </w:tcPr>
          <w:p w14:paraId="68451E2B">
            <w:pPr>
              <w:numPr>
                <w:ilvl w:val="0"/>
                <w:numId w:val="0"/>
              </w:numPr>
              <w:adjustRightInd w:val="0"/>
              <w:snapToGrid w:val="0"/>
              <w:spacing w:line="400" w:lineRule="exact"/>
              <w:ind w:firstLine="420" w:firstLineChars="200"/>
              <w:rPr>
                <w:rFonts w:hint="default" w:eastAsia="宋体"/>
                <w:bCs/>
                <w:color w:val="auto"/>
                <w:kern w:val="2"/>
                <w:sz w:val="21"/>
                <w:szCs w:val="21"/>
                <w:highlight w:val="none"/>
                <w:lang w:val="en-US" w:eastAsia="zh-CN"/>
              </w:rPr>
            </w:pPr>
            <w:r>
              <w:rPr>
                <w:rFonts w:hint="eastAsia"/>
                <w:bCs/>
                <w:color w:val="auto"/>
                <w:kern w:val="2"/>
                <w:sz w:val="21"/>
                <w:szCs w:val="21"/>
                <w:highlight w:val="none"/>
              </w:rPr>
              <w:t>近5年(2021年</w:t>
            </w:r>
            <w:r>
              <w:rPr>
                <w:rFonts w:hint="eastAsia"/>
                <w:bCs/>
                <w:color w:val="auto"/>
                <w:kern w:val="2"/>
                <w:sz w:val="21"/>
                <w:szCs w:val="21"/>
                <w:highlight w:val="none"/>
                <w:lang w:val="en-US" w:eastAsia="zh-CN"/>
              </w:rPr>
              <w:t>9</w:t>
            </w:r>
            <w:r>
              <w:rPr>
                <w:rFonts w:hint="eastAsia"/>
                <w:bCs/>
                <w:color w:val="auto"/>
                <w:kern w:val="2"/>
                <w:sz w:val="21"/>
                <w:szCs w:val="21"/>
                <w:highlight w:val="none"/>
              </w:rPr>
              <w:t>月1日至今，以工程交工日期为准)，至少完成过1条(段)</w:t>
            </w:r>
            <w:r>
              <w:rPr>
                <w:rFonts w:hint="eastAsia"/>
                <w:color w:val="auto"/>
                <w:highlight w:val="none"/>
              </w:rPr>
              <w:t xml:space="preserve"> </w:t>
            </w:r>
            <w:r>
              <w:rPr>
                <w:rFonts w:hint="eastAsia"/>
                <w:bCs/>
                <w:color w:val="auto"/>
                <w:kern w:val="2"/>
                <w:sz w:val="21"/>
                <w:szCs w:val="21"/>
                <w:highlight w:val="none"/>
              </w:rPr>
              <w:t>合同额10亿元及以上新建或改扩建高速公路</w:t>
            </w:r>
            <w:r>
              <w:rPr>
                <w:rFonts w:hint="eastAsia"/>
                <w:bCs/>
                <w:color w:val="auto"/>
                <w:kern w:val="2"/>
                <w:sz w:val="21"/>
                <w:szCs w:val="21"/>
                <w:highlight w:val="none"/>
                <w:lang w:val="en-US" w:eastAsia="zh-CN"/>
              </w:rPr>
              <w:t>主体</w:t>
            </w:r>
            <w:r>
              <w:rPr>
                <w:rFonts w:hint="eastAsia"/>
                <w:bCs/>
                <w:color w:val="auto"/>
                <w:kern w:val="2"/>
                <w:sz w:val="21"/>
                <w:szCs w:val="21"/>
                <w:highlight w:val="none"/>
              </w:rPr>
              <w:t>工程施工业绩。</w:t>
            </w:r>
          </w:p>
        </w:tc>
      </w:tr>
      <w:tr w14:paraId="12FCD5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322" w:type="dxa"/>
            <w:tcBorders>
              <w:top w:val="single" w:color="auto" w:sz="4" w:space="0"/>
              <w:left w:val="single" w:color="auto" w:sz="4" w:space="0"/>
              <w:bottom w:val="single" w:color="auto" w:sz="4" w:space="0"/>
              <w:right w:val="single" w:color="auto" w:sz="4" w:space="0"/>
            </w:tcBorders>
            <w:vAlign w:val="center"/>
          </w:tcPr>
          <w:p w14:paraId="169EC2AE">
            <w:pPr>
              <w:pStyle w:val="5"/>
              <w:adjustRightInd w:val="0"/>
              <w:snapToGrid w:val="0"/>
              <w:spacing w:before="0" w:beforeAutospacing="0" w:after="0" w:afterAutospacing="0" w:line="400" w:lineRule="exact"/>
              <w:ind w:firstLine="0" w:firstLineChars="0"/>
              <w:contextualSpacing/>
              <w:jc w:val="center"/>
              <w:rPr>
                <w:bCs/>
                <w:color w:val="auto"/>
                <w:kern w:val="2"/>
                <w:sz w:val="21"/>
                <w:szCs w:val="24"/>
                <w:highlight w:val="none"/>
              </w:rPr>
            </w:pPr>
            <w:r>
              <w:rPr>
                <w:rFonts w:hint="eastAsia" w:ascii="Times New Roman" w:hAnsi="Times New Roman" w:eastAsia="宋体" w:cs="Times New Roman"/>
                <w:bCs/>
                <w:color w:val="auto"/>
                <w:sz w:val="21"/>
                <w:szCs w:val="21"/>
                <w:highlight w:val="none"/>
              </w:rPr>
              <w:t>II类</w:t>
            </w:r>
          </w:p>
        </w:tc>
        <w:tc>
          <w:tcPr>
            <w:tcW w:w="1666" w:type="dxa"/>
            <w:tcBorders>
              <w:top w:val="single" w:color="auto" w:sz="4" w:space="0"/>
              <w:left w:val="single" w:color="auto" w:sz="4" w:space="0"/>
              <w:bottom w:val="single" w:color="auto" w:sz="4" w:space="0"/>
              <w:right w:val="single" w:color="auto" w:sz="4" w:space="0"/>
            </w:tcBorders>
            <w:vAlign w:val="center"/>
          </w:tcPr>
          <w:p w14:paraId="639F3F56">
            <w:pPr>
              <w:pStyle w:val="5"/>
              <w:adjustRightInd w:val="0"/>
              <w:snapToGrid w:val="0"/>
              <w:spacing w:before="0" w:beforeAutospacing="0" w:after="0" w:afterAutospacing="0" w:line="400" w:lineRule="exact"/>
              <w:ind w:firstLine="0" w:firstLineChars="0"/>
              <w:contextualSpacing/>
              <w:jc w:val="center"/>
              <w:rPr>
                <w:rFonts w:hint="eastAsia" w:eastAsia="宋体"/>
                <w:bCs/>
                <w:color w:val="auto"/>
                <w:sz w:val="21"/>
                <w:szCs w:val="21"/>
                <w:highlight w:val="none"/>
                <w:lang w:eastAsia="zh-CN"/>
              </w:rPr>
            </w:pPr>
            <w:r>
              <w:rPr>
                <w:rFonts w:hint="eastAsia" w:ascii="Times New Roman" w:hAnsi="Times New Roman" w:cs="Times New Roman"/>
                <w:bCs/>
                <w:color w:val="auto"/>
                <w:sz w:val="21"/>
                <w:szCs w:val="21"/>
                <w:highlight w:val="none"/>
                <w:lang w:eastAsia="zh-CN"/>
              </w:rPr>
              <w:t>TJ-5</w:t>
            </w:r>
          </w:p>
        </w:tc>
        <w:tc>
          <w:tcPr>
            <w:tcW w:w="3332" w:type="pct"/>
            <w:tcBorders>
              <w:top w:val="single" w:color="auto" w:sz="4" w:space="0"/>
              <w:left w:val="single" w:color="auto" w:sz="4" w:space="0"/>
              <w:bottom w:val="single" w:color="auto" w:sz="4" w:space="0"/>
              <w:right w:val="single" w:color="auto" w:sz="4" w:space="0"/>
            </w:tcBorders>
            <w:vAlign w:val="center"/>
          </w:tcPr>
          <w:p w14:paraId="6F4DB3EF">
            <w:pPr>
              <w:adjustRightInd w:val="0"/>
              <w:snapToGrid w:val="0"/>
              <w:spacing w:line="400" w:lineRule="exact"/>
              <w:ind w:firstLine="420" w:firstLineChars="200"/>
              <w:rPr>
                <w:bCs/>
                <w:color w:val="auto"/>
                <w:sz w:val="21"/>
                <w:szCs w:val="21"/>
                <w:highlight w:val="none"/>
              </w:rPr>
            </w:pPr>
            <w:r>
              <w:rPr>
                <w:rFonts w:hint="eastAsia"/>
                <w:bCs/>
                <w:color w:val="auto"/>
                <w:kern w:val="2"/>
                <w:sz w:val="21"/>
                <w:szCs w:val="21"/>
                <w:highlight w:val="none"/>
              </w:rPr>
              <w:t>近5年(2021年</w:t>
            </w:r>
            <w:r>
              <w:rPr>
                <w:rFonts w:hint="eastAsia"/>
                <w:bCs/>
                <w:color w:val="auto"/>
                <w:kern w:val="2"/>
                <w:sz w:val="21"/>
                <w:szCs w:val="21"/>
                <w:highlight w:val="none"/>
                <w:lang w:val="en-US" w:eastAsia="zh-CN"/>
              </w:rPr>
              <w:t>9</w:t>
            </w:r>
            <w:r>
              <w:rPr>
                <w:rFonts w:hint="eastAsia"/>
                <w:bCs/>
                <w:color w:val="auto"/>
                <w:kern w:val="2"/>
                <w:sz w:val="21"/>
                <w:szCs w:val="21"/>
                <w:highlight w:val="none"/>
              </w:rPr>
              <w:t>月1日至今，以工程交工日期为准)，至少完成过1条(段)</w:t>
            </w:r>
            <w:r>
              <w:rPr>
                <w:rFonts w:hint="eastAsia"/>
                <w:color w:val="auto"/>
                <w:highlight w:val="none"/>
              </w:rPr>
              <w:t xml:space="preserve"> </w:t>
            </w:r>
            <w:r>
              <w:rPr>
                <w:rFonts w:hint="eastAsia"/>
                <w:bCs/>
                <w:color w:val="auto"/>
                <w:kern w:val="2"/>
                <w:sz w:val="21"/>
                <w:szCs w:val="21"/>
                <w:highlight w:val="none"/>
              </w:rPr>
              <w:t>合同额</w:t>
            </w:r>
            <w:r>
              <w:rPr>
                <w:rFonts w:hint="eastAsia"/>
                <w:bCs/>
                <w:color w:val="auto"/>
                <w:kern w:val="2"/>
                <w:sz w:val="21"/>
                <w:szCs w:val="21"/>
                <w:highlight w:val="none"/>
                <w:lang w:val="en-US" w:eastAsia="zh-CN"/>
              </w:rPr>
              <w:t>8.5</w:t>
            </w:r>
            <w:r>
              <w:rPr>
                <w:rFonts w:hint="eastAsia"/>
                <w:bCs/>
                <w:color w:val="auto"/>
                <w:kern w:val="2"/>
                <w:sz w:val="21"/>
                <w:szCs w:val="21"/>
                <w:highlight w:val="none"/>
              </w:rPr>
              <w:t>亿元及以上新建或改扩建高速公路</w:t>
            </w:r>
            <w:r>
              <w:rPr>
                <w:rFonts w:hint="eastAsia"/>
                <w:bCs/>
                <w:color w:val="auto"/>
                <w:kern w:val="2"/>
                <w:sz w:val="21"/>
                <w:szCs w:val="21"/>
                <w:highlight w:val="none"/>
                <w:lang w:val="en-US" w:eastAsia="zh-CN"/>
              </w:rPr>
              <w:t>主体</w:t>
            </w:r>
            <w:r>
              <w:rPr>
                <w:rFonts w:hint="eastAsia"/>
                <w:bCs/>
                <w:color w:val="auto"/>
                <w:kern w:val="2"/>
                <w:sz w:val="21"/>
                <w:szCs w:val="21"/>
                <w:highlight w:val="none"/>
              </w:rPr>
              <w:t>工程施工业绩。</w:t>
            </w:r>
          </w:p>
        </w:tc>
      </w:tr>
    </w:tbl>
    <w:p w14:paraId="13F66863">
      <w:pPr>
        <w:adjustRightInd w:val="0"/>
        <w:spacing w:line="400" w:lineRule="exact"/>
        <w:jc w:val="center"/>
        <w:rPr>
          <w:rFonts w:eastAsia="黑体"/>
          <w:bCs/>
          <w:color w:val="auto"/>
          <w:sz w:val="24"/>
          <w:szCs w:val="24"/>
          <w:highlight w:val="none"/>
        </w:rPr>
      </w:pPr>
    </w:p>
    <w:p w14:paraId="55AC169F">
      <w:pPr>
        <w:adjustRightInd w:val="0"/>
        <w:spacing w:line="400" w:lineRule="exact"/>
        <w:jc w:val="center"/>
        <w:rPr>
          <w:rFonts w:eastAsia="黑体"/>
          <w:bCs/>
          <w:color w:val="auto"/>
          <w:sz w:val="24"/>
          <w:szCs w:val="24"/>
          <w:highlight w:val="none"/>
        </w:rPr>
      </w:pPr>
    </w:p>
    <w:p w14:paraId="7F12A99C">
      <w:pPr>
        <w:adjustRightInd w:val="0"/>
        <w:spacing w:line="400" w:lineRule="exact"/>
        <w:jc w:val="center"/>
        <w:rPr>
          <w:rFonts w:eastAsia="黑体"/>
          <w:bCs/>
          <w:color w:val="auto"/>
          <w:sz w:val="24"/>
          <w:szCs w:val="24"/>
          <w:highlight w:val="none"/>
        </w:rPr>
      </w:pPr>
      <w:r>
        <w:rPr>
          <w:rFonts w:eastAsia="黑体"/>
          <w:bCs/>
          <w:color w:val="auto"/>
          <w:sz w:val="24"/>
          <w:szCs w:val="24"/>
          <w:highlight w:val="none"/>
        </w:rPr>
        <w:t>附录4  资格审查条件（信誉最低要求）</w:t>
      </w:r>
    </w:p>
    <w:tbl>
      <w:tblPr>
        <w:tblStyle w:val="6"/>
        <w:tblW w:w="4824"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213"/>
        <w:gridCol w:w="1546"/>
        <w:gridCol w:w="5463"/>
      </w:tblGrid>
      <w:tr w14:paraId="411B77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5" w:hRule="atLeast"/>
        </w:trPr>
        <w:tc>
          <w:tcPr>
            <w:tcW w:w="1321" w:type="dxa"/>
            <w:tcBorders>
              <w:top w:val="single" w:color="auto" w:sz="4" w:space="0"/>
              <w:left w:val="single" w:color="auto" w:sz="4" w:space="0"/>
              <w:bottom w:val="single" w:color="auto" w:sz="4" w:space="0"/>
              <w:right w:val="single" w:color="auto" w:sz="4" w:space="0"/>
            </w:tcBorders>
            <w:vAlign w:val="center"/>
          </w:tcPr>
          <w:p w14:paraId="0A01CD85">
            <w:pPr>
              <w:pStyle w:val="5"/>
              <w:adjustRightInd w:val="0"/>
              <w:snapToGrid w:val="0"/>
              <w:spacing w:before="0" w:beforeAutospacing="0" w:after="0" w:afterAutospacing="0" w:line="400" w:lineRule="exact"/>
              <w:ind w:firstLine="0" w:firstLineChars="0"/>
              <w:contextualSpacing/>
              <w:jc w:val="center"/>
              <w:rPr>
                <w:bCs/>
                <w:color w:val="auto"/>
                <w:kern w:val="2"/>
                <w:sz w:val="21"/>
                <w:szCs w:val="24"/>
                <w:highlight w:val="none"/>
              </w:rPr>
            </w:pPr>
            <w:r>
              <w:rPr>
                <w:rFonts w:hint="eastAsia" w:ascii="Times New Roman" w:hAnsi="Times New Roman" w:eastAsia="宋体" w:cs="Times New Roman"/>
                <w:bCs/>
                <w:color w:val="auto"/>
                <w:sz w:val="21"/>
                <w:szCs w:val="21"/>
                <w:highlight w:val="none"/>
              </w:rPr>
              <w:t>类别</w:t>
            </w:r>
          </w:p>
        </w:tc>
        <w:tc>
          <w:tcPr>
            <w:tcW w:w="1684" w:type="dxa"/>
            <w:tcBorders>
              <w:top w:val="single" w:color="auto" w:sz="4" w:space="0"/>
              <w:left w:val="single" w:color="auto" w:sz="4" w:space="0"/>
              <w:bottom w:val="single" w:color="auto" w:sz="4" w:space="0"/>
              <w:right w:val="single" w:color="auto" w:sz="4" w:space="0"/>
            </w:tcBorders>
            <w:vAlign w:val="center"/>
          </w:tcPr>
          <w:p w14:paraId="023626EF">
            <w:pPr>
              <w:pStyle w:val="5"/>
              <w:adjustRightInd w:val="0"/>
              <w:snapToGrid w:val="0"/>
              <w:spacing w:before="0" w:beforeAutospacing="0" w:after="0" w:afterAutospacing="0" w:line="400" w:lineRule="exact"/>
              <w:ind w:firstLine="0" w:firstLineChars="0"/>
              <w:contextualSpacing/>
              <w:jc w:val="center"/>
              <w:rPr>
                <w:bCs/>
                <w:color w:val="auto"/>
                <w:kern w:val="2"/>
                <w:sz w:val="21"/>
                <w:szCs w:val="21"/>
                <w:highlight w:val="none"/>
              </w:rPr>
            </w:pPr>
            <w:r>
              <w:rPr>
                <w:rFonts w:hint="eastAsia" w:ascii="Times New Roman" w:hAnsi="Times New Roman" w:eastAsia="宋体" w:cs="Times New Roman"/>
                <w:bCs/>
                <w:color w:val="auto"/>
                <w:sz w:val="21"/>
                <w:szCs w:val="21"/>
                <w:highlight w:val="none"/>
              </w:rPr>
              <w:t>标段号</w:t>
            </w:r>
          </w:p>
        </w:tc>
        <w:tc>
          <w:tcPr>
            <w:tcW w:w="3322" w:type="pct"/>
            <w:tcBorders>
              <w:top w:val="single" w:color="auto" w:sz="4" w:space="0"/>
              <w:left w:val="single" w:color="auto" w:sz="4" w:space="0"/>
              <w:bottom w:val="single" w:color="auto" w:sz="4" w:space="0"/>
              <w:right w:val="single" w:color="auto" w:sz="4" w:space="0"/>
            </w:tcBorders>
            <w:vAlign w:val="center"/>
          </w:tcPr>
          <w:p w14:paraId="72805A77">
            <w:pPr>
              <w:spacing w:line="400" w:lineRule="exact"/>
              <w:jc w:val="center"/>
              <w:rPr>
                <w:bCs/>
                <w:color w:val="auto"/>
                <w:kern w:val="2"/>
                <w:sz w:val="21"/>
                <w:szCs w:val="21"/>
                <w:highlight w:val="none"/>
              </w:rPr>
            </w:pPr>
            <w:r>
              <w:rPr>
                <w:bCs/>
                <w:color w:val="auto"/>
                <w:kern w:val="2"/>
                <w:sz w:val="21"/>
                <w:szCs w:val="21"/>
                <w:highlight w:val="none"/>
              </w:rPr>
              <w:t>信誉要求</w:t>
            </w:r>
          </w:p>
        </w:tc>
      </w:tr>
      <w:tr w14:paraId="15F2B9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6" w:hRule="atLeast"/>
        </w:trPr>
        <w:tc>
          <w:tcPr>
            <w:tcW w:w="1321" w:type="dxa"/>
            <w:tcBorders>
              <w:top w:val="single" w:color="auto" w:sz="4" w:space="0"/>
              <w:left w:val="single" w:color="auto" w:sz="4" w:space="0"/>
              <w:right w:val="single" w:color="auto" w:sz="4" w:space="0"/>
            </w:tcBorders>
            <w:vAlign w:val="center"/>
          </w:tcPr>
          <w:p w14:paraId="55C6316A">
            <w:pPr>
              <w:pStyle w:val="5"/>
              <w:adjustRightInd w:val="0"/>
              <w:snapToGrid w:val="0"/>
              <w:spacing w:before="0" w:beforeAutospacing="0" w:after="0" w:afterAutospacing="0" w:line="400" w:lineRule="exact"/>
              <w:ind w:firstLine="0" w:firstLineChars="0"/>
              <w:contextualSpacing/>
              <w:jc w:val="center"/>
              <w:rPr>
                <w:bCs/>
                <w:color w:val="auto"/>
                <w:kern w:val="2"/>
                <w:sz w:val="21"/>
                <w:szCs w:val="24"/>
                <w:highlight w:val="none"/>
              </w:rPr>
            </w:pPr>
            <w:r>
              <w:rPr>
                <w:rFonts w:hint="eastAsia" w:ascii="Times New Roman" w:hAnsi="Times New Roman" w:eastAsia="宋体" w:cs="Times New Roman"/>
                <w:bCs/>
                <w:color w:val="auto"/>
                <w:sz w:val="21"/>
                <w:szCs w:val="21"/>
                <w:highlight w:val="none"/>
              </w:rPr>
              <w:t>I类、II类</w:t>
            </w:r>
          </w:p>
        </w:tc>
        <w:tc>
          <w:tcPr>
            <w:tcW w:w="1684" w:type="dxa"/>
            <w:tcBorders>
              <w:top w:val="single" w:color="auto" w:sz="4" w:space="0"/>
              <w:left w:val="single" w:color="auto" w:sz="4" w:space="0"/>
              <w:right w:val="single" w:color="auto" w:sz="4" w:space="0"/>
            </w:tcBorders>
            <w:vAlign w:val="center"/>
          </w:tcPr>
          <w:p w14:paraId="75412A36">
            <w:pPr>
              <w:pStyle w:val="5"/>
              <w:adjustRightInd w:val="0"/>
              <w:snapToGrid w:val="0"/>
              <w:spacing w:before="0" w:beforeAutospacing="0" w:after="0" w:afterAutospacing="0" w:line="400" w:lineRule="exact"/>
              <w:ind w:firstLine="0" w:firstLineChars="0"/>
              <w:contextualSpacing/>
              <w:jc w:val="center"/>
              <w:rPr>
                <w:rFonts w:hint="eastAsia" w:eastAsia="宋体"/>
                <w:bCs/>
                <w:color w:val="auto"/>
                <w:kern w:val="2"/>
                <w:sz w:val="21"/>
                <w:szCs w:val="21"/>
                <w:highlight w:val="none"/>
                <w:lang w:eastAsia="zh-CN"/>
              </w:rPr>
            </w:pPr>
            <w:r>
              <w:rPr>
                <w:rFonts w:hint="eastAsia" w:ascii="Times New Roman" w:hAnsi="Times New Roman" w:cs="Times New Roman"/>
                <w:bCs/>
                <w:color w:val="auto"/>
                <w:sz w:val="21"/>
                <w:szCs w:val="21"/>
                <w:highlight w:val="none"/>
                <w:lang w:eastAsia="zh-CN"/>
              </w:rPr>
              <w:t>TJ-3</w:t>
            </w:r>
            <w:r>
              <w:rPr>
                <w:rFonts w:hint="eastAsia" w:ascii="Times New Roman" w:hAnsi="Times New Roman" w:eastAsia="宋体" w:cs="Times New Roman"/>
                <w:bCs/>
                <w:color w:val="auto"/>
                <w:sz w:val="21"/>
                <w:szCs w:val="21"/>
                <w:highlight w:val="none"/>
                <w:lang w:eastAsia="zh-CN"/>
              </w:rPr>
              <w:t>、</w:t>
            </w:r>
            <w:r>
              <w:rPr>
                <w:rFonts w:hint="eastAsia" w:ascii="Times New Roman" w:hAnsi="Times New Roman" w:cs="Times New Roman"/>
                <w:bCs/>
                <w:color w:val="auto"/>
                <w:sz w:val="21"/>
                <w:szCs w:val="21"/>
                <w:highlight w:val="none"/>
                <w:lang w:eastAsia="zh-CN"/>
              </w:rPr>
              <w:t>TJ-5</w:t>
            </w:r>
          </w:p>
        </w:tc>
        <w:tc>
          <w:tcPr>
            <w:tcW w:w="3322" w:type="pct"/>
            <w:tcBorders>
              <w:top w:val="single" w:color="auto" w:sz="4" w:space="0"/>
              <w:left w:val="single" w:color="auto" w:sz="4" w:space="0"/>
              <w:right w:val="single" w:color="auto" w:sz="4" w:space="0"/>
            </w:tcBorders>
            <w:vAlign w:val="center"/>
          </w:tcPr>
          <w:p w14:paraId="5FFD5D57">
            <w:pPr>
              <w:spacing w:line="400" w:lineRule="exact"/>
              <w:ind w:firstLine="420" w:firstLineChars="200"/>
              <w:rPr>
                <w:bCs/>
                <w:color w:val="auto"/>
                <w:kern w:val="2"/>
                <w:sz w:val="21"/>
                <w:szCs w:val="21"/>
                <w:highlight w:val="none"/>
              </w:rPr>
            </w:pPr>
            <w:r>
              <w:rPr>
                <w:bCs/>
                <w:color w:val="auto"/>
                <w:kern w:val="2"/>
                <w:sz w:val="21"/>
                <w:szCs w:val="21"/>
                <w:highlight w:val="none"/>
              </w:rPr>
              <w:t>投标人</w:t>
            </w:r>
            <w:r>
              <w:rPr>
                <w:rFonts w:hint="eastAsia"/>
                <w:bCs/>
                <w:color w:val="auto"/>
                <w:kern w:val="2"/>
                <w:sz w:val="21"/>
                <w:szCs w:val="21"/>
                <w:highlight w:val="none"/>
                <w:lang w:eastAsia="zh-CN"/>
              </w:rPr>
              <w:t>近</w:t>
            </w:r>
            <w:r>
              <w:rPr>
                <w:rFonts w:hint="eastAsia"/>
                <w:bCs/>
                <w:color w:val="auto"/>
                <w:kern w:val="2"/>
                <w:sz w:val="21"/>
                <w:szCs w:val="21"/>
                <w:highlight w:val="none"/>
                <w:lang w:val="en-US" w:eastAsia="zh-CN"/>
              </w:rPr>
              <w:t>1</w:t>
            </w:r>
            <w:r>
              <w:rPr>
                <w:bCs/>
                <w:color w:val="auto"/>
                <w:kern w:val="2"/>
                <w:sz w:val="21"/>
                <w:szCs w:val="21"/>
                <w:highlight w:val="none"/>
              </w:rPr>
              <w:t>年（202</w:t>
            </w:r>
            <w:r>
              <w:rPr>
                <w:rFonts w:hint="eastAsia"/>
                <w:bCs/>
                <w:color w:val="auto"/>
                <w:kern w:val="2"/>
                <w:sz w:val="21"/>
                <w:szCs w:val="21"/>
                <w:highlight w:val="none"/>
              </w:rPr>
              <w:t>5</w:t>
            </w:r>
            <w:r>
              <w:rPr>
                <w:bCs/>
                <w:color w:val="auto"/>
                <w:kern w:val="2"/>
                <w:sz w:val="21"/>
                <w:szCs w:val="21"/>
                <w:highlight w:val="none"/>
              </w:rPr>
              <w:t>年</w:t>
            </w:r>
            <w:r>
              <w:rPr>
                <w:rFonts w:hint="eastAsia"/>
                <w:bCs/>
                <w:color w:val="auto"/>
                <w:kern w:val="2"/>
                <w:sz w:val="21"/>
                <w:szCs w:val="21"/>
                <w:highlight w:val="none"/>
                <w:lang w:val="en-US" w:eastAsia="zh-CN"/>
              </w:rPr>
              <w:t>9</w:t>
            </w:r>
            <w:r>
              <w:rPr>
                <w:rFonts w:hint="eastAsia"/>
                <w:bCs/>
                <w:color w:val="auto"/>
                <w:kern w:val="2"/>
                <w:sz w:val="21"/>
                <w:szCs w:val="21"/>
                <w:highlight w:val="none"/>
              </w:rPr>
              <w:t>月1日</w:t>
            </w:r>
            <w:r>
              <w:rPr>
                <w:bCs/>
                <w:color w:val="auto"/>
                <w:kern w:val="2"/>
                <w:sz w:val="21"/>
                <w:szCs w:val="21"/>
                <w:highlight w:val="none"/>
              </w:rPr>
              <w:t>至</w:t>
            </w:r>
            <w:r>
              <w:rPr>
                <w:rFonts w:hint="eastAsia"/>
                <w:bCs/>
                <w:color w:val="auto"/>
                <w:sz w:val="21"/>
                <w:szCs w:val="21"/>
                <w:highlight w:val="none"/>
                <w:lang w:eastAsia="zh-CN"/>
              </w:rPr>
              <w:t>今</w:t>
            </w:r>
            <w:r>
              <w:rPr>
                <w:bCs/>
                <w:color w:val="auto"/>
                <w:kern w:val="2"/>
                <w:sz w:val="21"/>
                <w:szCs w:val="21"/>
                <w:highlight w:val="none"/>
              </w:rPr>
              <w:t>）中不曾在</w:t>
            </w:r>
            <w:bookmarkStart w:id="8" w:name="_Hlk206768023"/>
            <w:r>
              <w:rPr>
                <w:rFonts w:hint="eastAsia"/>
                <w:bCs/>
                <w:color w:val="auto"/>
                <w:kern w:val="2"/>
                <w:sz w:val="21"/>
                <w:szCs w:val="21"/>
                <w:highlight w:val="none"/>
              </w:rPr>
              <w:t>新建或改扩建</w:t>
            </w:r>
            <w:r>
              <w:rPr>
                <w:bCs/>
                <w:color w:val="auto"/>
                <w:kern w:val="2"/>
                <w:sz w:val="21"/>
                <w:szCs w:val="21"/>
                <w:highlight w:val="none"/>
              </w:rPr>
              <w:t>高速公路</w:t>
            </w:r>
            <w:bookmarkEnd w:id="8"/>
            <w:r>
              <w:rPr>
                <w:rFonts w:hint="eastAsia"/>
                <w:bCs/>
                <w:color w:val="auto"/>
                <w:kern w:val="2"/>
                <w:sz w:val="21"/>
                <w:szCs w:val="21"/>
                <w:highlight w:val="none"/>
                <w:lang w:eastAsia="zh-CN"/>
              </w:rPr>
              <w:t>主体</w:t>
            </w:r>
            <w:r>
              <w:rPr>
                <w:rFonts w:hint="eastAsia"/>
                <w:bCs/>
                <w:color w:val="auto"/>
                <w:kern w:val="2"/>
                <w:sz w:val="21"/>
                <w:szCs w:val="21"/>
                <w:highlight w:val="none"/>
              </w:rPr>
              <w:t>工程施工合同</w:t>
            </w:r>
            <w:r>
              <w:rPr>
                <w:bCs/>
                <w:color w:val="auto"/>
                <w:kern w:val="2"/>
                <w:sz w:val="21"/>
                <w:szCs w:val="21"/>
                <w:highlight w:val="none"/>
              </w:rPr>
              <w:t>中违约而被驱逐或因投标人自身的原因而使</w:t>
            </w:r>
            <w:r>
              <w:rPr>
                <w:rFonts w:hint="eastAsia"/>
                <w:bCs/>
                <w:color w:val="auto"/>
                <w:kern w:val="2"/>
                <w:sz w:val="21"/>
                <w:szCs w:val="21"/>
                <w:highlight w:val="none"/>
              </w:rPr>
              <w:t>新建或改扩建</w:t>
            </w:r>
            <w:r>
              <w:rPr>
                <w:bCs/>
                <w:color w:val="auto"/>
                <w:kern w:val="2"/>
                <w:sz w:val="21"/>
                <w:szCs w:val="21"/>
                <w:highlight w:val="none"/>
              </w:rPr>
              <w:t>高速公路</w:t>
            </w:r>
            <w:r>
              <w:rPr>
                <w:rFonts w:hint="eastAsia"/>
                <w:bCs/>
                <w:color w:val="auto"/>
                <w:kern w:val="2"/>
                <w:sz w:val="21"/>
                <w:szCs w:val="21"/>
                <w:highlight w:val="none"/>
                <w:lang w:eastAsia="zh-CN"/>
              </w:rPr>
              <w:t>主体</w:t>
            </w:r>
            <w:r>
              <w:rPr>
                <w:rFonts w:hint="eastAsia"/>
                <w:bCs/>
                <w:color w:val="auto"/>
                <w:kern w:val="2"/>
                <w:sz w:val="21"/>
                <w:szCs w:val="21"/>
                <w:highlight w:val="none"/>
              </w:rPr>
              <w:t>工程施工合同</w:t>
            </w:r>
            <w:r>
              <w:rPr>
                <w:bCs/>
                <w:color w:val="auto"/>
                <w:kern w:val="2"/>
                <w:sz w:val="21"/>
                <w:szCs w:val="21"/>
                <w:highlight w:val="none"/>
              </w:rPr>
              <w:t>被解除。</w:t>
            </w:r>
          </w:p>
        </w:tc>
      </w:tr>
    </w:tbl>
    <w:p w14:paraId="09D41D20">
      <w:pPr>
        <w:adjustRightInd w:val="0"/>
        <w:spacing w:line="400" w:lineRule="exact"/>
        <w:jc w:val="center"/>
        <w:rPr>
          <w:rFonts w:eastAsia="黑体"/>
          <w:bCs/>
          <w:color w:val="auto"/>
          <w:sz w:val="24"/>
          <w:szCs w:val="24"/>
          <w:highlight w:val="none"/>
        </w:rPr>
      </w:pPr>
    </w:p>
    <w:p w14:paraId="7BF19A02">
      <w:pPr>
        <w:adjustRightInd w:val="0"/>
        <w:spacing w:line="400" w:lineRule="exact"/>
        <w:jc w:val="center"/>
        <w:rPr>
          <w:rFonts w:eastAsia="黑体"/>
          <w:bCs/>
          <w:color w:val="auto"/>
          <w:sz w:val="24"/>
          <w:szCs w:val="24"/>
          <w:highlight w:val="none"/>
        </w:rPr>
      </w:pPr>
      <w:bookmarkStart w:id="9" w:name="_Toc172307956"/>
      <w:bookmarkStart w:id="10" w:name="_Toc6205"/>
      <w:bookmarkStart w:id="11" w:name="_Toc201074915"/>
      <w:bookmarkStart w:id="12" w:name="_Toc32256"/>
      <w:bookmarkStart w:id="13" w:name="_Toc456619522"/>
      <w:bookmarkStart w:id="14" w:name="_Toc24908"/>
      <w:bookmarkStart w:id="15" w:name="_Toc144838352"/>
      <w:bookmarkStart w:id="16" w:name="_Toc478141167"/>
      <w:bookmarkStart w:id="17" w:name="_Toc476561971"/>
      <w:bookmarkStart w:id="18" w:name="_Toc459307892"/>
      <w:bookmarkStart w:id="19" w:name="_Toc144837286"/>
      <w:bookmarkStart w:id="20" w:name="_Toc472700283"/>
      <w:bookmarkStart w:id="21" w:name="_Toc134792340"/>
      <w:r>
        <w:rPr>
          <w:rFonts w:eastAsia="黑体"/>
          <w:bCs/>
          <w:color w:val="auto"/>
          <w:sz w:val="24"/>
          <w:szCs w:val="24"/>
          <w:highlight w:val="none"/>
        </w:rPr>
        <w:t>附录5  资格审查条件（</w:t>
      </w:r>
      <w:r>
        <w:rPr>
          <w:rFonts w:hint="eastAsia" w:eastAsia="黑体"/>
          <w:bCs/>
          <w:color w:val="auto"/>
          <w:sz w:val="24"/>
          <w:szCs w:val="24"/>
          <w:highlight w:val="none"/>
        </w:rPr>
        <w:t>项目经理和项目总工</w:t>
      </w:r>
      <w:r>
        <w:rPr>
          <w:rFonts w:eastAsia="黑体"/>
          <w:bCs/>
          <w:color w:val="auto"/>
          <w:sz w:val="24"/>
          <w:szCs w:val="24"/>
          <w:highlight w:val="none"/>
        </w:rPr>
        <w:t>最低要求）</w:t>
      </w:r>
    </w:p>
    <w:tbl>
      <w:tblPr>
        <w:tblStyle w:val="6"/>
        <w:tblW w:w="482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4"/>
        <w:gridCol w:w="966"/>
        <w:gridCol w:w="965"/>
        <w:gridCol w:w="590"/>
        <w:gridCol w:w="3198"/>
        <w:gridCol w:w="1289"/>
      </w:tblGrid>
      <w:tr w14:paraId="2E918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23" w:type="dxa"/>
            <w:vAlign w:val="center"/>
          </w:tcPr>
          <w:p w14:paraId="7EAE4BE3">
            <w:pPr>
              <w:pStyle w:val="5"/>
              <w:adjustRightInd w:val="0"/>
              <w:snapToGrid w:val="0"/>
              <w:spacing w:before="0" w:beforeAutospacing="0" w:after="0" w:afterAutospacing="0" w:line="400" w:lineRule="exact"/>
              <w:ind w:firstLine="0" w:firstLineChars="0"/>
              <w:contextualSpacing/>
              <w:jc w:val="center"/>
              <w:rPr>
                <w:bCs/>
                <w:color w:val="auto"/>
                <w:kern w:val="2"/>
                <w:sz w:val="21"/>
                <w:szCs w:val="24"/>
                <w:highlight w:val="none"/>
              </w:rPr>
            </w:pPr>
            <w:r>
              <w:rPr>
                <w:rFonts w:hint="eastAsia" w:ascii="Times New Roman" w:hAnsi="Times New Roman" w:eastAsia="宋体" w:cs="Times New Roman"/>
                <w:bCs/>
                <w:color w:val="auto"/>
                <w:sz w:val="21"/>
                <w:szCs w:val="21"/>
                <w:highlight w:val="none"/>
              </w:rPr>
              <w:t>类别</w:t>
            </w:r>
          </w:p>
        </w:tc>
        <w:tc>
          <w:tcPr>
            <w:tcW w:w="1053" w:type="dxa"/>
            <w:vAlign w:val="center"/>
          </w:tcPr>
          <w:p w14:paraId="7FA24BC1">
            <w:pPr>
              <w:pStyle w:val="5"/>
              <w:adjustRightInd w:val="0"/>
              <w:snapToGrid w:val="0"/>
              <w:spacing w:before="0" w:beforeAutospacing="0" w:after="0" w:afterAutospacing="0" w:line="400" w:lineRule="exact"/>
              <w:ind w:firstLine="0" w:firstLineChars="0"/>
              <w:contextualSpacing/>
              <w:jc w:val="center"/>
              <w:rPr>
                <w:color w:val="auto"/>
                <w:kern w:val="2"/>
                <w:sz w:val="21"/>
                <w:szCs w:val="21"/>
                <w:highlight w:val="none"/>
              </w:rPr>
            </w:pPr>
            <w:r>
              <w:rPr>
                <w:rFonts w:hint="eastAsia" w:ascii="Times New Roman" w:hAnsi="Times New Roman" w:eastAsia="宋体" w:cs="Times New Roman"/>
                <w:bCs/>
                <w:color w:val="auto"/>
                <w:sz w:val="21"/>
                <w:szCs w:val="21"/>
                <w:highlight w:val="none"/>
              </w:rPr>
              <w:t>标段号</w:t>
            </w:r>
          </w:p>
        </w:tc>
        <w:tc>
          <w:tcPr>
            <w:tcW w:w="586" w:type="pct"/>
            <w:vAlign w:val="center"/>
          </w:tcPr>
          <w:p w14:paraId="10413AE7">
            <w:pPr>
              <w:spacing w:line="400" w:lineRule="exact"/>
              <w:jc w:val="center"/>
              <w:rPr>
                <w:color w:val="auto"/>
                <w:kern w:val="2"/>
                <w:sz w:val="21"/>
                <w:szCs w:val="21"/>
                <w:highlight w:val="none"/>
              </w:rPr>
            </w:pPr>
            <w:r>
              <w:rPr>
                <w:color w:val="auto"/>
                <w:kern w:val="2"/>
                <w:sz w:val="21"/>
                <w:szCs w:val="21"/>
                <w:highlight w:val="none"/>
              </w:rPr>
              <w:t>人员</w:t>
            </w:r>
          </w:p>
        </w:tc>
        <w:tc>
          <w:tcPr>
            <w:tcW w:w="358" w:type="pct"/>
            <w:vAlign w:val="center"/>
          </w:tcPr>
          <w:p w14:paraId="317D7946">
            <w:pPr>
              <w:spacing w:line="400" w:lineRule="exact"/>
              <w:jc w:val="center"/>
              <w:rPr>
                <w:color w:val="auto"/>
                <w:kern w:val="2"/>
                <w:sz w:val="21"/>
                <w:szCs w:val="21"/>
                <w:highlight w:val="none"/>
              </w:rPr>
            </w:pPr>
            <w:r>
              <w:rPr>
                <w:color w:val="auto"/>
                <w:kern w:val="2"/>
                <w:sz w:val="21"/>
                <w:szCs w:val="21"/>
                <w:highlight w:val="none"/>
              </w:rPr>
              <w:t>数量</w:t>
            </w:r>
          </w:p>
        </w:tc>
        <w:tc>
          <w:tcPr>
            <w:tcW w:w="1944" w:type="pct"/>
            <w:vAlign w:val="center"/>
          </w:tcPr>
          <w:p w14:paraId="35A2459A">
            <w:pPr>
              <w:spacing w:line="400" w:lineRule="exact"/>
              <w:jc w:val="center"/>
              <w:rPr>
                <w:color w:val="auto"/>
                <w:kern w:val="2"/>
                <w:sz w:val="21"/>
                <w:szCs w:val="21"/>
                <w:highlight w:val="none"/>
              </w:rPr>
            </w:pPr>
            <w:r>
              <w:rPr>
                <w:color w:val="auto"/>
                <w:kern w:val="2"/>
                <w:sz w:val="21"/>
                <w:szCs w:val="21"/>
                <w:highlight w:val="none"/>
              </w:rPr>
              <w:t>资格要求</w:t>
            </w:r>
          </w:p>
        </w:tc>
        <w:tc>
          <w:tcPr>
            <w:tcW w:w="784" w:type="pct"/>
            <w:vAlign w:val="center"/>
          </w:tcPr>
          <w:p w14:paraId="2D54F040">
            <w:pPr>
              <w:spacing w:line="400" w:lineRule="exact"/>
              <w:jc w:val="center"/>
              <w:rPr>
                <w:color w:val="auto"/>
                <w:kern w:val="2"/>
                <w:sz w:val="21"/>
                <w:szCs w:val="21"/>
                <w:highlight w:val="none"/>
              </w:rPr>
            </w:pPr>
            <w:r>
              <w:rPr>
                <w:color w:val="auto"/>
                <w:kern w:val="2"/>
                <w:sz w:val="21"/>
                <w:szCs w:val="21"/>
                <w:highlight w:val="none"/>
              </w:rPr>
              <w:t>在岗要求</w:t>
            </w:r>
          </w:p>
        </w:tc>
      </w:tr>
      <w:tr w14:paraId="725A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38" w:type="pct"/>
            <w:vMerge w:val="restart"/>
            <w:vAlign w:val="center"/>
          </w:tcPr>
          <w:p w14:paraId="2145BEE7">
            <w:pPr>
              <w:spacing w:line="400" w:lineRule="exact"/>
              <w:jc w:val="center"/>
              <w:rPr>
                <w:rFonts w:hint="eastAsia"/>
                <w:bCs/>
                <w:color w:val="auto"/>
                <w:kern w:val="2"/>
                <w:sz w:val="21"/>
                <w:szCs w:val="24"/>
                <w:highlight w:val="none"/>
              </w:rPr>
            </w:pPr>
            <w:r>
              <w:rPr>
                <w:rFonts w:hint="eastAsia"/>
                <w:bCs/>
                <w:color w:val="auto"/>
                <w:kern w:val="2"/>
                <w:sz w:val="21"/>
                <w:szCs w:val="24"/>
                <w:highlight w:val="none"/>
              </w:rPr>
              <w:t>I类</w:t>
            </w:r>
          </w:p>
          <w:p w14:paraId="2DBC63AD">
            <w:pPr>
              <w:spacing w:line="400" w:lineRule="exact"/>
              <w:jc w:val="center"/>
              <w:rPr>
                <w:rFonts w:hint="default" w:eastAsia="宋体"/>
                <w:bCs/>
                <w:color w:val="auto"/>
                <w:kern w:val="2"/>
                <w:sz w:val="21"/>
                <w:szCs w:val="24"/>
                <w:highlight w:val="none"/>
                <w:lang w:val="en-US" w:eastAsia="zh-CN"/>
              </w:rPr>
            </w:pPr>
          </w:p>
        </w:tc>
        <w:tc>
          <w:tcPr>
            <w:tcW w:w="587" w:type="pct"/>
            <w:vMerge w:val="restart"/>
            <w:vAlign w:val="center"/>
          </w:tcPr>
          <w:p w14:paraId="64F7FA35">
            <w:pPr>
              <w:spacing w:line="400" w:lineRule="exact"/>
              <w:jc w:val="center"/>
              <w:rPr>
                <w:rFonts w:hint="eastAsia" w:eastAsia="宋体"/>
                <w:color w:val="auto"/>
                <w:kern w:val="2"/>
                <w:sz w:val="21"/>
                <w:szCs w:val="21"/>
                <w:highlight w:val="none"/>
                <w:lang w:eastAsia="zh-CN"/>
              </w:rPr>
            </w:pPr>
            <w:r>
              <w:rPr>
                <w:rFonts w:hint="eastAsia"/>
                <w:bCs/>
                <w:color w:val="auto"/>
                <w:sz w:val="21"/>
                <w:szCs w:val="21"/>
                <w:highlight w:val="none"/>
                <w:lang w:eastAsia="zh-CN"/>
              </w:rPr>
              <w:t>TJ-3</w:t>
            </w:r>
          </w:p>
        </w:tc>
        <w:tc>
          <w:tcPr>
            <w:tcW w:w="586" w:type="pct"/>
            <w:vAlign w:val="center"/>
          </w:tcPr>
          <w:p w14:paraId="1846BD3D">
            <w:pPr>
              <w:spacing w:line="400" w:lineRule="exact"/>
              <w:jc w:val="center"/>
              <w:rPr>
                <w:color w:val="auto"/>
                <w:kern w:val="2"/>
                <w:sz w:val="21"/>
                <w:szCs w:val="21"/>
                <w:highlight w:val="none"/>
              </w:rPr>
            </w:pPr>
            <w:r>
              <w:rPr>
                <w:rFonts w:hint="eastAsia"/>
                <w:color w:val="auto"/>
                <w:kern w:val="2"/>
                <w:sz w:val="21"/>
                <w:szCs w:val="21"/>
                <w:highlight w:val="none"/>
              </w:rPr>
              <w:t>项目</w:t>
            </w:r>
          </w:p>
          <w:p w14:paraId="6CD69BE8">
            <w:pPr>
              <w:spacing w:line="400" w:lineRule="exact"/>
              <w:jc w:val="center"/>
              <w:rPr>
                <w:color w:val="auto"/>
                <w:kern w:val="2"/>
                <w:sz w:val="21"/>
                <w:szCs w:val="21"/>
                <w:highlight w:val="none"/>
              </w:rPr>
            </w:pPr>
            <w:r>
              <w:rPr>
                <w:rFonts w:hint="eastAsia"/>
                <w:color w:val="auto"/>
                <w:kern w:val="2"/>
                <w:sz w:val="21"/>
                <w:szCs w:val="21"/>
                <w:highlight w:val="none"/>
              </w:rPr>
              <w:t>经理</w:t>
            </w:r>
          </w:p>
        </w:tc>
        <w:tc>
          <w:tcPr>
            <w:tcW w:w="358" w:type="pct"/>
            <w:vAlign w:val="center"/>
          </w:tcPr>
          <w:p w14:paraId="00280FD1">
            <w:pPr>
              <w:spacing w:line="400" w:lineRule="exact"/>
              <w:jc w:val="center"/>
              <w:rPr>
                <w:color w:val="auto"/>
                <w:kern w:val="2"/>
                <w:sz w:val="21"/>
                <w:szCs w:val="21"/>
                <w:highlight w:val="none"/>
              </w:rPr>
            </w:pPr>
            <w:r>
              <w:rPr>
                <w:color w:val="auto"/>
                <w:kern w:val="2"/>
                <w:sz w:val="21"/>
                <w:szCs w:val="21"/>
                <w:highlight w:val="none"/>
              </w:rPr>
              <w:t>1</w:t>
            </w:r>
          </w:p>
        </w:tc>
        <w:tc>
          <w:tcPr>
            <w:tcW w:w="1944" w:type="pct"/>
            <w:vAlign w:val="center"/>
          </w:tcPr>
          <w:p w14:paraId="3C41D1C9">
            <w:pPr>
              <w:spacing w:line="400" w:lineRule="exact"/>
              <w:ind w:firstLine="420" w:firstLineChars="200"/>
              <w:rPr>
                <w:rFonts w:hint="eastAsia"/>
                <w:bCs/>
                <w:color w:val="auto"/>
                <w:kern w:val="2"/>
                <w:sz w:val="21"/>
                <w:szCs w:val="21"/>
                <w:highlight w:val="none"/>
                <w:lang w:eastAsia="zh-CN"/>
              </w:rPr>
            </w:pPr>
            <w:r>
              <w:rPr>
                <w:rFonts w:hint="eastAsia"/>
                <w:bCs/>
                <w:color w:val="auto"/>
                <w:kern w:val="2"/>
                <w:sz w:val="21"/>
                <w:szCs w:val="21"/>
                <w:highlight w:val="none"/>
              </w:rPr>
              <w:t>具有“公路工程”专业的“一级建造师注册证书”</w:t>
            </w:r>
            <w:r>
              <w:rPr>
                <w:rFonts w:hint="eastAsia"/>
                <w:bCs/>
                <w:color w:val="auto"/>
                <w:kern w:val="2"/>
                <w:sz w:val="21"/>
                <w:szCs w:val="21"/>
                <w:highlight w:val="none"/>
                <w:lang w:eastAsia="zh-CN"/>
              </w:rPr>
              <w:t>，建造师注册证书的注册单位须与投标人单位名称一致；</w:t>
            </w:r>
          </w:p>
          <w:p w14:paraId="1BF37435">
            <w:pPr>
              <w:spacing w:line="400" w:lineRule="exact"/>
              <w:ind w:firstLine="420" w:firstLineChars="200"/>
              <w:rPr>
                <w:rFonts w:hint="default" w:eastAsia="宋体"/>
                <w:bCs/>
                <w:color w:val="auto"/>
                <w:kern w:val="2"/>
                <w:sz w:val="21"/>
                <w:szCs w:val="21"/>
                <w:highlight w:val="none"/>
                <w:lang w:val="en-US" w:eastAsia="zh-CN"/>
              </w:rPr>
            </w:pPr>
            <w:r>
              <w:rPr>
                <w:rFonts w:hint="eastAsia"/>
                <w:bCs/>
                <w:color w:val="auto"/>
                <w:kern w:val="2"/>
                <w:sz w:val="21"/>
                <w:szCs w:val="21"/>
                <w:highlight w:val="none"/>
              </w:rPr>
              <w:t>具有交通运输行政主管部门颁发的有效的《安全生产考核合格证书》(B类)</w:t>
            </w:r>
            <w:r>
              <w:rPr>
                <w:rFonts w:hint="eastAsia"/>
                <w:bCs/>
                <w:color w:val="auto"/>
                <w:kern w:val="2"/>
                <w:sz w:val="21"/>
                <w:szCs w:val="21"/>
                <w:highlight w:val="none"/>
                <w:lang w:eastAsia="zh-CN"/>
              </w:rPr>
              <w:t>，</w:t>
            </w:r>
            <w:r>
              <w:rPr>
                <w:rFonts w:hint="eastAsia"/>
                <w:bCs/>
                <w:color w:val="auto"/>
                <w:kern w:val="2"/>
                <w:sz w:val="21"/>
                <w:szCs w:val="21"/>
                <w:highlight w:val="none"/>
              </w:rPr>
              <w:t>安全生产考核合格证书的登记单位须与投标人单位名称一致</w:t>
            </w:r>
            <w:r>
              <w:rPr>
                <w:rFonts w:hint="eastAsia"/>
                <w:bCs/>
                <w:color w:val="auto"/>
                <w:kern w:val="2"/>
                <w:sz w:val="21"/>
                <w:szCs w:val="21"/>
                <w:highlight w:val="none"/>
                <w:lang w:eastAsia="zh-CN"/>
              </w:rPr>
              <w:t>；</w:t>
            </w:r>
          </w:p>
          <w:p w14:paraId="65BDE055">
            <w:pPr>
              <w:spacing w:line="400" w:lineRule="exact"/>
              <w:ind w:firstLine="420" w:firstLineChars="200"/>
              <w:rPr>
                <w:color w:val="auto"/>
                <w:kern w:val="0"/>
                <w:sz w:val="21"/>
                <w:szCs w:val="21"/>
                <w:highlight w:val="none"/>
              </w:rPr>
            </w:pPr>
            <w:r>
              <w:rPr>
                <w:rFonts w:hint="eastAsia"/>
                <w:bCs/>
                <w:color w:val="auto"/>
                <w:kern w:val="2"/>
                <w:sz w:val="21"/>
                <w:szCs w:val="21"/>
                <w:highlight w:val="none"/>
              </w:rPr>
              <w:t>近5年(2021年</w:t>
            </w:r>
            <w:r>
              <w:rPr>
                <w:rFonts w:hint="eastAsia"/>
                <w:bCs/>
                <w:color w:val="auto"/>
                <w:kern w:val="2"/>
                <w:sz w:val="21"/>
                <w:szCs w:val="21"/>
                <w:highlight w:val="none"/>
                <w:lang w:val="en-US" w:eastAsia="zh-CN"/>
              </w:rPr>
              <w:t>9</w:t>
            </w:r>
            <w:r>
              <w:rPr>
                <w:rFonts w:hint="eastAsia"/>
                <w:bCs/>
                <w:color w:val="auto"/>
                <w:kern w:val="2"/>
                <w:sz w:val="21"/>
                <w:szCs w:val="21"/>
                <w:highlight w:val="none"/>
              </w:rPr>
              <w:t>月1日至今，以工程交工日期为准)，至少担任过1条(段)</w:t>
            </w:r>
            <w:r>
              <w:rPr>
                <w:rFonts w:hint="eastAsia"/>
                <w:color w:val="auto"/>
                <w:highlight w:val="none"/>
              </w:rPr>
              <w:t xml:space="preserve"> </w:t>
            </w:r>
            <w:r>
              <w:rPr>
                <w:rFonts w:hint="eastAsia"/>
                <w:bCs/>
                <w:color w:val="auto"/>
                <w:kern w:val="2"/>
                <w:sz w:val="21"/>
                <w:szCs w:val="21"/>
                <w:highlight w:val="none"/>
              </w:rPr>
              <w:t>新建或改扩建高速公路</w:t>
            </w:r>
            <w:r>
              <w:rPr>
                <w:rFonts w:hint="eastAsia"/>
                <w:bCs/>
                <w:color w:val="auto"/>
                <w:kern w:val="2"/>
                <w:sz w:val="21"/>
                <w:szCs w:val="21"/>
                <w:highlight w:val="none"/>
                <w:lang w:val="en-US" w:eastAsia="zh-CN"/>
              </w:rPr>
              <w:t>主体</w:t>
            </w:r>
            <w:r>
              <w:rPr>
                <w:rFonts w:hint="eastAsia"/>
                <w:bCs/>
                <w:color w:val="auto"/>
                <w:kern w:val="2"/>
                <w:sz w:val="21"/>
                <w:szCs w:val="21"/>
                <w:highlight w:val="none"/>
              </w:rPr>
              <w:t>工程施工的项目经理或项目副经理或项目总工。</w:t>
            </w:r>
          </w:p>
        </w:tc>
        <w:tc>
          <w:tcPr>
            <w:tcW w:w="784" w:type="pct"/>
            <w:vMerge w:val="restart"/>
            <w:vAlign w:val="center"/>
          </w:tcPr>
          <w:p w14:paraId="40540541">
            <w:pPr>
              <w:adjustRightInd w:val="0"/>
              <w:snapToGrid w:val="0"/>
              <w:spacing w:line="400" w:lineRule="exact"/>
              <w:rPr>
                <w:color w:val="auto"/>
                <w:kern w:val="0"/>
                <w:sz w:val="21"/>
                <w:szCs w:val="21"/>
                <w:highlight w:val="none"/>
              </w:rPr>
            </w:pPr>
            <w:bookmarkStart w:id="22" w:name="OLE_LINK8"/>
            <w:r>
              <w:rPr>
                <w:rFonts w:hint="eastAsia"/>
                <w:color w:val="auto"/>
                <w:kern w:val="0"/>
                <w:sz w:val="21"/>
                <w:szCs w:val="21"/>
                <w:highlight w:val="none"/>
              </w:rPr>
              <w:t>目前未在其他项目上任职，或虽在其他项目上任职但本项目中标后能够从该项目撤离</w:t>
            </w:r>
            <w:bookmarkEnd w:id="22"/>
          </w:p>
        </w:tc>
      </w:tr>
      <w:tr w14:paraId="3528C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738" w:type="pct"/>
            <w:vMerge w:val="continue"/>
            <w:vAlign w:val="center"/>
          </w:tcPr>
          <w:p w14:paraId="118B5A22">
            <w:pPr>
              <w:spacing w:line="400" w:lineRule="exact"/>
              <w:jc w:val="center"/>
              <w:rPr>
                <w:bCs/>
                <w:color w:val="auto"/>
                <w:kern w:val="2"/>
                <w:sz w:val="21"/>
                <w:szCs w:val="24"/>
                <w:highlight w:val="none"/>
              </w:rPr>
            </w:pPr>
          </w:p>
        </w:tc>
        <w:tc>
          <w:tcPr>
            <w:tcW w:w="587" w:type="pct"/>
            <w:vMerge w:val="continue"/>
            <w:vAlign w:val="center"/>
          </w:tcPr>
          <w:p w14:paraId="2A0D949B">
            <w:pPr>
              <w:spacing w:line="400" w:lineRule="exact"/>
              <w:jc w:val="center"/>
              <w:rPr>
                <w:color w:val="auto"/>
                <w:kern w:val="2"/>
                <w:sz w:val="21"/>
                <w:szCs w:val="21"/>
                <w:highlight w:val="none"/>
              </w:rPr>
            </w:pPr>
          </w:p>
        </w:tc>
        <w:tc>
          <w:tcPr>
            <w:tcW w:w="586" w:type="pct"/>
            <w:vAlign w:val="center"/>
          </w:tcPr>
          <w:p w14:paraId="660AD85F">
            <w:pPr>
              <w:spacing w:line="400" w:lineRule="exact"/>
              <w:jc w:val="center"/>
              <w:rPr>
                <w:color w:val="auto"/>
                <w:kern w:val="2"/>
                <w:sz w:val="21"/>
                <w:szCs w:val="21"/>
                <w:highlight w:val="none"/>
              </w:rPr>
            </w:pPr>
            <w:r>
              <w:rPr>
                <w:rFonts w:hint="eastAsia"/>
                <w:color w:val="auto"/>
                <w:kern w:val="2"/>
                <w:sz w:val="21"/>
                <w:szCs w:val="21"/>
                <w:highlight w:val="none"/>
              </w:rPr>
              <w:t>项目</w:t>
            </w:r>
          </w:p>
          <w:p w14:paraId="491B9B17">
            <w:pPr>
              <w:spacing w:line="400" w:lineRule="exact"/>
              <w:jc w:val="center"/>
              <w:rPr>
                <w:color w:val="auto"/>
                <w:kern w:val="2"/>
                <w:sz w:val="21"/>
                <w:szCs w:val="21"/>
                <w:highlight w:val="none"/>
              </w:rPr>
            </w:pPr>
            <w:r>
              <w:rPr>
                <w:rFonts w:hint="eastAsia"/>
                <w:color w:val="auto"/>
                <w:kern w:val="2"/>
                <w:sz w:val="21"/>
                <w:szCs w:val="21"/>
                <w:highlight w:val="none"/>
              </w:rPr>
              <w:t>总工</w:t>
            </w:r>
          </w:p>
        </w:tc>
        <w:tc>
          <w:tcPr>
            <w:tcW w:w="358" w:type="pct"/>
            <w:vAlign w:val="center"/>
          </w:tcPr>
          <w:p w14:paraId="43198E62">
            <w:pPr>
              <w:spacing w:line="400" w:lineRule="exact"/>
              <w:jc w:val="center"/>
              <w:rPr>
                <w:color w:val="auto"/>
                <w:kern w:val="2"/>
                <w:sz w:val="21"/>
                <w:szCs w:val="21"/>
                <w:highlight w:val="none"/>
              </w:rPr>
            </w:pPr>
            <w:r>
              <w:rPr>
                <w:rFonts w:hint="eastAsia"/>
                <w:color w:val="auto"/>
                <w:kern w:val="2"/>
                <w:sz w:val="21"/>
                <w:szCs w:val="21"/>
                <w:highlight w:val="none"/>
              </w:rPr>
              <w:t>1</w:t>
            </w:r>
          </w:p>
        </w:tc>
        <w:tc>
          <w:tcPr>
            <w:tcW w:w="1944" w:type="pct"/>
            <w:vAlign w:val="center"/>
          </w:tcPr>
          <w:p w14:paraId="305DDDCE">
            <w:pPr>
              <w:spacing w:line="400" w:lineRule="exact"/>
              <w:ind w:firstLine="420" w:firstLineChars="200"/>
              <w:rPr>
                <w:rFonts w:hint="eastAsia"/>
                <w:bCs/>
                <w:color w:val="auto"/>
                <w:kern w:val="2"/>
                <w:sz w:val="21"/>
                <w:szCs w:val="21"/>
                <w:highlight w:val="none"/>
                <w:lang w:eastAsia="zh-CN"/>
              </w:rPr>
            </w:pPr>
            <w:r>
              <w:rPr>
                <w:rFonts w:hint="eastAsia"/>
                <w:bCs/>
                <w:color w:val="auto"/>
                <w:kern w:val="2"/>
                <w:sz w:val="21"/>
                <w:szCs w:val="21"/>
                <w:highlight w:val="none"/>
              </w:rPr>
              <w:t>高级工程师</w:t>
            </w:r>
            <w:r>
              <w:rPr>
                <w:rFonts w:hint="eastAsia"/>
                <w:bCs/>
                <w:color w:val="auto"/>
                <w:kern w:val="2"/>
                <w:sz w:val="21"/>
                <w:szCs w:val="21"/>
                <w:highlight w:val="none"/>
                <w:lang w:val="en-US" w:eastAsia="zh-CN"/>
              </w:rPr>
              <w:t>及以上职称</w:t>
            </w:r>
            <w:r>
              <w:rPr>
                <w:rFonts w:hint="eastAsia"/>
                <w:bCs/>
                <w:color w:val="auto"/>
                <w:kern w:val="2"/>
                <w:sz w:val="21"/>
                <w:szCs w:val="21"/>
                <w:highlight w:val="none"/>
                <w:lang w:eastAsia="zh-CN"/>
              </w:rPr>
              <w:t>；</w:t>
            </w:r>
          </w:p>
          <w:p w14:paraId="467814F3">
            <w:pPr>
              <w:spacing w:line="400" w:lineRule="exact"/>
              <w:ind w:firstLine="420" w:firstLineChars="200"/>
              <w:rPr>
                <w:bCs/>
                <w:color w:val="auto"/>
                <w:kern w:val="2"/>
                <w:sz w:val="21"/>
                <w:szCs w:val="21"/>
                <w:highlight w:val="none"/>
              </w:rPr>
            </w:pPr>
            <w:r>
              <w:rPr>
                <w:rFonts w:hint="eastAsia" w:ascii="Times New Roman" w:hAnsi="Times New Roman" w:eastAsia="宋体" w:cs="Times New Roman"/>
                <w:bCs/>
                <w:color w:val="auto"/>
                <w:kern w:val="2"/>
                <w:sz w:val="21"/>
                <w:szCs w:val="21"/>
                <w:highlight w:val="none"/>
              </w:rPr>
              <w:t>近5年(2021年</w:t>
            </w:r>
            <w:r>
              <w:rPr>
                <w:rFonts w:hint="eastAsia" w:cs="Times New Roman"/>
                <w:bCs/>
                <w:color w:val="auto"/>
                <w:kern w:val="2"/>
                <w:sz w:val="21"/>
                <w:szCs w:val="21"/>
                <w:highlight w:val="none"/>
                <w:lang w:val="en-US" w:eastAsia="zh-CN"/>
              </w:rPr>
              <w:t>9</w:t>
            </w:r>
            <w:r>
              <w:rPr>
                <w:rFonts w:hint="eastAsia" w:ascii="Times New Roman" w:hAnsi="Times New Roman" w:eastAsia="宋体" w:cs="Times New Roman"/>
                <w:bCs/>
                <w:color w:val="auto"/>
                <w:kern w:val="2"/>
                <w:sz w:val="21"/>
                <w:szCs w:val="21"/>
                <w:highlight w:val="none"/>
              </w:rPr>
              <w:t>月1日至今，以工程交工日期为准)，</w:t>
            </w:r>
            <w:r>
              <w:rPr>
                <w:rFonts w:hint="eastAsia"/>
                <w:bCs/>
                <w:color w:val="auto"/>
                <w:kern w:val="2"/>
                <w:sz w:val="21"/>
                <w:szCs w:val="21"/>
                <w:highlight w:val="none"/>
              </w:rPr>
              <w:t>至少担任过1条(段)新建或改扩建高速公路</w:t>
            </w:r>
            <w:r>
              <w:rPr>
                <w:rFonts w:hint="eastAsia"/>
                <w:bCs/>
                <w:color w:val="auto"/>
                <w:kern w:val="2"/>
                <w:sz w:val="21"/>
                <w:szCs w:val="21"/>
                <w:highlight w:val="none"/>
                <w:lang w:val="en-US" w:eastAsia="zh-CN"/>
              </w:rPr>
              <w:t>主体</w:t>
            </w:r>
            <w:r>
              <w:rPr>
                <w:rFonts w:hint="eastAsia"/>
                <w:bCs/>
                <w:color w:val="auto"/>
                <w:kern w:val="2"/>
                <w:sz w:val="21"/>
                <w:szCs w:val="21"/>
                <w:highlight w:val="none"/>
              </w:rPr>
              <w:t>工程施工</w:t>
            </w:r>
            <w:bookmarkStart w:id="23" w:name="OLE_LINK3"/>
            <w:r>
              <w:rPr>
                <w:rFonts w:hint="eastAsia"/>
                <w:bCs/>
                <w:color w:val="auto"/>
                <w:kern w:val="2"/>
                <w:sz w:val="21"/>
                <w:szCs w:val="21"/>
                <w:highlight w:val="none"/>
              </w:rPr>
              <w:t>的项目总工</w:t>
            </w:r>
            <w:r>
              <w:rPr>
                <w:rFonts w:hint="eastAsia"/>
                <w:bCs/>
                <w:color w:val="auto"/>
                <w:kern w:val="2"/>
                <w:sz w:val="21"/>
                <w:szCs w:val="21"/>
                <w:highlight w:val="none"/>
                <w:lang w:val="en-US" w:eastAsia="zh-CN"/>
              </w:rPr>
              <w:t>或项目副总工或</w:t>
            </w:r>
            <w:r>
              <w:rPr>
                <w:rFonts w:hint="eastAsia"/>
                <w:bCs/>
                <w:color w:val="auto"/>
                <w:kern w:val="2"/>
                <w:sz w:val="21"/>
                <w:szCs w:val="21"/>
                <w:highlight w:val="none"/>
              </w:rPr>
              <w:t>项目经理。</w:t>
            </w:r>
            <w:bookmarkEnd w:id="23"/>
          </w:p>
        </w:tc>
        <w:tc>
          <w:tcPr>
            <w:tcW w:w="784" w:type="pct"/>
            <w:vMerge w:val="continue"/>
            <w:vAlign w:val="center"/>
          </w:tcPr>
          <w:p w14:paraId="07C895D5">
            <w:pPr>
              <w:adjustRightInd w:val="0"/>
              <w:snapToGrid w:val="0"/>
              <w:spacing w:line="400" w:lineRule="exact"/>
              <w:rPr>
                <w:color w:val="auto"/>
                <w:kern w:val="0"/>
                <w:sz w:val="21"/>
                <w:szCs w:val="21"/>
                <w:highlight w:val="none"/>
              </w:rPr>
            </w:pPr>
          </w:p>
        </w:tc>
      </w:tr>
      <w:tr w14:paraId="3F63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738" w:type="pct"/>
            <w:vMerge w:val="restart"/>
            <w:vAlign w:val="center"/>
          </w:tcPr>
          <w:p w14:paraId="777D446B">
            <w:pPr>
              <w:spacing w:line="400" w:lineRule="exact"/>
              <w:jc w:val="center"/>
              <w:rPr>
                <w:bCs/>
                <w:color w:val="auto"/>
                <w:kern w:val="2"/>
                <w:sz w:val="21"/>
                <w:szCs w:val="24"/>
                <w:highlight w:val="none"/>
              </w:rPr>
            </w:pPr>
            <w:r>
              <w:rPr>
                <w:rFonts w:hint="eastAsia"/>
                <w:bCs/>
                <w:color w:val="auto"/>
                <w:kern w:val="2"/>
                <w:sz w:val="21"/>
                <w:szCs w:val="24"/>
                <w:highlight w:val="none"/>
              </w:rPr>
              <w:t>II类</w:t>
            </w:r>
          </w:p>
        </w:tc>
        <w:tc>
          <w:tcPr>
            <w:tcW w:w="587" w:type="pct"/>
            <w:vMerge w:val="restart"/>
            <w:vAlign w:val="center"/>
          </w:tcPr>
          <w:p w14:paraId="498975CA">
            <w:pPr>
              <w:spacing w:line="400" w:lineRule="exact"/>
              <w:jc w:val="center"/>
              <w:rPr>
                <w:rFonts w:hint="eastAsia" w:eastAsia="宋体"/>
                <w:color w:val="auto"/>
                <w:kern w:val="2"/>
                <w:sz w:val="21"/>
                <w:szCs w:val="21"/>
                <w:highlight w:val="none"/>
                <w:lang w:eastAsia="zh-CN"/>
              </w:rPr>
            </w:pPr>
            <w:r>
              <w:rPr>
                <w:rFonts w:hint="eastAsia"/>
                <w:bCs/>
                <w:color w:val="auto"/>
                <w:sz w:val="21"/>
                <w:szCs w:val="21"/>
                <w:highlight w:val="none"/>
                <w:lang w:eastAsia="zh-CN"/>
              </w:rPr>
              <w:t>TJ-5</w:t>
            </w:r>
          </w:p>
        </w:tc>
        <w:tc>
          <w:tcPr>
            <w:tcW w:w="586" w:type="pct"/>
            <w:vAlign w:val="center"/>
          </w:tcPr>
          <w:p w14:paraId="3978B487">
            <w:pPr>
              <w:spacing w:line="400" w:lineRule="exact"/>
              <w:jc w:val="center"/>
              <w:rPr>
                <w:color w:val="auto"/>
                <w:kern w:val="2"/>
                <w:sz w:val="21"/>
                <w:szCs w:val="21"/>
                <w:highlight w:val="none"/>
              </w:rPr>
            </w:pPr>
            <w:r>
              <w:rPr>
                <w:rFonts w:hint="eastAsia"/>
                <w:color w:val="auto"/>
                <w:kern w:val="2"/>
                <w:sz w:val="21"/>
                <w:szCs w:val="21"/>
                <w:highlight w:val="none"/>
              </w:rPr>
              <w:t>项目</w:t>
            </w:r>
          </w:p>
          <w:p w14:paraId="66B27954">
            <w:pPr>
              <w:spacing w:line="400" w:lineRule="exact"/>
              <w:jc w:val="center"/>
              <w:rPr>
                <w:color w:val="auto"/>
                <w:kern w:val="2"/>
                <w:sz w:val="21"/>
                <w:szCs w:val="21"/>
                <w:highlight w:val="none"/>
              </w:rPr>
            </w:pPr>
            <w:r>
              <w:rPr>
                <w:rFonts w:hint="eastAsia"/>
                <w:color w:val="auto"/>
                <w:kern w:val="2"/>
                <w:sz w:val="21"/>
                <w:szCs w:val="21"/>
                <w:highlight w:val="none"/>
              </w:rPr>
              <w:t>经理</w:t>
            </w:r>
          </w:p>
        </w:tc>
        <w:tc>
          <w:tcPr>
            <w:tcW w:w="358" w:type="pct"/>
            <w:vAlign w:val="center"/>
          </w:tcPr>
          <w:p w14:paraId="67E586FF">
            <w:pPr>
              <w:spacing w:line="400" w:lineRule="exact"/>
              <w:jc w:val="center"/>
              <w:rPr>
                <w:color w:val="auto"/>
                <w:kern w:val="2"/>
                <w:sz w:val="21"/>
                <w:szCs w:val="21"/>
                <w:highlight w:val="none"/>
              </w:rPr>
            </w:pPr>
            <w:r>
              <w:rPr>
                <w:rFonts w:hint="eastAsia"/>
                <w:color w:val="auto"/>
                <w:kern w:val="2"/>
                <w:sz w:val="21"/>
                <w:szCs w:val="21"/>
                <w:highlight w:val="none"/>
              </w:rPr>
              <w:t>1</w:t>
            </w:r>
          </w:p>
        </w:tc>
        <w:tc>
          <w:tcPr>
            <w:tcW w:w="1944" w:type="pct"/>
            <w:vAlign w:val="center"/>
          </w:tcPr>
          <w:p w14:paraId="75270005">
            <w:pPr>
              <w:spacing w:line="400" w:lineRule="exact"/>
              <w:ind w:firstLine="420" w:firstLineChars="200"/>
              <w:rPr>
                <w:rFonts w:hint="eastAsia"/>
                <w:bCs/>
                <w:color w:val="auto"/>
                <w:kern w:val="2"/>
                <w:sz w:val="21"/>
                <w:szCs w:val="21"/>
                <w:highlight w:val="none"/>
                <w:lang w:eastAsia="zh-CN"/>
              </w:rPr>
            </w:pPr>
            <w:r>
              <w:rPr>
                <w:rFonts w:hint="eastAsia"/>
                <w:bCs/>
                <w:color w:val="auto"/>
                <w:kern w:val="2"/>
                <w:sz w:val="21"/>
                <w:szCs w:val="21"/>
                <w:highlight w:val="none"/>
              </w:rPr>
              <w:t>具有“公路工程”专业的“一级建造师注册证书”</w:t>
            </w:r>
            <w:r>
              <w:rPr>
                <w:rFonts w:hint="eastAsia"/>
                <w:bCs/>
                <w:color w:val="auto"/>
                <w:kern w:val="2"/>
                <w:sz w:val="21"/>
                <w:szCs w:val="21"/>
                <w:highlight w:val="none"/>
                <w:lang w:eastAsia="zh-CN"/>
              </w:rPr>
              <w:t>，建造师注册证书的注册单位须与投标人单位名称一致；</w:t>
            </w:r>
          </w:p>
          <w:p w14:paraId="5E7064FB">
            <w:pPr>
              <w:spacing w:line="400" w:lineRule="exact"/>
              <w:ind w:firstLine="420" w:firstLineChars="200"/>
              <w:rPr>
                <w:rFonts w:hint="eastAsia" w:eastAsia="宋体"/>
                <w:bCs/>
                <w:color w:val="auto"/>
                <w:kern w:val="2"/>
                <w:sz w:val="21"/>
                <w:szCs w:val="21"/>
                <w:highlight w:val="none"/>
                <w:lang w:eastAsia="zh-CN"/>
              </w:rPr>
            </w:pPr>
            <w:r>
              <w:rPr>
                <w:rFonts w:hint="eastAsia"/>
                <w:bCs/>
                <w:color w:val="auto"/>
                <w:kern w:val="2"/>
                <w:sz w:val="21"/>
                <w:szCs w:val="21"/>
                <w:highlight w:val="none"/>
              </w:rPr>
              <w:t>具有交通运输行政主管部门颁发的有效的《安全生产考核合格证书》(B类)</w:t>
            </w:r>
            <w:r>
              <w:rPr>
                <w:rFonts w:hint="eastAsia"/>
                <w:bCs/>
                <w:color w:val="auto"/>
                <w:kern w:val="2"/>
                <w:sz w:val="21"/>
                <w:szCs w:val="21"/>
                <w:highlight w:val="none"/>
                <w:lang w:eastAsia="zh-CN"/>
              </w:rPr>
              <w:t>，</w:t>
            </w:r>
            <w:r>
              <w:rPr>
                <w:rFonts w:hint="eastAsia"/>
                <w:bCs/>
                <w:color w:val="auto"/>
                <w:kern w:val="2"/>
                <w:sz w:val="21"/>
                <w:szCs w:val="21"/>
                <w:highlight w:val="none"/>
              </w:rPr>
              <w:t>安全生产考核合格证书的登记单位须与投标人单位名称一致</w:t>
            </w:r>
            <w:r>
              <w:rPr>
                <w:rFonts w:hint="eastAsia"/>
                <w:bCs/>
                <w:color w:val="auto"/>
                <w:kern w:val="2"/>
                <w:sz w:val="21"/>
                <w:szCs w:val="21"/>
                <w:highlight w:val="none"/>
                <w:lang w:eastAsia="zh-CN"/>
              </w:rPr>
              <w:t>；</w:t>
            </w:r>
          </w:p>
          <w:p w14:paraId="6ED0E186">
            <w:pPr>
              <w:spacing w:line="400" w:lineRule="exact"/>
              <w:ind w:firstLine="420" w:firstLineChars="200"/>
              <w:rPr>
                <w:bCs/>
                <w:color w:val="auto"/>
                <w:kern w:val="2"/>
                <w:sz w:val="21"/>
                <w:szCs w:val="21"/>
                <w:highlight w:val="none"/>
              </w:rPr>
            </w:pPr>
            <w:r>
              <w:rPr>
                <w:rFonts w:hint="eastAsia"/>
                <w:bCs/>
                <w:color w:val="auto"/>
                <w:kern w:val="2"/>
                <w:sz w:val="21"/>
                <w:szCs w:val="21"/>
                <w:highlight w:val="none"/>
              </w:rPr>
              <w:t>近5年(2021年</w:t>
            </w:r>
            <w:r>
              <w:rPr>
                <w:rFonts w:hint="eastAsia"/>
                <w:bCs/>
                <w:color w:val="auto"/>
                <w:kern w:val="2"/>
                <w:sz w:val="21"/>
                <w:szCs w:val="21"/>
                <w:highlight w:val="none"/>
                <w:lang w:val="en-US" w:eastAsia="zh-CN"/>
              </w:rPr>
              <w:t>9</w:t>
            </w:r>
            <w:r>
              <w:rPr>
                <w:rFonts w:hint="eastAsia"/>
                <w:bCs/>
                <w:color w:val="auto"/>
                <w:kern w:val="2"/>
                <w:sz w:val="21"/>
                <w:szCs w:val="21"/>
                <w:highlight w:val="none"/>
              </w:rPr>
              <w:t>月1日至今，以工程交工日期为准)，至少担任过1条(段)</w:t>
            </w:r>
            <w:r>
              <w:rPr>
                <w:rFonts w:hint="eastAsia"/>
                <w:color w:val="auto"/>
                <w:highlight w:val="none"/>
              </w:rPr>
              <w:t xml:space="preserve"> </w:t>
            </w:r>
            <w:r>
              <w:rPr>
                <w:rFonts w:hint="eastAsia"/>
                <w:bCs/>
                <w:color w:val="auto"/>
                <w:kern w:val="2"/>
                <w:sz w:val="21"/>
                <w:szCs w:val="21"/>
                <w:highlight w:val="none"/>
              </w:rPr>
              <w:t>新建或改扩建高速公路</w:t>
            </w:r>
            <w:r>
              <w:rPr>
                <w:rFonts w:hint="eastAsia"/>
                <w:bCs/>
                <w:color w:val="auto"/>
                <w:kern w:val="2"/>
                <w:sz w:val="21"/>
                <w:szCs w:val="21"/>
                <w:highlight w:val="none"/>
                <w:lang w:val="en-US" w:eastAsia="zh-CN"/>
              </w:rPr>
              <w:t>主体</w:t>
            </w:r>
            <w:r>
              <w:rPr>
                <w:rFonts w:hint="eastAsia"/>
                <w:bCs/>
                <w:color w:val="auto"/>
                <w:kern w:val="2"/>
                <w:sz w:val="21"/>
                <w:szCs w:val="21"/>
                <w:highlight w:val="none"/>
              </w:rPr>
              <w:t>工程施工的项目经理或项目副经理或项目总工。</w:t>
            </w:r>
          </w:p>
        </w:tc>
        <w:tc>
          <w:tcPr>
            <w:tcW w:w="784" w:type="pct"/>
            <w:vMerge w:val="restart"/>
            <w:vAlign w:val="center"/>
          </w:tcPr>
          <w:p w14:paraId="2BB0F992">
            <w:pPr>
              <w:adjustRightInd w:val="0"/>
              <w:snapToGrid w:val="0"/>
              <w:spacing w:line="400" w:lineRule="exact"/>
              <w:rPr>
                <w:color w:val="auto"/>
                <w:kern w:val="0"/>
                <w:sz w:val="21"/>
                <w:szCs w:val="21"/>
                <w:highlight w:val="none"/>
              </w:rPr>
            </w:pPr>
            <w:r>
              <w:rPr>
                <w:rFonts w:hint="eastAsia"/>
                <w:color w:val="auto"/>
                <w:kern w:val="0"/>
                <w:sz w:val="21"/>
                <w:szCs w:val="21"/>
                <w:highlight w:val="none"/>
              </w:rPr>
              <w:t>目前未在其他项目上任职，或虽在其他项目上任职但本项目中标后能够从该项目撤离</w:t>
            </w:r>
          </w:p>
        </w:tc>
      </w:tr>
      <w:tr w14:paraId="42600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738" w:type="pct"/>
            <w:vMerge w:val="continue"/>
          </w:tcPr>
          <w:p w14:paraId="59EBCB06">
            <w:pPr>
              <w:rPr>
                <w:color w:val="auto"/>
                <w:kern w:val="2"/>
                <w:sz w:val="21"/>
                <w:szCs w:val="21"/>
                <w:highlight w:val="none"/>
              </w:rPr>
            </w:pPr>
          </w:p>
        </w:tc>
        <w:tc>
          <w:tcPr>
            <w:tcW w:w="587" w:type="pct"/>
            <w:vMerge w:val="continue"/>
          </w:tcPr>
          <w:p w14:paraId="45D883E4">
            <w:pPr>
              <w:spacing w:line="400" w:lineRule="exact"/>
              <w:jc w:val="center"/>
              <w:rPr>
                <w:color w:val="auto"/>
                <w:kern w:val="2"/>
                <w:sz w:val="21"/>
                <w:szCs w:val="21"/>
                <w:highlight w:val="none"/>
              </w:rPr>
            </w:pPr>
          </w:p>
        </w:tc>
        <w:tc>
          <w:tcPr>
            <w:tcW w:w="586" w:type="pct"/>
            <w:vAlign w:val="center"/>
          </w:tcPr>
          <w:p w14:paraId="1E488C16">
            <w:pPr>
              <w:spacing w:line="400" w:lineRule="exact"/>
              <w:jc w:val="center"/>
              <w:rPr>
                <w:color w:val="auto"/>
                <w:kern w:val="2"/>
                <w:sz w:val="21"/>
                <w:szCs w:val="21"/>
                <w:highlight w:val="none"/>
              </w:rPr>
            </w:pPr>
            <w:r>
              <w:rPr>
                <w:rFonts w:hint="eastAsia"/>
                <w:color w:val="auto"/>
                <w:kern w:val="2"/>
                <w:sz w:val="21"/>
                <w:szCs w:val="21"/>
                <w:highlight w:val="none"/>
              </w:rPr>
              <w:t>项目</w:t>
            </w:r>
          </w:p>
          <w:p w14:paraId="6032DBB1">
            <w:pPr>
              <w:spacing w:line="400" w:lineRule="exact"/>
              <w:jc w:val="center"/>
              <w:rPr>
                <w:color w:val="auto"/>
                <w:kern w:val="2"/>
                <w:sz w:val="21"/>
                <w:szCs w:val="21"/>
                <w:highlight w:val="none"/>
              </w:rPr>
            </w:pPr>
            <w:r>
              <w:rPr>
                <w:rFonts w:hint="eastAsia"/>
                <w:color w:val="auto"/>
                <w:kern w:val="2"/>
                <w:sz w:val="21"/>
                <w:szCs w:val="21"/>
                <w:highlight w:val="none"/>
              </w:rPr>
              <w:t>总工</w:t>
            </w:r>
          </w:p>
        </w:tc>
        <w:tc>
          <w:tcPr>
            <w:tcW w:w="358" w:type="pct"/>
            <w:vAlign w:val="center"/>
          </w:tcPr>
          <w:p w14:paraId="1A22FBE1">
            <w:pPr>
              <w:spacing w:line="400" w:lineRule="exact"/>
              <w:jc w:val="center"/>
              <w:rPr>
                <w:color w:val="auto"/>
                <w:kern w:val="2"/>
                <w:sz w:val="21"/>
                <w:szCs w:val="21"/>
                <w:highlight w:val="none"/>
              </w:rPr>
            </w:pPr>
            <w:r>
              <w:rPr>
                <w:rFonts w:hint="eastAsia"/>
                <w:color w:val="auto"/>
                <w:kern w:val="2"/>
                <w:sz w:val="21"/>
                <w:szCs w:val="21"/>
                <w:highlight w:val="none"/>
              </w:rPr>
              <w:t>1</w:t>
            </w:r>
          </w:p>
        </w:tc>
        <w:tc>
          <w:tcPr>
            <w:tcW w:w="1944" w:type="pct"/>
            <w:vAlign w:val="center"/>
          </w:tcPr>
          <w:p w14:paraId="149FE99D">
            <w:pPr>
              <w:spacing w:line="400" w:lineRule="exact"/>
              <w:ind w:firstLine="420" w:firstLineChars="200"/>
              <w:rPr>
                <w:rFonts w:hint="eastAsia"/>
                <w:bCs/>
                <w:color w:val="auto"/>
                <w:kern w:val="2"/>
                <w:sz w:val="21"/>
                <w:szCs w:val="21"/>
                <w:highlight w:val="none"/>
                <w:lang w:eastAsia="zh-CN"/>
              </w:rPr>
            </w:pPr>
            <w:r>
              <w:rPr>
                <w:rFonts w:hint="eastAsia"/>
                <w:bCs/>
                <w:color w:val="auto"/>
                <w:kern w:val="2"/>
                <w:sz w:val="21"/>
                <w:szCs w:val="21"/>
                <w:highlight w:val="none"/>
              </w:rPr>
              <w:t>高级工程师</w:t>
            </w:r>
            <w:r>
              <w:rPr>
                <w:rFonts w:hint="eastAsia"/>
                <w:bCs/>
                <w:color w:val="auto"/>
                <w:kern w:val="2"/>
                <w:sz w:val="21"/>
                <w:szCs w:val="21"/>
                <w:highlight w:val="none"/>
                <w:lang w:val="en-US" w:eastAsia="zh-CN"/>
              </w:rPr>
              <w:t>及以上职称</w:t>
            </w:r>
            <w:r>
              <w:rPr>
                <w:rFonts w:hint="eastAsia"/>
                <w:bCs/>
                <w:color w:val="auto"/>
                <w:kern w:val="2"/>
                <w:sz w:val="21"/>
                <w:szCs w:val="21"/>
                <w:highlight w:val="none"/>
                <w:lang w:eastAsia="zh-CN"/>
              </w:rPr>
              <w:t>；</w:t>
            </w:r>
          </w:p>
          <w:p w14:paraId="47B70DD3">
            <w:pPr>
              <w:spacing w:line="400" w:lineRule="exact"/>
              <w:ind w:firstLine="420" w:firstLineChars="200"/>
              <w:rPr>
                <w:bCs/>
                <w:color w:val="auto"/>
                <w:kern w:val="2"/>
                <w:sz w:val="21"/>
                <w:szCs w:val="21"/>
                <w:highlight w:val="none"/>
              </w:rPr>
            </w:pPr>
            <w:r>
              <w:rPr>
                <w:rFonts w:hint="eastAsia" w:ascii="Times New Roman" w:hAnsi="Times New Roman" w:eastAsia="宋体" w:cs="Times New Roman"/>
                <w:bCs/>
                <w:color w:val="auto"/>
                <w:kern w:val="2"/>
                <w:sz w:val="21"/>
                <w:szCs w:val="21"/>
                <w:highlight w:val="none"/>
              </w:rPr>
              <w:t>近5年(2021年</w:t>
            </w:r>
            <w:r>
              <w:rPr>
                <w:rFonts w:hint="eastAsia" w:cs="Times New Roman"/>
                <w:bCs/>
                <w:color w:val="auto"/>
                <w:kern w:val="2"/>
                <w:sz w:val="21"/>
                <w:szCs w:val="21"/>
                <w:highlight w:val="none"/>
                <w:lang w:val="en-US" w:eastAsia="zh-CN"/>
              </w:rPr>
              <w:t>9</w:t>
            </w:r>
            <w:r>
              <w:rPr>
                <w:rFonts w:hint="eastAsia" w:ascii="Times New Roman" w:hAnsi="Times New Roman" w:eastAsia="宋体" w:cs="Times New Roman"/>
                <w:bCs/>
                <w:color w:val="auto"/>
                <w:kern w:val="2"/>
                <w:sz w:val="21"/>
                <w:szCs w:val="21"/>
                <w:highlight w:val="none"/>
              </w:rPr>
              <w:t>月1日至今，以工程交工日期为准)，</w:t>
            </w:r>
            <w:r>
              <w:rPr>
                <w:rFonts w:hint="eastAsia"/>
                <w:bCs/>
                <w:color w:val="auto"/>
                <w:kern w:val="2"/>
                <w:sz w:val="21"/>
                <w:szCs w:val="21"/>
                <w:highlight w:val="none"/>
              </w:rPr>
              <w:t>至少担任过1条(段)新建或改扩建高速公路</w:t>
            </w:r>
            <w:r>
              <w:rPr>
                <w:rFonts w:hint="eastAsia"/>
                <w:bCs/>
                <w:color w:val="auto"/>
                <w:kern w:val="2"/>
                <w:sz w:val="21"/>
                <w:szCs w:val="21"/>
                <w:highlight w:val="none"/>
                <w:lang w:val="en-US" w:eastAsia="zh-CN"/>
              </w:rPr>
              <w:t>主体</w:t>
            </w:r>
            <w:r>
              <w:rPr>
                <w:rFonts w:hint="eastAsia"/>
                <w:bCs/>
                <w:color w:val="auto"/>
                <w:kern w:val="2"/>
                <w:sz w:val="21"/>
                <w:szCs w:val="21"/>
                <w:highlight w:val="none"/>
              </w:rPr>
              <w:t>工程施工的项目总工或项目副总工</w:t>
            </w:r>
            <w:r>
              <w:rPr>
                <w:rFonts w:hint="eastAsia"/>
                <w:bCs/>
                <w:color w:val="auto"/>
                <w:kern w:val="2"/>
                <w:sz w:val="21"/>
                <w:szCs w:val="21"/>
                <w:highlight w:val="none"/>
                <w:lang w:val="en-US" w:eastAsia="zh-CN"/>
              </w:rPr>
              <w:t>或项目经理</w:t>
            </w:r>
            <w:r>
              <w:rPr>
                <w:rFonts w:hint="eastAsia"/>
                <w:bCs/>
                <w:color w:val="auto"/>
                <w:kern w:val="2"/>
                <w:sz w:val="21"/>
                <w:szCs w:val="21"/>
                <w:highlight w:val="none"/>
              </w:rPr>
              <w:t>。</w:t>
            </w:r>
          </w:p>
        </w:tc>
        <w:tc>
          <w:tcPr>
            <w:tcW w:w="784" w:type="pct"/>
            <w:vMerge w:val="continue"/>
            <w:vAlign w:val="center"/>
          </w:tcPr>
          <w:p w14:paraId="1F0949C7">
            <w:pPr>
              <w:adjustRightInd w:val="0"/>
              <w:snapToGrid w:val="0"/>
              <w:spacing w:line="400" w:lineRule="exact"/>
              <w:rPr>
                <w:color w:val="auto"/>
                <w:kern w:val="0"/>
                <w:sz w:val="21"/>
                <w:szCs w:val="21"/>
                <w:highlight w:val="none"/>
              </w:rPr>
            </w:pPr>
          </w:p>
        </w:tc>
      </w:tr>
    </w:tbl>
    <w:p w14:paraId="79B242ED">
      <w:pPr>
        <w:rPr>
          <w:rFonts w:eastAsia="黑体"/>
          <w:color w:val="auto"/>
          <w:szCs w:val="28"/>
          <w:highlight w:val="none"/>
        </w:rPr>
      </w:pPr>
      <w:r>
        <w:rPr>
          <w:rFonts w:hint="eastAsia" w:eastAsia="黑体"/>
          <w:color w:val="auto"/>
          <w:szCs w:val="28"/>
          <w:highlight w:val="none"/>
        </w:rPr>
        <w:br w:type="page"/>
      </w:r>
    </w:p>
    <w:p w14:paraId="46BE7921">
      <w:pPr>
        <w:pStyle w:val="2"/>
        <w:pageBreakBefore w:val="0"/>
        <w:widowControl w:val="0"/>
        <w:kinsoku/>
        <w:wordWrap/>
        <w:overflowPunct/>
        <w:topLinePunct w:val="0"/>
        <w:autoSpaceDE/>
        <w:autoSpaceDN/>
        <w:bidi w:val="0"/>
        <w:spacing w:before="0" w:after="0" w:line="360" w:lineRule="auto"/>
        <w:jc w:val="both"/>
        <w:rPr>
          <w:rFonts w:eastAsia="黑体"/>
          <w:color w:val="auto"/>
          <w:sz w:val="28"/>
          <w:szCs w:val="28"/>
          <w:highlight w:val="none"/>
        </w:rPr>
      </w:pPr>
      <w:r>
        <w:rPr>
          <w:rFonts w:hint="eastAsia" w:eastAsia="黑体"/>
          <w:color w:val="auto"/>
          <w:sz w:val="28"/>
          <w:szCs w:val="28"/>
          <w:highlight w:val="none"/>
        </w:rPr>
        <w:t>附件2：随机确定评标基准价计算方法的规则与程序</w:t>
      </w:r>
      <w:bookmarkEnd w:id="9"/>
      <w:bookmarkEnd w:id="10"/>
      <w:bookmarkEnd w:id="11"/>
      <w:bookmarkEnd w:id="12"/>
    </w:p>
    <w:p w14:paraId="1439CAB9">
      <w:pPr>
        <w:pageBreakBefore w:val="0"/>
        <w:widowControl w:val="0"/>
        <w:kinsoku/>
        <w:wordWrap/>
        <w:overflowPunct/>
        <w:topLinePunct w:val="0"/>
        <w:autoSpaceDE/>
        <w:autoSpaceDN/>
        <w:bidi w:val="0"/>
        <w:adjustRightInd w:val="0"/>
        <w:snapToGrid w:val="0"/>
        <w:spacing w:line="360" w:lineRule="auto"/>
        <w:jc w:val="both"/>
        <w:rPr>
          <w:b/>
          <w:color w:val="auto"/>
          <w:sz w:val="24"/>
          <w:highlight w:val="none"/>
        </w:rPr>
      </w:pPr>
      <w:r>
        <w:rPr>
          <w:b/>
          <w:color w:val="auto"/>
          <w:sz w:val="24"/>
          <w:highlight w:val="none"/>
        </w:rPr>
        <w:t>一、随机抽取规则</w:t>
      </w:r>
    </w:p>
    <w:p w14:paraId="1C4CBD49">
      <w:pPr>
        <w:pageBreakBefore w:val="0"/>
        <w:widowControl w:val="0"/>
        <w:kinsoku/>
        <w:wordWrap/>
        <w:overflowPunct/>
        <w:topLinePunct w:val="0"/>
        <w:autoSpaceDE/>
        <w:autoSpaceDN/>
        <w:bidi w:val="0"/>
        <w:adjustRightInd w:val="0"/>
        <w:spacing w:line="360" w:lineRule="auto"/>
        <w:jc w:val="both"/>
        <w:outlineLvl w:val="2"/>
        <w:rPr>
          <w:color w:val="auto"/>
          <w:sz w:val="24"/>
          <w:highlight w:val="none"/>
        </w:rPr>
      </w:pPr>
      <w:bookmarkStart w:id="24" w:name="_Toc201074916"/>
      <w:bookmarkStart w:id="25" w:name="_Toc178513970"/>
      <w:r>
        <w:rPr>
          <w:rFonts w:hint="eastAsia"/>
          <w:color w:val="auto"/>
          <w:sz w:val="24"/>
          <w:highlight w:val="none"/>
          <w:lang w:val="en-US" w:eastAsia="zh-CN"/>
        </w:rPr>
        <w:t>参与随机确定评标基准价计算方法的各方当事人（以下简称“各方”）应当严格遵守以下规则：</w:t>
      </w:r>
    </w:p>
    <w:p w14:paraId="53F41E46">
      <w:pPr>
        <w:pageBreakBefore w:val="0"/>
        <w:widowControl w:val="0"/>
        <w:kinsoku/>
        <w:wordWrap/>
        <w:overflowPunct/>
        <w:topLinePunct w:val="0"/>
        <w:autoSpaceDE/>
        <w:autoSpaceDN/>
        <w:bidi w:val="0"/>
        <w:adjustRightInd w:val="0"/>
        <w:spacing w:line="360" w:lineRule="auto"/>
        <w:jc w:val="both"/>
        <w:outlineLvl w:val="2"/>
        <w:rPr>
          <w:rFonts w:hint="default"/>
          <w:color w:val="auto"/>
          <w:sz w:val="24"/>
          <w:highlight w:val="none"/>
        </w:rPr>
      </w:pPr>
      <w:r>
        <w:rPr>
          <w:rFonts w:hint="eastAsia"/>
          <w:color w:val="auto"/>
          <w:sz w:val="24"/>
          <w:highlight w:val="none"/>
          <w:lang w:val="en-US" w:eastAsia="zh-CN"/>
        </w:rPr>
        <w:t>（一）各方必须严格遵守公开、公平、公正和诚实信用原则；</w:t>
      </w:r>
    </w:p>
    <w:p w14:paraId="50311163">
      <w:pPr>
        <w:pageBreakBefore w:val="0"/>
        <w:widowControl w:val="0"/>
        <w:kinsoku/>
        <w:wordWrap/>
        <w:overflowPunct/>
        <w:topLinePunct w:val="0"/>
        <w:autoSpaceDE/>
        <w:autoSpaceDN/>
        <w:bidi w:val="0"/>
        <w:adjustRightInd w:val="0"/>
        <w:spacing w:line="360" w:lineRule="auto"/>
        <w:jc w:val="both"/>
        <w:outlineLvl w:val="2"/>
        <w:rPr>
          <w:rFonts w:hint="default"/>
          <w:color w:val="auto"/>
          <w:sz w:val="24"/>
          <w:highlight w:val="none"/>
        </w:rPr>
      </w:pPr>
      <w:r>
        <w:rPr>
          <w:rFonts w:hint="eastAsia"/>
          <w:color w:val="auto"/>
          <w:sz w:val="24"/>
          <w:highlight w:val="none"/>
          <w:lang w:val="en-US" w:eastAsia="zh-CN"/>
        </w:rPr>
        <w:t>（二）随机抽取活动在招标人的主持下进行，由监督人员对全过程进行监督 ,招标人做好影像记录，并存档备查；</w:t>
      </w:r>
    </w:p>
    <w:p w14:paraId="661E1DA1">
      <w:pPr>
        <w:pageBreakBefore w:val="0"/>
        <w:widowControl w:val="0"/>
        <w:kinsoku/>
        <w:wordWrap/>
        <w:overflowPunct/>
        <w:topLinePunct w:val="0"/>
        <w:autoSpaceDE/>
        <w:autoSpaceDN/>
        <w:bidi w:val="0"/>
        <w:adjustRightInd w:val="0"/>
        <w:spacing w:line="360" w:lineRule="auto"/>
        <w:jc w:val="both"/>
        <w:outlineLvl w:val="2"/>
        <w:rPr>
          <w:rFonts w:hint="default"/>
          <w:color w:val="auto"/>
          <w:sz w:val="24"/>
          <w:highlight w:val="none"/>
        </w:rPr>
      </w:pPr>
      <w:r>
        <w:rPr>
          <w:rFonts w:hint="eastAsia"/>
          <w:color w:val="auto"/>
          <w:sz w:val="24"/>
          <w:highlight w:val="none"/>
          <w:lang w:val="en-US" w:eastAsia="zh-CN"/>
        </w:rPr>
        <w:t>（三）用于随机抽取的器具由招标人提供；</w:t>
      </w:r>
    </w:p>
    <w:p w14:paraId="5412501B">
      <w:pPr>
        <w:pageBreakBefore w:val="0"/>
        <w:widowControl w:val="0"/>
        <w:kinsoku/>
        <w:wordWrap/>
        <w:overflowPunct/>
        <w:topLinePunct w:val="0"/>
        <w:autoSpaceDE/>
        <w:autoSpaceDN/>
        <w:bidi w:val="0"/>
        <w:adjustRightInd w:val="0"/>
        <w:spacing w:line="360" w:lineRule="auto"/>
        <w:jc w:val="both"/>
        <w:outlineLvl w:val="2"/>
        <w:rPr>
          <w:rFonts w:hint="default"/>
          <w:color w:val="auto"/>
          <w:sz w:val="24"/>
          <w:highlight w:val="none"/>
        </w:rPr>
      </w:pPr>
      <w:r>
        <w:rPr>
          <w:rFonts w:hint="eastAsia"/>
          <w:color w:val="auto"/>
          <w:sz w:val="24"/>
          <w:highlight w:val="none"/>
          <w:lang w:val="en-US" w:eastAsia="zh-CN"/>
        </w:rPr>
        <w:t>（四）各方必须严格遵守现场纪律，确保随机抽取活动有序进行；</w:t>
      </w:r>
    </w:p>
    <w:p w14:paraId="2438E394">
      <w:pPr>
        <w:pageBreakBefore w:val="0"/>
        <w:widowControl w:val="0"/>
        <w:kinsoku/>
        <w:wordWrap/>
        <w:overflowPunct/>
        <w:topLinePunct w:val="0"/>
        <w:autoSpaceDE/>
        <w:autoSpaceDN/>
        <w:bidi w:val="0"/>
        <w:adjustRightInd w:val="0"/>
        <w:spacing w:line="360" w:lineRule="auto"/>
        <w:jc w:val="both"/>
        <w:outlineLvl w:val="2"/>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五）投标人对随机抽取结果有异议的，应当于产生随机抽取结果后的10分钟内在线提出异议，在规定时间之内未提出异议的，视为默认随机抽取结果。对于投标人提出的异议，招标人当场作出答复，并作好记录。</w:t>
      </w:r>
    </w:p>
    <w:p w14:paraId="5589FE89">
      <w:pPr>
        <w:pageBreakBefore w:val="0"/>
        <w:widowControl w:val="0"/>
        <w:kinsoku/>
        <w:wordWrap/>
        <w:overflowPunct/>
        <w:topLinePunct w:val="0"/>
        <w:autoSpaceDE/>
        <w:autoSpaceDN/>
        <w:bidi w:val="0"/>
        <w:adjustRightInd w:val="0"/>
        <w:spacing w:line="360" w:lineRule="auto"/>
        <w:jc w:val="both"/>
        <w:outlineLvl w:val="2"/>
        <w:rPr>
          <w:rFonts w:hint="eastAsia" w:eastAsia="宋体"/>
          <w:b/>
          <w:color w:val="auto"/>
          <w:sz w:val="24"/>
          <w:highlight w:val="none"/>
          <w:lang w:eastAsia="zh-CN"/>
        </w:rPr>
      </w:pPr>
      <w:r>
        <w:rPr>
          <w:b/>
          <w:color w:val="auto"/>
          <w:sz w:val="24"/>
          <w:highlight w:val="none"/>
        </w:rPr>
        <w:t>二、随机抽取确定评标基准价计算方法的程序</w:t>
      </w:r>
      <w:bookmarkEnd w:id="24"/>
      <w:bookmarkEnd w:id="25"/>
    </w:p>
    <w:p w14:paraId="0F618C2F">
      <w:pPr>
        <w:pageBreakBefore w:val="0"/>
        <w:widowControl w:val="0"/>
        <w:kinsoku/>
        <w:wordWrap/>
        <w:overflowPunct/>
        <w:topLinePunct w:val="0"/>
        <w:autoSpaceDE/>
        <w:autoSpaceDN/>
        <w:bidi w:val="0"/>
        <w:adjustRightInd w:val="0"/>
        <w:spacing w:line="360" w:lineRule="auto"/>
        <w:ind w:firstLine="480" w:firstLineChars="200"/>
        <w:jc w:val="both"/>
        <w:rPr>
          <w:color w:val="auto"/>
          <w:sz w:val="24"/>
          <w:highlight w:val="none"/>
        </w:rPr>
      </w:pPr>
      <w:r>
        <w:rPr>
          <w:rFonts w:hint="eastAsia"/>
          <w:color w:val="auto"/>
          <w:sz w:val="24"/>
          <w:highlight w:val="none"/>
          <w:lang w:val="en-US" w:eastAsia="zh-CN"/>
        </w:rPr>
        <w:t>（一）确定随机抽取代码球</w:t>
      </w:r>
    </w:p>
    <w:p w14:paraId="0490DF63">
      <w:pPr>
        <w:pageBreakBefore w:val="0"/>
        <w:widowControl w:val="0"/>
        <w:kinsoku/>
        <w:wordWrap/>
        <w:overflowPunct/>
        <w:topLinePunct w:val="0"/>
        <w:autoSpaceDE/>
        <w:autoSpaceDN/>
        <w:bidi w:val="0"/>
        <w:adjustRightInd w:val="0"/>
        <w:spacing w:line="360" w:lineRule="auto"/>
        <w:ind w:firstLine="480" w:firstLineChars="200"/>
        <w:jc w:val="both"/>
        <w:rPr>
          <w:rFonts w:hint="default"/>
          <w:color w:val="auto"/>
          <w:sz w:val="24"/>
          <w:highlight w:val="none"/>
        </w:rPr>
      </w:pPr>
      <w:r>
        <w:rPr>
          <w:rFonts w:hint="eastAsia"/>
          <w:color w:val="auto"/>
          <w:sz w:val="24"/>
          <w:highlight w:val="none"/>
          <w:lang w:val="en-US" w:eastAsia="zh-CN"/>
        </w:rPr>
        <w:t>用抽取器具随机确定抽取代码球一套，作为本次随机抽取确定评标基准价计算方法的代码球。</w:t>
      </w:r>
    </w:p>
    <w:p w14:paraId="0DC49EEE">
      <w:pPr>
        <w:pageBreakBefore w:val="0"/>
        <w:widowControl w:val="0"/>
        <w:kinsoku/>
        <w:wordWrap/>
        <w:overflowPunct/>
        <w:topLinePunct w:val="0"/>
        <w:autoSpaceDE/>
        <w:autoSpaceDN/>
        <w:bidi w:val="0"/>
        <w:adjustRightInd w:val="0"/>
        <w:spacing w:line="360" w:lineRule="auto"/>
        <w:ind w:firstLine="480" w:firstLineChars="200"/>
        <w:jc w:val="both"/>
        <w:rPr>
          <w:rFonts w:hint="default"/>
          <w:color w:val="auto"/>
          <w:sz w:val="24"/>
          <w:highlight w:val="none"/>
        </w:rPr>
      </w:pPr>
      <w:r>
        <w:rPr>
          <w:rFonts w:hint="eastAsia"/>
          <w:color w:val="auto"/>
          <w:sz w:val="24"/>
          <w:highlight w:val="none"/>
          <w:lang w:val="en-US" w:eastAsia="zh-CN"/>
        </w:rPr>
        <w:t>（二）本次招标共设置三种评标基准价计算方法（详见评标办法）。</w:t>
      </w:r>
    </w:p>
    <w:p w14:paraId="09FC8D42">
      <w:pPr>
        <w:pageBreakBefore w:val="0"/>
        <w:widowControl w:val="0"/>
        <w:kinsoku/>
        <w:wordWrap/>
        <w:overflowPunct/>
        <w:topLinePunct w:val="0"/>
        <w:autoSpaceDE/>
        <w:autoSpaceDN/>
        <w:bidi w:val="0"/>
        <w:adjustRightInd w:val="0"/>
        <w:spacing w:line="360" w:lineRule="auto"/>
        <w:ind w:firstLine="480" w:firstLineChars="200"/>
        <w:jc w:val="both"/>
        <w:rPr>
          <w:rFonts w:hint="default"/>
          <w:color w:val="auto"/>
          <w:sz w:val="24"/>
          <w:highlight w:val="none"/>
        </w:rPr>
      </w:pPr>
      <w:r>
        <w:rPr>
          <w:rFonts w:hint="eastAsia"/>
          <w:color w:val="auto"/>
          <w:sz w:val="24"/>
          <w:highlight w:val="none"/>
          <w:lang w:val="en-US" w:eastAsia="zh-CN"/>
        </w:rPr>
        <w:t>确定评标基准价计算方法的编号及代码球，1号球代表评标基准价计算方法1；2号球代表评标基准价计算方法2；3号球代表评标基准价计算方法3。</w:t>
      </w:r>
    </w:p>
    <w:p w14:paraId="0663E260">
      <w:pPr>
        <w:pageBreakBefore w:val="0"/>
        <w:widowControl w:val="0"/>
        <w:kinsoku/>
        <w:wordWrap/>
        <w:overflowPunct/>
        <w:topLinePunct w:val="0"/>
        <w:autoSpaceDE/>
        <w:autoSpaceDN/>
        <w:bidi w:val="0"/>
        <w:adjustRightInd w:val="0"/>
        <w:spacing w:line="360" w:lineRule="auto"/>
        <w:ind w:firstLine="480" w:firstLineChars="200"/>
        <w:jc w:val="both"/>
        <w:rPr>
          <w:rFonts w:hint="default"/>
          <w:color w:val="auto"/>
          <w:sz w:val="24"/>
          <w:highlight w:val="none"/>
        </w:rPr>
      </w:pPr>
      <w:r>
        <w:rPr>
          <w:rFonts w:hint="eastAsia"/>
          <w:color w:val="auto"/>
          <w:sz w:val="24"/>
          <w:highlight w:val="none"/>
          <w:lang w:val="en-US" w:eastAsia="zh-CN"/>
        </w:rPr>
        <w:t>（三）在投标文件第一信封（商务及技术文件）开标现场，将编号1、2、3代码球全部放入随机抽取器具中，由抽取器具随机抽取产生本次招标评标基准价计算方法。</w:t>
      </w:r>
    </w:p>
    <w:p w14:paraId="4AF14487">
      <w:pPr>
        <w:pageBreakBefore w:val="0"/>
        <w:widowControl w:val="0"/>
        <w:kinsoku/>
        <w:wordWrap/>
        <w:overflowPunct/>
        <w:topLinePunct w:val="0"/>
        <w:autoSpaceDE/>
        <w:autoSpaceDN/>
        <w:bidi w:val="0"/>
        <w:adjustRightInd w:val="0"/>
        <w:spacing w:line="360" w:lineRule="auto"/>
        <w:ind w:firstLine="480" w:firstLineChars="200"/>
        <w:jc w:val="both"/>
        <w:rPr>
          <w:rFonts w:hint="default"/>
          <w:color w:val="auto"/>
          <w:sz w:val="24"/>
          <w:highlight w:val="none"/>
        </w:rPr>
      </w:pPr>
      <w:r>
        <w:rPr>
          <w:rFonts w:hint="eastAsia"/>
          <w:color w:val="auto"/>
          <w:sz w:val="24"/>
          <w:highlight w:val="none"/>
          <w:lang w:val="en-US" w:eastAsia="zh-CN"/>
        </w:rPr>
        <w:t>（四）确定评标基准价计算方法需要的系数（如有）。</w:t>
      </w:r>
    </w:p>
    <w:p w14:paraId="0F2A84A5">
      <w:pPr>
        <w:pageBreakBefore w:val="0"/>
        <w:widowControl w:val="0"/>
        <w:kinsoku/>
        <w:wordWrap/>
        <w:overflowPunct/>
        <w:topLinePunct w:val="0"/>
        <w:autoSpaceDE/>
        <w:autoSpaceDN/>
        <w:bidi w:val="0"/>
        <w:adjustRightInd w:val="0"/>
        <w:spacing w:line="360" w:lineRule="auto"/>
        <w:ind w:firstLine="480" w:firstLineChars="200"/>
        <w:jc w:val="both"/>
        <w:rPr>
          <w:rFonts w:hint="default"/>
          <w:color w:val="auto"/>
          <w:sz w:val="24"/>
          <w:highlight w:val="none"/>
        </w:rPr>
      </w:pPr>
      <w:r>
        <w:rPr>
          <w:rFonts w:hint="eastAsia"/>
          <w:color w:val="auto"/>
          <w:sz w:val="24"/>
          <w:highlight w:val="none"/>
          <w:lang w:val="en-US" w:eastAsia="zh-CN"/>
        </w:rPr>
        <w:t>1、如果抽取的评标基准价计算方法为方法1，则不需要抽取系数。</w:t>
      </w:r>
    </w:p>
    <w:p w14:paraId="51437706">
      <w:pPr>
        <w:pageBreakBefore w:val="0"/>
        <w:widowControl w:val="0"/>
        <w:kinsoku/>
        <w:wordWrap/>
        <w:overflowPunct/>
        <w:topLinePunct w:val="0"/>
        <w:autoSpaceDE/>
        <w:autoSpaceDN/>
        <w:bidi w:val="0"/>
        <w:adjustRightInd w:val="0"/>
        <w:spacing w:line="360" w:lineRule="auto"/>
        <w:ind w:firstLine="480" w:firstLineChars="200"/>
        <w:jc w:val="both"/>
        <w:rPr>
          <w:rFonts w:hint="eastAsia"/>
          <w:color w:val="auto"/>
          <w:sz w:val="24"/>
          <w:highlight w:val="none"/>
          <w:lang w:val="en-US" w:eastAsia="zh-CN"/>
        </w:rPr>
      </w:pPr>
      <w:r>
        <w:rPr>
          <w:rFonts w:hint="eastAsia"/>
          <w:color w:val="auto"/>
          <w:sz w:val="24"/>
          <w:highlight w:val="none"/>
          <w:lang w:val="en-US" w:eastAsia="zh-CN"/>
        </w:rPr>
        <w:t>2、如果抽取的评标基准价计算方法为方法2，则需要抽取评标基准价系数K1。</w:t>
      </w:r>
    </w:p>
    <w:p w14:paraId="4259258B">
      <w:pPr>
        <w:pageBreakBefore w:val="0"/>
        <w:widowControl w:val="0"/>
        <w:kinsoku/>
        <w:wordWrap/>
        <w:overflowPunct/>
        <w:topLinePunct w:val="0"/>
        <w:autoSpaceDE/>
        <w:autoSpaceDN/>
        <w:bidi w:val="0"/>
        <w:adjustRightInd w:val="0"/>
        <w:spacing w:line="360" w:lineRule="auto"/>
        <w:ind w:firstLine="480" w:firstLineChars="200"/>
        <w:jc w:val="both"/>
        <w:rPr>
          <w:rFonts w:hint="default"/>
          <w:color w:val="auto"/>
          <w:sz w:val="24"/>
          <w:highlight w:val="none"/>
        </w:rPr>
      </w:pPr>
      <w:r>
        <w:rPr>
          <w:rFonts w:hint="eastAsia"/>
          <w:color w:val="auto"/>
          <w:sz w:val="24"/>
          <w:highlight w:val="none"/>
          <w:lang w:val="en-US" w:eastAsia="zh-CN"/>
        </w:rPr>
        <w:t>K1取值范围为0.975、0.980、0.985、0.990、0.995。将编号为1～5的代码球放入抽取器具，由抽取器具随机抽取1个代码球，1号球代表K1值为0.975；2号球代表K1值为0.980；3号球代表K1值为0.985；4号球代表K1值为0.990；5号球代表K1值为0.995。</w:t>
      </w:r>
    </w:p>
    <w:p w14:paraId="10D4C5B6">
      <w:pPr>
        <w:pageBreakBefore w:val="0"/>
        <w:widowControl w:val="0"/>
        <w:kinsoku/>
        <w:wordWrap/>
        <w:overflowPunct/>
        <w:topLinePunct w:val="0"/>
        <w:autoSpaceDE/>
        <w:autoSpaceDN/>
        <w:bidi w:val="0"/>
        <w:adjustRightInd w:val="0"/>
        <w:spacing w:line="360" w:lineRule="auto"/>
        <w:ind w:firstLine="480" w:firstLineChars="200"/>
        <w:jc w:val="both"/>
        <w:rPr>
          <w:rFonts w:hint="eastAsia"/>
          <w:color w:val="auto"/>
          <w:sz w:val="24"/>
          <w:highlight w:val="none"/>
          <w:lang w:val="en-US" w:eastAsia="zh-CN"/>
        </w:rPr>
      </w:pPr>
      <w:r>
        <w:rPr>
          <w:rFonts w:hint="eastAsia"/>
          <w:color w:val="auto"/>
          <w:sz w:val="24"/>
          <w:highlight w:val="none"/>
          <w:lang w:val="en-US" w:eastAsia="zh-CN"/>
        </w:rPr>
        <w:t>3、如果抽取的评标基准价计算方法为方法3，则需要抽取评标基准价系数K2。</w:t>
      </w:r>
    </w:p>
    <w:p w14:paraId="1E4A63E8">
      <w:pPr>
        <w:pageBreakBefore w:val="0"/>
        <w:widowControl w:val="0"/>
        <w:kinsoku/>
        <w:wordWrap/>
        <w:overflowPunct/>
        <w:topLinePunct w:val="0"/>
        <w:autoSpaceDE/>
        <w:autoSpaceDN/>
        <w:bidi w:val="0"/>
        <w:adjustRightInd w:val="0"/>
        <w:spacing w:line="360" w:lineRule="auto"/>
        <w:ind w:firstLine="480" w:firstLineChars="200"/>
        <w:jc w:val="both"/>
        <w:rPr>
          <w:rFonts w:hint="default"/>
          <w:color w:val="auto"/>
          <w:sz w:val="24"/>
          <w:highlight w:val="none"/>
        </w:rPr>
      </w:pPr>
      <w:r>
        <w:rPr>
          <w:rFonts w:hint="eastAsia"/>
          <w:color w:val="auto"/>
          <w:sz w:val="24"/>
          <w:highlight w:val="none"/>
          <w:lang w:val="en-US" w:eastAsia="zh-CN"/>
        </w:rPr>
        <w:t>K2取值范围为0.10、0.15、0.20、0.25、0.30。将编号为1～5的代码球放入抽取器具，由抽取器具随机抽取1个代码球，1号球代表K2值为0.10；2号球代表K2值为0.15；3号球代表K2值为0.20；4号球代表K2值为0.25；5号球代表K2值为0.30。</w:t>
      </w:r>
    </w:p>
    <w:p w14:paraId="5C566999">
      <w:pPr>
        <w:pageBreakBefore w:val="0"/>
        <w:widowControl w:val="0"/>
        <w:kinsoku/>
        <w:wordWrap/>
        <w:overflowPunct/>
        <w:topLinePunct w:val="0"/>
        <w:autoSpaceDE/>
        <w:autoSpaceDN/>
        <w:bidi w:val="0"/>
        <w:adjustRightInd w:val="0"/>
        <w:spacing w:line="360" w:lineRule="auto"/>
        <w:ind w:firstLine="480" w:firstLineChars="200"/>
        <w:jc w:val="both"/>
        <w:rPr>
          <w:rFonts w:hint="default"/>
          <w:color w:val="auto"/>
          <w:sz w:val="24"/>
          <w:highlight w:val="none"/>
        </w:rPr>
      </w:pPr>
      <w:r>
        <w:rPr>
          <w:rFonts w:hint="eastAsia"/>
          <w:color w:val="auto"/>
          <w:sz w:val="24"/>
          <w:highlight w:val="none"/>
          <w:lang w:val="en-US" w:eastAsia="zh-CN"/>
        </w:rPr>
        <w:t>三、如果遇到抽取器具发生故障，导致随机确定评标基准价计算方法过程中断时，招标人应及时宣布发生故障之前的随机确定评标基准价计算方法结果有效。宣布前任何人不得随意处理抽取器具，并请招标人、监督人员对故障发生情况进行书面确认。故障排除或更换抽取器具后，招标人应宣布继续后续的抽取程序。</w:t>
      </w:r>
    </w:p>
    <w:p w14:paraId="29A914FF">
      <w:pPr>
        <w:widowControl/>
        <w:jc w:val="left"/>
        <w:rPr>
          <w:rFonts w:hint="eastAsia" w:ascii="宋体" w:hAnsi="宋体" w:cs="宋体"/>
          <w:b/>
          <w:bCs/>
          <w:color w:val="auto"/>
          <w:szCs w:val="28"/>
          <w:highlight w:val="none"/>
        </w:rPr>
      </w:pPr>
      <w:r>
        <w:rPr>
          <w:rFonts w:hint="eastAsia" w:ascii="宋体" w:hAnsi="宋体" w:cs="宋体"/>
          <w:color w:val="auto"/>
          <w:szCs w:val="28"/>
          <w:highlight w:val="none"/>
        </w:rPr>
        <w:br w:type="page"/>
      </w:r>
    </w:p>
    <w:bookmarkEnd w:id="6"/>
    <w:bookmarkEnd w:id="13"/>
    <w:bookmarkEnd w:id="14"/>
    <w:bookmarkEnd w:id="15"/>
    <w:bookmarkEnd w:id="16"/>
    <w:bookmarkEnd w:id="17"/>
    <w:bookmarkEnd w:id="18"/>
    <w:bookmarkEnd w:id="19"/>
    <w:bookmarkEnd w:id="20"/>
    <w:bookmarkEnd w:id="21"/>
    <w:p w14:paraId="5697329B">
      <w:pPr>
        <w:keepNext/>
        <w:keepLines/>
        <w:spacing w:line="400" w:lineRule="exact"/>
        <w:outlineLvl w:val="2"/>
        <w:rPr>
          <w:rFonts w:eastAsia="黑体"/>
          <w:b/>
          <w:bCs/>
          <w:color w:val="auto"/>
          <w:szCs w:val="28"/>
          <w:highlight w:val="none"/>
        </w:rPr>
      </w:pPr>
      <w:bookmarkStart w:id="26" w:name="_Toc201074918"/>
      <w:r>
        <w:rPr>
          <w:rFonts w:eastAsia="黑体"/>
          <w:b/>
          <w:bCs/>
          <w:color w:val="auto"/>
          <w:szCs w:val="28"/>
          <w:highlight w:val="none"/>
        </w:rPr>
        <w:t>附件</w:t>
      </w:r>
      <w:r>
        <w:rPr>
          <w:rFonts w:hint="eastAsia" w:eastAsia="黑体"/>
          <w:b/>
          <w:bCs/>
          <w:color w:val="auto"/>
          <w:szCs w:val="28"/>
          <w:highlight w:val="none"/>
        </w:rPr>
        <w:t>3</w:t>
      </w:r>
      <w:r>
        <w:rPr>
          <w:rFonts w:eastAsia="黑体"/>
          <w:b/>
          <w:bCs/>
          <w:color w:val="auto"/>
          <w:szCs w:val="28"/>
          <w:highlight w:val="none"/>
        </w:rPr>
        <w:t>：评标办法</w:t>
      </w:r>
      <w:bookmarkEnd w:id="26"/>
    </w:p>
    <w:p w14:paraId="017D5874">
      <w:pPr>
        <w:spacing w:line="360" w:lineRule="auto"/>
        <w:jc w:val="center"/>
        <w:rPr>
          <w:rFonts w:hint="eastAsia" w:ascii="宋体" w:hAnsi="宋体"/>
          <w:b/>
          <w:color w:val="auto"/>
          <w:kern w:val="2"/>
          <w:szCs w:val="28"/>
          <w:highlight w:val="none"/>
        </w:rPr>
      </w:pPr>
      <w:bookmarkStart w:id="27" w:name="_Hlk88057076"/>
      <w:bookmarkStart w:id="28" w:name="OLE_LINK4"/>
      <w:r>
        <w:rPr>
          <w:rFonts w:hint="eastAsia" w:ascii="宋体" w:hAnsi="宋体"/>
          <w:b/>
          <w:color w:val="auto"/>
          <w:kern w:val="2"/>
          <w:szCs w:val="28"/>
          <w:highlight w:val="none"/>
        </w:rPr>
        <w:t>评标办法（技术评分合理低价法）</w:t>
      </w:r>
    </w:p>
    <w:p w14:paraId="40B6FC15">
      <w:pPr>
        <w:snapToGrid w:val="0"/>
        <w:rPr>
          <w:rFonts w:hint="eastAsia" w:ascii="宋体" w:hAnsi="宋体"/>
          <w:b/>
          <w:color w:val="auto"/>
          <w:kern w:val="2"/>
          <w:sz w:val="24"/>
          <w:szCs w:val="24"/>
          <w:highlight w:val="none"/>
        </w:rPr>
      </w:pPr>
      <w:r>
        <w:rPr>
          <w:rFonts w:ascii="宋体" w:hAnsi="宋体"/>
          <w:b/>
          <w:color w:val="auto"/>
          <w:kern w:val="2"/>
          <w:sz w:val="24"/>
          <w:szCs w:val="24"/>
          <w:highlight w:val="none"/>
        </w:rPr>
        <w:t>评标办法前附表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359"/>
        <w:gridCol w:w="6326"/>
      </w:tblGrid>
      <w:tr w14:paraId="5F5A5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blHeader/>
          <w:jc w:val="center"/>
        </w:trPr>
        <w:tc>
          <w:tcPr>
            <w:tcW w:w="725" w:type="dxa"/>
            <w:tcMar>
              <w:top w:w="113" w:type="dxa"/>
              <w:left w:w="51" w:type="dxa"/>
              <w:bottom w:w="113" w:type="dxa"/>
              <w:right w:w="51" w:type="dxa"/>
            </w:tcMar>
            <w:vAlign w:val="center"/>
          </w:tcPr>
          <w:p w14:paraId="46F19655">
            <w:pPr>
              <w:adjustRightInd w:val="0"/>
              <w:snapToGrid w:val="0"/>
              <w:ind w:left="-140" w:leftChars="-50" w:right="-140" w:rightChars="-50"/>
              <w:jc w:val="center"/>
              <w:rPr>
                <w:rFonts w:hint="eastAsia" w:ascii="宋体" w:hAnsi="宋体" w:cs="宋体"/>
                <w:b/>
                <w:color w:val="auto"/>
                <w:sz w:val="21"/>
                <w:szCs w:val="21"/>
                <w:highlight w:val="none"/>
              </w:rPr>
            </w:pPr>
            <w:r>
              <w:rPr>
                <w:rFonts w:hint="eastAsia" w:ascii="宋体" w:hAnsi="宋体" w:cs="宋体"/>
                <w:b/>
                <w:color w:val="auto"/>
                <w:sz w:val="21"/>
                <w:szCs w:val="21"/>
                <w:highlight w:val="none"/>
              </w:rPr>
              <w:t>条款号</w:t>
            </w:r>
          </w:p>
        </w:tc>
        <w:tc>
          <w:tcPr>
            <w:tcW w:w="1373" w:type="dxa"/>
            <w:tcMar>
              <w:top w:w="113" w:type="dxa"/>
              <w:left w:w="51" w:type="dxa"/>
              <w:bottom w:w="113" w:type="dxa"/>
              <w:right w:w="51" w:type="dxa"/>
            </w:tcMar>
            <w:vAlign w:val="center"/>
          </w:tcPr>
          <w:p w14:paraId="3D2124FA">
            <w:pPr>
              <w:adjustRightInd w:val="0"/>
              <w:snapToGrid w:val="0"/>
              <w:ind w:left="-140" w:leftChars="-50" w:right="-140" w:rightChars="-50"/>
              <w:jc w:val="center"/>
              <w:rPr>
                <w:rFonts w:hint="eastAsia" w:ascii="宋体" w:hAnsi="宋体" w:cs="宋体"/>
                <w:b/>
                <w:color w:val="auto"/>
                <w:sz w:val="21"/>
                <w:szCs w:val="21"/>
                <w:highlight w:val="none"/>
              </w:rPr>
            </w:pPr>
            <w:r>
              <w:rPr>
                <w:rFonts w:hint="eastAsia" w:ascii="宋体" w:hAnsi="宋体" w:cs="宋体"/>
                <w:b/>
                <w:color w:val="auto"/>
                <w:sz w:val="21"/>
                <w:szCs w:val="21"/>
                <w:highlight w:val="none"/>
              </w:rPr>
              <w:t>条款</w:t>
            </w:r>
          </w:p>
          <w:p w14:paraId="3B946C74">
            <w:pPr>
              <w:adjustRightInd w:val="0"/>
              <w:snapToGrid w:val="0"/>
              <w:ind w:left="-140" w:leftChars="-50" w:right="-140" w:rightChars="-50"/>
              <w:jc w:val="center"/>
              <w:rPr>
                <w:rFonts w:hint="eastAsia" w:ascii="宋体" w:hAnsi="宋体" w:cs="宋体"/>
                <w:b/>
                <w:color w:val="auto"/>
                <w:sz w:val="21"/>
                <w:szCs w:val="21"/>
                <w:highlight w:val="none"/>
              </w:rPr>
            </w:pPr>
            <w:r>
              <w:rPr>
                <w:rFonts w:hint="eastAsia" w:ascii="宋体" w:hAnsi="宋体" w:cs="宋体"/>
                <w:b/>
                <w:color w:val="auto"/>
                <w:sz w:val="21"/>
                <w:szCs w:val="21"/>
                <w:highlight w:val="none"/>
              </w:rPr>
              <w:t>名称</w:t>
            </w:r>
          </w:p>
        </w:tc>
        <w:tc>
          <w:tcPr>
            <w:tcW w:w="6411" w:type="dxa"/>
            <w:tcMar>
              <w:top w:w="113" w:type="dxa"/>
              <w:left w:w="51" w:type="dxa"/>
              <w:bottom w:w="113" w:type="dxa"/>
              <w:right w:w="51" w:type="dxa"/>
            </w:tcMar>
            <w:vAlign w:val="center"/>
          </w:tcPr>
          <w:p w14:paraId="48116B9E">
            <w:pPr>
              <w:adjustRightInd w:val="0"/>
              <w:snapToGrid w:val="0"/>
              <w:ind w:left="-140" w:leftChars="-50" w:right="-140" w:rightChars="-50"/>
              <w:jc w:val="center"/>
              <w:rPr>
                <w:rFonts w:hint="eastAsia" w:ascii="宋体" w:hAnsi="宋体" w:cs="宋体"/>
                <w:b/>
                <w:color w:val="auto"/>
                <w:sz w:val="21"/>
                <w:szCs w:val="21"/>
                <w:highlight w:val="none"/>
              </w:rPr>
            </w:pPr>
            <w:r>
              <w:rPr>
                <w:rFonts w:hint="eastAsia" w:ascii="宋体" w:hAnsi="宋体" w:cs="宋体"/>
                <w:b/>
                <w:color w:val="auto"/>
                <w:sz w:val="21"/>
                <w:szCs w:val="21"/>
                <w:highlight w:val="none"/>
              </w:rPr>
              <w:t>评审因素与评审标准</w:t>
            </w:r>
          </w:p>
        </w:tc>
      </w:tr>
      <w:tr w14:paraId="3E8D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5" w:type="dxa"/>
            <w:tcMar>
              <w:top w:w="113" w:type="dxa"/>
              <w:left w:w="51" w:type="dxa"/>
              <w:bottom w:w="113" w:type="dxa"/>
              <w:right w:w="51" w:type="dxa"/>
            </w:tcMar>
            <w:vAlign w:val="center"/>
          </w:tcPr>
          <w:p w14:paraId="2902CFFE">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1373" w:type="dxa"/>
            <w:tcMar>
              <w:top w:w="113" w:type="dxa"/>
              <w:left w:w="51" w:type="dxa"/>
              <w:bottom w:w="113" w:type="dxa"/>
              <w:right w:w="51" w:type="dxa"/>
            </w:tcMar>
            <w:vAlign w:val="center"/>
          </w:tcPr>
          <w:p w14:paraId="6BF1FA0B">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评标办法</w:t>
            </w:r>
          </w:p>
        </w:tc>
        <w:tc>
          <w:tcPr>
            <w:tcW w:w="6411" w:type="dxa"/>
            <w:tcMar>
              <w:top w:w="113" w:type="dxa"/>
              <w:left w:w="51" w:type="dxa"/>
              <w:bottom w:w="113" w:type="dxa"/>
              <w:right w:w="51" w:type="dxa"/>
            </w:tcMar>
            <w:vAlign w:val="center"/>
          </w:tcPr>
          <w:p w14:paraId="0338C7C4">
            <w:pPr>
              <w:snapToGrid w:val="0"/>
              <w:spacing w:line="32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本次评标采用技术评分合理低价法，双信封形式。</w:t>
            </w:r>
          </w:p>
          <w:p w14:paraId="34545A29">
            <w:pPr>
              <w:snapToGrid w:val="0"/>
              <w:spacing w:line="320" w:lineRule="exact"/>
              <w:ind w:firstLine="315" w:firstLineChars="15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 </w:t>
            </w:r>
            <w:r>
              <w:rPr>
                <w:rFonts w:ascii="宋体" w:hAnsi="宋体" w:cs="宋体"/>
                <w:color w:val="auto"/>
                <w:sz w:val="21"/>
                <w:szCs w:val="21"/>
                <w:highlight w:val="none"/>
              </w:rPr>
              <w:t>评标委员</w:t>
            </w:r>
            <w:r>
              <w:rPr>
                <w:rFonts w:hint="eastAsia" w:ascii="宋体" w:hAnsi="宋体" w:cs="宋体"/>
                <w:color w:val="auto"/>
                <w:sz w:val="21"/>
                <w:szCs w:val="21"/>
                <w:highlight w:val="none"/>
              </w:rPr>
              <w:t>会</w:t>
            </w:r>
            <w:r>
              <w:rPr>
                <w:rFonts w:ascii="宋体" w:hAnsi="宋体" w:cs="宋体"/>
                <w:color w:val="auto"/>
                <w:sz w:val="21"/>
                <w:szCs w:val="21"/>
                <w:highlight w:val="none"/>
              </w:rPr>
              <w:t>对满足招标文件实质性要求的投标文件的施工组织设计、</w:t>
            </w:r>
            <w:bookmarkStart w:id="29" w:name="OLE_LINK18"/>
            <w:r>
              <w:rPr>
                <w:rFonts w:ascii="宋体" w:hAnsi="宋体" w:cs="宋体"/>
                <w:color w:val="auto"/>
                <w:sz w:val="21"/>
                <w:szCs w:val="21"/>
                <w:highlight w:val="none"/>
              </w:rPr>
              <w:t>主要人员、企业业绩</w:t>
            </w:r>
            <w:bookmarkEnd w:id="29"/>
            <w:r>
              <w:rPr>
                <w:rFonts w:hint="eastAsia" w:ascii="宋体" w:hAnsi="宋体" w:cs="宋体"/>
                <w:color w:val="auto"/>
                <w:sz w:val="21"/>
                <w:szCs w:val="21"/>
                <w:highlight w:val="none"/>
              </w:rPr>
              <w:t>（即第一信封）等因素</w:t>
            </w:r>
            <w:r>
              <w:rPr>
                <w:rFonts w:ascii="宋体" w:hAnsi="宋体" w:cs="宋体"/>
                <w:color w:val="auto"/>
                <w:sz w:val="21"/>
                <w:szCs w:val="21"/>
                <w:highlight w:val="none"/>
              </w:rPr>
              <w:t>进行评分，按照得分由高到低排序，</w:t>
            </w:r>
            <w:r>
              <w:rPr>
                <w:rFonts w:hint="eastAsia" w:ascii="宋体" w:hAnsi="宋体" w:cs="宋体"/>
                <w:color w:val="auto"/>
                <w:sz w:val="21"/>
                <w:szCs w:val="21"/>
                <w:highlight w:val="none"/>
              </w:rPr>
              <w:t>确定前</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名</w:t>
            </w:r>
            <w:r>
              <w:rPr>
                <w:rFonts w:ascii="宋体" w:hAnsi="宋体" w:cs="宋体"/>
                <w:color w:val="auto"/>
                <w:sz w:val="21"/>
                <w:szCs w:val="21"/>
                <w:highlight w:val="none"/>
              </w:rPr>
              <w:t>的投标人</w:t>
            </w:r>
            <w:r>
              <w:rPr>
                <w:rFonts w:hint="eastAsia" w:ascii="宋体" w:hAnsi="宋体" w:cs="宋体"/>
                <w:color w:val="auto"/>
                <w:sz w:val="21"/>
                <w:szCs w:val="21"/>
                <w:highlight w:val="none"/>
              </w:rPr>
              <w:t>进入</w:t>
            </w:r>
            <w:r>
              <w:rPr>
                <w:rFonts w:ascii="宋体" w:hAnsi="宋体" w:cs="宋体"/>
                <w:color w:val="auto"/>
                <w:sz w:val="21"/>
                <w:szCs w:val="21"/>
                <w:highlight w:val="none"/>
              </w:rPr>
              <w:t>报价文件</w:t>
            </w:r>
            <w:r>
              <w:rPr>
                <w:rFonts w:hint="eastAsia" w:ascii="宋体" w:hAnsi="宋体" w:cs="宋体"/>
                <w:color w:val="auto"/>
                <w:sz w:val="21"/>
                <w:szCs w:val="21"/>
                <w:highlight w:val="none"/>
              </w:rPr>
              <w:t>（即第二信封）</w:t>
            </w:r>
            <w:r>
              <w:rPr>
                <w:rFonts w:ascii="宋体" w:hAnsi="宋体" w:cs="宋体"/>
                <w:color w:val="auto"/>
                <w:sz w:val="21"/>
                <w:szCs w:val="21"/>
                <w:highlight w:val="none"/>
              </w:rPr>
              <w:t>评审</w:t>
            </w:r>
            <w:r>
              <w:rPr>
                <w:rFonts w:hint="eastAsia" w:ascii="宋体" w:hAnsi="宋体" w:cs="宋体"/>
                <w:color w:val="auto"/>
                <w:sz w:val="21"/>
                <w:szCs w:val="21"/>
                <w:highlight w:val="none"/>
              </w:rPr>
              <w:t>。</w:t>
            </w:r>
          </w:p>
          <w:p w14:paraId="231393F7">
            <w:pPr>
              <w:snapToGrid w:val="0"/>
              <w:spacing w:line="320" w:lineRule="exact"/>
              <w:ind w:firstLine="420" w:firstLineChars="200"/>
              <w:jc w:val="left"/>
              <w:rPr>
                <w:rFonts w:hint="eastAsia" w:ascii="宋体" w:hAnsi="宋体" w:cs="宋体"/>
                <w:color w:val="auto"/>
                <w:sz w:val="21"/>
                <w:szCs w:val="21"/>
                <w:highlight w:val="none"/>
              </w:rPr>
            </w:pPr>
            <w:r>
              <w:rPr>
                <w:rFonts w:ascii="宋体" w:hAnsi="宋体" w:cs="宋体"/>
                <w:color w:val="auto"/>
                <w:sz w:val="21"/>
                <w:szCs w:val="21"/>
                <w:highlight w:val="none"/>
              </w:rPr>
              <w:t>第一信封得分相等时，</w:t>
            </w:r>
            <w:r>
              <w:rPr>
                <w:rFonts w:hint="eastAsia" w:ascii="宋体" w:hAnsi="宋体" w:cs="宋体"/>
                <w:color w:val="auto"/>
                <w:sz w:val="21"/>
                <w:szCs w:val="21"/>
                <w:highlight w:val="none"/>
              </w:rPr>
              <w:t>施工组织设计得分高的优先；施工组织设计得分也相等的，以</w:t>
            </w:r>
            <w:r>
              <w:rPr>
                <w:rFonts w:ascii="宋体" w:hAnsi="宋体" w:cs="宋体"/>
                <w:color w:val="auto"/>
                <w:sz w:val="21"/>
                <w:szCs w:val="21"/>
                <w:highlight w:val="none"/>
              </w:rPr>
              <w:t>满足资格审查条件（业绩最低要求）的业绩</w:t>
            </w:r>
            <w:r>
              <w:rPr>
                <w:rFonts w:hint="eastAsia" w:ascii="宋体" w:hAnsi="宋体" w:cs="宋体"/>
                <w:color w:val="auto"/>
                <w:sz w:val="21"/>
                <w:szCs w:val="21"/>
                <w:highlight w:val="none"/>
              </w:rPr>
              <w:t>单项合同额高</w:t>
            </w:r>
            <w:r>
              <w:rPr>
                <w:rFonts w:ascii="宋体" w:hAnsi="宋体" w:cs="宋体"/>
                <w:color w:val="auto"/>
                <w:sz w:val="21"/>
                <w:szCs w:val="21"/>
                <w:highlight w:val="none"/>
              </w:rPr>
              <w:t>的优先，</w:t>
            </w:r>
            <w:r>
              <w:rPr>
                <w:rFonts w:hint="eastAsia" w:ascii="宋体" w:hAnsi="宋体" w:cs="宋体"/>
                <w:color w:val="auto"/>
                <w:sz w:val="21"/>
                <w:szCs w:val="21"/>
                <w:highlight w:val="none"/>
              </w:rPr>
              <w:t>单项合同额</w:t>
            </w:r>
            <w:r>
              <w:rPr>
                <w:rFonts w:ascii="宋体" w:hAnsi="宋体" w:cs="宋体"/>
                <w:color w:val="auto"/>
                <w:sz w:val="21"/>
                <w:szCs w:val="21"/>
                <w:highlight w:val="none"/>
              </w:rPr>
              <w:t>也相等时，以累计合同金额多的优先</w:t>
            </w:r>
            <w:r>
              <w:rPr>
                <w:rFonts w:hint="eastAsia" w:ascii="宋体" w:hAnsi="宋体" w:cs="宋体"/>
                <w:color w:val="auto"/>
                <w:sz w:val="21"/>
                <w:szCs w:val="21"/>
                <w:highlight w:val="none"/>
              </w:rPr>
              <w:t>。</w:t>
            </w:r>
          </w:p>
          <w:p w14:paraId="412036A2">
            <w:pPr>
              <w:snapToGrid w:val="0"/>
              <w:spacing w:line="32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未通过第一信封评审或第一信封综合得分未进入前</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名的投标人，其第二信封在整个评标期间不再开封，不随任何因素发生变化。</w:t>
            </w:r>
          </w:p>
          <w:p w14:paraId="0BDCBEC5">
            <w:pPr>
              <w:snapToGrid w:val="0"/>
              <w:spacing w:line="32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若通过第一信封初步评审的投标人不足</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家时，则第一信封不再进行打分，通过第一信封的所有投标人直接进入报价文件（即第二信封）评审</w:t>
            </w:r>
            <w:r>
              <w:rPr>
                <w:rFonts w:ascii="宋体" w:hAnsi="宋体" w:cs="宋体"/>
                <w:color w:val="auto"/>
                <w:sz w:val="21"/>
                <w:szCs w:val="21"/>
                <w:highlight w:val="none"/>
              </w:rPr>
              <w:t>。</w:t>
            </w:r>
          </w:p>
          <w:p w14:paraId="2E8F3DD8">
            <w:pPr>
              <w:snapToGrid w:val="0"/>
              <w:spacing w:line="32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评标委员会对通过第二信封初步评审的投标人，按其评标价得分由高到低的顺序，向招标人推荐1-3名中标候选</w:t>
            </w:r>
            <w:r>
              <w:rPr>
                <w:rFonts w:hint="eastAsia"/>
                <w:color w:val="auto"/>
                <w:sz w:val="21"/>
                <w:szCs w:val="24"/>
                <w:highlight w:val="none"/>
              </w:rPr>
              <w:t>人。</w:t>
            </w:r>
            <w:r>
              <w:rPr>
                <w:rFonts w:ascii="宋体" w:hAnsi="宋体" w:cs="宋体"/>
                <w:color w:val="auto"/>
                <w:sz w:val="21"/>
                <w:szCs w:val="21"/>
                <w:highlight w:val="none"/>
              </w:rPr>
              <w:t>评标价</w:t>
            </w:r>
            <w:r>
              <w:rPr>
                <w:rFonts w:hint="eastAsia" w:ascii="宋体" w:hAnsi="宋体" w:cs="宋体"/>
                <w:color w:val="auto"/>
                <w:sz w:val="21"/>
                <w:szCs w:val="21"/>
                <w:highlight w:val="none"/>
              </w:rPr>
              <w:t>得分</w:t>
            </w:r>
            <w:r>
              <w:rPr>
                <w:rFonts w:ascii="宋体" w:hAnsi="宋体" w:cs="宋体"/>
                <w:color w:val="auto"/>
                <w:sz w:val="21"/>
                <w:szCs w:val="21"/>
                <w:highlight w:val="none"/>
              </w:rPr>
              <w:t>相等时，评标委员会按照以下优先顺序推荐中标候选人：</w:t>
            </w:r>
          </w:p>
          <w:p w14:paraId="48445CBD">
            <w:pPr>
              <w:snapToGrid w:val="0"/>
              <w:spacing w:line="320" w:lineRule="exact"/>
              <w:ind w:firstLine="315" w:firstLineChars="150"/>
              <w:jc w:val="left"/>
              <w:rPr>
                <w:rFonts w:hint="eastAsia" w:ascii="宋体" w:hAnsi="宋体" w:cs="宋体"/>
                <w:color w:val="auto"/>
                <w:sz w:val="21"/>
                <w:szCs w:val="21"/>
                <w:highlight w:val="none"/>
              </w:rPr>
            </w:pPr>
            <w:r>
              <w:rPr>
                <w:rFonts w:ascii="宋体" w:hAnsi="宋体" w:cs="宋体"/>
                <w:color w:val="auto"/>
                <w:sz w:val="21"/>
                <w:szCs w:val="21"/>
                <w:highlight w:val="none"/>
              </w:rPr>
              <w:t>（1）</w:t>
            </w:r>
            <w:r>
              <w:rPr>
                <w:rFonts w:hint="eastAsia" w:ascii="宋体" w:hAnsi="宋体" w:cs="宋体"/>
                <w:color w:val="auto"/>
                <w:sz w:val="21"/>
                <w:szCs w:val="21"/>
                <w:highlight w:val="none"/>
              </w:rPr>
              <w:t>评标价</w:t>
            </w:r>
            <w:r>
              <w:rPr>
                <w:rFonts w:ascii="宋体" w:hAnsi="宋体" w:cs="宋体"/>
                <w:color w:val="auto"/>
                <w:sz w:val="21"/>
                <w:szCs w:val="21"/>
                <w:highlight w:val="none"/>
              </w:rPr>
              <w:t>低的优先</w:t>
            </w:r>
          </w:p>
          <w:p w14:paraId="2C28C426">
            <w:pPr>
              <w:snapToGrid w:val="0"/>
              <w:spacing w:line="320" w:lineRule="exact"/>
              <w:ind w:firstLine="315" w:firstLineChars="150"/>
              <w:jc w:val="left"/>
              <w:rPr>
                <w:rFonts w:hint="eastAsia" w:ascii="宋体" w:hAnsi="宋体" w:cs="宋体"/>
                <w:color w:val="auto"/>
                <w:sz w:val="21"/>
                <w:szCs w:val="21"/>
                <w:highlight w:val="none"/>
                <w:lang w:val="en-US" w:eastAsia="zh-CN"/>
              </w:rPr>
            </w:pPr>
            <w:r>
              <w:rPr>
                <w:rFonts w:ascii="宋体" w:hAnsi="宋体" w:cs="宋体"/>
                <w:color w:val="auto"/>
                <w:sz w:val="21"/>
                <w:szCs w:val="21"/>
                <w:highlight w:val="none"/>
              </w:rPr>
              <w:t>（2）</w:t>
            </w:r>
            <w:r>
              <w:rPr>
                <w:rFonts w:hint="eastAsia" w:ascii="宋体" w:hAnsi="宋体" w:cs="宋体"/>
                <w:color w:val="auto"/>
                <w:sz w:val="21"/>
                <w:szCs w:val="21"/>
                <w:highlight w:val="none"/>
              </w:rPr>
              <w:t>施工组织设计得分高的优先</w:t>
            </w:r>
          </w:p>
          <w:p w14:paraId="66CD6BF9">
            <w:pPr>
              <w:snapToGrid w:val="0"/>
              <w:spacing w:line="320" w:lineRule="exact"/>
              <w:ind w:firstLine="315" w:firstLineChars="150"/>
              <w:jc w:val="left"/>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eastAsia="zh-CN"/>
              </w:rPr>
              <w:t>）</w:t>
            </w:r>
            <w:r>
              <w:rPr>
                <w:rFonts w:ascii="宋体" w:hAnsi="宋体" w:cs="宋体"/>
                <w:color w:val="auto"/>
                <w:sz w:val="21"/>
                <w:szCs w:val="21"/>
                <w:highlight w:val="none"/>
              </w:rPr>
              <w:t>满足资格审查条件（业绩最低要求）的业绩</w:t>
            </w:r>
            <w:r>
              <w:rPr>
                <w:rFonts w:hint="eastAsia" w:ascii="宋体" w:hAnsi="宋体" w:cs="宋体"/>
                <w:color w:val="auto"/>
                <w:sz w:val="21"/>
                <w:szCs w:val="21"/>
                <w:highlight w:val="none"/>
              </w:rPr>
              <w:t>单项合同额高</w:t>
            </w:r>
            <w:r>
              <w:rPr>
                <w:rFonts w:ascii="宋体" w:hAnsi="宋体" w:cs="宋体"/>
                <w:color w:val="auto"/>
                <w:sz w:val="21"/>
                <w:szCs w:val="21"/>
                <w:highlight w:val="none"/>
              </w:rPr>
              <w:t>的优先</w:t>
            </w:r>
          </w:p>
        </w:tc>
      </w:tr>
      <w:tr w14:paraId="79D24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25" w:type="dxa"/>
            <w:tcMar>
              <w:top w:w="113" w:type="dxa"/>
              <w:left w:w="51" w:type="dxa"/>
              <w:bottom w:w="113" w:type="dxa"/>
              <w:right w:w="51" w:type="dxa"/>
            </w:tcMar>
            <w:vAlign w:val="center"/>
          </w:tcPr>
          <w:p w14:paraId="480D1A5C">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2.1.1</w:t>
            </w:r>
          </w:p>
          <w:p w14:paraId="39B9102B">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2.1.3</w:t>
            </w:r>
          </w:p>
        </w:tc>
        <w:tc>
          <w:tcPr>
            <w:tcW w:w="1373" w:type="dxa"/>
            <w:tcMar>
              <w:top w:w="113" w:type="dxa"/>
              <w:left w:w="51" w:type="dxa"/>
              <w:bottom w:w="113" w:type="dxa"/>
              <w:right w:w="51" w:type="dxa"/>
            </w:tcMar>
            <w:vAlign w:val="center"/>
          </w:tcPr>
          <w:p w14:paraId="0BAE05CF">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形式评审与响应性评审标准</w:t>
            </w:r>
          </w:p>
        </w:tc>
        <w:tc>
          <w:tcPr>
            <w:tcW w:w="6411" w:type="dxa"/>
            <w:tcMar>
              <w:top w:w="113" w:type="dxa"/>
              <w:left w:w="51" w:type="dxa"/>
              <w:bottom w:w="113" w:type="dxa"/>
              <w:right w:w="51" w:type="dxa"/>
            </w:tcMar>
          </w:tcPr>
          <w:p w14:paraId="2E2194EA">
            <w:pPr>
              <w:tabs>
                <w:tab w:val="left" w:pos="3060"/>
              </w:tabs>
              <w:adjustRightInd w:val="0"/>
              <w:snapToGrid w:val="0"/>
              <w:rPr>
                <w:rFonts w:hint="eastAsia" w:ascii="宋体" w:hAnsi="宋体" w:cs="宋体"/>
                <w:b/>
                <w:color w:val="auto"/>
                <w:sz w:val="21"/>
                <w:szCs w:val="21"/>
                <w:highlight w:val="none"/>
              </w:rPr>
            </w:pPr>
            <w:r>
              <w:rPr>
                <w:rFonts w:hint="eastAsia" w:ascii="宋体" w:hAnsi="宋体" w:cs="宋体"/>
                <w:b/>
                <w:color w:val="auto"/>
                <w:sz w:val="21"/>
                <w:szCs w:val="21"/>
                <w:highlight w:val="none"/>
              </w:rPr>
              <w:t>第一个信封（商务文件）评审标准:</w:t>
            </w:r>
          </w:p>
          <w:p w14:paraId="595AB01F">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（1）投标文件按照招标文件规定的格式、内容填写，字迹清晰可辨：</w:t>
            </w:r>
          </w:p>
          <w:p w14:paraId="6A4AB2CB">
            <w:pPr>
              <w:spacing w:line="288" w:lineRule="auto"/>
              <w:ind w:firstLine="386" w:firstLineChars="184"/>
              <w:jc w:val="left"/>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rPr>
              <w:t>a.投标函按招标文件规定填报了</w:t>
            </w:r>
            <w:r>
              <w:rPr>
                <w:rFonts w:hint="eastAsia" w:ascii="宋体" w:hAnsi="宋体" w:cs="宋体"/>
                <w:color w:val="auto"/>
                <w:sz w:val="21"/>
                <w:szCs w:val="21"/>
                <w:highlight w:val="none"/>
                <w:lang w:eastAsia="zh-CN"/>
              </w:rPr>
              <w:t>招标人名称、</w:t>
            </w:r>
            <w:r>
              <w:rPr>
                <w:rFonts w:hint="eastAsia" w:ascii="宋体" w:hAnsi="宋体" w:cs="宋体"/>
                <w:color w:val="auto"/>
                <w:sz w:val="21"/>
                <w:szCs w:val="21"/>
                <w:highlight w:val="none"/>
              </w:rPr>
              <w:t>项目名称</w:t>
            </w:r>
            <w:r>
              <w:rPr>
                <w:rFonts w:hint="eastAsia" w:ascii="宋体" w:hAnsi="宋体" w:cs="宋体"/>
                <w:color w:val="auto"/>
                <w:sz w:val="21"/>
                <w:szCs w:val="21"/>
                <w:highlight w:val="none"/>
                <w:lang w:eastAsia="zh-CN"/>
              </w:rPr>
              <w:t>、标段号</w:t>
            </w:r>
            <w:r>
              <w:rPr>
                <w:rFonts w:hint="eastAsia" w:ascii="宋体" w:hAnsi="宋体" w:cs="宋体"/>
                <w:color w:val="auto"/>
                <w:sz w:val="21"/>
                <w:szCs w:val="21"/>
                <w:highlight w:val="none"/>
              </w:rPr>
              <w:t>、补遗书编号（如有）、</w:t>
            </w:r>
            <w:r>
              <w:rPr>
                <w:rFonts w:hint="eastAsia" w:ascii="宋体" w:hAnsi="宋体" w:cs="宋体"/>
                <w:color w:val="auto"/>
                <w:sz w:val="21"/>
                <w:szCs w:val="21"/>
                <w:highlight w:val="none"/>
                <w:lang w:eastAsia="zh-CN"/>
              </w:rPr>
              <w:t>质量要求</w:t>
            </w:r>
            <w:r>
              <w:rPr>
                <w:rFonts w:hint="eastAsia" w:ascii="宋体" w:hAnsi="宋体" w:cs="宋体"/>
                <w:color w:val="auto"/>
                <w:sz w:val="21"/>
                <w:szCs w:val="21"/>
                <w:highlight w:val="none"/>
              </w:rPr>
              <w:t>、安全目标、工期、项目经理、项目总工信息</w:t>
            </w:r>
            <w:r>
              <w:rPr>
                <w:rFonts w:hint="eastAsia" w:ascii="宋体" w:hAnsi="宋体" w:cs="宋体"/>
                <w:color w:val="auto"/>
                <w:sz w:val="21"/>
                <w:szCs w:val="21"/>
                <w:highlight w:val="none"/>
                <w:lang w:eastAsia="zh-CN"/>
              </w:rPr>
              <w:t>；</w:t>
            </w:r>
          </w:p>
          <w:p w14:paraId="74B21264">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b.投标函附录的所有数据均符合招标文件规定；</w:t>
            </w:r>
          </w:p>
          <w:p w14:paraId="6E788148">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c.投标文件组成齐全完整，内容均按规定填写。</w:t>
            </w:r>
          </w:p>
          <w:p w14:paraId="2004AA35">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（2）投标文件上法定代表人或其授权代理人的签字、投标人的单位章盖章齐全，符合招标文件规定。</w:t>
            </w:r>
          </w:p>
          <w:p w14:paraId="6E028140">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（3）投标人按照招标文件的规定提供了投标保证金，并符合投标人须知前附表3.4.1项的相关规定。</w:t>
            </w:r>
          </w:p>
          <w:p w14:paraId="712577D2">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（4）投标人法定代表人授权委托代理人签署投标文件的，须提交授权委托书，授权委托书符合招标文件规定。</w:t>
            </w:r>
          </w:p>
          <w:p w14:paraId="4572B1FE">
            <w:pPr>
              <w:spacing w:line="288" w:lineRule="auto"/>
              <w:ind w:firstLine="386" w:firstLineChars="184"/>
              <w:jc w:val="left"/>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（5）投标人法定代表人亲自签署投标文件的，须提供法定代表人身份证明，法定代表人身份证明符合招标文件规定。</w:t>
            </w:r>
          </w:p>
          <w:p w14:paraId="5C233D1B">
            <w:pPr>
              <w:spacing w:line="288" w:lineRule="auto"/>
              <w:ind w:firstLine="386" w:firstLineChars="184"/>
              <w:jc w:val="left"/>
              <w:rPr>
                <w:rFonts w:hint="eastAsia" w:ascii="宋体" w:hAnsi="宋体" w:cs="宋体"/>
                <w:strike w:val="0"/>
                <w:dstrike w:val="0"/>
                <w:color w:val="auto"/>
                <w:sz w:val="21"/>
                <w:szCs w:val="21"/>
                <w:highlight w:val="none"/>
              </w:rPr>
            </w:pPr>
            <w:r>
              <w:rPr>
                <w:rFonts w:hint="eastAsia" w:ascii="宋体" w:hAnsi="宋体" w:cs="宋体"/>
                <w:strike w:val="0"/>
                <w:dstrike w:val="0"/>
                <w:color w:val="auto"/>
                <w:sz w:val="21"/>
                <w:szCs w:val="21"/>
                <w:highlight w:val="none"/>
              </w:rPr>
              <w:t>（6）投标人未以联合体的形式投标。</w:t>
            </w:r>
          </w:p>
          <w:p w14:paraId="4EEC1ADC">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（7）同一投标人未对本项目提交两个以上不同的投标文件。</w:t>
            </w:r>
          </w:p>
          <w:p w14:paraId="52CF52E5">
            <w:pPr>
              <w:spacing w:line="288" w:lineRule="auto"/>
              <w:ind w:firstLine="386" w:firstLineChars="184"/>
              <w:jc w:val="left"/>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（8）投标文件第一个信封（商务及技术文件）中未出现有关投标报价的内容。</w:t>
            </w:r>
          </w:p>
          <w:p w14:paraId="76AC0763">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（9）投标文件载明的招标项目完成期限，符合招标文件规定。</w:t>
            </w:r>
          </w:p>
          <w:p w14:paraId="40A445E5">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（10）投标文件对招标文件的实质性要求和条件作出响应。</w:t>
            </w:r>
          </w:p>
          <w:p w14:paraId="791A2F70">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（11）权利义务符合招标文件规定：</w:t>
            </w:r>
          </w:p>
          <w:p w14:paraId="7C9AE64D">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a.投标人应接受招标文件规定的风险划分原则，未提出新的风险划分办法；</w:t>
            </w:r>
          </w:p>
          <w:p w14:paraId="5D8219AC">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b.投标人未增加发包人的责任范围，或减少投标人义务；</w:t>
            </w:r>
          </w:p>
          <w:p w14:paraId="631FC582">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c.投标人未提出不同的支付办法；</w:t>
            </w:r>
          </w:p>
          <w:p w14:paraId="54E8E6E4">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d.投标人对合同纠纷、事故处理办法未提出异议；</w:t>
            </w:r>
          </w:p>
          <w:p w14:paraId="05EE8A6E">
            <w:pPr>
              <w:spacing w:line="288" w:lineRule="auto"/>
              <w:ind w:firstLine="386" w:firstLineChars="184"/>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e.投标人在投标活动中无欺诈行为；</w:t>
            </w:r>
          </w:p>
          <w:p w14:paraId="2B414A05">
            <w:pPr>
              <w:snapToGrid w:val="0"/>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f.投标人未对合同条款有重要保留。</w:t>
            </w:r>
          </w:p>
          <w:p w14:paraId="387471BE">
            <w:pPr>
              <w:snapToGrid w:val="0"/>
              <w:spacing w:line="380" w:lineRule="exact"/>
              <w:ind w:firstLine="420" w:firstLineChars="200"/>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12</w:t>
            </w:r>
            <w:r>
              <w:rPr>
                <w:rFonts w:hint="eastAsia" w:ascii="宋体" w:hAnsi="宋体" w:cs="宋体"/>
                <w:color w:val="auto"/>
                <w:sz w:val="21"/>
                <w:szCs w:val="21"/>
                <w:highlight w:val="none"/>
                <w:lang w:eastAsia="zh-CN"/>
              </w:rPr>
              <w:t>）递交的投标文件与所投标段一致。</w:t>
            </w:r>
          </w:p>
          <w:p w14:paraId="02C1742B">
            <w:pPr>
              <w:tabs>
                <w:tab w:val="left" w:pos="3060"/>
              </w:tabs>
              <w:spacing w:line="288" w:lineRule="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第一个信封（技术文件）评审标准:</w:t>
            </w:r>
          </w:p>
          <w:p w14:paraId="52923AA3">
            <w:pPr>
              <w:tabs>
                <w:tab w:val="left" w:pos="3060"/>
              </w:tabs>
              <w:spacing w:line="288"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（1）施工组织设计（暗标）</w:t>
            </w:r>
            <w:r>
              <w:rPr>
                <w:rFonts w:hint="eastAsia" w:ascii="宋体" w:hAnsi="宋体" w:cs="宋体"/>
                <w:color w:val="auto"/>
                <w:sz w:val="21"/>
                <w:szCs w:val="21"/>
                <w:highlight w:val="none"/>
                <w:lang w:val="en-US" w:eastAsia="zh-CN"/>
              </w:rPr>
              <w:t>编制</w:t>
            </w:r>
            <w:r>
              <w:rPr>
                <w:rFonts w:hint="eastAsia" w:ascii="宋体" w:hAnsi="宋体" w:cs="宋体"/>
                <w:color w:val="auto"/>
                <w:sz w:val="21"/>
                <w:szCs w:val="21"/>
                <w:highlight w:val="none"/>
              </w:rPr>
              <w:t>符合招标文件第二章“投标人须知前附表”第</w:t>
            </w:r>
            <w:r>
              <w:rPr>
                <w:rFonts w:hint="eastAsia" w:ascii="宋体" w:hAnsi="宋体" w:cs="宋体"/>
                <w:color w:val="auto"/>
                <w:sz w:val="21"/>
                <w:szCs w:val="21"/>
                <w:highlight w:val="none"/>
                <w:lang w:val="en-US" w:eastAsia="zh-CN"/>
              </w:rPr>
              <w:t>3.7.3（8）</w:t>
            </w:r>
            <w:r>
              <w:rPr>
                <w:rFonts w:hint="eastAsia" w:ascii="宋体" w:hAnsi="宋体" w:cs="宋体"/>
                <w:color w:val="auto"/>
                <w:sz w:val="21"/>
                <w:szCs w:val="21"/>
                <w:highlight w:val="none"/>
              </w:rPr>
              <w:t>款的规定。</w:t>
            </w:r>
          </w:p>
          <w:p w14:paraId="4EE04EB7">
            <w:pPr>
              <w:tabs>
                <w:tab w:val="left" w:pos="3060"/>
              </w:tabs>
              <w:spacing w:line="288" w:lineRule="auto"/>
              <w:rPr>
                <w:rFonts w:hint="eastAsia" w:ascii="宋体" w:hAnsi="宋体" w:cs="宋体"/>
                <w:b/>
                <w:color w:val="auto"/>
                <w:sz w:val="21"/>
                <w:szCs w:val="21"/>
                <w:highlight w:val="none"/>
              </w:rPr>
            </w:pPr>
            <w:r>
              <w:rPr>
                <w:rFonts w:hint="eastAsia" w:ascii="宋体" w:hAnsi="宋体" w:cs="宋体"/>
                <w:b/>
                <w:color w:val="auto"/>
                <w:sz w:val="21"/>
                <w:szCs w:val="21"/>
                <w:highlight w:val="none"/>
              </w:rPr>
              <w:t>第二个信封（报价文件）评审标准：</w:t>
            </w:r>
          </w:p>
          <w:p w14:paraId="0E38A89C">
            <w:pPr>
              <w:spacing w:line="288" w:lineRule="auto"/>
              <w:ind w:firstLine="386" w:firstLineChars="184"/>
              <w:jc w:val="left"/>
              <w:rPr>
                <w:rFonts w:hint="eastAsia" w:ascii="宋体" w:hAnsi="宋体" w:cs="宋体"/>
                <w:bCs/>
                <w:color w:val="auto"/>
                <w:sz w:val="21"/>
                <w:szCs w:val="21"/>
                <w:highlight w:val="none"/>
              </w:rPr>
            </w:pPr>
            <w:r>
              <w:rPr>
                <w:rFonts w:hint="eastAsia" w:ascii="宋体" w:hAnsi="宋体" w:cs="宋体"/>
                <w:color w:val="auto"/>
                <w:sz w:val="21"/>
                <w:szCs w:val="21"/>
                <w:highlight w:val="none"/>
              </w:rPr>
              <w:t>（1）投标文件按照招标文件规定的格式、内容填写，字迹清晰可辨：</w:t>
            </w:r>
          </w:p>
          <w:p w14:paraId="3FD23F9B">
            <w:pPr>
              <w:spacing w:line="288" w:lineRule="auto"/>
              <w:ind w:firstLine="386" w:firstLineChars="184"/>
              <w:jc w:val="left"/>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rPr>
              <w:t>a.投标函按招标文件规定填报了</w:t>
            </w:r>
            <w:r>
              <w:rPr>
                <w:rFonts w:hint="eastAsia" w:ascii="宋体" w:hAnsi="宋体" w:cs="宋体"/>
                <w:bCs/>
                <w:color w:val="auto"/>
                <w:sz w:val="21"/>
                <w:szCs w:val="21"/>
                <w:highlight w:val="none"/>
                <w:lang w:eastAsia="zh-CN"/>
              </w:rPr>
              <w:t>招标人名称、</w:t>
            </w:r>
            <w:r>
              <w:rPr>
                <w:rFonts w:hint="eastAsia" w:ascii="宋体" w:hAnsi="宋体" w:cs="宋体"/>
                <w:bCs/>
                <w:color w:val="auto"/>
                <w:sz w:val="21"/>
                <w:szCs w:val="21"/>
                <w:highlight w:val="none"/>
              </w:rPr>
              <w:t>项目名称、</w:t>
            </w:r>
            <w:r>
              <w:rPr>
                <w:rFonts w:hint="eastAsia" w:ascii="宋体" w:hAnsi="宋体" w:cs="宋体"/>
                <w:bCs/>
                <w:color w:val="auto"/>
                <w:sz w:val="21"/>
                <w:szCs w:val="21"/>
                <w:highlight w:val="none"/>
                <w:lang w:eastAsia="zh-CN"/>
              </w:rPr>
              <w:t>标段号、</w:t>
            </w:r>
            <w:r>
              <w:rPr>
                <w:rFonts w:hint="eastAsia" w:ascii="宋体" w:hAnsi="宋体" w:cs="宋体"/>
                <w:bCs/>
                <w:color w:val="auto"/>
                <w:sz w:val="21"/>
                <w:szCs w:val="21"/>
                <w:highlight w:val="none"/>
              </w:rPr>
              <w:t>补遗书编号（如有）、投标报价（包括大写金额和小写金额）</w:t>
            </w:r>
            <w:r>
              <w:rPr>
                <w:rFonts w:hint="eastAsia" w:ascii="宋体" w:hAnsi="宋体" w:cs="宋体"/>
                <w:bCs/>
                <w:color w:val="auto"/>
                <w:sz w:val="21"/>
                <w:szCs w:val="21"/>
                <w:highlight w:val="none"/>
                <w:lang w:eastAsia="zh-CN"/>
              </w:rPr>
              <w:t>；</w:t>
            </w:r>
          </w:p>
          <w:p w14:paraId="19D64385">
            <w:pPr>
              <w:spacing w:line="288" w:lineRule="auto"/>
              <w:ind w:firstLine="386" w:firstLineChars="184"/>
              <w:jc w:val="left"/>
              <w:rPr>
                <w:rFonts w:hint="default" w:ascii="宋体" w:hAnsi="宋体" w:cs="宋体"/>
                <w:color w:val="auto"/>
                <w:sz w:val="21"/>
                <w:szCs w:val="21"/>
                <w:highlight w:val="none"/>
                <w:lang w:val="en-US" w:eastAsia="zh-CN"/>
              </w:rPr>
            </w:pPr>
            <w:r>
              <w:rPr>
                <w:rFonts w:hint="eastAsia" w:ascii="宋体" w:hAnsi="宋体" w:cs="宋体"/>
                <w:bCs/>
                <w:color w:val="auto"/>
                <w:sz w:val="21"/>
                <w:szCs w:val="21"/>
                <w:highlight w:val="none"/>
              </w:rPr>
              <w:t>b.</w:t>
            </w:r>
            <w:r>
              <w:rPr>
                <w:rFonts w:hint="eastAsia" w:ascii="宋体" w:hAnsi="宋体" w:cs="宋体"/>
                <w:color w:val="auto"/>
                <w:sz w:val="21"/>
                <w:szCs w:val="21"/>
                <w:highlight w:val="none"/>
                <w:lang w:val="en-US" w:eastAsia="zh-CN"/>
              </w:rPr>
              <w:t>已标价</w:t>
            </w:r>
            <w:r>
              <w:rPr>
                <w:rFonts w:hint="eastAsia" w:ascii="宋体" w:hAnsi="宋体" w:cs="宋体"/>
                <w:bCs/>
                <w:color w:val="auto"/>
                <w:sz w:val="21"/>
                <w:szCs w:val="21"/>
                <w:highlight w:val="none"/>
                <w:lang w:val="en-US" w:eastAsia="zh-CN"/>
              </w:rPr>
              <w:t>工程量固化清单文字说明</w:t>
            </w:r>
            <w:r>
              <w:rPr>
                <w:rFonts w:hint="eastAsia" w:ascii="宋体" w:hAnsi="宋体" w:cs="宋体"/>
                <w:bCs/>
                <w:color w:val="auto"/>
                <w:sz w:val="21"/>
                <w:szCs w:val="21"/>
                <w:highlight w:val="none"/>
              </w:rPr>
              <w:t>与招标文件规定一致，未进行实质性修改和删减；</w:t>
            </w:r>
          </w:p>
          <w:p w14:paraId="23E1BA75">
            <w:pPr>
              <w:spacing w:line="288" w:lineRule="auto"/>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c.投标</w:t>
            </w:r>
            <w:r>
              <w:rPr>
                <w:rFonts w:hint="eastAsia" w:ascii="宋体" w:hAnsi="宋体" w:cs="宋体"/>
                <w:color w:val="auto"/>
                <w:sz w:val="21"/>
                <w:szCs w:val="21"/>
                <w:highlight w:val="none"/>
              </w:rPr>
              <w:t>文件</w:t>
            </w:r>
            <w:r>
              <w:rPr>
                <w:rFonts w:hint="eastAsia" w:ascii="宋体" w:hAnsi="宋体" w:cs="宋体"/>
                <w:bCs/>
                <w:color w:val="auto"/>
                <w:sz w:val="21"/>
                <w:szCs w:val="21"/>
                <w:highlight w:val="none"/>
              </w:rPr>
              <w:t>组成齐全完整，内容均按规定填写。</w:t>
            </w:r>
          </w:p>
          <w:p w14:paraId="25BAE429">
            <w:pPr>
              <w:spacing w:line="288" w:lineRule="auto"/>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（2）</w:t>
            </w:r>
            <w:r>
              <w:rPr>
                <w:rFonts w:hint="eastAsia" w:ascii="宋体" w:hAnsi="宋体" w:cs="宋体"/>
                <w:color w:val="auto"/>
                <w:sz w:val="21"/>
                <w:szCs w:val="21"/>
                <w:highlight w:val="none"/>
              </w:rPr>
              <w:t>投标文件上法定代表人或其授权代理人的签字、投标人的单位章盖章齐全，符合招标文件规定</w:t>
            </w:r>
            <w:r>
              <w:rPr>
                <w:rFonts w:hint="eastAsia" w:ascii="宋体" w:hAnsi="宋体" w:cs="宋体"/>
                <w:bCs/>
                <w:color w:val="auto"/>
                <w:sz w:val="21"/>
                <w:szCs w:val="21"/>
                <w:highlight w:val="none"/>
              </w:rPr>
              <w:t>。</w:t>
            </w:r>
          </w:p>
          <w:p w14:paraId="0DCFC194">
            <w:pPr>
              <w:spacing w:line="288" w:lineRule="auto"/>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（3）投标报价未超过招标文件设定的最高投标限价。</w:t>
            </w:r>
          </w:p>
          <w:p w14:paraId="76420595">
            <w:pPr>
              <w:spacing w:line="288" w:lineRule="auto"/>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（4）投标</w:t>
            </w:r>
            <w:r>
              <w:rPr>
                <w:rFonts w:hint="eastAsia" w:ascii="宋体" w:hAnsi="宋体" w:cs="宋体"/>
                <w:color w:val="auto"/>
                <w:sz w:val="21"/>
                <w:szCs w:val="21"/>
                <w:highlight w:val="none"/>
              </w:rPr>
              <w:t>报价</w:t>
            </w:r>
            <w:r>
              <w:rPr>
                <w:rFonts w:hint="eastAsia" w:ascii="宋体" w:hAnsi="宋体" w:cs="宋体"/>
                <w:bCs/>
                <w:color w:val="auto"/>
                <w:sz w:val="21"/>
                <w:szCs w:val="21"/>
                <w:highlight w:val="none"/>
              </w:rPr>
              <w:t>的大写金额能够确定具体数值。</w:t>
            </w:r>
          </w:p>
          <w:p w14:paraId="5DDD1585">
            <w:pPr>
              <w:spacing w:line="288" w:lineRule="auto"/>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（5）同一</w:t>
            </w:r>
            <w:r>
              <w:rPr>
                <w:rFonts w:hint="eastAsia" w:ascii="宋体" w:hAnsi="宋体" w:cs="宋体"/>
                <w:color w:val="auto"/>
                <w:sz w:val="21"/>
                <w:szCs w:val="21"/>
                <w:highlight w:val="none"/>
              </w:rPr>
              <w:t>投标人</w:t>
            </w:r>
            <w:r>
              <w:rPr>
                <w:rFonts w:hint="eastAsia" w:ascii="宋体" w:hAnsi="宋体" w:cs="宋体"/>
                <w:bCs/>
                <w:color w:val="auto"/>
                <w:sz w:val="21"/>
                <w:szCs w:val="21"/>
                <w:highlight w:val="none"/>
              </w:rPr>
              <w:t>未提交两个以上不同的投标报价。</w:t>
            </w:r>
          </w:p>
          <w:p w14:paraId="058F7AD8">
            <w:pPr>
              <w:spacing w:line="288" w:lineRule="auto"/>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（6）投标人未提交调价函。</w:t>
            </w:r>
          </w:p>
          <w:p w14:paraId="1073D000">
            <w:pPr>
              <w:snapToGrid w:val="0"/>
              <w:spacing w:line="380" w:lineRule="exact"/>
              <w:ind w:firstLine="420" w:firstLineChars="200"/>
              <w:rPr>
                <w:rFonts w:hint="eastAsia"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eastAsia="zh-CN"/>
              </w:rPr>
              <w:t>（</w:t>
            </w:r>
            <w:r>
              <w:rPr>
                <w:rFonts w:hint="eastAsia" w:ascii="宋体" w:hAnsi="宋体" w:cs="宋体"/>
                <w:bCs/>
                <w:color w:val="auto"/>
                <w:sz w:val="21"/>
                <w:szCs w:val="21"/>
                <w:highlight w:val="none"/>
                <w:lang w:val="en-US" w:eastAsia="zh-CN"/>
              </w:rPr>
              <w:t>7</w:t>
            </w:r>
            <w:r>
              <w:rPr>
                <w:rFonts w:hint="eastAsia" w:ascii="宋体" w:hAnsi="宋体" w:cs="宋体"/>
                <w:bCs/>
                <w:color w:val="auto"/>
                <w:sz w:val="21"/>
                <w:szCs w:val="21"/>
                <w:highlight w:val="none"/>
                <w:lang w:eastAsia="zh-CN"/>
              </w:rPr>
              <w:t>）</w:t>
            </w:r>
            <w:r>
              <w:rPr>
                <w:rFonts w:hint="eastAsia" w:ascii="宋体" w:hAnsi="宋体" w:cs="宋体"/>
                <w:color w:val="auto"/>
                <w:sz w:val="21"/>
                <w:szCs w:val="21"/>
                <w:highlight w:val="none"/>
                <w:lang w:eastAsia="zh-CN"/>
              </w:rPr>
              <w:t>递交的投标文件与所投标段一致。</w:t>
            </w:r>
          </w:p>
          <w:p w14:paraId="6C6856AE">
            <w:pPr>
              <w:snapToGrid w:val="0"/>
              <w:spacing w:line="38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）投标人填写完毕的工程量清单未对招标人提供的工程量固化清单电子文件中的数据、格式和运算定义进行修改；工程量清单中的投标报价和投标函大写金额报价一致。</w:t>
            </w:r>
          </w:p>
        </w:tc>
      </w:tr>
      <w:tr w14:paraId="7A074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7" w:hRule="atLeast"/>
          <w:jc w:val="center"/>
        </w:trPr>
        <w:tc>
          <w:tcPr>
            <w:tcW w:w="725" w:type="dxa"/>
            <w:tcMar>
              <w:top w:w="113" w:type="dxa"/>
              <w:left w:w="51" w:type="dxa"/>
              <w:bottom w:w="113" w:type="dxa"/>
              <w:right w:w="51" w:type="dxa"/>
            </w:tcMar>
            <w:vAlign w:val="center"/>
          </w:tcPr>
          <w:p w14:paraId="12737950">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2.1.2</w:t>
            </w:r>
          </w:p>
        </w:tc>
        <w:tc>
          <w:tcPr>
            <w:tcW w:w="1373" w:type="dxa"/>
            <w:tcMar>
              <w:top w:w="113" w:type="dxa"/>
              <w:left w:w="51" w:type="dxa"/>
              <w:bottom w:w="113" w:type="dxa"/>
              <w:right w:w="51" w:type="dxa"/>
            </w:tcMar>
            <w:vAlign w:val="center"/>
          </w:tcPr>
          <w:p w14:paraId="7301AB61">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资格评审标准</w:t>
            </w:r>
          </w:p>
        </w:tc>
        <w:tc>
          <w:tcPr>
            <w:tcW w:w="6411" w:type="dxa"/>
            <w:tcMar>
              <w:top w:w="113" w:type="dxa"/>
              <w:left w:w="51" w:type="dxa"/>
              <w:bottom w:w="113" w:type="dxa"/>
              <w:right w:w="51" w:type="dxa"/>
            </w:tcMar>
            <w:vAlign w:val="center"/>
          </w:tcPr>
          <w:p w14:paraId="2218A6B8">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color w:val="auto"/>
                <w:sz w:val="21"/>
                <w:szCs w:val="21"/>
                <w:highlight w:val="none"/>
              </w:rPr>
              <w:t>（1）投标</w:t>
            </w:r>
            <w:r>
              <w:rPr>
                <w:rFonts w:hint="eastAsia" w:ascii="宋体" w:hAnsi="宋体" w:cs="宋体"/>
                <w:bCs/>
                <w:color w:val="auto"/>
                <w:sz w:val="21"/>
                <w:szCs w:val="21"/>
                <w:highlight w:val="none"/>
              </w:rPr>
              <w:t>人具备有效的营业执照、资质证书、安全生产许可证和基本账户开户许可证（或基本存款账户信息）。</w:t>
            </w:r>
          </w:p>
          <w:p w14:paraId="26C0ABB3">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（2）投标人的资质等级符合招标文件规定。</w:t>
            </w:r>
          </w:p>
          <w:p w14:paraId="4887B71C">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（3）投标人的财务状况符合招标文件规定。</w:t>
            </w:r>
          </w:p>
          <w:p w14:paraId="19889925">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（4）投标人的业绩符合招标文件规定。</w:t>
            </w:r>
          </w:p>
          <w:p w14:paraId="2867F077">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（5）投标人的信誉符合招标文件规定。</w:t>
            </w:r>
          </w:p>
          <w:p w14:paraId="3680DEC5">
            <w:pPr>
              <w:spacing w:line="286" w:lineRule="exact"/>
              <w:ind w:right="-84" w:rightChars="-30"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（6）投标人的项目经理、项目总工符合招标文件规定。</w:t>
            </w:r>
          </w:p>
          <w:p w14:paraId="08EF07BB">
            <w:pPr>
              <w:spacing w:line="286" w:lineRule="exact"/>
              <w:ind w:right="-78" w:rightChars="-28" w:firstLine="386" w:firstLineChars="184"/>
              <w:jc w:val="left"/>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rPr>
              <w:t>（7）投标人不存在第二章“投标人须知”第1.4.3项、第</w:t>
            </w:r>
            <w:r>
              <w:rPr>
                <w:rFonts w:hint="eastAsia" w:ascii="宋体" w:hAnsi="宋体" w:cs="宋体"/>
                <w:bCs/>
                <w:strike w:val="0"/>
                <w:dstrike w:val="0"/>
                <w:color w:val="auto"/>
                <w:sz w:val="21"/>
                <w:szCs w:val="21"/>
                <w:highlight w:val="none"/>
                <w:lang w:val="en-US" w:eastAsia="zh-CN"/>
              </w:rPr>
              <w:t>1.4.4</w:t>
            </w:r>
            <w:r>
              <w:rPr>
                <w:rFonts w:hint="eastAsia" w:ascii="宋体" w:hAnsi="宋体" w:cs="宋体"/>
                <w:bCs/>
                <w:color w:val="auto"/>
                <w:sz w:val="21"/>
                <w:szCs w:val="21"/>
                <w:highlight w:val="none"/>
              </w:rPr>
              <w:t>项规定的任何一种情形。</w:t>
            </w:r>
          </w:p>
          <w:p w14:paraId="3B9C6624">
            <w:pPr>
              <w:spacing w:line="286" w:lineRule="exact"/>
              <w:ind w:firstLine="386" w:firstLineChars="184"/>
              <w:jc w:val="left"/>
              <w:rPr>
                <w:rFonts w:hint="eastAsia" w:ascii="宋体" w:hAnsi="宋体" w:cs="宋体"/>
                <w:color w:val="auto"/>
                <w:kern w:val="2"/>
                <w:sz w:val="21"/>
                <w:szCs w:val="21"/>
                <w:highlight w:val="none"/>
              </w:rPr>
            </w:pPr>
            <w:r>
              <w:rPr>
                <w:rFonts w:hint="eastAsia" w:ascii="宋体" w:hAnsi="宋体" w:cs="宋体"/>
                <w:bCs/>
                <w:color w:val="auto"/>
                <w:sz w:val="21"/>
                <w:szCs w:val="21"/>
                <w:highlight w:val="none"/>
              </w:rPr>
              <w:t>（8）投标人符合第二章“投标人须知”第1.4.</w:t>
            </w:r>
            <w:r>
              <w:rPr>
                <w:rFonts w:hint="eastAsia" w:ascii="宋体" w:hAnsi="宋体" w:cs="宋体"/>
                <w:bCs/>
                <w:color w:val="auto"/>
                <w:sz w:val="21"/>
                <w:szCs w:val="21"/>
                <w:highlight w:val="none"/>
                <w:lang w:val="en-US" w:eastAsia="zh-CN"/>
              </w:rPr>
              <w:t>5</w:t>
            </w:r>
            <w:r>
              <w:rPr>
                <w:rFonts w:hint="eastAsia" w:ascii="宋体" w:hAnsi="宋体" w:cs="宋体"/>
                <w:bCs/>
                <w:color w:val="auto"/>
                <w:sz w:val="21"/>
                <w:szCs w:val="21"/>
                <w:highlight w:val="none"/>
              </w:rPr>
              <w:t>项规定。</w:t>
            </w:r>
          </w:p>
        </w:tc>
      </w:tr>
      <w:tr w14:paraId="4C61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3" w:hRule="atLeast"/>
          <w:jc w:val="center"/>
        </w:trPr>
        <w:tc>
          <w:tcPr>
            <w:tcW w:w="725" w:type="dxa"/>
            <w:tcMar>
              <w:top w:w="113" w:type="dxa"/>
              <w:left w:w="51" w:type="dxa"/>
              <w:bottom w:w="113" w:type="dxa"/>
              <w:right w:w="51" w:type="dxa"/>
            </w:tcMar>
            <w:vAlign w:val="center"/>
          </w:tcPr>
          <w:p w14:paraId="051EA50C">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2.2.1</w:t>
            </w:r>
          </w:p>
        </w:tc>
        <w:tc>
          <w:tcPr>
            <w:tcW w:w="1373" w:type="dxa"/>
            <w:tcMar>
              <w:top w:w="113" w:type="dxa"/>
              <w:left w:w="51" w:type="dxa"/>
              <w:bottom w:w="113" w:type="dxa"/>
              <w:right w:w="51" w:type="dxa"/>
            </w:tcMar>
            <w:vAlign w:val="center"/>
          </w:tcPr>
          <w:p w14:paraId="03AE708A">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第一个信封评分分值构成（总分值100分）</w:t>
            </w:r>
          </w:p>
        </w:tc>
        <w:tc>
          <w:tcPr>
            <w:tcW w:w="6411" w:type="dxa"/>
            <w:tcMar>
              <w:top w:w="113" w:type="dxa"/>
              <w:left w:w="51" w:type="dxa"/>
              <w:bottom w:w="113" w:type="dxa"/>
              <w:right w:w="51" w:type="dxa"/>
            </w:tcMar>
            <w:vAlign w:val="center"/>
          </w:tcPr>
          <w:p w14:paraId="7B50AD7E">
            <w:pPr>
              <w:spacing w:line="288" w:lineRule="auto"/>
              <w:ind w:firstLine="420" w:firstLineChars="200"/>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本款修改为：</w:t>
            </w:r>
          </w:p>
          <w:p w14:paraId="562013EE">
            <w:pPr>
              <w:spacing w:line="288"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eastAsia="zh-CN"/>
              </w:rPr>
              <w:t>资信业绩</w:t>
            </w:r>
            <w:r>
              <w:rPr>
                <w:rFonts w:hint="eastAsia" w:ascii="宋体" w:hAnsi="宋体" w:cs="宋体"/>
                <w:color w:val="auto"/>
                <w:sz w:val="21"/>
                <w:szCs w:val="21"/>
                <w:highlight w:val="none"/>
              </w:rPr>
              <w:t>（</w:t>
            </w:r>
            <w:r>
              <w:rPr>
                <w:rFonts w:hint="eastAsia" w:ascii="宋体" w:hAnsi="宋体" w:cs="宋体"/>
                <w:color w:val="auto"/>
                <w:sz w:val="21"/>
                <w:szCs w:val="21"/>
                <w:highlight w:val="none"/>
                <w:lang w:eastAsia="zh-CN"/>
              </w:rPr>
              <w:t>企业</w:t>
            </w:r>
            <w:r>
              <w:rPr>
                <w:rFonts w:hint="eastAsia" w:ascii="宋体" w:hAnsi="宋体" w:cs="宋体"/>
                <w:color w:val="auto"/>
                <w:sz w:val="21"/>
                <w:szCs w:val="21"/>
                <w:highlight w:val="none"/>
              </w:rPr>
              <w:t>业绩）：</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0分</w:t>
            </w:r>
          </w:p>
          <w:p w14:paraId="27A97B56">
            <w:pPr>
              <w:spacing w:line="288"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hint="eastAsia" w:ascii="宋体" w:hAnsi="宋体" w:cs="宋体"/>
                <w:color w:val="auto"/>
                <w:sz w:val="21"/>
                <w:szCs w:val="21"/>
                <w:highlight w:val="none"/>
                <w:lang w:eastAsia="zh-CN"/>
              </w:rPr>
              <w:t>施工组织设计</w:t>
            </w:r>
            <w:r>
              <w:rPr>
                <w:rFonts w:hint="eastAsia" w:ascii="宋体" w:hAnsi="宋体" w:cs="宋体"/>
                <w:color w:val="auto"/>
                <w:sz w:val="21"/>
                <w:szCs w:val="21"/>
                <w:highlight w:val="none"/>
              </w:rPr>
              <w:t>（暗标）：</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0分</w:t>
            </w:r>
          </w:p>
          <w:p w14:paraId="2BED5EF8">
            <w:pPr>
              <w:spacing w:line="288" w:lineRule="auto"/>
              <w:ind w:firstLine="420" w:firstLineChars="200"/>
              <w:jc w:val="left"/>
              <w:rPr>
                <w:rFonts w:hint="eastAsia" w:ascii="宋体" w:hAnsi="宋体" w:cs="宋体"/>
                <w:color w:val="auto"/>
                <w:kern w:val="2"/>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eastAsia="zh-CN"/>
              </w:rPr>
              <w:t>）其他因素（主要人员）：</w:t>
            </w:r>
            <w:r>
              <w:rPr>
                <w:rFonts w:hint="eastAsia" w:ascii="宋体" w:hAnsi="宋体" w:cs="宋体"/>
                <w:color w:val="auto"/>
                <w:sz w:val="21"/>
                <w:szCs w:val="21"/>
                <w:highlight w:val="none"/>
                <w:lang w:val="en-US" w:eastAsia="zh-CN"/>
              </w:rPr>
              <w:t>30分</w:t>
            </w:r>
          </w:p>
        </w:tc>
      </w:tr>
      <w:tr w14:paraId="62A4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725" w:type="dxa"/>
            <w:tcMar>
              <w:top w:w="113" w:type="dxa"/>
              <w:left w:w="51" w:type="dxa"/>
              <w:bottom w:w="113" w:type="dxa"/>
              <w:right w:w="51" w:type="dxa"/>
            </w:tcMar>
            <w:vAlign w:val="center"/>
          </w:tcPr>
          <w:p w14:paraId="4692877F">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2.2.3</w:t>
            </w:r>
          </w:p>
          <w:p w14:paraId="7C24121E">
            <w:pPr>
              <w:adjustRightInd w:val="0"/>
              <w:snapToGrid w:val="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2.2.</w:t>
            </w:r>
            <w:r>
              <w:rPr>
                <w:rFonts w:hint="eastAsia" w:ascii="宋体" w:hAnsi="宋体" w:cs="宋体"/>
                <w:color w:val="auto"/>
                <w:sz w:val="21"/>
                <w:szCs w:val="21"/>
                <w:highlight w:val="none"/>
                <w:lang w:val="en-US" w:eastAsia="zh-CN"/>
              </w:rPr>
              <w:t>4</w:t>
            </w:r>
          </w:p>
        </w:tc>
        <w:tc>
          <w:tcPr>
            <w:tcW w:w="1373" w:type="dxa"/>
            <w:tcMar>
              <w:top w:w="113" w:type="dxa"/>
              <w:left w:w="51" w:type="dxa"/>
              <w:bottom w:w="113" w:type="dxa"/>
              <w:right w:w="51" w:type="dxa"/>
            </w:tcMar>
            <w:vAlign w:val="center"/>
          </w:tcPr>
          <w:p w14:paraId="7E64EC86">
            <w:pPr>
              <w:adjustRightInd w:val="0"/>
              <w:snapToGrid w:val="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第二个信封详细评审标准</w:t>
            </w:r>
          </w:p>
          <w:p w14:paraId="49995AE1">
            <w:pPr>
              <w:adjustRightInd w:val="0"/>
              <w:snapToGrid w:val="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评标基准价计算方法</w:t>
            </w:r>
          </w:p>
        </w:tc>
        <w:tc>
          <w:tcPr>
            <w:tcW w:w="6411" w:type="dxa"/>
            <w:tcMar>
              <w:top w:w="113" w:type="dxa"/>
              <w:left w:w="51" w:type="dxa"/>
              <w:bottom w:w="113" w:type="dxa"/>
              <w:right w:w="51" w:type="dxa"/>
            </w:tcMar>
            <w:vAlign w:val="center"/>
          </w:tcPr>
          <w:p w14:paraId="1A554A2A">
            <w:pPr>
              <w:spacing w:line="286" w:lineRule="exact"/>
              <w:ind w:firstLine="388" w:firstLineChars="184"/>
              <w:jc w:val="left"/>
              <w:rPr>
                <w:rFonts w:hint="eastAsia" w:ascii="宋体" w:hAnsi="宋体" w:cs="宋体"/>
                <w:bCs/>
                <w:color w:val="auto"/>
                <w:sz w:val="21"/>
                <w:szCs w:val="21"/>
                <w:highlight w:val="none"/>
              </w:rPr>
            </w:pPr>
            <w:r>
              <w:rPr>
                <w:rFonts w:hint="eastAsia" w:ascii="宋体" w:hAnsi="宋体" w:cs="宋体"/>
                <w:b/>
                <w:bCs w:val="0"/>
                <w:color w:val="auto"/>
                <w:sz w:val="21"/>
                <w:szCs w:val="21"/>
                <w:highlight w:val="none"/>
              </w:rPr>
              <w:t>1、第二个信封（报价文件）评分分值构成</w:t>
            </w:r>
            <w:r>
              <w:rPr>
                <w:rFonts w:hint="eastAsia" w:ascii="宋体" w:hAnsi="宋体" w:cs="宋体"/>
                <w:bCs/>
                <w:color w:val="auto"/>
                <w:sz w:val="21"/>
                <w:szCs w:val="21"/>
                <w:highlight w:val="none"/>
              </w:rPr>
              <w:t>：评标价：100分。</w:t>
            </w:r>
          </w:p>
          <w:p w14:paraId="35392379">
            <w:pPr>
              <w:spacing w:line="286" w:lineRule="exact"/>
              <w:ind w:firstLine="388" w:firstLineChars="184"/>
              <w:jc w:val="left"/>
              <w:rPr>
                <w:rFonts w:hint="eastAsia" w:ascii="宋体" w:hAnsi="宋体" w:cs="宋体"/>
                <w:b/>
                <w:bCs w:val="0"/>
                <w:color w:val="auto"/>
                <w:sz w:val="21"/>
                <w:szCs w:val="21"/>
                <w:highlight w:val="none"/>
              </w:rPr>
            </w:pPr>
            <w:r>
              <w:rPr>
                <w:rFonts w:hint="eastAsia" w:ascii="宋体" w:hAnsi="宋体" w:cs="宋体"/>
                <w:b/>
                <w:bCs w:val="0"/>
                <w:color w:val="auto"/>
                <w:sz w:val="21"/>
                <w:szCs w:val="21"/>
                <w:highlight w:val="none"/>
              </w:rPr>
              <w:t>2、评标基准价的计算：</w:t>
            </w:r>
          </w:p>
          <w:p w14:paraId="46E924BD">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在第二个信封开标现场，招标人将按照第一信封开标现场抽取的评标基准价的计算方法当场计算并宣布评标基准价。</w:t>
            </w:r>
          </w:p>
          <w:p w14:paraId="13EE28D5">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（1）评标价的确定：评标价＝投标函文字报价</w:t>
            </w:r>
          </w:p>
          <w:p w14:paraId="6A1F1E40">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（2）评标价平均值的计算：</w:t>
            </w:r>
          </w:p>
          <w:p w14:paraId="693F5966">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除按第二章“投标人须知”第5.2.4项规定开标现场被宣布为不进入评标基准价计算的投标报价之外，所有投标人的评标价的算术平均值即为评标价平均值（评标价平均值保留小数点后两位，小数点后第三位四舍五入）。</w:t>
            </w:r>
          </w:p>
          <w:p w14:paraId="7386ACC1">
            <w:pPr>
              <w:spacing w:line="286" w:lineRule="exact"/>
              <w:ind w:left="661" w:leftChars="150" w:hanging="241" w:hangingChars="115"/>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lang w:eastAsia="zh-CN"/>
              </w:rPr>
              <w:t>（</w:t>
            </w:r>
            <w:r>
              <w:rPr>
                <w:rFonts w:hint="eastAsia" w:ascii="宋体" w:hAnsi="宋体" w:cs="宋体"/>
                <w:bCs/>
                <w:color w:val="auto"/>
                <w:sz w:val="21"/>
                <w:szCs w:val="21"/>
                <w:highlight w:val="none"/>
                <w:lang w:val="en-US" w:eastAsia="zh-CN"/>
              </w:rPr>
              <w:t>3</w:t>
            </w:r>
            <w:r>
              <w:rPr>
                <w:rFonts w:hint="eastAsia" w:ascii="宋体" w:hAnsi="宋体" w:cs="宋体"/>
                <w:bCs/>
                <w:color w:val="auto"/>
                <w:sz w:val="21"/>
                <w:szCs w:val="21"/>
                <w:highlight w:val="none"/>
                <w:lang w:eastAsia="zh-CN"/>
              </w:rPr>
              <w:t>）</w:t>
            </w:r>
            <w:r>
              <w:rPr>
                <w:rFonts w:hint="eastAsia" w:ascii="宋体" w:hAnsi="宋体" w:cs="宋体"/>
                <w:bCs/>
                <w:color w:val="auto"/>
                <w:sz w:val="21"/>
                <w:szCs w:val="21"/>
                <w:highlight w:val="none"/>
              </w:rPr>
              <w:t>评标基准价的</w:t>
            </w:r>
            <w:r>
              <w:rPr>
                <w:rFonts w:hint="eastAsia" w:ascii="宋体" w:hAnsi="宋体" w:cs="宋体"/>
                <w:bCs/>
                <w:color w:val="auto"/>
                <w:sz w:val="21"/>
                <w:szCs w:val="21"/>
                <w:highlight w:val="none"/>
                <w:lang w:eastAsia="zh-CN"/>
              </w:rPr>
              <w:t>计算</w:t>
            </w:r>
            <w:r>
              <w:rPr>
                <w:rFonts w:hint="eastAsia" w:ascii="宋体" w:hAnsi="宋体" w:cs="宋体"/>
                <w:bCs/>
                <w:color w:val="auto"/>
                <w:sz w:val="21"/>
                <w:szCs w:val="21"/>
                <w:highlight w:val="none"/>
              </w:rPr>
              <w:t>：</w:t>
            </w:r>
          </w:p>
          <w:p w14:paraId="5C185694">
            <w:pPr>
              <w:spacing w:line="286" w:lineRule="exact"/>
              <w:ind w:firstLine="420" w:firstLineChars="200"/>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本次招标共设置以下三种评标基准价计算方法，在第一信封（商务及技术文件）开标现场随机确定一种评标基准价计算方法，作为本次评标的评标基准价计算方法。</w:t>
            </w:r>
          </w:p>
          <w:p w14:paraId="68EBF03B">
            <w:pPr>
              <w:spacing w:line="286" w:lineRule="exact"/>
              <w:ind w:firstLine="386" w:firstLineChars="184"/>
              <w:jc w:val="left"/>
              <w:rPr>
                <w:rFonts w:hint="eastAsia" w:ascii="宋体" w:hAnsi="宋体" w:cs="宋体"/>
                <w:bCs/>
                <w:color w:val="auto"/>
                <w:sz w:val="21"/>
                <w:szCs w:val="21"/>
                <w:highlight w:val="none"/>
                <w:lang w:val="en-US" w:eastAsia="zh-CN"/>
              </w:rPr>
            </w:pPr>
            <w:r>
              <w:rPr>
                <w:rFonts w:hint="default" w:ascii="Calibri" w:hAnsi="Calibri" w:cs="Calibri"/>
                <w:bCs/>
                <w:color w:val="auto"/>
                <w:sz w:val="21"/>
                <w:szCs w:val="21"/>
                <w:highlight w:val="none"/>
              </w:rPr>
              <w:t>①</w:t>
            </w:r>
            <w:r>
              <w:rPr>
                <w:rFonts w:hint="eastAsia" w:ascii="宋体" w:hAnsi="宋体" w:cs="宋体"/>
                <w:bCs/>
                <w:color w:val="auto"/>
                <w:sz w:val="21"/>
                <w:szCs w:val="21"/>
                <w:highlight w:val="none"/>
              </w:rPr>
              <w:t>方法1：评标价平均值直接作为评标基准价。</w:t>
            </w:r>
          </w:p>
          <w:p w14:paraId="13E872E7">
            <w:pPr>
              <w:spacing w:line="286" w:lineRule="exact"/>
              <w:ind w:firstLine="386" w:firstLineChars="184"/>
              <w:jc w:val="left"/>
              <w:rPr>
                <w:rFonts w:hint="eastAsia" w:ascii="宋体" w:hAnsi="宋体" w:cs="宋体"/>
                <w:bCs/>
                <w:color w:val="auto"/>
                <w:sz w:val="21"/>
                <w:szCs w:val="21"/>
                <w:highlight w:val="none"/>
              </w:rPr>
            </w:pPr>
            <w:r>
              <w:rPr>
                <w:rFonts w:hint="default" w:ascii="Calibri" w:hAnsi="Calibri" w:cs="Calibri"/>
                <w:bCs/>
                <w:color w:val="auto"/>
                <w:sz w:val="21"/>
                <w:szCs w:val="21"/>
                <w:highlight w:val="none"/>
              </w:rPr>
              <w:t>②</w:t>
            </w:r>
            <w:r>
              <w:rPr>
                <w:rFonts w:hint="eastAsia" w:ascii="宋体" w:hAnsi="宋体" w:cs="宋体"/>
                <w:bCs/>
                <w:color w:val="auto"/>
                <w:sz w:val="21"/>
                <w:szCs w:val="21"/>
                <w:highlight w:val="none"/>
              </w:rPr>
              <w:t>方法2：评标基准价P=评标价平均值×评标基准价系数K1。</w:t>
            </w:r>
          </w:p>
          <w:p w14:paraId="54136ECD">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K1为开标现场随机确定的评标基准价系数，取值范围为0.975、0.980、0.985、0.990、0.995。</w:t>
            </w:r>
          </w:p>
          <w:p w14:paraId="453087B2">
            <w:pPr>
              <w:spacing w:line="286" w:lineRule="exact"/>
              <w:ind w:firstLine="386" w:firstLineChars="184"/>
              <w:jc w:val="left"/>
              <w:rPr>
                <w:rFonts w:hint="eastAsia" w:ascii="宋体" w:hAnsi="宋体" w:cs="宋体"/>
                <w:bCs/>
                <w:color w:val="auto"/>
                <w:sz w:val="21"/>
                <w:szCs w:val="21"/>
                <w:highlight w:val="none"/>
              </w:rPr>
            </w:pPr>
            <w:r>
              <w:rPr>
                <w:rFonts w:hint="default" w:ascii="Calibri" w:hAnsi="Calibri" w:cs="Calibri"/>
                <w:bCs/>
                <w:color w:val="auto"/>
                <w:sz w:val="21"/>
                <w:szCs w:val="21"/>
                <w:highlight w:val="none"/>
              </w:rPr>
              <w:t>③</w:t>
            </w:r>
            <w:r>
              <w:rPr>
                <w:rFonts w:hint="eastAsia" w:ascii="宋体" w:hAnsi="宋体" w:cs="宋体"/>
                <w:bCs/>
                <w:color w:val="auto"/>
                <w:sz w:val="21"/>
                <w:szCs w:val="21"/>
                <w:highlight w:val="none"/>
              </w:rPr>
              <w:t>方法3：评标基准价P=最高投标限价×K2+评标价平均值×（1-K2）。</w:t>
            </w:r>
          </w:p>
          <w:p w14:paraId="71D2819E">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K2为开标现场随机确定的最高投标限价所占比例系数，取值范围为0.10、0.15、0.20、0.25、0.30。</w:t>
            </w:r>
          </w:p>
          <w:p w14:paraId="4965662A">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p w14:paraId="67AEBF2E">
            <w:pPr>
              <w:spacing w:line="286" w:lineRule="exact"/>
              <w:ind w:firstLine="388" w:firstLineChars="184"/>
              <w:jc w:val="left"/>
              <w:rPr>
                <w:rFonts w:hint="eastAsia" w:ascii="宋体" w:hAnsi="宋体" w:cs="宋体"/>
                <w:b/>
                <w:bCs w:val="0"/>
                <w:color w:val="auto"/>
                <w:sz w:val="21"/>
                <w:szCs w:val="21"/>
                <w:highlight w:val="none"/>
              </w:rPr>
            </w:pPr>
            <w:r>
              <w:rPr>
                <w:rFonts w:hint="eastAsia" w:ascii="宋体" w:hAnsi="宋体" w:cs="宋体"/>
                <w:b/>
                <w:bCs w:val="0"/>
                <w:color w:val="auto"/>
                <w:sz w:val="21"/>
                <w:szCs w:val="21"/>
                <w:highlight w:val="none"/>
              </w:rPr>
              <w:t>3、评标价的偏差率计算公式：</w:t>
            </w:r>
          </w:p>
          <w:p w14:paraId="484ED3F1">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偏差率=100%×（评标价－评标基准价）/评标基准价</w:t>
            </w:r>
          </w:p>
          <w:p w14:paraId="1926AABA">
            <w:pPr>
              <w:spacing w:line="286" w:lineRule="exact"/>
              <w:ind w:firstLine="388" w:firstLineChars="184"/>
              <w:jc w:val="left"/>
              <w:rPr>
                <w:rFonts w:hint="eastAsia" w:ascii="宋体" w:hAnsi="宋体" w:cs="宋体"/>
                <w:b/>
                <w:bCs w:val="0"/>
                <w:color w:val="auto"/>
                <w:sz w:val="21"/>
                <w:szCs w:val="21"/>
                <w:highlight w:val="none"/>
              </w:rPr>
            </w:pPr>
            <w:r>
              <w:rPr>
                <w:rFonts w:hint="eastAsia" w:ascii="宋体" w:hAnsi="宋体" w:cs="宋体"/>
                <w:b/>
                <w:bCs w:val="0"/>
                <w:color w:val="auto"/>
                <w:sz w:val="21"/>
                <w:szCs w:val="21"/>
                <w:highlight w:val="none"/>
              </w:rPr>
              <w:t>4、评标价得分计算公式：</w:t>
            </w:r>
          </w:p>
          <w:p w14:paraId="107C6BC5">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（1）如果投标人的评标价＞评标基准价，则评标价得分＝100－偏差率×100×E1；</w:t>
            </w:r>
          </w:p>
          <w:p w14:paraId="6BB67AAD">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（2）如果投标人的评标价≤评标基准价，则评标价得分＝100＋偏差率×100×E2；</w:t>
            </w:r>
          </w:p>
          <w:p w14:paraId="5DB5BDB8">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其中，E1是评标价每高于评标基准价一个百分点的扣分值，E1＝2；E2是评标价每低于评标基准价一个百分点的扣分值，E2＝1。</w:t>
            </w:r>
          </w:p>
          <w:p w14:paraId="761D71D3">
            <w:pPr>
              <w:spacing w:line="286" w:lineRule="exact"/>
              <w:ind w:firstLine="386" w:firstLineChars="184"/>
              <w:jc w:val="left"/>
              <w:rPr>
                <w:rFonts w:hint="eastAsia" w:ascii="宋体" w:hAnsi="宋体" w:cs="宋体"/>
                <w:bCs/>
                <w:color w:val="auto"/>
                <w:sz w:val="21"/>
                <w:szCs w:val="21"/>
                <w:highlight w:val="none"/>
              </w:rPr>
            </w:pPr>
            <w:r>
              <w:rPr>
                <w:rFonts w:hint="eastAsia" w:ascii="宋体" w:hAnsi="宋体" w:cs="宋体"/>
                <w:bCs/>
                <w:color w:val="auto"/>
                <w:sz w:val="21"/>
                <w:szCs w:val="21"/>
                <w:highlight w:val="none"/>
              </w:rPr>
              <w:t>评标价得分最低为0分，评标价得分保留两位小数，第三位四舍五入。</w:t>
            </w:r>
          </w:p>
        </w:tc>
      </w:tr>
      <w:tr w14:paraId="33F1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5" w:type="dxa"/>
            <w:tcMar>
              <w:top w:w="113" w:type="dxa"/>
              <w:left w:w="51" w:type="dxa"/>
              <w:bottom w:w="113" w:type="dxa"/>
              <w:right w:w="51" w:type="dxa"/>
            </w:tcMar>
            <w:vAlign w:val="center"/>
          </w:tcPr>
          <w:p w14:paraId="617D0A3D">
            <w:pPr>
              <w:spacing w:line="370" w:lineRule="exact"/>
              <w:jc w:val="center"/>
              <w:rPr>
                <w:rFonts w:hint="eastAsia" w:ascii="宋体" w:hAnsi="宋体" w:cs="宋体"/>
                <w:color w:val="auto"/>
                <w:sz w:val="21"/>
                <w:szCs w:val="21"/>
                <w:highlight w:val="none"/>
              </w:rPr>
            </w:pPr>
            <w:r>
              <w:rPr>
                <w:rFonts w:hint="eastAsia"/>
                <w:color w:val="auto"/>
                <w:sz w:val="21"/>
                <w:szCs w:val="21"/>
                <w:highlight w:val="none"/>
              </w:rPr>
              <w:t>3.2.4</w:t>
            </w:r>
          </w:p>
        </w:tc>
        <w:tc>
          <w:tcPr>
            <w:tcW w:w="1373" w:type="dxa"/>
            <w:tcMar>
              <w:top w:w="113" w:type="dxa"/>
              <w:left w:w="51" w:type="dxa"/>
              <w:bottom w:w="113" w:type="dxa"/>
              <w:right w:w="51" w:type="dxa"/>
            </w:tcMar>
            <w:vAlign w:val="center"/>
          </w:tcPr>
          <w:p w14:paraId="14FEC16C">
            <w:pPr>
              <w:spacing w:line="370" w:lineRule="exact"/>
              <w:jc w:val="center"/>
              <w:rPr>
                <w:rFonts w:hint="eastAsia" w:ascii="宋体" w:hAnsi="宋体" w:cs="宋体"/>
                <w:color w:val="auto"/>
                <w:sz w:val="21"/>
                <w:szCs w:val="21"/>
                <w:highlight w:val="none"/>
              </w:rPr>
            </w:pPr>
            <w:r>
              <w:rPr>
                <w:rFonts w:hint="eastAsia"/>
                <w:color w:val="auto"/>
                <w:sz w:val="21"/>
                <w:szCs w:val="21"/>
                <w:highlight w:val="none"/>
              </w:rPr>
              <w:t>通过第一个信封详细评审的投标人数量</w:t>
            </w:r>
          </w:p>
        </w:tc>
        <w:tc>
          <w:tcPr>
            <w:tcW w:w="6411" w:type="dxa"/>
            <w:tcMar>
              <w:top w:w="113" w:type="dxa"/>
              <w:left w:w="51" w:type="dxa"/>
              <w:bottom w:w="113" w:type="dxa"/>
              <w:right w:w="51" w:type="dxa"/>
            </w:tcMar>
            <w:vAlign w:val="center"/>
          </w:tcPr>
          <w:p w14:paraId="24FDB40F">
            <w:pPr>
              <w:spacing w:line="370" w:lineRule="exact"/>
              <w:rPr>
                <w:rFonts w:hint="eastAsia" w:ascii="宋体" w:hAnsi="宋体" w:cs="宋体"/>
                <w:color w:val="auto"/>
                <w:sz w:val="21"/>
                <w:szCs w:val="21"/>
                <w:highlight w:val="none"/>
              </w:rPr>
            </w:pPr>
            <w:r>
              <w:rPr>
                <w:rFonts w:hint="eastAsia"/>
                <w:color w:val="auto"/>
                <w:sz w:val="21"/>
                <w:szCs w:val="21"/>
                <w:highlight w:val="none"/>
              </w:rPr>
              <w:t>按照投标人的商务和技术得分由高到低排序，选择前</w:t>
            </w:r>
            <w:r>
              <w:rPr>
                <w:rFonts w:hint="eastAsia"/>
                <w:color w:val="auto"/>
                <w:sz w:val="21"/>
                <w:szCs w:val="21"/>
                <w:highlight w:val="none"/>
                <w:u w:val="single"/>
              </w:rPr>
              <w:t xml:space="preserve"> </w:t>
            </w:r>
            <w:r>
              <w:rPr>
                <w:rFonts w:hint="eastAsia"/>
                <w:color w:val="auto"/>
                <w:sz w:val="21"/>
                <w:szCs w:val="21"/>
                <w:highlight w:val="none"/>
                <w:u w:val="single"/>
                <w:lang w:val="en-US" w:eastAsia="zh-CN"/>
              </w:rPr>
              <w:t>7</w:t>
            </w:r>
            <w:r>
              <w:rPr>
                <w:rFonts w:hint="eastAsia"/>
                <w:color w:val="auto"/>
                <w:sz w:val="21"/>
                <w:szCs w:val="21"/>
                <w:highlight w:val="none"/>
                <w:u w:val="single"/>
              </w:rPr>
              <w:t xml:space="preserve"> </w:t>
            </w:r>
            <w:r>
              <w:rPr>
                <w:rFonts w:hint="eastAsia"/>
                <w:color w:val="auto"/>
                <w:sz w:val="21"/>
                <w:szCs w:val="21"/>
                <w:highlight w:val="none"/>
              </w:rPr>
              <w:t>名进入</w:t>
            </w:r>
            <w:r>
              <w:rPr>
                <w:rFonts w:hint="eastAsia" w:ascii="宋体" w:hAnsi="宋体" w:cs="宋体"/>
                <w:color w:val="auto"/>
                <w:sz w:val="21"/>
                <w:szCs w:val="21"/>
                <w:highlight w:val="none"/>
              </w:rPr>
              <w:t>第二个信封</w:t>
            </w:r>
            <w:r>
              <w:rPr>
                <w:rFonts w:hint="eastAsia"/>
                <w:color w:val="auto"/>
                <w:sz w:val="21"/>
                <w:szCs w:val="21"/>
                <w:highlight w:val="none"/>
              </w:rPr>
              <w:t>评审。</w:t>
            </w:r>
            <w:r>
              <w:rPr>
                <w:rFonts w:ascii="宋体" w:hAnsi="宋体" w:cs="宋体"/>
                <w:color w:val="auto"/>
                <w:sz w:val="21"/>
                <w:szCs w:val="21"/>
                <w:highlight w:val="none"/>
              </w:rPr>
              <w:t>第一信封得分相等时，评标委员会按照</w:t>
            </w:r>
            <w:r>
              <w:rPr>
                <w:rFonts w:hint="eastAsia" w:ascii="宋体" w:hAnsi="宋体" w:cs="宋体"/>
                <w:color w:val="auto"/>
                <w:sz w:val="21"/>
                <w:szCs w:val="21"/>
                <w:highlight w:val="none"/>
              </w:rPr>
              <w:t>施工组织设计得分高的优先；施工组织设计得分也相等的，以</w:t>
            </w:r>
            <w:r>
              <w:rPr>
                <w:rFonts w:ascii="宋体" w:hAnsi="宋体" w:cs="宋体"/>
                <w:color w:val="auto"/>
                <w:sz w:val="21"/>
                <w:szCs w:val="21"/>
                <w:highlight w:val="none"/>
              </w:rPr>
              <w:t>满足资格审查条件（业绩最低要求）的业绩</w:t>
            </w:r>
            <w:r>
              <w:rPr>
                <w:rFonts w:hint="eastAsia" w:ascii="宋体" w:hAnsi="宋体" w:cs="宋体"/>
                <w:color w:val="auto"/>
                <w:sz w:val="21"/>
                <w:szCs w:val="21"/>
                <w:highlight w:val="none"/>
              </w:rPr>
              <w:t>单项合同额高</w:t>
            </w:r>
            <w:r>
              <w:rPr>
                <w:rFonts w:ascii="宋体" w:hAnsi="宋体" w:cs="宋体"/>
                <w:color w:val="auto"/>
                <w:sz w:val="21"/>
                <w:szCs w:val="21"/>
                <w:highlight w:val="none"/>
              </w:rPr>
              <w:t>的优先，</w:t>
            </w:r>
            <w:r>
              <w:rPr>
                <w:rFonts w:hint="eastAsia" w:ascii="宋体" w:hAnsi="宋体" w:cs="宋体"/>
                <w:color w:val="auto"/>
                <w:sz w:val="21"/>
                <w:szCs w:val="21"/>
                <w:highlight w:val="none"/>
              </w:rPr>
              <w:t>单项合同额</w:t>
            </w:r>
            <w:r>
              <w:rPr>
                <w:rFonts w:ascii="宋体" w:hAnsi="宋体" w:cs="宋体"/>
                <w:color w:val="auto"/>
                <w:sz w:val="21"/>
                <w:szCs w:val="21"/>
                <w:highlight w:val="none"/>
              </w:rPr>
              <w:t>也相等时，以累计合同金额多的优先；</w:t>
            </w:r>
          </w:p>
        </w:tc>
      </w:tr>
      <w:tr w14:paraId="567D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098" w:type="dxa"/>
            <w:gridSpan w:val="2"/>
            <w:tcMar>
              <w:top w:w="113" w:type="dxa"/>
              <w:left w:w="51" w:type="dxa"/>
              <w:bottom w:w="113" w:type="dxa"/>
              <w:right w:w="51" w:type="dxa"/>
            </w:tcMar>
            <w:vAlign w:val="center"/>
          </w:tcPr>
          <w:p w14:paraId="16F69EA5">
            <w:pPr>
              <w:spacing w:before="120" w:beforeLines="50" w:after="120" w:afterLines="50" w:line="312" w:lineRule="auto"/>
              <w:ind w:right="113" w:rightChars="0"/>
              <w:jc w:val="center"/>
              <w:rPr>
                <w:rFonts w:hint="eastAsia"/>
                <w:color w:val="auto"/>
                <w:sz w:val="21"/>
                <w:szCs w:val="21"/>
                <w:highlight w:val="none"/>
              </w:rPr>
            </w:pPr>
            <w:r>
              <w:rPr>
                <w:rFonts w:hint="eastAsia" w:ascii="宋体" w:hAnsi="宋体" w:cs="宋体"/>
                <w:color w:val="auto"/>
                <w:sz w:val="21"/>
                <w:szCs w:val="21"/>
                <w:highlight w:val="none"/>
              </w:rPr>
              <w:t>3.5.3</w:t>
            </w:r>
          </w:p>
        </w:tc>
        <w:tc>
          <w:tcPr>
            <w:tcW w:w="6411" w:type="dxa"/>
            <w:tcMar>
              <w:top w:w="113" w:type="dxa"/>
              <w:left w:w="51" w:type="dxa"/>
              <w:bottom w:w="113" w:type="dxa"/>
              <w:right w:w="51" w:type="dxa"/>
            </w:tcMar>
            <w:vAlign w:val="center"/>
          </w:tcPr>
          <w:p w14:paraId="54F68406">
            <w:pPr>
              <w:spacing w:line="400" w:lineRule="exact"/>
              <w:rPr>
                <w:rFonts w:hint="eastAsia" w:ascii="宋体" w:hAnsi="宋体" w:cs="宋体"/>
                <w:color w:val="auto"/>
                <w:kern w:val="2"/>
                <w:sz w:val="21"/>
                <w:szCs w:val="21"/>
                <w:highlight w:val="none"/>
              </w:rPr>
            </w:pPr>
            <w:r>
              <w:rPr>
                <w:rFonts w:hint="eastAsia" w:ascii="宋体" w:hAnsi="宋体" w:cs="宋体"/>
                <w:color w:val="auto"/>
                <w:kern w:val="2"/>
                <w:sz w:val="21"/>
                <w:szCs w:val="21"/>
                <w:highlight w:val="none"/>
              </w:rPr>
              <w:t>本款修改为：</w:t>
            </w:r>
          </w:p>
          <w:p w14:paraId="76C09002">
            <w:pPr>
              <w:autoSpaceDE w:val="0"/>
              <w:autoSpaceDN w:val="0"/>
              <w:snapToGrid w:val="0"/>
              <w:spacing w:line="312" w:lineRule="auto"/>
              <w:ind w:firstLine="420" w:firstLineChars="200"/>
              <w:rPr>
                <w:rFonts w:hint="eastAsia"/>
                <w:color w:val="auto"/>
                <w:sz w:val="21"/>
                <w:szCs w:val="21"/>
                <w:highlight w:val="none"/>
              </w:rPr>
            </w:pPr>
            <w:r>
              <w:rPr>
                <w:rFonts w:hint="eastAsia" w:ascii="宋体" w:hAnsi="宋体" w:cs="宋体"/>
                <w:color w:val="auto"/>
                <w:kern w:val="0"/>
                <w:sz w:val="21"/>
                <w:szCs w:val="21"/>
                <w:highlight w:val="none"/>
              </w:rPr>
              <w:t>评标委员会发现投标人的投标报价</w:t>
            </w:r>
            <w:r>
              <w:rPr>
                <w:rFonts w:hint="eastAsia" w:ascii="宋体" w:hAnsi="宋体" w:cs="宋体"/>
                <w:color w:val="auto"/>
                <w:kern w:val="0"/>
                <w:sz w:val="21"/>
                <w:szCs w:val="21"/>
                <w:highlight w:val="none"/>
                <w:lang w:val="en-US" w:eastAsia="zh-CN"/>
              </w:rPr>
              <w:t>低于</w:t>
            </w:r>
            <w:r>
              <w:rPr>
                <w:rFonts w:hint="eastAsia" w:ascii="宋体" w:hAnsi="宋体" w:cs="宋体"/>
                <w:color w:val="auto"/>
                <w:kern w:val="0"/>
                <w:sz w:val="21"/>
                <w:szCs w:val="21"/>
                <w:highlight w:val="none"/>
              </w:rPr>
              <w:t>最高投标限价的</w:t>
            </w:r>
            <w:r>
              <w:rPr>
                <w:rFonts w:hint="eastAsia" w:cs="宋体"/>
                <w:color w:val="auto"/>
                <w:kern w:val="0"/>
                <w:sz w:val="21"/>
                <w:szCs w:val="21"/>
                <w:highlight w:val="none"/>
                <w:lang w:val="en-US" w:eastAsia="zh-CN"/>
              </w:rPr>
              <w:t>65</w:t>
            </w:r>
            <w:r>
              <w:rPr>
                <w:rFonts w:hint="eastAsia" w:ascii="宋体" w:hAnsi="宋体" w:cs="宋体"/>
                <w:color w:val="auto"/>
                <w:kern w:val="0"/>
                <w:sz w:val="21"/>
                <w:szCs w:val="21"/>
                <w:highlight w:val="none"/>
              </w:rPr>
              <w:t>%</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含</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rPr>
              <w:t>时</w:t>
            </w:r>
            <w:r>
              <w:rPr>
                <w:rFonts w:hint="eastAsia" w:ascii="宋体" w:hAnsi="宋体" w:eastAsia="宋体" w:cs="宋体"/>
                <w:color w:val="auto"/>
                <w:kern w:val="0"/>
                <w:sz w:val="21"/>
                <w:szCs w:val="21"/>
                <w:highlight w:val="none"/>
                <w:lang w:val="en-US" w:eastAsia="zh-CN"/>
              </w:rPr>
              <w:t>，</w:t>
            </w:r>
            <w:r>
              <w:rPr>
                <w:rFonts w:hint="eastAsia" w:ascii="宋体" w:hAnsi="宋体" w:cs="宋体"/>
                <w:color w:val="auto"/>
                <w:kern w:val="0"/>
                <w:sz w:val="21"/>
                <w:szCs w:val="21"/>
                <w:highlight w:val="none"/>
              </w:rPr>
              <w:t>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bl>
    <w:p w14:paraId="1F61F05F">
      <w:pPr>
        <w:snapToGrid w:val="0"/>
        <w:spacing w:line="32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br w:type="page"/>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341"/>
        <w:gridCol w:w="6345"/>
      </w:tblGrid>
      <w:tr w14:paraId="7239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5" w:type="dxa"/>
            <w:tcMar>
              <w:top w:w="113" w:type="dxa"/>
              <w:left w:w="51" w:type="dxa"/>
              <w:bottom w:w="113" w:type="dxa"/>
              <w:right w:w="51" w:type="dxa"/>
            </w:tcMar>
            <w:vAlign w:val="center"/>
          </w:tcPr>
          <w:p w14:paraId="220E6A0E">
            <w:pPr>
              <w:snapToGrid w:val="0"/>
              <w:spacing w:line="320" w:lineRule="exact"/>
              <w:jc w:val="center"/>
              <w:rPr>
                <w:rFonts w:hint="eastAsia"/>
                <w:color w:val="auto"/>
                <w:sz w:val="21"/>
                <w:szCs w:val="21"/>
                <w:highlight w:val="none"/>
              </w:rPr>
            </w:pPr>
            <w:r>
              <w:rPr>
                <w:rFonts w:hint="eastAsia" w:ascii="宋体" w:hAnsi="宋体" w:cs="宋体"/>
                <w:color w:val="auto"/>
                <w:sz w:val="21"/>
                <w:szCs w:val="21"/>
                <w:highlight w:val="none"/>
              </w:rPr>
              <w:t>3.6.1</w:t>
            </w:r>
          </w:p>
        </w:tc>
        <w:tc>
          <w:tcPr>
            <w:tcW w:w="1373" w:type="dxa"/>
            <w:tcMar>
              <w:top w:w="113" w:type="dxa"/>
              <w:left w:w="51" w:type="dxa"/>
              <w:bottom w:w="113" w:type="dxa"/>
              <w:right w:w="51" w:type="dxa"/>
            </w:tcMar>
            <w:vAlign w:val="center"/>
          </w:tcPr>
          <w:p w14:paraId="1D1F98A1">
            <w:pPr>
              <w:adjustRightInd w:val="0"/>
              <w:snapToGrid w:val="0"/>
              <w:spacing w:line="320" w:lineRule="exact"/>
              <w:jc w:val="center"/>
              <w:rPr>
                <w:rFonts w:hint="eastAsia" w:ascii="宋体" w:hAnsi="宋体" w:cs="宋体"/>
                <w:color w:val="auto"/>
                <w:sz w:val="21"/>
                <w:szCs w:val="21"/>
                <w:highlight w:val="none"/>
              </w:rPr>
            </w:pPr>
            <w:r>
              <w:rPr>
                <w:rFonts w:hint="eastAsia" w:ascii="宋体" w:hAnsi="宋体" w:cs="宋体"/>
                <w:b/>
                <w:color w:val="auto"/>
                <w:sz w:val="21"/>
                <w:szCs w:val="21"/>
                <w:highlight w:val="none"/>
              </w:rPr>
              <w:t>投标文件相关信息的核查</w:t>
            </w:r>
          </w:p>
        </w:tc>
        <w:tc>
          <w:tcPr>
            <w:tcW w:w="6411" w:type="dxa"/>
            <w:tcMar>
              <w:top w:w="113" w:type="dxa"/>
              <w:left w:w="51" w:type="dxa"/>
              <w:bottom w:w="113" w:type="dxa"/>
              <w:right w:w="51" w:type="dxa"/>
            </w:tcMar>
            <w:vAlign w:val="center"/>
          </w:tcPr>
          <w:p w14:paraId="6F605E4B">
            <w:pPr>
              <w:autoSpaceDE w:val="0"/>
              <w:autoSpaceDN w:val="0"/>
              <w:snapToGrid w:val="0"/>
              <w:spacing w:line="32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本款修改为：</w:t>
            </w:r>
          </w:p>
          <w:p w14:paraId="25EA6447">
            <w:pPr>
              <w:autoSpaceDE w:val="0"/>
              <w:autoSpaceDN w:val="0"/>
              <w:snapToGrid w:val="0"/>
              <w:spacing w:line="32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（1）投标人名称和资质与“全国公路建设市场监督管理系统(https://hwdms.mot.gov.cn/BMWebSite/)”的复核结果一致；</w:t>
            </w:r>
          </w:p>
          <w:p w14:paraId="4D7BB604">
            <w:pPr>
              <w:autoSpaceDE w:val="0"/>
              <w:autoSpaceDN w:val="0"/>
              <w:snapToGrid w:val="0"/>
              <w:spacing w:line="32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（2）投标人的业绩符合招标文件规定，所附相关项目详细信息网页截图复印件与“全国公路建设市场监督管理系统(https://hwdms.mot.gov.cn/BMWebSite/)”的复核结果一致；</w:t>
            </w:r>
          </w:p>
          <w:p w14:paraId="7D558CB5">
            <w:pPr>
              <w:autoSpaceDE w:val="0"/>
              <w:autoSpaceDN w:val="0"/>
              <w:snapToGrid w:val="0"/>
              <w:spacing w:line="32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（3）所附项目经理、项目总工业绩的网页截图复印件与“全国公路建设市场监督管理系统(https://hwdms.mot.gov.cn/BMWebSite/)”的核查结果一致</w:t>
            </w:r>
            <w:r>
              <w:rPr>
                <w:rFonts w:hint="eastAsia" w:ascii="宋体" w:hAnsi="宋体" w:cs="宋体"/>
                <w:color w:val="auto"/>
                <w:sz w:val="21"/>
                <w:szCs w:val="21"/>
                <w:highlight w:val="none"/>
                <w:lang w:eastAsia="zh-CN"/>
              </w:rPr>
              <w:t>；</w:t>
            </w:r>
          </w:p>
          <w:p w14:paraId="7F4EACB6">
            <w:pPr>
              <w:autoSpaceDE w:val="0"/>
              <w:autoSpaceDN w:val="0"/>
              <w:snapToGrid w:val="0"/>
              <w:spacing w:line="32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所附项目经理一级注册建造师信息的网页截图复印件与“全国建筑市场监管公共服务平台（http://jzsc.mohurd.gov.cn/）”核查的结果一致</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项目经理的一级建造师注册证书的注册单位名称必须与投标人名称一致；</w:t>
            </w:r>
          </w:p>
          <w:p w14:paraId="7FE50A6B">
            <w:pPr>
              <w:autoSpaceDE w:val="0"/>
              <w:autoSpaceDN w:val="0"/>
              <w:snapToGrid w:val="0"/>
              <w:spacing w:line="320" w:lineRule="exact"/>
              <w:ind w:firstLine="420" w:firstLineChars="200"/>
              <w:rPr>
                <w:rFonts w:hint="eastAsia" w:ascii="宋体" w:hAnsi="宋体" w:cs="宋体"/>
                <w:strike/>
                <w:dstrike w:val="0"/>
                <w:color w:val="auto"/>
                <w:sz w:val="21"/>
                <w:szCs w:val="21"/>
                <w:highlight w:val="none"/>
              </w:rPr>
            </w:pPr>
            <w:r>
              <w:rPr>
                <w:rFonts w:hint="eastAsia"/>
                <w:color w:val="auto"/>
                <w:sz w:val="21"/>
                <w:szCs w:val="21"/>
                <w:highlight w:val="none"/>
                <w:lang w:val="en-US" w:eastAsia="zh-CN" w:bidi="ar"/>
              </w:rPr>
              <w:t>注：如投标人未提供相关网页截图或所附截图与复核结果不一致导致其不满足资格条件，评标委员会应否决其投标。</w:t>
            </w:r>
          </w:p>
          <w:p w14:paraId="39730394">
            <w:pPr>
              <w:autoSpaceDE w:val="0"/>
              <w:autoSpaceDN w:val="0"/>
              <w:snapToGrid w:val="0"/>
              <w:spacing w:line="320" w:lineRule="exact"/>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（4）评标委员会在评标过程中将对投标人的信誉情况进行查询。如投标人存在下列情形之一的，评标委员会应否决其投标。</w:t>
            </w:r>
          </w:p>
          <w:p w14:paraId="7868AF91">
            <w:pPr>
              <w:autoSpaceDE w:val="0"/>
              <w:autoSpaceDN w:val="0"/>
              <w:snapToGrid w:val="0"/>
              <w:spacing w:line="320" w:lineRule="exact"/>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1)在国家企业信用信息公示系统(https://www.gsxt.gov.cn/)中被列入严重违法失信名单(黑名单)(不含分公司);</w:t>
            </w:r>
          </w:p>
          <w:p w14:paraId="4BD78252">
            <w:pPr>
              <w:autoSpaceDE w:val="0"/>
              <w:autoSpaceDN w:val="0"/>
              <w:snapToGrid w:val="0"/>
              <w:spacing w:line="320" w:lineRule="exact"/>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2)在“信用中国"网站(http://www.creditchina.gov.cn/)中被列入</w:t>
            </w:r>
            <w:r>
              <w:rPr>
                <w:rFonts w:hint="eastAsia" w:ascii="宋体" w:hAnsi="宋体" w:cs="宋体"/>
                <w:color w:val="auto"/>
                <w:kern w:val="0"/>
                <w:sz w:val="21"/>
                <w:szCs w:val="21"/>
                <w:highlight w:val="none"/>
                <w:lang w:eastAsia="zh-CN"/>
              </w:rPr>
              <w:t>经营（活动）异常名录</w:t>
            </w:r>
            <w:r>
              <w:rPr>
                <w:rFonts w:hint="eastAsia" w:ascii="宋体" w:hAnsi="宋体" w:cs="宋体"/>
                <w:color w:val="auto"/>
                <w:kern w:val="0"/>
                <w:sz w:val="21"/>
                <w:szCs w:val="21"/>
                <w:highlight w:val="none"/>
              </w:rPr>
              <w:t>、重大税收违法失信主体、政府采购严重违法失信行为记录名单和安全生产严重失信主体名单（均不含分公司）；</w:t>
            </w:r>
          </w:p>
          <w:p w14:paraId="5BEE15A2">
            <w:pPr>
              <w:autoSpaceDE w:val="0"/>
              <w:autoSpaceDN w:val="0"/>
              <w:snapToGrid w:val="0"/>
              <w:spacing w:line="320" w:lineRule="exact"/>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3)在中国执行信息公开网(zxgk.court.gov.cn)中被列入失信被执行人(不含分公司)。</w:t>
            </w:r>
          </w:p>
          <w:p w14:paraId="58D98C47">
            <w:pPr>
              <w:autoSpaceDE w:val="0"/>
              <w:autoSpaceDN w:val="0"/>
              <w:snapToGrid w:val="0"/>
              <w:spacing w:line="320" w:lineRule="exact"/>
              <w:ind w:firstLine="420" w:firstLineChars="200"/>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注：以上查询结果以评标当日查询结果为准。</w:t>
            </w:r>
          </w:p>
          <w:p w14:paraId="7884D7BA">
            <w:pPr>
              <w:autoSpaceDE w:val="0"/>
              <w:autoSpaceDN w:val="0"/>
              <w:snapToGrid w:val="0"/>
              <w:spacing w:line="320" w:lineRule="exact"/>
              <w:ind w:firstLine="420" w:firstLineChars="200"/>
              <w:rPr>
                <w:rFonts w:hint="eastAsia" w:ascii="宋体" w:hAnsi="宋体" w:cs="宋体"/>
                <w:color w:val="auto"/>
                <w:kern w:val="0"/>
                <w:sz w:val="21"/>
                <w:szCs w:val="21"/>
                <w:highlight w:val="none"/>
              </w:rPr>
            </w:pPr>
            <w:r>
              <w:rPr>
                <w:color w:val="auto"/>
                <w:sz w:val="21"/>
                <w:szCs w:val="21"/>
                <w:highlight w:val="none"/>
                <w:lang w:bidi="ar"/>
              </w:rPr>
              <w:t>投标人应当及时核查并更新政府网站公开的相关信息，并承担由于信息填报不完整或者不准确等原因导致投标可能被否决的后果。相关信息由投标人填报的，其真实性由投标人负责，经查证与事实不符的，视为投标过程中的弄虚作假行为，按相关规定处理。</w:t>
            </w:r>
          </w:p>
        </w:tc>
      </w:tr>
      <w:tr w14:paraId="42CF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5" w:type="dxa"/>
            <w:tcMar>
              <w:top w:w="113" w:type="dxa"/>
              <w:left w:w="51" w:type="dxa"/>
              <w:bottom w:w="113" w:type="dxa"/>
              <w:right w:w="51" w:type="dxa"/>
            </w:tcMar>
            <w:vAlign w:val="center"/>
          </w:tcPr>
          <w:p w14:paraId="5B29BA59">
            <w:pPr>
              <w:snapToGrid w:val="0"/>
              <w:spacing w:line="320" w:lineRule="exact"/>
              <w:jc w:val="center"/>
              <w:rPr>
                <w:rFonts w:hint="eastAsia"/>
                <w:color w:val="auto"/>
                <w:sz w:val="21"/>
                <w:szCs w:val="21"/>
                <w:highlight w:val="none"/>
              </w:rPr>
            </w:pPr>
            <w:r>
              <w:rPr>
                <w:rFonts w:hint="eastAsia" w:ascii="宋体" w:hAnsi="宋体" w:cs="宋体"/>
                <w:color w:val="auto"/>
                <w:sz w:val="21"/>
                <w:szCs w:val="21"/>
                <w:highlight w:val="none"/>
              </w:rPr>
              <w:t>3.6.3</w:t>
            </w:r>
          </w:p>
        </w:tc>
        <w:tc>
          <w:tcPr>
            <w:tcW w:w="1373" w:type="dxa"/>
            <w:tcMar>
              <w:top w:w="113" w:type="dxa"/>
              <w:left w:w="51" w:type="dxa"/>
              <w:bottom w:w="113" w:type="dxa"/>
              <w:right w:w="51" w:type="dxa"/>
            </w:tcMar>
            <w:vAlign w:val="center"/>
          </w:tcPr>
          <w:p w14:paraId="5FBFDF1B">
            <w:pPr>
              <w:adjustRightInd w:val="0"/>
              <w:snapToGrid w:val="0"/>
              <w:spacing w:line="320" w:lineRule="exact"/>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投标人异常投标情形的核查</w:t>
            </w:r>
          </w:p>
        </w:tc>
        <w:tc>
          <w:tcPr>
            <w:tcW w:w="6411" w:type="dxa"/>
            <w:tcMar>
              <w:top w:w="113" w:type="dxa"/>
              <w:left w:w="51" w:type="dxa"/>
              <w:bottom w:w="113" w:type="dxa"/>
              <w:right w:w="51" w:type="dxa"/>
            </w:tcMar>
            <w:vAlign w:val="center"/>
          </w:tcPr>
          <w:p w14:paraId="1FFF6E91">
            <w:pPr>
              <w:spacing w:line="400" w:lineRule="exact"/>
              <w:rPr>
                <w:rFonts w:hint="eastAsia" w:ascii="宋体" w:hAnsi="宋体"/>
                <w:color w:val="auto"/>
                <w:kern w:val="2"/>
                <w:sz w:val="21"/>
                <w:szCs w:val="21"/>
                <w:highlight w:val="none"/>
              </w:rPr>
            </w:pPr>
            <w:r>
              <w:rPr>
                <w:rFonts w:hint="eastAsia" w:ascii="宋体" w:hAnsi="宋体"/>
                <w:color w:val="auto"/>
                <w:kern w:val="2"/>
                <w:sz w:val="21"/>
                <w:szCs w:val="21"/>
                <w:highlight w:val="none"/>
              </w:rPr>
              <w:t>补充本款：</w:t>
            </w:r>
          </w:p>
          <w:p w14:paraId="1CA5526D">
            <w:pPr>
              <w:autoSpaceDE w:val="0"/>
              <w:autoSpaceDN w:val="0"/>
              <w:snapToGrid w:val="0"/>
              <w:spacing w:line="320" w:lineRule="exact"/>
              <w:ind w:firstLine="420" w:firstLineChars="200"/>
              <w:rPr>
                <w:rFonts w:hint="eastAsia" w:ascii="宋体" w:hAnsi="宋体" w:cs="宋体"/>
                <w:color w:val="auto"/>
                <w:sz w:val="21"/>
                <w:szCs w:val="21"/>
                <w:highlight w:val="none"/>
              </w:rPr>
            </w:pPr>
            <w:r>
              <w:rPr>
                <w:rFonts w:ascii="宋体" w:hAnsi="宋体" w:cs="宋体"/>
                <w:color w:val="auto"/>
                <w:sz w:val="21"/>
                <w:szCs w:val="21"/>
                <w:highlight w:val="none"/>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认定该投标人存在</w:t>
            </w:r>
            <w:r>
              <w:rPr>
                <w:rFonts w:hint="eastAsia" w:ascii="宋体" w:hAnsi="宋体" w:cs="宋体"/>
                <w:color w:val="auto"/>
                <w:sz w:val="21"/>
                <w:szCs w:val="21"/>
                <w:highlight w:val="none"/>
              </w:rPr>
              <w:t>串通</w:t>
            </w:r>
            <w:r>
              <w:rPr>
                <w:rFonts w:ascii="宋体" w:hAnsi="宋体" w:cs="宋体"/>
                <w:color w:val="auto"/>
                <w:sz w:val="21"/>
                <w:szCs w:val="21"/>
                <w:highlight w:val="none"/>
              </w:rPr>
              <w:t>投标情形，并否决其投标。</w:t>
            </w:r>
          </w:p>
          <w:p w14:paraId="6BD68AC6">
            <w:pPr>
              <w:autoSpaceDE w:val="0"/>
              <w:autoSpaceDN w:val="0"/>
              <w:snapToGrid w:val="0"/>
              <w:spacing w:line="320" w:lineRule="exact"/>
              <w:ind w:firstLine="420" w:firstLineChars="200"/>
              <w:rPr>
                <w:rFonts w:hint="eastAsia" w:ascii="宋体" w:hAnsi="宋体" w:cs="宋体"/>
                <w:color w:val="auto"/>
                <w:sz w:val="21"/>
                <w:szCs w:val="21"/>
                <w:highlight w:val="none"/>
              </w:rPr>
            </w:pPr>
            <w:r>
              <w:rPr>
                <w:rFonts w:ascii="宋体" w:hAnsi="宋体" w:cs="宋体"/>
                <w:color w:val="auto"/>
                <w:sz w:val="21"/>
                <w:szCs w:val="21"/>
                <w:highlight w:val="none"/>
              </w:rPr>
              <w:t>有下列情形之一的，属于投标文件异常一致或投标活动异常关联等异常投标情形：</w:t>
            </w:r>
          </w:p>
          <w:p w14:paraId="4F0F67E6">
            <w:pPr>
              <w:autoSpaceDE w:val="0"/>
              <w:autoSpaceDN w:val="0"/>
              <w:snapToGrid w:val="0"/>
              <w:spacing w:line="320" w:lineRule="exact"/>
              <w:ind w:firstLine="210" w:firstLineChars="100"/>
              <w:rPr>
                <w:rFonts w:hint="eastAsia" w:ascii="宋体" w:hAnsi="宋体" w:cs="宋体"/>
                <w:color w:val="auto"/>
                <w:sz w:val="21"/>
                <w:szCs w:val="21"/>
                <w:highlight w:val="none"/>
              </w:rPr>
            </w:pPr>
            <w:r>
              <w:rPr>
                <w:rFonts w:ascii="宋体" w:hAnsi="宋体" w:cs="宋体"/>
                <w:color w:val="auto"/>
                <w:sz w:val="21"/>
                <w:szCs w:val="21"/>
                <w:highlight w:val="none"/>
              </w:rPr>
              <w:t>（1）投标人投标文件制作机器码雷同；</w:t>
            </w:r>
          </w:p>
          <w:p w14:paraId="7E72B5CA">
            <w:pPr>
              <w:autoSpaceDE w:val="0"/>
              <w:autoSpaceDN w:val="0"/>
              <w:snapToGrid w:val="0"/>
              <w:spacing w:line="320" w:lineRule="exact"/>
              <w:ind w:firstLine="210" w:firstLineChars="100"/>
              <w:rPr>
                <w:rFonts w:hint="eastAsia" w:ascii="宋体" w:hAnsi="宋体" w:cs="宋体"/>
                <w:color w:val="auto"/>
                <w:sz w:val="21"/>
                <w:szCs w:val="21"/>
                <w:highlight w:val="none"/>
              </w:rPr>
            </w:pPr>
            <w:r>
              <w:rPr>
                <w:rFonts w:ascii="宋体" w:hAnsi="宋体" w:cs="宋体"/>
                <w:color w:val="auto"/>
                <w:sz w:val="21"/>
                <w:szCs w:val="21"/>
                <w:highlight w:val="none"/>
              </w:rPr>
              <w:t>（2）投标文件创建标识码雷同；</w:t>
            </w:r>
          </w:p>
          <w:p w14:paraId="3D617B21">
            <w:pPr>
              <w:autoSpaceDE w:val="0"/>
              <w:autoSpaceDN w:val="0"/>
              <w:snapToGrid w:val="0"/>
              <w:spacing w:line="320" w:lineRule="exact"/>
              <w:ind w:firstLine="210" w:firstLineChars="100"/>
              <w:rPr>
                <w:rFonts w:hint="eastAsia" w:ascii="宋体" w:hAnsi="宋体" w:cs="宋体"/>
                <w:color w:val="auto"/>
                <w:sz w:val="21"/>
                <w:szCs w:val="21"/>
                <w:highlight w:val="none"/>
              </w:rPr>
            </w:pPr>
            <w:r>
              <w:rPr>
                <w:rFonts w:ascii="宋体" w:hAnsi="宋体" w:cs="宋体"/>
                <w:color w:val="auto"/>
                <w:sz w:val="21"/>
                <w:szCs w:val="21"/>
                <w:highlight w:val="none"/>
              </w:rPr>
              <w:t>（3）投标文件制作计算机MAC地址雷同；</w:t>
            </w:r>
          </w:p>
          <w:p w14:paraId="5FB8F529">
            <w:pPr>
              <w:autoSpaceDE w:val="0"/>
              <w:autoSpaceDN w:val="0"/>
              <w:snapToGrid w:val="0"/>
              <w:spacing w:line="320" w:lineRule="exact"/>
              <w:ind w:firstLine="210" w:firstLineChars="100"/>
              <w:rPr>
                <w:rFonts w:hint="eastAsia" w:ascii="宋体" w:hAnsi="宋体" w:cs="宋体"/>
                <w:color w:val="auto"/>
                <w:sz w:val="21"/>
                <w:szCs w:val="21"/>
                <w:highlight w:val="none"/>
              </w:rPr>
            </w:pPr>
            <w:r>
              <w:rPr>
                <w:rFonts w:ascii="宋体" w:hAnsi="宋体" w:cs="宋体"/>
                <w:color w:val="auto"/>
                <w:sz w:val="21"/>
                <w:szCs w:val="21"/>
                <w:highlight w:val="none"/>
              </w:rPr>
              <w:t>（4）投标文件制作计算机硬盘序列号雷同；</w:t>
            </w:r>
          </w:p>
          <w:p w14:paraId="208804F7">
            <w:pPr>
              <w:autoSpaceDE w:val="0"/>
              <w:autoSpaceDN w:val="0"/>
              <w:snapToGrid w:val="0"/>
              <w:spacing w:line="320" w:lineRule="exact"/>
              <w:ind w:firstLine="210" w:firstLineChars="100"/>
              <w:rPr>
                <w:rFonts w:hint="eastAsia" w:ascii="宋体" w:hAnsi="宋体" w:cs="宋体"/>
                <w:color w:val="auto"/>
                <w:sz w:val="21"/>
                <w:szCs w:val="21"/>
                <w:highlight w:val="none"/>
              </w:rPr>
            </w:pPr>
            <w:r>
              <w:rPr>
                <w:rFonts w:ascii="宋体" w:hAnsi="宋体" w:cs="宋体"/>
                <w:color w:val="auto"/>
                <w:sz w:val="21"/>
                <w:szCs w:val="21"/>
                <w:highlight w:val="none"/>
              </w:rPr>
              <w:t>（</w:t>
            </w:r>
            <w:r>
              <w:rPr>
                <w:rFonts w:hint="eastAsia" w:ascii="宋体" w:hAnsi="宋体" w:cs="宋体"/>
                <w:color w:val="auto"/>
                <w:sz w:val="21"/>
                <w:szCs w:val="21"/>
                <w:highlight w:val="none"/>
                <w:lang w:val="en-US" w:eastAsia="zh-CN"/>
              </w:rPr>
              <w:t>5</w:t>
            </w:r>
            <w:r>
              <w:rPr>
                <w:rFonts w:ascii="宋体" w:hAnsi="宋体" w:cs="宋体"/>
                <w:color w:val="auto"/>
                <w:sz w:val="21"/>
                <w:szCs w:val="21"/>
                <w:highlight w:val="none"/>
              </w:rPr>
              <w:t>）投标文件上传IP地址雷同；</w:t>
            </w:r>
          </w:p>
          <w:p w14:paraId="146AF07B">
            <w:pPr>
              <w:autoSpaceDE w:val="0"/>
              <w:autoSpaceDN w:val="0"/>
              <w:snapToGrid w:val="0"/>
              <w:spacing w:line="320" w:lineRule="exact"/>
              <w:ind w:firstLine="210" w:firstLineChars="100"/>
              <w:rPr>
                <w:rFonts w:hint="eastAsia" w:ascii="宋体" w:hAnsi="宋体" w:cs="宋体"/>
                <w:color w:val="auto"/>
                <w:kern w:val="0"/>
                <w:sz w:val="21"/>
                <w:szCs w:val="21"/>
                <w:highlight w:val="none"/>
              </w:rPr>
            </w:pPr>
            <w:r>
              <w:rPr>
                <w:rFonts w:ascii="宋体" w:hAnsi="宋体" w:cs="宋体"/>
                <w:color w:val="auto"/>
                <w:sz w:val="21"/>
                <w:szCs w:val="21"/>
                <w:highlight w:val="none"/>
              </w:rPr>
              <w:t>（</w:t>
            </w:r>
            <w:r>
              <w:rPr>
                <w:rFonts w:hint="eastAsia" w:ascii="宋体" w:hAnsi="宋体" w:cs="宋体"/>
                <w:color w:val="auto"/>
                <w:sz w:val="21"/>
                <w:szCs w:val="21"/>
                <w:highlight w:val="none"/>
                <w:lang w:val="en-US" w:eastAsia="zh-CN"/>
              </w:rPr>
              <w:t>6</w:t>
            </w:r>
            <w:r>
              <w:rPr>
                <w:rFonts w:ascii="宋体" w:hAnsi="宋体" w:cs="宋体"/>
                <w:color w:val="auto"/>
                <w:sz w:val="21"/>
                <w:szCs w:val="21"/>
                <w:highlight w:val="none"/>
              </w:rPr>
              <w:t>）投标文件解密IP地址雷同。</w:t>
            </w:r>
          </w:p>
        </w:tc>
      </w:tr>
      <w:tr w14:paraId="0BA2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509" w:type="dxa"/>
            <w:gridSpan w:val="3"/>
            <w:tcMar>
              <w:top w:w="113" w:type="dxa"/>
              <w:left w:w="51" w:type="dxa"/>
              <w:bottom w:w="113" w:type="dxa"/>
              <w:right w:w="51" w:type="dxa"/>
            </w:tcMar>
            <w:vAlign w:val="center"/>
          </w:tcPr>
          <w:p w14:paraId="3BED4E8E">
            <w:pPr>
              <w:adjustRightInd w:val="0"/>
              <w:snapToGrid w:val="0"/>
              <w:rPr>
                <w:rFonts w:hint="eastAsia" w:ascii="宋体" w:hAnsi="宋体" w:cs="宋体"/>
                <w:color w:val="auto"/>
                <w:sz w:val="21"/>
                <w:szCs w:val="21"/>
                <w:highlight w:val="none"/>
              </w:rPr>
            </w:pPr>
            <w:r>
              <w:rPr>
                <w:rFonts w:hint="eastAsia" w:ascii="宋体" w:hAnsi="宋体" w:cs="宋体"/>
                <w:color w:val="auto"/>
                <w:sz w:val="21"/>
                <w:szCs w:val="21"/>
                <w:highlight w:val="none"/>
              </w:rPr>
              <w:t>需补充的其他内容：无</w:t>
            </w:r>
          </w:p>
        </w:tc>
      </w:tr>
    </w:tbl>
    <w:p w14:paraId="19B8F6E0">
      <w:pPr>
        <w:rPr>
          <w:rFonts w:hint="eastAsia" w:ascii="宋体" w:hAnsi="宋体"/>
          <w:color w:val="auto"/>
          <w:kern w:val="2"/>
          <w:szCs w:val="21"/>
          <w:highlight w:val="none"/>
        </w:rPr>
      </w:pPr>
      <w:r>
        <w:rPr>
          <w:rFonts w:hint="eastAsia" w:ascii="宋体" w:hAnsi="宋体"/>
          <w:color w:val="auto"/>
          <w:kern w:val="2"/>
          <w:szCs w:val="21"/>
          <w:highlight w:val="none"/>
        </w:rPr>
        <w:br w:type="page"/>
      </w:r>
    </w:p>
    <w:p w14:paraId="19E6B390">
      <w:pPr>
        <w:ind w:firstLine="1120" w:firstLineChars="400"/>
        <w:rPr>
          <w:rFonts w:hint="eastAsia" w:ascii="宋体" w:hAnsi="宋体"/>
          <w:color w:val="auto"/>
          <w:kern w:val="2"/>
          <w:szCs w:val="21"/>
          <w:highlight w:val="none"/>
        </w:rPr>
      </w:pPr>
    </w:p>
    <w:p w14:paraId="67E3A7F2">
      <w:pPr>
        <w:ind w:firstLine="1120" w:firstLineChars="400"/>
        <w:rPr>
          <w:rFonts w:hint="eastAsia" w:ascii="宋体" w:hAnsi="宋体"/>
          <w:color w:val="auto"/>
          <w:kern w:val="2"/>
          <w:szCs w:val="21"/>
          <w:highlight w:val="none"/>
        </w:rPr>
      </w:pPr>
      <w:r>
        <w:rPr>
          <w:rFonts w:hint="eastAsia" w:ascii="宋体" w:hAnsi="宋体"/>
          <w:color w:val="auto"/>
          <w:kern w:val="2"/>
          <w:szCs w:val="21"/>
          <w:highlight w:val="none"/>
        </w:rPr>
        <w:t>具体评分标准如下：</w:t>
      </w:r>
    </w:p>
    <w:bookmarkEnd w:id="27"/>
    <w:tbl>
      <w:tblPr>
        <w:tblStyle w:val="6"/>
        <w:tblW w:w="8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
        <w:gridCol w:w="907"/>
        <w:gridCol w:w="832"/>
        <w:gridCol w:w="1421"/>
        <w:gridCol w:w="638"/>
        <w:gridCol w:w="754"/>
        <w:gridCol w:w="3493"/>
      </w:tblGrid>
      <w:tr w14:paraId="0CF7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jc w:val="center"/>
        </w:trPr>
        <w:tc>
          <w:tcPr>
            <w:tcW w:w="4259" w:type="dxa"/>
            <w:gridSpan w:val="5"/>
            <w:vAlign w:val="center"/>
          </w:tcPr>
          <w:p w14:paraId="2B58F0CD">
            <w:pPr>
              <w:adjustRightInd w:val="0"/>
              <w:snapToGrid w:val="0"/>
              <w:jc w:val="center"/>
              <w:rPr>
                <w:color w:val="auto"/>
                <w:sz w:val="21"/>
                <w:szCs w:val="21"/>
                <w:highlight w:val="none"/>
              </w:rPr>
            </w:pPr>
            <w:r>
              <w:rPr>
                <w:rFonts w:hint="eastAsia"/>
                <w:color w:val="auto"/>
                <w:sz w:val="21"/>
                <w:szCs w:val="21"/>
                <w:highlight w:val="none"/>
              </w:rPr>
              <w:t>评分因素与权重分值</w:t>
            </w:r>
          </w:p>
        </w:tc>
        <w:tc>
          <w:tcPr>
            <w:tcW w:w="4247" w:type="dxa"/>
            <w:gridSpan w:val="2"/>
            <w:vMerge w:val="restart"/>
            <w:vAlign w:val="center"/>
          </w:tcPr>
          <w:p w14:paraId="0E2181B5">
            <w:pPr>
              <w:adjustRightInd w:val="0"/>
              <w:snapToGrid w:val="0"/>
              <w:jc w:val="center"/>
              <w:rPr>
                <w:color w:val="auto"/>
                <w:sz w:val="21"/>
                <w:szCs w:val="21"/>
                <w:highlight w:val="none"/>
              </w:rPr>
            </w:pPr>
            <w:r>
              <w:rPr>
                <w:rFonts w:hint="eastAsia"/>
                <w:color w:val="auto"/>
                <w:sz w:val="21"/>
                <w:szCs w:val="21"/>
                <w:highlight w:val="none"/>
              </w:rPr>
              <w:t>评分标准</w:t>
            </w:r>
          </w:p>
        </w:tc>
      </w:tr>
      <w:tr w14:paraId="5637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blHeader/>
          <w:jc w:val="center"/>
        </w:trPr>
        <w:tc>
          <w:tcPr>
            <w:tcW w:w="461" w:type="dxa"/>
            <w:vAlign w:val="center"/>
          </w:tcPr>
          <w:p w14:paraId="5B52A3DE">
            <w:pPr>
              <w:adjustRightInd w:val="0"/>
              <w:snapToGrid w:val="0"/>
              <w:jc w:val="center"/>
              <w:rPr>
                <w:color w:val="auto"/>
                <w:sz w:val="21"/>
                <w:szCs w:val="21"/>
                <w:highlight w:val="none"/>
              </w:rPr>
            </w:pPr>
            <w:r>
              <w:rPr>
                <w:rFonts w:hint="eastAsia"/>
                <w:color w:val="auto"/>
                <w:sz w:val="21"/>
                <w:szCs w:val="21"/>
                <w:highlight w:val="none"/>
              </w:rPr>
              <w:t>条款号</w:t>
            </w:r>
          </w:p>
        </w:tc>
        <w:tc>
          <w:tcPr>
            <w:tcW w:w="907" w:type="dxa"/>
            <w:vAlign w:val="center"/>
          </w:tcPr>
          <w:p w14:paraId="08D3D02A">
            <w:pPr>
              <w:adjustRightInd w:val="0"/>
              <w:snapToGrid w:val="0"/>
              <w:jc w:val="center"/>
              <w:rPr>
                <w:color w:val="auto"/>
                <w:sz w:val="21"/>
                <w:szCs w:val="21"/>
                <w:highlight w:val="none"/>
              </w:rPr>
            </w:pPr>
            <w:r>
              <w:rPr>
                <w:rFonts w:hint="eastAsia"/>
                <w:color w:val="auto"/>
                <w:sz w:val="21"/>
                <w:szCs w:val="21"/>
                <w:highlight w:val="none"/>
              </w:rPr>
              <w:t>评分因素</w:t>
            </w:r>
          </w:p>
        </w:tc>
        <w:tc>
          <w:tcPr>
            <w:tcW w:w="832" w:type="dxa"/>
            <w:vAlign w:val="center"/>
          </w:tcPr>
          <w:p w14:paraId="794FD402">
            <w:pPr>
              <w:adjustRightInd w:val="0"/>
              <w:snapToGrid w:val="0"/>
              <w:jc w:val="center"/>
              <w:rPr>
                <w:color w:val="auto"/>
                <w:sz w:val="21"/>
                <w:szCs w:val="21"/>
                <w:highlight w:val="none"/>
              </w:rPr>
            </w:pPr>
            <w:r>
              <w:rPr>
                <w:rFonts w:hint="eastAsia"/>
                <w:color w:val="auto"/>
                <w:sz w:val="21"/>
                <w:szCs w:val="21"/>
                <w:highlight w:val="none"/>
              </w:rPr>
              <w:t>评分因素权重分值</w:t>
            </w:r>
          </w:p>
        </w:tc>
        <w:tc>
          <w:tcPr>
            <w:tcW w:w="1421" w:type="dxa"/>
            <w:vAlign w:val="center"/>
          </w:tcPr>
          <w:p w14:paraId="60E63AF3">
            <w:pPr>
              <w:adjustRightInd w:val="0"/>
              <w:snapToGrid w:val="0"/>
              <w:jc w:val="center"/>
              <w:rPr>
                <w:color w:val="auto"/>
                <w:sz w:val="21"/>
                <w:szCs w:val="21"/>
                <w:highlight w:val="none"/>
              </w:rPr>
            </w:pPr>
            <w:r>
              <w:rPr>
                <w:rFonts w:hint="eastAsia"/>
                <w:color w:val="auto"/>
                <w:sz w:val="21"/>
                <w:szCs w:val="21"/>
                <w:highlight w:val="none"/>
              </w:rPr>
              <w:t>各评分因素细分项</w:t>
            </w:r>
          </w:p>
        </w:tc>
        <w:tc>
          <w:tcPr>
            <w:tcW w:w="638" w:type="dxa"/>
            <w:vAlign w:val="center"/>
          </w:tcPr>
          <w:p w14:paraId="68A6B52B">
            <w:pPr>
              <w:adjustRightInd w:val="0"/>
              <w:snapToGrid w:val="0"/>
              <w:jc w:val="center"/>
              <w:rPr>
                <w:color w:val="auto"/>
                <w:sz w:val="21"/>
                <w:szCs w:val="21"/>
                <w:highlight w:val="none"/>
              </w:rPr>
            </w:pPr>
            <w:r>
              <w:rPr>
                <w:rFonts w:hint="eastAsia"/>
                <w:color w:val="auto"/>
                <w:sz w:val="21"/>
                <w:szCs w:val="21"/>
                <w:highlight w:val="none"/>
              </w:rPr>
              <w:t>分值</w:t>
            </w:r>
          </w:p>
        </w:tc>
        <w:tc>
          <w:tcPr>
            <w:tcW w:w="4247" w:type="dxa"/>
            <w:gridSpan w:val="2"/>
            <w:vMerge w:val="continue"/>
            <w:vAlign w:val="center"/>
          </w:tcPr>
          <w:p w14:paraId="61461D7D">
            <w:pPr>
              <w:adjustRightInd w:val="0"/>
              <w:snapToGrid w:val="0"/>
              <w:jc w:val="center"/>
              <w:rPr>
                <w:color w:val="auto"/>
                <w:sz w:val="21"/>
                <w:szCs w:val="21"/>
                <w:highlight w:val="none"/>
              </w:rPr>
            </w:pPr>
          </w:p>
        </w:tc>
      </w:tr>
      <w:tr w14:paraId="148E8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461" w:type="dxa"/>
            <w:vMerge w:val="restart"/>
            <w:vAlign w:val="center"/>
          </w:tcPr>
          <w:p w14:paraId="7C845095">
            <w:pPr>
              <w:adjustRightInd w:val="0"/>
              <w:snapToGrid w:val="0"/>
              <w:jc w:val="center"/>
              <w:rPr>
                <w:color w:val="auto"/>
                <w:sz w:val="21"/>
                <w:szCs w:val="21"/>
                <w:highlight w:val="none"/>
              </w:rPr>
            </w:pPr>
            <w:r>
              <w:rPr>
                <w:rFonts w:hint="eastAsia"/>
                <w:color w:val="auto"/>
                <w:sz w:val="21"/>
                <w:szCs w:val="21"/>
                <w:highlight w:val="none"/>
              </w:rPr>
              <w:t>2.2.</w:t>
            </w:r>
            <w:r>
              <w:rPr>
                <w:rFonts w:hint="eastAsia"/>
                <w:color w:val="auto"/>
                <w:sz w:val="21"/>
                <w:szCs w:val="21"/>
                <w:highlight w:val="none"/>
                <w:lang w:val="en-US" w:eastAsia="zh-CN"/>
              </w:rPr>
              <w:t>2</w:t>
            </w:r>
            <w:r>
              <w:rPr>
                <w:rFonts w:hint="eastAsia"/>
                <w:color w:val="auto"/>
                <w:sz w:val="21"/>
                <w:szCs w:val="21"/>
                <w:highlight w:val="none"/>
              </w:rPr>
              <w:t>（</w:t>
            </w:r>
            <w:r>
              <w:rPr>
                <w:rFonts w:hint="eastAsia"/>
                <w:color w:val="auto"/>
                <w:sz w:val="21"/>
                <w:szCs w:val="21"/>
                <w:highlight w:val="none"/>
                <w:lang w:val="en-US" w:eastAsia="zh-CN"/>
              </w:rPr>
              <w:t>1</w:t>
            </w:r>
            <w:r>
              <w:rPr>
                <w:rFonts w:hint="eastAsia"/>
                <w:color w:val="auto"/>
                <w:sz w:val="21"/>
                <w:szCs w:val="21"/>
                <w:highlight w:val="none"/>
              </w:rPr>
              <w:t>）</w:t>
            </w:r>
          </w:p>
        </w:tc>
        <w:tc>
          <w:tcPr>
            <w:tcW w:w="907" w:type="dxa"/>
            <w:vMerge w:val="restart"/>
            <w:vAlign w:val="center"/>
          </w:tcPr>
          <w:p w14:paraId="5A8F4BA3">
            <w:pPr>
              <w:adjustRightInd w:val="0"/>
              <w:snapToGrid w:val="0"/>
              <w:jc w:val="left"/>
              <w:rPr>
                <w:color w:val="auto"/>
                <w:sz w:val="21"/>
                <w:szCs w:val="21"/>
                <w:highlight w:val="none"/>
              </w:rPr>
            </w:pPr>
            <w:r>
              <w:rPr>
                <w:rFonts w:hint="eastAsia"/>
                <w:color w:val="auto"/>
                <w:sz w:val="21"/>
                <w:szCs w:val="21"/>
                <w:highlight w:val="none"/>
                <w:lang w:eastAsia="zh-CN"/>
              </w:rPr>
              <w:t>施工组织设计（</w:t>
            </w:r>
            <w:r>
              <w:rPr>
                <w:rFonts w:hint="eastAsia"/>
                <w:color w:val="auto"/>
                <w:sz w:val="21"/>
                <w:szCs w:val="21"/>
                <w:highlight w:val="none"/>
                <w:lang w:val="en-US" w:eastAsia="zh-CN"/>
              </w:rPr>
              <w:t>暗标</w:t>
            </w:r>
            <w:r>
              <w:rPr>
                <w:rFonts w:hint="eastAsia"/>
                <w:color w:val="auto"/>
                <w:sz w:val="21"/>
                <w:szCs w:val="21"/>
                <w:highlight w:val="none"/>
              </w:rPr>
              <w:t>）</w:t>
            </w:r>
          </w:p>
        </w:tc>
        <w:tc>
          <w:tcPr>
            <w:tcW w:w="832" w:type="dxa"/>
            <w:vMerge w:val="restart"/>
            <w:vAlign w:val="center"/>
          </w:tcPr>
          <w:p w14:paraId="22DB31B9">
            <w:pPr>
              <w:adjustRightInd w:val="0"/>
              <w:snapToGrid w:val="0"/>
              <w:rPr>
                <w:color w:val="auto"/>
                <w:sz w:val="21"/>
                <w:szCs w:val="21"/>
                <w:highlight w:val="none"/>
              </w:rPr>
            </w:pPr>
            <w:r>
              <w:rPr>
                <w:rFonts w:hint="eastAsia"/>
                <w:color w:val="auto"/>
                <w:sz w:val="21"/>
                <w:szCs w:val="21"/>
                <w:highlight w:val="none"/>
                <w:lang w:val="en-US" w:eastAsia="zh-CN"/>
              </w:rPr>
              <w:t>40</w:t>
            </w:r>
            <w:r>
              <w:rPr>
                <w:rFonts w:hint="eastAsia"/>
                <w:color w:val="auto"/>
                <w:sz w:val="21"/>
                <w:szCs w:val="21"/>
                <w:highlight w:val="none"/>
              </w:rPr>
              <w:t>分</w:t>
            </w:r>
          </w:p>
        </w:tc>
        <w:tc>
          <w:tcPr>
            <w:tcW w:w="1421" w:type="dxa"/>
            <w:vAlign w:val="center"/>
          </w:tcPr>
          <w:p w14:paraId="27BF48E3">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总体施工组织布置及规划</w:t>
            </w:r>
          </w:p>
        </w:tc>
        <w:tc>
          <w:tcPr>
            <w:tcW w:w="638" w:type="dxa"/>
            <w:vAlign w:val="center"/>
          </w:tcPr>
          <w:p w14:paraId="1BDA3AE5">
            <w:pPr>
              <w:adjustRightInd w:val="0"/>
              <w:snapToGrid w:val="0"/>
              <w:rPr>
                <w:rFonts w:hint="default"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5分</w:t>
            </w:r>
          </w:p>
        </w:tc>
        <w:tc>
          <w:tcPr>
            <w:tcW w:w="4247" w:type="dxa"/>
            <w:gridSpan w:val="2"/>
          </w:tcPr>
          <w:p w14:paraId="13517EA4">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内容完整，编制科学合理，可行性强，得4.0－5.0分；</w:t>
            </w:r>
          </w:p>
          <w:p w14:paraId="0FC0794A">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内容较完整，编制较合理，可行性较强，得3.0－4.0分；</w:t>
            </w:r>
          </w:p>
          <w:p w14:paraId="57C41085">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内容基本完整，编制基本合理，可行性一般，得3.0分。</w:t>
            </w:r>
          </w:p>
        </w:tc>
      </w:tr>
      <w:tr w14:paraId="6E55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461" w:type="dxa"/>
            <w:vMerge w:val="continue"/>
            <w:vAlign w:val="center"/>
          </w:tcPr>
          <w:p w14:paraId="2350F078">
            <w:pPr>
              <w:spacing w:line="320" w:lineRule="exact"/>
              <w:jc w:val="center"/>
              <w:rPr>
                <w:rFonts w:hint="eastAsia" w:ascii="宋体" w:hAnsi="宋体"/>
                <w:color w:val="auto"/>
                <w:szCs w:val="21"/>
                <w:highlight w:val="none"/>
              </w:rPr>
            </w:pPr>
          </w:p>
        </w:tc>
        <w:tc>
          <w:tcPr>
            <w:tcW w:w="907" w:type="dxa"/>
            <w:vMerge w:val="continue"/>
            <w:vAlign w:val="center"/>
          </w:tcPr>
          <w:p w14:paraId="6C1DD7E1">
            <w:pPr>
              <w:spacing w:line="320" w:lineRule="exact"/>
              <w:jc w:val="center"/>
              <w:rPr>
                <w:rFonts w:hint="eastAsia" w:ascii="宋体" w:hAnsi="宋体"/>
                <w:color w:val="auto"/>
                <w:szCs w:val="21"/>
                <w:highlight w:val="none"/>
              </w:rPr>
            </w:pPr>
          </w:p>
        </w:tc>
        <w:tc>
          <w:tcPr>
            <w:tcW w:w="832" w:type="dxa"/>
            <w:vMerge w:val="continue"/>
            <w:vAlign w:val="center"/>
          </w:tcPr>
          <w:p w14:paraId="4DADDB8A">
            <w:pPr>
              <w:spacing w:line="320" w:lineRule="exact"/>
              <w:jc w:val="center"/>
              <w:rPr>
                <w:rFonts w:hint="eastAsia" w:ascii="宋体" w:hAnsi="宋体"/>
                <w:color w:val="auto"/>
                <w:szCs w:val="21"/>
                <w:highlight w:val="none"/>
              </w:rPr>
            </w:pPr>
          </w:p>
        </w:tc>
        <w:tc>
          <w:tcPr>
            <w:tcW w:w="1421" w:type="dxa"/>
            <w:vAlign w:val="center"/>
          </w:tcPr>
          <w:p w14:paraId="6FACD698">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主要工程项目的施工方案、方法与技术措施</w:t>
            </w:r>
          </w:p>
        </w:tc>
        <w:tc>
          <w:tcPr>
            <w:tcW w:w="638" w:type="dxa"/>
            <w:vAlign w:val="center"/>
          </w:tcPr>
          <w:p w14:paraId="6EDE90F9">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8分</w:t>
            </w:r>
          </w:p>
        </w:tc>
        <w:tc>
          <w:tcPr>
            <w:tcW w:w="4247" w:type="dxa"/>
            <w:gridSpan w:val="2"/>
          </w:tcPr>
          <w:p w14:paraId="32AC876A">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内容完整，编制科学合理，可行性强，得6.4－8.0分；</w:t>
            </w:r>
          </w:p>
          <w:p w14:paraId="07554FB0">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内容较完整，编制较合理，可行性较强，得4.8－6.4分；</w:t>
            </w:r>
          </w:p>
          <w:p w14:paraId="3164CB43">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内容基本完整，编制基本合理，可行性一般，得4.8分。</w:t>
            </w:r>
          </w:p>
        </w:tc>
      </w:tr>
      <w:tr w14:paraId="52AD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9" w:hRule="atLeast"/>
          <w:jc w:val="center"/>
        </w:trPr>
        <w:tc>
          <w:tcPr>
            <w:tcW w:w="461" w:type="dxa"/>
            <w:vMerge w:val="continue"/>
            <w:vAlign w:val="center"/>
          </w:tcPr>
          <w:p w14:paraId="43F276F2">
            <w:pPr>
              <w:spacing w:line="320" w:lineRule="exact"/>
              <w:jc w:val="center"/>
              <w:rPr>
                <w:rFonts w:hint="eastAsia" w:ascii="宋体" w:hAnsi="宋体"/>
                <w:color w:val="auto"/>
                <w:szCs w:val="21"/>
                <w:highlight w:val="none"/>
              </w:rPr>
            </w:pPr>
          </w:p>
        </w:tc>
        <w:tc>
          <w:tcPr>
            <w:tcW w:w="907" w:type="dxa"/>
            <w:vMerge w:val="continue"/>
            <w:vAlign w:val="center"/>
          </w:tcPr>
          <w:p w14:paraId="3B40762D">
            <w:pPr>
              <w:spacing w:line="320" w:lineRule="exact"/>
              <w:jc w:val="center"/>
              <w:rPr>
                <w:rFonts w:hint="eastAsia" w:ascii="宋体" w:hAnsi="宋体"/>
                <w:color w:val="auto"/>
                <w:szCs w:val="21"/>
                <w:highlight w:val="none"/>
              </w:rPr>
            </w:pPr>
          </w:p>
        </w:tc>
        <w:tc>
          <w:tcPr>
            <w:tcW w:w="832" w:type="dxa"/>
            <w:vMerge w:val="continue"/>
            <w:vAlign w:val="center"/>
          </w:tcPr>
          <w:p w14:paraId="6458A155">
            <w:pPr>
              <w:spacing w:line="320" w:lineRule="exact"/>
              <w:jc w:val="center"/>
              <w:rPr>
                <w:rFonts w:hint="eastAsia" w:ascii="宋体" w:hAnsi="宋体"/>
                <w:color w:val="auto"/>
                <w:szCs w:val="21"/>
                <w:highlight w:val="none"/>
              </w:rPr>
            </w:pPr>
          </w:p>
        </w:tc>
        <w:tc>
          <w:tcPr>
            <w:tcW w:w="1421" w:type="dxa"/>
            <w:vAlign w:val="center"/>
          </w:tcPr>
          <w:p w14:paraId="44AC76C2">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工期保证体系及保证措施</w:t>
            </w:r>
          </w:p>
        </w:tc>
        <w:tc>
          <w:tcPr>
            <w:tcW w:w="638" w:type="dxa"/>
            <w:vAlign w:val="center"/>
          </w:tcPr>
          <w:p w14:paraId="6813D519">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5分</w:t>
            </w:r>
          </w:p>
        </w:tc>
        <w:tc>
          <w:tcPr>
            <w:tcW w:w="4247" w:type="dxa"/>
            <w:gridSpan w:val="2"/>
          </w:tcPr>
          <w:p w14:paraId="7E5DEBCA">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内容完整，编制科学合理，可行性强，得4.0－5.0分；</w:t>
            </w:r>
          </w:p>
          <w:p w14:paraId="76751907">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内容较完整，编制较合理，可行性较强，得3.0－4.0分；</w:t>
            </w:r>
          </w:p>
          <w:p w14:paraId="138679A8">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内容基本完整，编制基本合理，可行性一般，得3.0分。</w:t>
            </w:r>
          </w:p>
        </w:tc>
      </w:tr>
      <w:tr w14:paraId="0006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3" w:hRule="atLeast"/>
          <w:jc w:val="center"/>
        </w:trPr>
        <w:tc>
          <w:tcPr>
            <w:tcW w:w="461" w:type="dxa"/>
            <w:vMerge w:val="continue"/>
            <w:vAlign w:val="center"/>
          </w:tcPr>
          <w:p w14:paraId="45A3EBE1">
            <w:pPr>
              <w:spacing w:line="320" w:lineRule="exact"/>
              <w:jc w:val="center"/>
              <w:rPr>
                <w:rFonts w:hint="eastAsia" w:ascii="宋体" w:hAnsi="宋体"/>
                <w:color w:val="auto"/>
                <w:szCs w:val="21"/>
                <w:highlight w:val="none"/>
              </w:rPr>
            </w:pPr>
          </w:p>
        </w:tc>
        <w:tc>
          <w:tcPr>
            <w:tcW w:w="907" w:type="dxa"/>
            <w:vMerge w:val="continue"/>
            <w:vAlign w:val="center"/>
          </w:tcPr>
          <w:p w14:paraId="2C1A237A">
            <w:pPr>
              <w:spacing w:line="320" w:lineRule="exact"/>
              <w:jc w:val="center"/>
              <w:rPr>
                <w:rFonts w:hint="eastAsia" w:ascii="宋体" w:hAnsi="宋体"/>
                <w:color w:val="auto"/>
                <w:szCs w:val="21"/>
                <w:highlight w:val="none"/>
              </w:rPr>
            </w:pPr>
          </w:p>
        </w:tc>
        <w:tc>
          <w:tcPr>
            <w:tcW w:w="832" w:type="dxa"/>
            <w:vMerge w:val="continue"/>
            <w:vAlign w:val="center"/>
          </w:tcPr>
          <w:p w14:paraId="30C50ED5">
            <w:pPr>
              <w:spacing w:line="320" w:lineRule="exact"/>
              <w:jc w:val="center"/>
              <w:rPr>
                <w:rFonts w:hint="eastAsia" w:ascii="宋体" w:hAnsi="宋体"/>
                <w:color w:val="auto"/>
                <w:szCs w:val="21"/>
                <w:highlight w:val="none"/>
              </w:rPr>
            </w:pPr>
          </w:p>
        </w:tc>
        <w:tc>
          <w:tcPr>
            <w:tcW w:w="1421" w:type="dxa"/>
            <w:vAlign w:val="center"/>
          </w:tcPr>
          <w:p w14:paraId="17E5230A">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工程质量管理体系及保证措施</w:t>
            </w:r>
          </w:p>
        </w:tc>
        <w:tc>
          <w:tcPr>
            <w:tcW w:w="638" w:type="dxa"/>
            <w:vAlign w:val="center"/>
          </w:tcPr>
          <w:p w14:paraId="560539D8">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5分</w:t>
            </w:r>
          </w:p>
        </w:tc>
        <w:tc>
          <w:tcPr>
            <w:tcW w:w="4247" w:type="dxa"/>
            <w:gridSpan w:val="2"/>
          </w:tcPr>
          <w:p w14:paraId="79D4D18E">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措施完善，科学合理，实施性强得4.0－5.0分；</w:t>
            </w:r>
          </w:p>
          <w:p w14:paraId="46754654">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措施较完善，措施较合理，实施性较强，得3.0－4.0分；</w:t>
            </w:r>
          </w:p>
          <w:p w14:paraId="46327B2B">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措施基本完善，措施基本合理，实施性一般，得3.0分。</w:t>
            </w:r>
          </w:p>
        </w:tc>
      </w:tr>
      <w:tr w14:paraId="3B645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461" w:type="dxa"/>
            <w:vMerge w:val="continue"/>
            <w:vAlign w:val="center"/>
          </w:tcPr>
          <w:p w14:paraId="5E64F3C5">
            <w:pPr>
              <w:spacing w:line="320" w:lineRule="exact"/>
              <w:jc w:val="center"/>
              <w:rPr>
                <w:rFonts w:hint="eastAsia" w:ascii="宋体" w:hAnsi="宋体"/>
                <w:color w:val="auto"/>
                <w:szCs w:val="21"/>
                <w:highlight w:val="none"/>
              </w:rPr>
            </w:pPr>
          </w:p>
        </w:tc>
        <w:tc>
          <w:tcPr>
            <w:tcW w:w="907" w:type="dxa"/>
            <w:vMerge w:val="continue"/>
            <w:vAlign w:val="center"/>
          </w:tcPr>
          <w:p w14:paraId="41947130">
            <w:pPr>
              <w:spacing w:line="320" w:lineRule="exact"/>
              <w:jc w:val="center"/>
              <w:rPr>
                <w:rFonts w:hint="eastAsia" w:ascii="宋体" w:hAnsi="宋体"/>
                <w:color w:val="auto"/>
                <w:szCs w:val="21"/>
                <w:highlight w:val="none"/>
              </w:rPr>
            </w:pPr>
          </w:p>
        </w:tc>
        <w:tc>
          <w:tcPr>
            <w:tcW w:w="832" w:type="dxa"/>
            <w:vMerge w:val="continue"/>
            <w:vAlign w:val="center"/>
          </w:tcPr>
          <w:p w14:paraId="1BDC8999">
            <w:pPr>
              <w:spacing w:line="320" w:lineRule="exact"/>
              <w:jc w:val="center"/>
              <w:rPr>
                <w:rFonts w:hint="eastAsia" w:ascii="宋体" w:hAnsi="宋体"/>
                <w:color w:val="auto"/>
                <w:szCs w:val="21"/>
                <w:highlight w:val="none"/>
              </w:rPr>
            </w:pPr>
          </w:p>
        </w:tc>
        <w:tc>
          <w:tcPr>
            <w:tcW w:w="1421" w:type="dxa"/>
            <w:vAlign w:val="center"/>
          </w:tcPr>
          <w:p w14:paraId="40E4F756">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安全生产管理体系及保证措施</w:t>
            </w:r>
          </w:p>
        </w:tc>
        <w:tc>
          <w:tcPr>
            <w:tcW w:w="638" w:type="dxa"/>
            <w:vAlign w:val="center"/>
          </w:tcPr>
          <w:p w14:paraId="13BEBC01">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5分</w:t>
            </w:r>
          </w:p>
        </w:tc>
        <w:tc>
          <w:tcPr>
            <w:tcW w:w="4247" w:type="dxa"/>
            <w:gridSpan w:val="2"/>
          </w:tcPr>
          <w:p w14:paraId="79F3C902">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措施完善，科学合理，实施性强得4.0－5.0分；</w:t>
            </w:r>
          </w:p>
          <w:p w14:paraId="1BCBBE4B">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措施较完善，措施较合理，实施性较强，得3.0－4.0分；</w:t>
            </w:r>
          </w:p>
          <w:p w14:paraId="361C8CE6">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措施基本完善，措施基本合理，实施性一般，得3.0分。</w:t>
            </w:r>
          </w:p>
        </w:tc>
      </w:tr>
      <w:tr w14:paraId="1C71A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461" w:type="dxa"/>
            <w:vMerge w:val="continue"/>
            <w:vAlign w:val="center"/>
          </w:tcPr>
          <w:p w14:paraId="47221A03">
            <w:pPr>
              <w:spacing w:line="320" w:lineRule="exact"/>
              <w:jc w:val="center"/>
              <w:rPr>
                <w:rFonts w:hint="eastAsia" w:ascii="宋体" w:hAnsi="宋体"/>
                <w:color w:val="auto"/>
                <w:szCs w:val="21"/>
                <w:highlight w:val="none"/>
              </w:rPr>
            </w:pPr>
          </w:p>
        </w:tc>
        <w:tc>
          <w:tcPr>
            <w:tcW w:w="907" w:type="dxa"/>
            <w:vMerge w:val="continue"/>
            <w:vAlign w:val="center"/>
          </w:tcPr>
          <w:p w14:paraId="2F7535F8">
            <w:pPr>
              <w:spacing w:line="320" w:lineRule="exact"/>
              <w:jc w:val="center"/>
              <w:rPr>
                <w:rFonts w:hint="eastAsia" w:ascii="宋体" w:hAnsi="宋体"/>
                <w:color w:val="auto"/>
                <w:szCs w:val="21"/>
                <w:highlight w:val="none"/>
              </w:rPr>
            </w:pPr>
          </w:p>
        </w:tc>
        <w:tc>
          <w:tcPr>
            <w:tcW w:w="832" w:type="dxa"/>
            <w:vMerge w:val="continue"/>
            <w:vAlign w:val="center"/>
          </w:tcPr>
          <w:p w14:paraId="48E7A8CE">
            <w:pPr>
              <w:spacing w:line="320" w:lineRule="exact"/>
              <w:jc w:val="center"/>
              <w:rPr>
                <w:rFonts w:hint="eastAsia" w:ascii="宋体" w:hAnsi="宋体"/>
                <w:color w:val="auto"/>
                <w:szCs w:val="21"/>
                <w:highlight w:val="none"/>
              </w:rPr>
            </w:pPr>
          </w:p>
        </w:tc>
        <w:tc>
          <w:tcPr>
            <w:tcW w:w="1421" w:type="dxa"/>
            <w:vAlign w:val="center"/>
          </w:tcPr>
          <w:p w14:paraId="697EE030">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环境保护、水土保持保证体系及保证措施</w:t>
            </w:r>
          </w:p>
        </w:tc>
        <w:tc>
          <w:tcPr>
            <w:tcW w:w="638" w:type="dxa"/>
            <w:vAlign w:val="center"/>
          </w:tcPr>
          <w:p w14:paraId="00C1CFC1">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4分</w:t>
            </w:r>
          </w:p>
        </w:tc>
        <w:tc>
          <w:tcPr>
            <w:tcW w:w="4247" w:type="dxa"/>
            <w:gridSpan w:val="2"/>
          </w:tcPr>
          <w:p w14:paraId="2A0AFEB7">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措施完善，科学合理，实施性强得3.2－4.0分；</w:t>
            </w:r>
          </w:p>
          <w:p w14:paraId="34280AA9">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措施较完善，措施较合理，实施性较强，得</w:t>
            </w:r>
            <w:r>
              <w:rPr>
                <w:rFonts w:hint="eastAsia" w:cs="Times New Roman"/>
                <w:strike w:val="0"/>
                <w:dstrike w:val="0"/>
                <w:color w:val="auto"/>
                <w:sz w:val="21"/>
                <w:szCs w:val="21"/>
                <w:highlight w:val="none"/>
                <w:lang w:val="en-US" w:eastAsia="zh-CN"/>
              </w:rPr>
              <w:t>2</w:t>
            </w:r>
            <w:r>
              <w:rPr>
                <w:rFonts w:hint="eastAsia" w:ascii="Times New Roman" w:hAnsi="Times New Roman" w:eastAsia="宋体" w:cs="Times New Roman"/>
                <w:strike w:val="0"/>
                <w:dstrike w:val="0"/>
                <w:color w:val="auto"/>
                <w:sz w:val="21"/>
                <w:szCs w:val="21"/>
                <w:highlight w:val="none"/>
                <w:lang w:val="en-US" w:eastAsia="zh-CN"/>
              </w:rPr>
              <w:t>.4－3.2分；</w:t>
            </w:r>
          </w:p>
          <w:p w14:paraId="6E9A338A">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措施基本完善，措施基本合理，实施性一般，得2.4分。</w:t>
            </w:r>
          </w:p>
        </w:tc>
      </w:tr>
      <w:tr w14:paraId="5991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461" w:type="dxa"/>
            <w:vMerge w:val="continue"/>
            <w:vAlign w:val="center"/>
          </w:tcPr>
          <w:p w14:paraId="699A1BF4">
            <w:pPr>
              <w:spacing w:line="320" w:lineRule="exact"/>
              <w:jc w:val="center"/>
              <w:rPr>
                <w:rFonts w:hint="eastAsia" w:ascii="宋体" w:hAnsi="宋体"/>
                <w:color w:val="auto"/>
                <w:szCs w:val="21"/>
                <w:highlight w:val="none"/>
              </w:rPr>
            </w:pPr>
          </w:p>
        </w:tc>
        <w:tc>
          <w:tcPr>
            <w:tcW w:w="907" w:type="dxa"/>
            <w:vMerge w:val="continue"/>
            <w:vAlign w:val="center"/>
          </w:tcPr>
          <w:p w14:paraId="3886ACB0">
            <w:pPr>
              <w:spacing w:line="320" w:lineRule="exact"/>
              <w:jc w:val="center"/>
              <w:rPr>
                <w:rFonts w:hint="eastAsia" w:ascii="宋体" w:hAnsi="宋体"/>
                <w:color w:val="auto"/>
                <w:szCs w:val="21"/>
                <w:highlight w:val="none"/>
              </w:rPr>
            </w:pPr>
          </w:p>
        </w:tc>
        <w:tc>
          <w:tcPr>
            <w:tcW w:w="832" w:type="dxa"/>
            <w:vMerge w:val="continue"/>
            <w:vAlign w:val="center"/>
          </w:tcPr>
          <w:p w14:paraId="6025D58C">
            <w:pPr>
              <w:spacing w:line="320" w:lineRule="exact"/>
              <w:jc w:val="center"/>
              <w:rPr>
                <w:rFonts w:hint="eastAsia" w:ascii="宋体" w:hAnsi="宋体"/>
                <w:color w:val="auto"/>
                <w:szCs w:val="21"/>
                <w:highlight w:val="none"/>
              </w:rPr>
            </w:pPr>
          </w:p>
        </w:tc>
        <w:tc>
          <w:tcPr>
            <w:tcW w:w="1421" w:type="dxa"/>
            <w:vAlign w:val="center"/>
          </w:tcPr>
          <w:p w14:paraId="726A8F45">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文明施工、文物保护保证体系及保证措施</w:t>
            </w:r>
          </w:p>
        </w:tc>
        <w:tc>
          <w:tcPr>
            <w:tcW w:w="638" w:type="dxa"/>
            <w:vAlign w:val="center"/>
          </w:tcPr>
          <w:p w14:paraId="35BBB961">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4分</w:t>
            </w:r>
          </w:p>
        </w:tc>
        <w:tc>
          <w:tcPr>
            <w:tcW w:w="4247" w:type="dxa"/>
            <w:gridSpan w:val="2"/>
            <w:vAlign w:val="top"/>
          </w:tcPr>
          <w:p w14:paraId="287079E7">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措施完善，科学合理，实施性强得3.2－4.0分；</w:t>
            </w:r>
          </w:p>
          <w:p w14:paraId="14176AD0">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措施较完善，措施较合理，实施性较强，得</w:t>
            </w:r>
            <w:r>
              <w:rPr>
                <w:rFonts w:hint="eastAsia" w:cs="Times New Roman"/>
                <w:strike w:val="0"/>
                <w:dstrike w:val="0"/>
                <w:color w:val="auto"/>
                <w:sz w:val="21"/>
                <w:szCs w:val="21"/>
                <w:highlight w:val="none"/>
                <w:lang w:val="en-US" w:eastAsia="zh-CN"/>
              </w:rPr>
              <w:t>2</w:t>
            </w:r>
            <w:r>
              <w:rPr>
                <w:rFonts w:hint="eastAsia" w:ascii="Times New Roman" w:hAnsi="Times New Roman" w:eastAsia="宋体" w:cs="Times New Roman"/>
                <w:strike w:val="0"/>
                <w:dstrike w:val="0"/>
                <w:color w:val="auto"/>
                <w:sz w:val="21"/>
                <w:szCs w:val="21"/>
                <w:highlight w:val="none"/>
                <w:lang w:val="en-US" w:eastAsia="zh-CN"/>
              </w:rPr>
              <w:t>.4－3.2分；</w:t>
            </w:r>
          </w:p>
          <w:p w14:paraId="77C2477B">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措施基本完善，措施基本合理，实施性一般，得2.4分。</w:t>
            </w:r>
          </w:p>
        </w:tc>
      </w:tr>
      <w:tr w14:paraId="1C8D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461" w:type="dxa"/>
            <w:vMerge w:val="continue"/>
            <w:vAlign w:val="center"/>
          </w:tcPr>
          <w:p w14:paraId="55CB95FE">
            <w:pPr>
              <w:spacing w:line="320" w:lineRule="exact"/>
              <w:jc w:val="center"/>
              <w:rPr>
                <w:rFonts w:hint="eastAsia" w:ascii="宋体" w:hAnsi="宋体"/>
                <w:color w:val="auto"/>
                <w:szCs w:val="21"/>
                <w:highlight w:val="none"/>
              </w:rPr>
            </w:pPr>
          </w:p>
        </w:tc>
        <w:tc>
          <w:tcPr>
            <w:tcW w:w="907" w:type="dxa"/>
            <w:vMerge w:val="continue"/>
            <w:vAlign w:val="center"/>
          </w:tcPr>
          <w:p w14:paraId="09450EDE">
            <w:pPr>
              <w:spacing w:line="320" w:lineRule="exact"/>
              <w:jc w:val="center"/>
              <w:rPr>
                <w:rFonts w:hint="eastAsia" w:ascii="宋体" w:hAnsi="宋体"/>
                <w:color w:val="auto"/>
                <w:szCs w:val="21"/>
                <w:highlight w:val="none"/>
              </w:rPr>
            </w:pPr>
          </w:p>
        </w:tc>
        <w:tc>
          <w:tcPr>
            <w:tcW w:w="832" w:type="dxa"/>
            <w:vMerge w:val="continue"/>
            <w:vAlign w:val="center"/>
          </w:tcPr>
          <w:p w14:paraId="5FF912DB">
            <w:pPr>
              <w:spacing w:line="320" w:lineRule="exact"/>
              <w:jc w:val="center"/>
              <w:rPr>
                <w:rFonts w:hint="eastAsia" w:ascii="宋体" w:hAnsi="宋体"/>
                <w:color w:val="auto"/>
                <w:szCs w:val="21"/>
                <w:highlight w:val="none"/>
              </w:rPr>
            </w:pPr>
          </w:p>
        </w:tc>
        <w:tc>
          <w:tcPr>
            <w:tcW w:w="1421" w:type="dxa"/>
            <w:vAlign w:val="center"/>
          </w:tcPr>
          <w:p w14:paraId="5998B215">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项目风险预测与防范，事故应急预案</w:t>
            </w:r>
          </w:p>
        </w:tc>
        <w:tc>
          <w:tcPr>
            <w:tcW w:w="638" w:type="dxa"/>
            <w:vAlign w:val="center"/>
          </w:tcPr>
          <w:p w14:paraId="1139BCD7">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4分</w:t>
            </w:r>
          </w:p>
        </w:tc>
        <w:tc>
          <w:tcPr>
            <w:tcW w:w="4247" w:type="dxa"/>
            <w:gridSpan w:val="2"/>
            <w:vAlign w:val="top"/>
          </w:tcPr>
          <w:p w14:paraId="640CB013">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措施完善，科学合理，实施性强得3.2－4.0分；</w:t>
            </w:r>
          </w:p>
          <w:p w14:paraId="2295FC0C">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措施较完善，措施较合理，实施性较强，得</w:t>
            </w:r>
            <w:r>
              <w:rPr>
                <w:rFonts w:hint="eastAsia" w:cs="Times New Roman"/>
                <w:strike w:val="0"/>
                <w:dstrike w:val="0"/>
                <w:color w:val="auto"/>
                <w:sz w:val="21"/>
                <w:szCs w:val="21"/>
                <w:highlight w:val="none"/>
                <w:lang w:val="en-US" w:eastAsia="zh-CN"/>
              </w:rPr>
              <w:t>2</w:t>
            </w:r>
            <w:r>
              <w:rPr>
                <w:rFonts w:hint="eastAsia" w:ascii="Times New Roman" w:hAnsi="Times New Roman" w:eastAsia="宋体" w:cs="Times New Roman"/>
                <w:strike w:val="0"/>
                <w:dstrike w:val="0"/>
                <w:color w:val="auto"/>
                <w:sz w:val="21"/>
                <w:szCs w:val="21"/>
                <w:highlight w:val="none"/>
                <w:lang w:val="en-US" w:eastAsia="zh-CN"/>
              </w:rPr>
              <w:t>.4－3.2分；</w:t>
            </w:r>
          </w:p>
          <w:p w14:paraId="7BAE3227">
            <w:pPr>
              <w:adjustRightInd w:val="0"/>
              <w:snapToGrid w:val="0"/>
              <w:rPr>
                <w:rFonts w:hint="eastAsia" w:ascii="Times New Roman" w:hAnsi="Times New Roman" w:eastAsia="宋体" w:cs="Times New Roman"/>
                <w:strike w:val="0"/>
                <w:dstrike w:val="0"/>
                <w:color w:val="auto"/>
                <w:sz w:val="21"/>
                <w:szCs w:val="21"/>
                <w:highlight w:val="none"/>
                <w:lang w:val="en-US" w:eastAsia="zh-CN"/>
              </w:rPr>
            </w:pPr>
            <w:r>
              <w:rPr>
                <w:rFonts w:hint="eastAsia" w:ascii="Times New Roman" w:hAnsi="Times New Roman" w:eastAsia="宋体" w:cs="Times New Roman"/>
                <w:strike w:val="0"/>
                <w:dstrike w:val="0"/>
                <w:color w:val="auto"/>
                <w:sz w:val="21"/>
                <w:szCs w:val="21"/>
                <w:highlight w:val="none"/>
                <w:lang w:val="en-US" w:eastAsia="zh-CN"/>
              </w:rPr>
              <w:t>措施基本完善，措施基本合理，实施性一般，得2.4分。</w:t>
            </w:r>
          </w:p>
        </w:tc>
      </w:tr>
      <w:tr w14:paraId="2AA0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0" w:hRule="atLeast"/>
          <w:jc w:val="center"/>
        </w:trPr>
        <w:tc>
          <w:tcPr>
            <w:tcW w:w="461" w:type="dxa"/>
            <w:vMerge w:val="restart"/>
            <w:vAlign w:val="center"/>
          </w:tcPr>
          <w:p w14:paraId="007B9F47">
            <w:pPr>
              <w:spacing w:line="320" w:lineRule="exact"/>
              <w:jc w:val="center"/>
              <w:rPr>
                <w:rFonts w:hint="eastAsia" w:ascii="宋体" w:hAnsi="宋体"/>
                <w:color w:val="auto"/>
                <w:szCs w:val="21"/>
                <w:highlight w:val="none"/>
              </w:rPr>
            </w:pPr>
            <w:r>
              <w:rPr>
                <w:rFonts w:hint="eastAsia"/>
                <w:color w:val="auto"/>
                <w:sz w:val="21"/>
                <w:szCs w:val="21"/>
                <w:highlight w:val="none"/>
              </w:rPr>
              <w:t>2.2.</w:t>
            </w:r>
            <w:r>
              <w:rPr>
                <w:rFonts w:hint="eastAsia"/>
                <w:color w:val="auto"/>
                <w:sz w:val="21"/>
                <w:szCs w:val="21"/>
                <w:highlight w:val="none"/>
                <w:lang w:val="en-US" w:eastAsia="zh-CN"/>
              </w:rPr>
              <w:t>2</w:t>
            </w:r>
            <w:r>
              <w:rPr>
                <w:rFonts w:hint="eastAsia"/>
                <w:color w:val="auto"/>
                <w:sz w:val="21"/>
                <w:szCs w:val="21"/>
                <w:highlight w:val="none"/>
              </w:rPr>
              <w:t>（</w:t>
            </w:r>
            <w:r>
              <w:rPr>
                <w:rFonts w:hint="eastAsia"/>
                <w:color w:val="auto"/>
                <w:sz w:val="21"/>
                <w:szCs w:val="21"/>
                <w:highlight w:val="none"/>
                <w:lang w:val="en-US" w:eastAsia="zh-CN"/>
              </w:rPr>
              <w:t>2</w:t>
            </w:r>
            <w:r>
              <w:rPr>
                <w:rFonts w:hint="eastAsia"/>
                <w:color w:val="auto"/>
                <w:sz w:val="21"/>
                <w:szCs w:val="21"/>
                <w:highlight w:val="none"/>
              </w:rPr>
              <w:t>）</w:t>
            </w:r>
          </w:p>
        </w:tc>
        <w:tc>
          <w:tcPr>
            <w:tcW w:w="907" w:type="dxa"/>
            <w:vMerge w:val="restart"/>
            <w:vAlign w:val="center"/>
          </w:tcPr>
          <w:p w14:paraId="407BFFBD">
            <w:pPr>
              <w:adjustRightInd w:val="0"/>
              <w:snapToGrid w:val="0"/>
              <w:jc w:val="center"/>
              <w:rPr>
                <w:rFonts w:hint="default"/>
                <w:color w:val="auto"/>
                <w:sz w:val="21"/>
                <w:szCs w:val="21"/>
                <w:highlight w:val="none"/>
                <w:lang w:val="en-US" w:eastAsia="zh-CN"/>
              </w:rPr>
            </w:pPr>
            <w:r>
              <w:rPr>
                <w:rFonts w:hint="eastAsia"/>
                <w:color w:val="auto"/>
                <w:sz w:val="21"/>
                <w:szCs w:val="21"/>
                <w:highlight w:val="none"/>
                <w:lang w:val="en-US" w:eastAsia="zh-CN"/>
              </w:rPr>
              <w:t>其他因素</w:t>
            </w:r>
          </w:p>
        </w:tc>
        <w:tc>
          <w:tcPr>
            <w:tcW w:w="832" w:type="dxa"/>
            <w:vMerge w:val="restart"/>
            <w:vAlign w:val="center"/>
          </w:tcPr>
          <w:p w14:paraId="34064296">
            <w:pPr>
              <w:adjustRightInd w:val="0"/>
              <w:snapToGrid w:val="0"/>
              <w:jc w:val="center"/>
              <w:rPr>
                <w:rFonts w:hint="default"/>
                <w:color w:val="auto"/>
                <w:sz w:val="21"/>
                <w:szCs w:val="21"/>
                <w:highlight w:val="none"/>
                <w:lang w:val="en-US" w:eastAsia="zh-CN"/>
              </w:rPr>
            </w:pPr>
            <w:r>
              <w:rPr>
                <w:rFonts w:hint="eastAsia"/>
                <w:color w:val="auto"/>
                <w:sz w:val="21"/>
                <w:szCs w:val="21"/>
                <w:highlight w:val="none"/>
                <w:lang w:val="en-US" w:eastAsia="zh-CN"/>
              </w:rPr>
              <w:t>30分</w:t>
            </w:r>
          </w:p>
        </w:tc>
        <w:tc>
          <w:tcPr>
            <w:tcW w:w="1421" w:type="dxa"/>
            <w:vMerge w:val="restart"/>
            <w:vAlign w:val="center"/>
          </w:tcPr>
          <w:p w14:paraId="6C1DE683">
            <w:pPr>
              <w:adjustRightInd w:val="0"/>
              <w:snapToGrid w:val="0"/>
              <w:jc w:val="both"/>
              <w:rPr>
                <w:rFonts w:hint="default" w:eastAsia="宋体"/>
                <w:color w:val="auto"/>
                <w:sz w:val="21"/>
                <w:szCs w:val="21"/>
                <w:highlight w:val="none"/>
                <w:lang w:val="en-US" w:eastAsia="zh-CN"/>
              </w:rPr>
            </w:pPr>
            <w:r>
              <w:rPr>
                <w:rFonts w:hint="eastAsia"/>
                <w:color w:val="auto"/>
                <w:sz w:val="21"/>
                <w:szCs w:val="21"/>
                <w:highlight w:val="none"/>
                <w:lang w:val="en-US" w:eastAsia="zh-CN"/>
              </w:rPr>
              <w:t>主要人员（项目经理业绩）</w:t>
            </w:r>
          </w:p>
        </w:tc>
        <w:tc>
          <w:tcPr>
            <w:tcW w:w="638" w:type="dxa"/>
            <w:vMerge w:val="restart"/>
            <w:vAlign w:val="center"/>
          </w:tcPr>
          <w:p w14:paraId="7D225DBD">
            <w:pPr>
              <w:adjustRightInd w:val="0"/>
              <w:snapToGrid w:val="0"/>
              <w:rPr>
                <w:rFonts w:hint="default" w:eastAsia="宋体"/>
                <w:color w:val="auto"/>
                <w:sz w:val="21"/>
                <w:szCs w:val="21"/>
                <w:highlight w:val="none"/>
                <w:lang w:val="en-US" w:eastAsia="zh-CN"/>
              </w:rPr>
            </w:pPr>
            <w:r>
              <w:rPr>
                <w:rFonts w:hint="eastAsia"/>
                <w:color w:val="auto"/>
                <w:sz w:val="21"/>
                <w:szCs w:val="21"/>
                <w:highlight w:val="none"/>
                <w:lang w:val="en-US" w:eastAsia="zh-CN"/>
              </w:rPr>
              <w:t>15分</w:t>
            </w:r>
          </w:p>
        </w:tc>
        <w:tc>
          <w:tcPr>
            <w:tcW w:w="754" w:type="dxa"/>
          </w:tcPr>
          <w:p w14:paraId="476204B9">
            <w:pPr>
              <w:adjustRightInd w:val="0"/>
              <w:snapToGrid w:val="0"/>
              <w:jc w:val="center"/>
              <w:rPr>
                <w:rFonts w:hint="eastAsia"/>
                <w:color w:val="auto"/>
                <w:sz w:val="21"/>
                <w:szCs w:val="21"/>
                <w:highlight w:val="none"/>
                <w:lang w:val="en-US" w:eastAsia="zh-CN"/>
              </w:rPr>
            </w:pPr>
          </w:p>
          <w:p w14:paraId="3A15C0D3">
            <w:pPr>
              <w:adjustRightInd w:val="0"/>
              <w:snapToGrid w:val="0"/>
              <w:jc w:val="center"/>
              <w:rPr>
                <w:rFonts w:hint="eastAsia"/>
                <w:color w:val="auto"/>
                <w:sz w:val="21"/>
                <w:szCs w:val="21"/>
                <w:highlight w:val="none"/>
                <w:lang w:val="en-US" w:eastAsia="zh-CN"/>
              </w:rPr>
            </w:pPr>
          </w:p>
          <w:p w14:paraId="4B7C1E6B">
            <w:pPr>
              <w:adjustRightInd w:val="0"/>
              <w:snapToGrid w:val="0"/>
              <w:jc w:val="center"/>
              <w:rPr>
                <w:rFonts w:hint="eastAsia"/>
                <w:color w:val="auto"/>
                <w:sz w:val="21"/>
                <w:szCs w:val="21"/>
                <w:highlight w:val="none"/>
                <w:lang w:val="en-US" w:eastAsia="zh-CN"/>
              </w:rPr>
            </w:pPr>
          </w:p>
          <w:p w14:paraId="4C9A5294">
            <w:pPr>
              <w:adjustRightInd w:val="0"/>
              <w:snapToGrid w:val="0"/>
              <w:jc w:val="center"/>
              <w:rPr>
                <w:rFonts w:hint="eastAsia"/>
                <w:color w:val="auto"/>
                <w:sz w:val="21"/>
                <w:szCs w:val="21"/>
                <w:highlight w:val="none"/>
                <w:lang w:val="en-US" w:eastAsia="zh-CN"/>
              </w:rPr>
            </w:pPr>
          </w:p>
          <w:p w14:paraId="5EC18982">
            <w:pPr>
              <w:adjustRightInd w:val="0"/>
              <w:snapToGrid w:val="0"/>
              <w:jc w:val="center"/>
              <w:rPr>
                <w:rFonts w:hint="eastAsia"/>
                <w:color w:val="auto"/>
                <w:sz w:val="21"/>
                <w:szCs w:val="21"/>
                <w:highlight w:val="none"/>
                <w:lang w:val="en-US" w:eastAsia="zh-CN"/>
              </w:rPr>
            </w:pPr>
          </w:p>
          <w:p w14:paraId="5BCFA48A">
            <w:pPr>
              <w:adjustRightInd w:val="0"/>
              <w:snapToGrid w:val="0"/>
              <w:jc w:val="center"/>
              <w:rPr>
                <w:rFonts w:hint="eastAsia"/>
                <w:color w:val="auto"/>
                <w:sz w:val="21"/>
                <w:szCs w:val="21"/>
                <w:highlight w:val="none"/>
                <w:lang w:val="en-US" w:eastAsia="zh-CN"/>
              </w:rPr>
            </w:pPr>
          </w:p>
          <w:p w14:paraId="68B5C54C">
            <w:pPr>
              <w:adjustRightInd w:val="0"/>
              <w:snapToGrid w:val="0"/>
              <w:jc w:val="center"/>
              <w:rPr>
                <w:rFonts w:hint="default"/>
                <w:color w:val="auto"/>
                <w:sz w:val="21"/>
                <w:szCs w:val="21"/>
                <w:highlight w:val="none"/>
                <w:lang w:val="en-US" w:eastAsia="zh-CN"/>
              </w:rPr>
            </w:pPr>
            <w:r>
              <w:rPr>
                <w:rFonts w:hint="eastAsia"/>
                <w:color w:val="auto"/>
                <w:sz w:val="21"/>
                <w:szCs w:val="21"/>
                <w:highlight w:val="none"/>
                <w:lang w:val="en-US" w:eastAsia="zh-CN"/>
              </w:rPr>
              <w:t>TJ-3</w:t>
            </w:r>
          </w:p>
        </w:tc>
        <w:tc>
          <w:tcPr>
            <w:tcW w:w="3493" w:type="dxa"/>
          </w:tcPr>
          <w:p w14:paraId="73FF4F7A">
            <w:pPr>
              <w:adjustRightInd w:val="0"/>
              <w:snapToGrid w:val="0"/>
              <w:rPr>
                <w:rFonts w:hint="eastAsia"/>
                <w:color w:val="auto"/>
                <w:sz w:val="21"/>
                <w:szCs w:val="21"/>
                <w:highlight w:val="none"/>
                <w:lang w:val="en-US" w:eastAsia="zh-CN"/>
              </w:rPr>
            </w:pPr>
            <w:r>
              <w:rPr>
                <w:rFonts w:hint="eastAsia"/>
                <w:color w:val="auto"/>
                <w:sz w:val="21"/>
                <w:szCs w:val="21"/>
                <w:highlight w:val="none"/>
                <w:lang w:val="en-US" w:eastAsia="zh-CN"/>
              </w:rPr>
              <w:t>（1）满足资格审查条件（项目经理和项目总工最低要求）中项目经理最低要求，得9分；</w:t>
            </w:r>
          </w:p>
          <w:p w14:paraId="52A42C84">
            <w:pPr>
              <w:adjustRightInd w:val="0"/>
              <w:snapToGrid w:val="0"/>
              <w:rPr>
                <w:rFonts w:hint="eastAsia"/>
                <w:color w:val="auto"/>
                <w:sz w:val="21"/>
                <w:szCs w:val="21"/>
                <w:highlight w:val="none"/>
                <w:lang w:val="en-US" w:eastAsia="zh-CN"/>
              </w:rPr>
            </w:pPr>
            <w:r>
              <w:rPr>
                <w:rFonts w:hint="eastAsia"/>
                <w:color w:val="auto"/>
                <w:sz w:val="21"/>
                <w:szCs w:val="21"/>
                <w:highlight w:val="none"/>
                <w:lang w:val="en-US" w:eastAsia="zh-CN"/>
              </w:rPr>
              <w:t>（2）近5年（2021年9月1日至今，以工程交工日期为准），每增加担任过1条（段）新建或改扩建高速公路（含特大桥）主体工程施工项目的项目经理或项目副经理或项目总工的加6分，最多加6分。</w:t>
            </w:r>
          </w:p>
          <w:p w14:paraId="34E8CB2D">
            <w:pPr>
              <w:adjustRightInd w:val="0"/>
              <w:snapToGrid w:val="0"/>
              <w:rPr>
                <w:rFonts w:hint="eastAsia"/>
                <w:color w:val="auto"/>
                <w:sz w:val="21"/>
                <w:szCs w:val="21"/>
                <w:highlight w:val="none"/>
                <w:lang w:val="en-US" w:eastAsia="zh-CN"/>
              </w:rPr>
            </w:pPr>
            <w:r>
              <w:rPr>
                <w:rFonts w:hint="eastAsia"/>
                <w:color w:val="auto"/>
                <w:sz w:val="21"/>
                <w:szCs w:val="21"/>
                <w:highlight w:val="none"/>
                <w:lang w:val="en-US" w:eastAsia="zh-CN"/>
              </w:rPr>
              <w:t>注：如一项业绩同时满足(1)和(2)的，得15分。</w:t>
            </w:r>
          </w:p>
        </w:tc>
      </w:tr>
      <w:tr w14:paraId="37BD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461" w:type="dxa"/>
            <w:vMerge w:val="continue"/>
            <w:vAlign w:val="center"/>
          </w:tcPr>
          <w:p w14:paraId="3DE3A503">
            <w:pPr>
              <w:adjustRightInd w:val="0"/>
              <w:snapToGrid w:val="0"/>
              <w:rPr>
                <w:color w:val="auto"/>
                <w:highlight w:val="none"/>
              </w:rPr>
            </w:pPr>
          </w:p>
        </w:tc>
        <w:tc>
          <w:tcPr>
            <w:tcW w:w="907" w:type="dxa"/>
            <w:vMerge w:val="continue"/>
            <w:vAlign w:val="center"/>
          </w:tcPr>
          <w:p w14:paraId="465D19C3">
            <w:pPr>
              <w:adjustRightInd w:val="0"/>
              <w:snapToGrid w:val="0"/>
              <w:rPr>
                <w:color w:val="auto"/>
                <w:highlight w:val="none"/>
              </w:rPr>
            </w:pPr>
          </w:p>
        </w:tc>
        <w:tc>
          <w:tcPr>
            <w:tcW w:w="832" w:type="dxa"/>
            <w:vMerge w:val="continue"/>
            <w:vAlign w:val="center"/>
          </w:tcPr>
          <w:p w14:paraId="2D193302">
            <w:pPr>
              <w:adjustRightInd w:val="0"/>
              <w:snapToGrid w:val="0"/>
              <w:rPr>
                <w:color w:val="auto"/>
                <w:highlight w:val="none"/>
              </w:rPr>
            </w:pPr>
          </w:p>
        </w:tc>
        <w:tc>
          <w:tcPr>
            <w:tcW w:w="1421" w:type="dxa"/>
            <w:vMerge w:val="continue"/>
            <w:vAlign w:val="center"/>
          </w:tcPr>
          <w:p w14:paraId="64AE39BF">
            <w:pPr>
              <w:adjustRightInd w:val="0"/>
              <w:snapToGrid w:val="0"/>
              <w:rPr>
                <w:color w:val="auto"/>
                <w:highlight w:val="none"/>
              </w:rPr>
            </w:pPr>
          </w:p>
        </w:tc>
        <w:tc>
          <w:tcPr>
            <w:tcW w:w="638" w:type="dxa"/>
            <w:vMerge w:val="continue"/>
            <w:vAlign w:val="center"/>
          </w:tcPr>
          <w:p w14:paraId="5577C166">
            <w:pPr>
              <w:adjustRightInd w:val="0"/>
              <w:snapToGrid w:val="0"/>
              <w:rPr>
                <w:color w:val="auto"/>
                <w:highlight w:val="none"/>
              </w:rPr>
            </w:pPr>
          </w:p>
        </w:tc>
        <w:tc>
          <w:tcPr>
            <w:tcW w:w="754" w:type="dxa"/>
            <w:vAlign w:val="top"/>
          </w:tcPr>
          <w:p w14:paraId="45B27BAA">
            <w:pPr>
              <w:adjustRightInd w:val="0"/>
              <w:snapToGrid w:val="0"/>
              <w:jc w:val="center"/>
              <w:rPr>
                <w:rFonts w:hint="eastAsia"/>
                <w:color w:val="auto"/>
                <w:sz w:val="21"/>
                <w:szCs w:val="21"/>
                <w:highlight w:val="none"/>
                <w:lang w:val="en-US" w:eastAsia="zh-CN"/>
              </w:rPr>
            </w:pPr>
          </w:p>
          <w:p w14:paraId="1B82E154">
            <w:pPr>
              <w:adjustRightInd w:val="0"/>
              <w:snapToGrid w:val="0"/>
              <w:jc w:val="center"/>
              <w:rPr>
                <w:rFonts w:hint="eastAsia"/>
                <w:color w:val="auto"/>
                <w:sz w:val="21"/>
                <w:szCs w:val="21"/>
                <w:highlight w:val="none"/>
                <w:lang w:val="en-US" w:eastAsia="zh-CN"/>
              </w:rPr>
            </w:pPr>
          </w:p>
          <w:p w14:paraId="511ACB71">
            <w:pPr>
              <w:adjustRightInd w:val="0"/>
              <w:snapToGrid w:val="0"/>
              <w:jc w:val="center"/>
              <w:rPr>
                <w:rFonts w:hint="eastAsia"/>
                <w:color w:val="auto"/>
                <w:sz w:val="21"/>
                <w:szCs w:val="21"/>
                <w:highlight w:val="none"/>
                <w:lang w:val="en-US" w:eastAsia="zh-CN"/>
              </w:rPr>
            </w:pPr>
          </w:p>
          <w:p w14:paraId="3A0157B4">
            <w:pPr>
              <w:adjustRightInd w:val="0"/>
              <w:snapToGrid w:val="0"/>
              <w:jc w:val="center"/>
              <w:rPr>
                <w:rFonts w:hint="eastAsia"/>
                <w:color w:val="auto"/>
                <w:sz w:val="21"/>
                <w:szCs w:val="21"/>
                <w:highlight w:val="none"/>
                <w:lang w:val="en-US" w:eastAsia="zh-CN"/>
              </w:rPr>
            </w:pPr>
          </w:p>
          <w:p w14:paraId="519F9E45">
            <w:pPr>
              <w:adjustRightInd w:val="0"/>
              <w:snapToGrid w:val="0"/>
              <w:jc w:val="center"/>
              <w:rPr>
                <w:rFonts w:hint="eastAsia"/>
                <w:color w:val="auto"/>
                <w:sz w:val="21"/>
                <w:szCs w:val="21"/>
                <w:highlight w:val="none"/>
                <w:lang w:val="en-US" w:eastAsia="zh-CN"/>
              </w:rPr>
            </w:pPr>
          </w:p>
          <w:p w14:paraId="6F3A7652">
            <w:pPr>
              <w:adjustRightInd w:val="0"/>
              <w:snapToGrid w:val="0"/>
              <w:jc w:val="center"/>
              <w:rPr>
                <w:rFonts w:hint="eastAsia"/>
                <w:color w:val="auto"/>
                <w:sz w:val="21"/>
                <w:szCs w:val="21"/>
                <w:highlight w:val="none"/>
                <w:lang w:val="en-US" w:eastAsia="zh-CN"/>
              </w:rPr>
            </w:pPr>
          </w:p>
          <w:p w14:paraId="4878E9F2">
            <w:pPr>
              <w:adjustRightInd w:val="0"/>
              <w:snapToGrid w:val="0"/>
              <w:jc w:val="center"/>
              <w:rPr>
                <w:rFonts w:hint="eastAsia"/>
                <w:color w:val="auto"/>
                <w:sz w:val="21"/>
                <w:szCs w:val="21"/>
                <w:highlight w:val="none"/>
              </w:rPr>
            </w:pPr>
            <w:r>
              <w:rPr>
                <w:rFonts w:hint="eastAsia"/>
                <w:color w:val="auto"/>
                <w:sz w:val="21"/>
                <w:szCs w:val="21"/>
                <w:highlight w:val="none"/>
                <w:lang w:val="en-US" w:eastAsia="zh-CN"/>
              </w:rPr>
              <w:t>TJ-5</w:t>
            </w:r>
          </w:p>
        </w:tc>
        <w:tc>
          <w:tcPr>
            <w:tcW w:w="3493" w:type="dxa"/>
            <w:vAlign w:val="top"/>
          </w:tcPr>
          <w:p w14:paraId="43B9DB57">
            <w:pPr>
              <w:adjustRightInd w:val="0"/>
              <w:snapToGrid w:val="0"/>
              <w:rPr>
                <w:rFonts w:hint="eastAsia"/>
                <w:color w:val="auto"/>
                <w:sz w:val="21"/>
                <w:szCs w:val="21"/>
                <w:highlight w:val="none"/>
                <w:lang w:val="en-US" w:eastAsia="zh-CN"/>
              </w:rPr>
            </w:pPr>
            <w:r>
              <w:rPr>
                <w:rFonts w:hint="eastAsia"/>
                <w:color w:val="auto"/>
                <w:sz w:val="21"/>
                <w:szCs w:val="21"/>
                <w:highlight w:val="none"/>
                <w:lang w:val="en-US" w:eastAsia="zh-CN"/>
              </w:rPr>
              <w:t>（1）满足资格审查条件（项目经理和项目总工最低要求）中项目经理最低要求，得9分；</w:t>
            </w:r>
          </w:p>
          <w:p w14:paraId="743E1D7B">
            <w:pPr>
              <w:adjustRightInd w:val="0"/>
              <w:snapToGrid w:val="0"/>
              <w:rPr>
                <w:rFonts w:hint="eastAsia"/>
                <w:color w:val="auto"/>
                <w:sz w:val="21"/>
                <w:szCs w:val="21"/>
                <w:highlight w:val="none"/>
                <w:lang w:val="en-US" w:eastAsia="zh-CN"/>
              </w:rPr>
            </w:pPr>
            <w:r>
              <w:rPr>
                <w:rFonts w:hint="eastAsia"/>
                <w:color w:val="auto"/>
                <w:sz w:val="21"/>
                <w:szCs w:val="21"/>
                <w:highlight w:val="none"/>
                <w:lang w:val="en-US" w:eastAsia="zh-CN"/>
              </w:rPr>
              <w:t>（2）近5年（2021年9月1日至今，以工程交工日期为准），每增加担任过1条（段）新建或改扩建高速公路（含特大桥）主体工程施工项目的项目经理或项目副经理或项目总工的加6分，最多加6分。</w:t>
            </w:r>
          </w:p>
          <w:p w14:paraId="5E9B83BC">
            <w:pPr>
              <w:adjustRightInd w:val="0"/>
              <w:snapToGrid w:val="0"/>
              <w:rPr>
                <w:rFonts w:hint="eastAsia"/>
                <w:color w:val="auto"/>
                <w:sz w:val="21"/>
                <w:szCs w:val="21"/>
                <w:highlight w:val="none"/>
                <w:lang w:val="en-US" w:eastAsia="zh-CN"/>
              </w:rPr>
            </w:pPr>
            <w:r>
              <w:rPr>
                <w:rFonts w:hint="eastAsia"/>
                <w:color w:val="auto"/>
                <w:sz w:val="21"/>
                <w:szCs w:val="21"/>
                <w:highlight w:val="none"/>
                <w:lang w:val="en-US" w:eastAsia="zh-CN"/>
              </w:rPr>
              <w:t>注：如一项业绩同时满足(1)和(2)的，得15分。</w:t>
            </w:r>
          </w:p>
        </w:tc>
      </w:tr>
      <w:tr w14:paraId="0CCC0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461" w:type="dxa"/>
            <w:vMerge w:val="continue"/>
            <w:vAlign w:val="center"/>
          </w:tcPr>
          <w:p w14:paraId="37BBA618">
            <w:pPr>
              <w:spacing w:line="320" w:lineRule="exact"/>
              <w:jc w:val="center"/>
              <w:rPr>
                <w:rFonts w:hint="eastAsia" w:ascii="宋体" w:hAnsi="宋体"/>
                <w:color w:val="auto"/>
                <w:szCs w:val="21"/>
                <w:highlight w:val="none"/>
              </w:rPr>
            </w:pPr>
          </w:p>
        </w:tc>
        <w:tc>
          <w:tcPr>
            <w:tcW w:w="907" w:type="dxa"/>
            <w:vMerge w:val="continue"/>
            <w:vAlign w:val="center"/>
          </w:tcPr>
          <w:p w14:paraId="3ADEE40B">
            <w:pPr>
              <w:adjustRightInd w:val="0"/>
              <w:snapToGrid w:val="0"/>
              <w:jc w:val="center"/>
              <w:rPr>
                <w:rFonts w:hint="eastAsia"/>
                <w:color w:val="auto"/>
                <w:sz w:val="21"/>
                <w:szCs w:val="21"/>
                <w:highlight w:val="none"/>
                <w:lang w:val="en-US" w:eastAsia="zh-CN"/>
              </w:rPr>
            </w:pPr>
          </w:p>
        </w:tc>
        <w:tc>
          <w:tcPr>
            <w:tcW w:w="832" w:type="dxa"/>
            <w:vMerge w:val="continue"/>
            <w:vAlign w:val="center"/>
          </w:tcPr>
          <w:p w14:paraId="2BAA9022">
            <w:pPr>
              <w:adjustRightInd w:val="0"/>
              <w:snapToGrid w:val="0"/>
              <w:jc w:val="center"/>
              <w:rPr>
                <w:rFonts w:hint="eastAsia"/>
                <w:color w:val="auto"/>
                <w:sz w:val="21"/>
                <w:szCs w:val="21"/>
                <w:highlight w:val="none"/>
                <w:lang w:val="en-US" w:eastAsia="zh-CN"/>
              </w:rPr>
            </w:pPr>
          </w:p>
        </w:tc>
        <w:tc>
          <w:tcPr>
            <w:tcW w:w="1421" w:type="dxa"/>
            <w:vMerge w:val="restart"/>
            <w:vAlign w:val="center"/>
          </w:tcPr>
          <w:p w14:paraId="4E66FE86">
            <w:pPr>
              <w:adjustRightInd w:val="0"/>
              <w:snapToGrid w:val="0"/>
              <w:jc w:val="both"/>
              <w:rPr>
                <w:rFonts w:hint="default"/>
                <w:color w:val="auto"/>
                <w:sz w:val="21"/>
                <w:szCs w:val="21"/>
                <w:highlight w:val="none"/>
                <w:lang w:val="en-US" w:eastAsia="zh-CN"/>
              </w:rPr>
            </w:pPr>
            <w:r>
              <w:rPr>
                <w:rFonts w:hint="eastAsia"/>
                <w:color w:val="auto"/>
                <w:sz w:val="21"/>
                <w:szCs w:val="21"/>
                <w:highlight w:val="none"/>
                <w:lang w:val="en-US" w:eastAsia="zh-CN"/>
              </w:rPr>
              <w:t>主要人员（项目总工业绩）</w:t>
            </w:r>
          </w:p>
        </w:tc>
        <w:tc>
          <w:tcPr>
            <w:tcW w:w="638" w:type="dxa"/>
            <w:vMerge w:val="restart"/>
            <w:vAlign w:val="center"/>
          </w:tcPr>
          <w:p w14:paraId="26F1BFEB">
            <w:pPr>
              <w:adjustRightInd w:val="0"/>
              <w:snapToGrid w:val="0"/>
              <w:rPr>
                <w:rFonts w:hint="eastAsia"/>
                <w:color w:val="auto"/>
                <w:sz w:val="21"/>
                <w:szCs w:val="21"/>
                <w:highlight w:val="none"/>
                <w:lang w:val="en-US" w:eastAsia="zh-CN"/>
              </w:rPr>
            </w:pPr>
            <w:r>
              <w:rPr>
                <w:rFonts w:hint="eastAsia"/>
                <w:color w:val="auto"/>
                <w:sz w:val="21"/>
                <w:szCs w:val="21"/>
                <w:highlight w:val="none"/>
                <w:lang w:val="en-US" w:eastAsia="zh-CN"/>
              </w:rPr>
              <w:t>15分</w:t>
            </w:r>
          </w:p>
        </w:tc>
        <w:tc>
          <w:tcPr>
            <w:tcW w:w="754" w:type="dxa"/>
            <w:vAlign w:val="top"/>
          </w:tcPr>
          <w:p w14:paraId="576A9AE7">
            <w:pPr>
              <w:adjustRightInd w:val="0"/>
              <w:snapToGrid w:val="0"/>
              <w:jc w:val="center"/>
              <w:rPr>
                <w:rFonts w:hint="eastAsia"/>
                <w:color w:val="auto"/>
                <w:sz w:val="21"/>
                <w:szCs w:val="21"/>
                <w:highlight w:val="none"/>
                <w:lang w:val="en-US" w:eastAsia="zh-CN"/>
              </w:rPr>
            </w:pPr>
          </w:p>
          <w:p w14:paraId="07B143D3">
            <w:pPr>
              <w:adjustRightInd w:val="0"/>
              <w:snapToGrid w:val="0"/>
              <w:jc w:val="center"/>
              <w:rPr>
                <w:rFonts w:hint="eastAsia"/>
                <w:color w:val="auto"/>
                <w:sz w:val="21"/>
                <w:szCs w:val="21"/>
                <w:highlight w:val="none"/>
                <w:lang w:val="en-US" w:eastAsia="zh-CN"/>
              </w:rPr>
            </w:pPr>
          </w:p>
          <w:p w14:paraId="4FE071F8">
            <w:pPr>
              <w:adjustRightInd w:val="0"/>
              <w:snapToGrid w:val="0"/>
              <w:jc w:val="center"/>
              <w:rPr>
                <w:rFonts w:hint="eastAsia"/>
                <w:color w:val="auto"/>
                <w:sz w:val="21"/>
                <w:szCs w:val="21"/>
                <w:highlight w:val="none"/>
                <w:lang w:val="en-US" w:eastAsia="zh-CN"/>
              </w:rPr>
            </w:pPr>
          </w:p>
          <w:p w14:paraId="4E472926">
            <w:pPr>
              <w:adjustRightInd w:val="0"/>
              <w:snapToGrid w:val="0"/>
              <w:jc w:val="center"/>
              <w:rPr>
                <w:rFonts w:hint="eastAsia"/>
                <w:color w:val="auto"/>
                <w:sz w:val="21"/>
                <w:szCs w:val="21"/>
                <w:highlight w:val="none"/>
                <w:lang w:val="en-US" w:eastAsia="zh-CN"/>
              </w:rPr>
            </w:pPr>
          </w:p>
          <w:p w14:paraId="0FAEB454">
            <w:pPr>
              <w:adjustRightInd w:val="0"/>
              <w:snapToGrid w:val="0"/>
              <w:jc w:val="center"/>
              <w:rPr>
                <w:rFonts w:hint="eastAsia"/>
                <w:color w:val="auto"/>
                <w:sz w:val="21"/>
                <w:szCs w:val="21"/>
                <w:highlight w:val="none"/>
                <w:lang w:val="en-US" w:eastAsia="zh-CN"/>
              </w:rPr>
            </w:pPr>
          </w:p>
          <w:p w14:paraId="281EC798">
            <w:pPr>
              <w:adjustRightInd w:val="0"/>
              <w:snapToGrid w:val="0"/>
              <w:jc w:val="center"/>
              <w:rPr>
                <w:rFonts w:hint="eastAsia"/>
                <w:color w:val="auto"/>
                <w:sz w:val="21"/>
                <w:szCs w:val="21"/>
                <w:highlight w:val="none"/>
                <w:lang w:val="en-US" w:eastAsia="zh-CN"/>
              </w:rPr>
            </w:pPr>
          </w:p>
          <w:p w14:paraId="28D3C6BB">
            <w:pPr>
              <w:adjustRightInd w:val="0"/>
              <w:snapToGrid w:val="0"/>
              <w:jc w:val="center"/>
              <w:rPr>
                <w:rFonts w:hint="default"/>
                <w:color w:val="auto"/>
                <w:sz w:val="21"/>
                <w:szCs w:val="21"/>
                <w:highlight w:val="none"/>
                <w:lang w:val="en-US" w:eastAsia="zh-CN"/>
              </w:rPr>
            </w:pPr>
            <w:r>
              <w:rPr>
                <w:rFonts w:hint="eastAsia"/>
                <w:color w:val="auto"/>
                <w:sz w:val="21"/>
                <w:szCs w:val="21"/>
                <w:highlight w:val="none"/>
                <w:lang w:val="en-US" w:eastAsia="zh-CN"/>
              </w:rPr>
              <w:t>TJ-3</w:t>
            </w:r>
          </w:p>
        </w:tc>
        <w:tc>
          <w:tcPr>
            <w:tcW w:w="3493" w:type="dxa"/>
          </w:tcPr>
          <w:p w14:paraId="3E6F6E59">
            <w:pPr>
              <w:adjustRightInd w:val="0"/>
              <w:snapToGrid w:val="0"/>
              <w:rPr>
                <w:rFonts w:hint="eastAsia"/>
                <w:color w:val="auto"/>
                <w:sz w:val="21"/>
                <w:szCs w:val="21"/>
                <w:highlight w:val="none"/>
                <w:lang w:val="en-US" w:eastAsia="zh-CN"/>
              </w:rPr>
            </w:pPr>
            <w:r>
              <w:rPr>
                <w:rFonts w:hint="eastAsia"/>
                <w:color w:val="auto"/>
                <w:sz w:val="21"/>
                <w:szCs w:val="21"/>
                <w:highlight w:val="none"/>
                <w:lang w:val="en-US" w:eastAsia="zh-CN"/>
              </w:rPr>
              <w:t>（1）满足资格审查条件（项目经理和项目总工最低要求）中项目总工最低要求，得9分；</w:t>
            </w:r>
          </w:p>
          <w:p w14:paraId="49F413E1">
            <w:pPr>
              <w:adjustRightInd w:val="0"/>
              <w:snapToGrid w:val="0"/>
              <w:rPr>
                <w:rFonts w:hint="eastAsia"/>
                <w:color w:val="auto"/>
                <w:sz w:val="21"/>
                <w:szCs w:val="21"/>
                <w:highlight w:val="none"/>
                <w:lang w:val="en-US" w:eastAsia="zh-CN"/>
              </w:rPr>
            </w:pPr>
            <w:r>
              <w:rPr>
                <w:rFonts w:hint="eastAsia"/>
                <w:color w:val="auto"/>
                <w:sz w:val="21"/>
                <w:szCs w:val="21"/>
                <w:highlight w:val="none"/>
                <w:lang w:val="en-US" w:eastAsia="zh-CN"/>
              </w:rPr>
              <w:t>（2）近5年（2021年9月1日至今，以工程交工日期为准），每增加担任过1条（段）新建或改扩建高速公路（含特大桥）主体工程施工项目的项目总工或项目副总工或项目经理的加6分，最多加6分。</w:t>
            </w:r>
          </w:p>
          <w:p w14:paraId="6201DA4A">
            <w:pPr>
              <w:adjustRightInd w:val="0"/>
              <w:snapToGrid w:val="0"/>
              <w:rPr>
                <w:rFonts w:hint="eastAsia"/>
                <w:color w:val="auto"/>
                <w:sz w:val="21"/>
                <w:szCs w:val="21"/>
                <w:highlight w:val="none"/>
                <w:lang w:val="en-US" w:eastAsia="zh-CN"/>
              </w:rPr>
            </w:pPr>
            <w:r>
              <w:rPr>
                <w:rFonts w:hint="eastAsia"/>
                <w:color w:val="auto"/>
                <w:sz w:val="21"/>
                <w:szCs w:val="21"/>
                <w:highlight w:val="none"/>
                <w:lang w:val="en-US" w:eastAsia="zh-CN"/>
              </w:rPr>
              <w:t>注：如一项业绩同时满足(1)和(2)的，得15分。</w:t>
            </w:r>
          </w:p>
        </w:tc>
      </w:tr>
      <w:tr w14:paraId="757B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461" w:type="dxa"/>
            <w:vMerge w:val="continue"/>
            <w:vAlign w:val="center"/>
          </w:tcPr>
          <w:p w14:paraId="342928E4">
            <w:pPr>
              <w:adjustRightInd w:val="0"/>
              <w:snapToGrid w:val="0"/>
              <w:rPr>
                <w:color w:val="auto"/>
                <w:highlight w:val="none"/>
              </w:rPr>
            </w:pPr>
          </w:p>
        </w:tc>
        <w:tc>
          <w:tcPr>
            <w:tcW w:w="907" w:type="dxa"/>
            <w:vMerge w:val="continue"/>
            <w:vAlign w:val="center"/>
          </w:tcPr>
          <w:p w14:paraId="475DA02A">
            <w:pPr>
              <w:adjustRightInd w:val="0"/>
              <w:snapToGrid w:val="0"/>
              <w:rPr>
                <w:color w:val="auto"/>
                <w:highlight w:val="none"/>
              </w:rPr>
            </w:pPr>
          </w:p>
        </w:tc>
        <w:tc>
          <w:tcPr>
            <w:tcW w:w="832" w:type="dxa"/>
            <w:vMerge w:val="continue"/>
            <w:vAlign w:val="center"/>
          </w:tcPr>
          <w:p w14:paraId="6119B254">
            <w:pPr>
              <w:adjustRightInd w:val="0"/>
              <w:snapToGrid w:val="0"/>
              <w:rPr>
                <w:color w:val="auto"/>
                <w:highlight w:val="none"/>
              </w:rPr>
            </w:pPr>
          </w:p>
        </w:tc>
        <w:tc>
          <w:tcPr>
            <w:tcW w:w="1421" w:type="dxa"/>
            <w:vMerge w:val="continue"/>
            <w:vAlign w:val="center"/>
          </w:tcPr>
          <w:p w14:paraId="213A9CEE">
            <w:pPr>
              <w:adjustRightInd w:val="0"/>
              <w:snapToGrid w:val="0"/>
              <w:rPr>
                <w:color w:val="auto"/>
                <w:highlight w:val="none"/>
              </w:rPr>
            </w:pPr>
          </w:p>
        </w:tc>
        <w:tc>
          <w:tcPr>
            <w:tcW w:w="638" w:type="dxa"/>
            <w:vMerge w:val="continue"/>
            <w:vAlign w:val="center"/>
          </w:tcPr>
          <w:p w14:paraId="4F206ACA">
            <w:pPr>
              <w:adjustRightInd w:val="0"/>
              <w:snapToGrid w:val="0"/>
              <w:rPr>
                <w:rFonts w:hint="eastAsia"/>
                <w:color w:val="auto"/>
                <w:sz w:val="21"/>
                <w:szCs w:val="21"/>
                <w:highlight w:val="none"/>
                <w:lang w:val="en-US" w:eastAsia="zh-CN"/>
              </w:rPr>
            </w:pPr>
          </w:p>
        </w:tc>
        <w:tc>
          <w:tcPr>
            <w:tcW w:w="754" w:type="dxa"/>
            <w:vAlign w:val="top"/>
          </w:tcPr>
          <w:p w14:paraId="12D57273">
            <w:pPr>
              <w:adjustRightInd w:val="0"/>
              <w:snapToGrid w:val="0"/>
              <w:jc w:val="center"/>
              <w:rPr>
                <w:rFonts w:hint="eastAsia"/>
                <w:color w:val="auto"/>
                <w:sz w:val="21"/>
                <w:szCs w:val="21"/>
                <w:highlight w:val="none"/>
                <w:lang w:val="en-US" w:eastAsia="zh-CN"/>
              </w:rPr>
            </w:pPr>
          </w:p>
          <w:p w14:paraId="336E7CF2">
            <w:pPr>
              <w:adjustRightInd w:val="0"/>
              <w:snapToGrid w:val="0"/>
              <w:jc w:val="center"/>
              <w:rPr>
                <w:rFonts w:hint="eastAsia"/>
                <w:color w:val="auto"/>
                <w:sz w:val="21"/>
                <w:szCs w:val="21"/>
                <w:highlight w:val="none"/>
                <w:lang w:val="en-US" w:eastAsia="zh-CN"/>
              </w:rPr>
            </w:pPr>
          </w:p>
          <w:p w14:paraId="2296F7D0">
            <w:pPr>
              <w:adjustRightInd w:val="0"/>
              <w:snapToGrid w:val="0"/>
              <w:jc w:val="center"/>
              <w:rPr>
                <w:rFonts w:hint="eastAsia"/>
                <w:color w:val="auto"/>
                <w:sz w:val="21"/>
                <w:szCs w:val="21"/>
                <w:highlight w:val="none"/>
                <w:lang w:val="en-US" w:eastAsia="zh-CN"/>
              </w:rPr>
            </w:pPr>
          </w:p>
          <w:p w14:paraId="352D1367">
            <w:pPr>
              <w:adjustRightInd w:val="0"/>
              <w:snapToGrid w:val="0"/>
              <w:jc w:val="center"/>
              <w:rPr>
                <w:rFonts w:hint="eastAsia"/>
                <w:color w:val="auto"/>
                <w:sz w:val="21"/>
                <w:szCs w:val="21"/>
                <w:highlight w:val="none"/>
                <w:lang w:val="en-US" w:eastAsia="zh-CN"/>
              </w:rPr>
            </w:pPr>
          </w:p>
          <w:p w14:paraId="346FA2B2">
            <w:pPr>
              <w:adjustRightInd w:val="0"/>
              <w:snapToGrid w:val="0"/>
              <w:jc w:val="center"/>
              <w:rPr>
                <w:rFonts w:hint="eastAsia"/>
                <w:color w:val="auto"/>
                <w:sz w:val="21"/>
                <w:szCs w:val="21"/>
                <w:highlight w:val="none"/>
                <w:lang w:val="en-US" w:eastAsia="zh-CN"/>
              </w:rPr>
            </w:pPr>
          </w:p>
          <w:p w14:paraId="75FD6D1C">
            <w:pPr>
              <w:adjustRightInd w:val="0"/>
              <w:snapToGrid w:val="0"/>
              <w:jc w:val="center"/>
              <w:rPr>
                <w:rFonts w:hint="eastAsia"/>
                <w:color w:val="auto"/>
                <w:sz w:val="21"/>
                <w:szCs w:val="21"/>
                <w:highlight w:val="none"/>
                <w:lang w:val="en-US" w:eastAsia="zh-CN"/>
              </w:rPr>
            </w:pPr>
          </w:p>
          <w:p w14:paraId="773CA759">
            <w:pPr>
              <w:adjustRightInd w:val="0"/>
              <w:snapToGrid w:val="0"/>
              <w:jc w:val="center"/>
              <w:rPr>
                <w:rFonts w:hint="default"/>
                <w:color w:val="auto"/>
                <w:sz w:val="21"/>
                <w:szCs w:val="21"/>
                <w:highlight w:val="none"/>
                <w:lang w:val="en-US" w:eastAsia="zh-CN"/>
              </w:rPr>
            </w:pPr>
            <w:r>
              <w:rPr>
                <w:rFonts w:hint="eastAsia"/>
                <w:color w:val="auto"/>
                <w:sz w:val="21"/>
                <w:szCs w:val="21"/>
                <w:highlight w:val="none"/>
                <w:lang w:val="en-US" w:eastAsia="zh-CN"/>
              </w:rPr>
              <w:t>TJ-5</w:t>
            </w:r>
          </w:p>
        </w:tc>
        <w:tc>
          <w:tcPr>
            <w:tcW w:w="3493" w:type="dxa"/>
          </w:tcPr>
          <w:p w14:paraId="139E5089">
            <w:pPr>
              <w:adjustRightInd w:val="0"/>
              <w:snapToGrid w:val="0"/>
              <w:rPr>
                <w:rFonts w:hint="eastAsia"/>
                <w:color w:val="auto"/>
                <w:sz w:val="21"/>
                <w:szCs w:val="21"/>
                <w:highlight w:val="none"/>
                <w:lang w:val="en-US" w:eastAsia="zh-CN"/>
              </w:rPr>
            </w:pPr>
            <w:r>
              <w:rPr>
                <w:rFonts w:hint="eastAsia"/>
                <w:color w:val="auto"/>
                <w:sz w:val="21"/>
                <w:szCs w:val="21"/>
                <w:highlight w:val="none"/>
                <w:lang w:val="en-US" w:eastAsia="zh-CN"/>
              </w:rPr>
              <w:t>（1）满足资格审查条件（项目经理和项目总工最低要求）中项目总工最低要求，得9分；</w:t>
            </w:r>
          </w:p>
          <w:p w14:paraId="13BEB73B">
            <w:pPr>
              <w:adjustRightInd w:val="0"/>
              <w:snapToGrid w:val="0"/>
              <w:rPr>
                <w:rFonts w:hint="eastAsia"/>
                <w:color w:val="auto"/>
                <w:sz w:val="21"/>
                <w:szCs w:val="21"/>
                <w:highlight w:val="none"/>
                <w:lang w:val="en-US" w:eastAsia="zh-CN"/>
              </w:rPr>
            </w:pPr>
            <w:r>
              <w:rPr>
                <w:rFonts w:hint="eastAsia"/>
                <w:color w:val="auto"/>
                <w:sz w:val="21"/>
                <w:szCs w:val="21"/>
                <w:highlight w:val="none"/>
                <w:lang w:val="en-US" w:eastAsia="zh-CN"/>
              </w:rPr>
              <w:t>（2）近5年（2021年9月1日至今，以工程交工日期为准），每增加担任过1条（段）新建或改扩建高速公路（含特大桥）主体工程施工项目的项目总工或项目副总工或项目经理的加6分，最多加6分。</w:t>
            </w:r>
          </w:p>
          <w:p w14:paraId="3B13FA40">
            <w:pPr>
              <w:adjustRightInd w:val="0"/>
              <w:snapToGrid w:val="0"/>
              <w:rPr>
                <w:rFonts w:hint="eastAsia"/>
                <w:color w:val="auto"/>
                <w:sz w:val="21"/>
                <w:szCs w:val="21"/>
                <w:highlight w:val="none"/>
                <w:lang w:val="en-US" w:eastAsia="zh-CN"/>
              </w:rPr>
            </w:pPr>
            <w:r>
              <w:rPr>
                <w:rFonts w:hint="eastAsia"/>
                <w:color w:val="auto"/>
                <w:sz w:val="21"/>
                <w:szCs w:val="21"/>
                <w:highlight w:val="none"/>
                <w:lang w:val="en-US" w:eastAsia="zh-CN"/>
              </w:rPr>
              <w:t>注：如一项业绩同时满足(1)和(2)的，得15分。</w:t>
            </w:r>
          </w:p>
        </w:tc>
      </w:tr>
      <w:tr w14:paraId="5D51C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461" w:type="dxa"/>
            <w:vMerge w:val="restart"/>
            <w:shd w:val="clear" w:color="auto" w:fill="auto"/>
            <w:vAlign w:val="center"/>
          </w:tcPr>
          <w:p w14:paraId="4CEE070F">
            <w:pPr>
              <w:adjustRightInd w:val="0"/>
              <w:snapToGrid w:val="0"/>
              <w:jc w:val="center"/>
              <w:rPr>
                <w:rFonts w:ascii="Times New Roman" w:hAnsi="Times New Roman" w:eastAsia="宋体" w:cs="Times New Roman"/>
                <w:color w:val="auto"/>
                <w:kern w:val="28"/>
                <w:sz w:val="21"/>
                <w:szCs w:val="21"/>
                <w:highlight w:val="none"/>
                <w:lang w:val="en-US" w:eastAsia="zh-CN" w:bidi="ar-SA"/>
              </w:rPr>
            </w:pPr>
            <w:r>
              <w:rPr>
                <w:rFonts w:hint="eastAsia"/>
                <w:color w:val="auto"/>
                <w:sz w:val="21"/>
                <w:szCs w:val="21"/>
                <w:highlight w:val="none"/>
              </w:rPr>
              <w:t>2.2.</w:t>
            </w:r>
            <w:r>
              <w:rPr>
                <w:rFonts w:hint="eastAsia"/>
                <w:color w:val="auto"/>
                <w:sz w:val="21"/>
                <w:szCs w:val="21"/>
                <w:highlight w:val="none"/>
                <w:lang w:val="en-US" w:eastAsia="zh-CN"/>
              </w:rPr>
              <w:t>2</w:t>
            </w:r>
            <w:r>
              <w:rPr>
                <w:rFonts w:hint="eastAsia"/>
                <w:color w:val="auto"/>
                <w:sz w:val="21"/>
                <w:szCs w:val="21"/>
                <w:highlight w:val="none"/>
              </w:rPr>
              <w:t>（</w:t>
            </w:r>
            <w:r>
              <w:rPr>
                <w:rFonts w:hint="eastAsia"/>
                <w:color w:val="auto"/>
                <w:sz w:val="21"/>
                <w:szCs w:val="21"/>
                <w:highlight w:val="none"/>
                <w:lang w:val="en-US" w:eastAsia="zh-CN"/>
              </w:rPr>
              <w:t>3</w:t>
            </w:r>
            <w:r>
              <w:rPr>
                <w:rFonts w:hint="eastAsia"/>
                <w:color w:val="auto"/>
                <w:sz w:val="21"/>
                <w:szCs w:val="21"/>
                <w:highlight w:val="none"/>
              </w:rPr>
              <w:t>）</w:t>
            </w:r>
          </w:p>
        </w:tc>
        <w:tc>
          <w:tcPr>
            <w:tcW w:w="907" w:type="dxa"/>
            <w:vMerge w:val="restart"/>
            <w:shd w:val="clear" w:color="auto" w:fill="auto"/>
            <w:vAlign w:val="center"/>
          </w:tcPr>
          <w:p w14:paraId="536BE4B5">
            <w:pPr>
              <w:adjustRightInd w:val="0"/>
              <w:snapToGrid w:val="0"/>
              <w:rPr>
                <w:color w:val="auto"/>
                <w:sz w:val="21"/>
                <w:szCs w:val="21"/>
                <w:highlight w:val="none"/>
              </w:rPr>
            </w:pPr>
            <w:r>
              <w:rPr>
                <w:rFonts w:hint="eastAsia"/>
                <w:color w:val="auto"/>
                <w:sz w:val="21"/>
                <w:szCs w:val="21"/>
                <w:highlight w:val="none"/>
              </w:rPr>
              <w:t>资信</w:t>
            </w:r>
          </w:p>
          <w:p w14:paraId="1EAA5241">
            <w:pPr>
              <w:adjustRightInd w:val="0"/>
              <w:snapToGrid w:val="0"/>
              <w:rPr>
                <w:rFonts w:ascii="Times New Roman" w:hAnsi="Times New Roman" w:eastAsia="宋体" w:cs="Times New Roman"/>
                <w:color w:val="auto"/>
                <w:kern w:val="28"/>
                <w:sz w:val="21"/>
                <w:szCs w:val="21"/>
                <w:highlight w:val="none"/>
                <w:lang w:val="en-US" w:eastAsia="zh-CN" w:bidi="ar-SA"/>
              </w:rPr>
            </w:pPr>
            <w:r>
              <w:rPr>
                <w:rFonts w:hint="eastAsia"/>
                <w:color w:val="auto"/>
                <w:sz w:val="21"/>
                <w:szCs w:val="21"/>
                <w:highlight w:val="none"/>
              </w:rPr>
              <w:t>业绩</w:t>
            </w:r>
          </w:p>
        </w:tc>
        <w:tc>
          <w:tcPr>
            <w:tcW w:w="832" w:type="dxa"/>
            <w:vMerge w:val="restart"/>
            <w:shd w:val="clear" w:color="auto" w:fill="auto"/>
            <w:vAlign w:val="center"/>
          </w:tcPr>
          <w:p w14:paraId="3BDC7359">
            <w:pPr>
              <w:adjustRightInd w:val="0"/>
              <w:snapToGrid w:val="0"/>
              <w:rPr>
                <w:rFonts w:ascii="Times New Roman" w:hAnsi="Times New Roman" w:eastAsia="宋体" w:cs="Times New Roman"/>
                <w:color w:val="auto"/>
                <w:kern w:val="28"/>
                <w:sz w:val="21"/>
                <w:szCs w:val="21"/>
                <w:highlight w:val="none"/>
                <w:lang w:val="en-US" w:eastAsia="zh-CN" w:bidi="ar-SA"/>
              </w:rPr>
            </w:pPr>
            <w:r>
              <w:rPr>
                <w:rFonts w:hint="eastAsia"/>
                <w:color w:val="auto"/>
                <w:sz w:val="21"/>
                <w:szCs w:val="21"/>
                <w:highlight w:val="none"/>
              </w:rPr>
              <w:t>30分</w:t>
            </w:r>
          </w:p>
        </w:tc>
        <w:tc>
          <w:tcPr>
            <w:tcW w:w="1421" w:type="dxa"/>
            <w:vMerge w:val="restart"/>
            <w:shd w:val="clear" w:color="auto" w:fill="auto"/>
            <w:vAlign w:val="center"/>
          </w:tcPr>
          <w:p w14:paraId="7DA2EF69">
            <w:pPr>
              <w:adjustRightInd w:val="0"/>
              <w:snapToGrid w:val="0"/>
              <w:rPr>
                <w:rFonts w:ascii="Times New Roman" w:hAnsi="Times New Roman" w:eastAsia="宋体" w:cs="Times New Roman"/>
                <w:color w:val="auto"/>
                <w:kern w:val="28"/>
                <w:sz w:val="21"/>
                <w:szCs w:val="21"/>
                <w:highlight w:val="none"/>
                <w:lang w:val="en-US" w:eastAsia="zh-CN" w:bidi="ar-SA"/>
              </w:rPr>
            </w:pPr>
            <w:r>
              <w:rPr>
                <w:rFonts w:hint="eastAsia"/>
                <w:color w:val="auto"/>
                <w:sz w:val="21"/>
                <w:szCs w:val="21"/>
                <w:highlight w:val="none"/>
              </w:rPr>
              <w:t>企业业绩</w:t>
            </w:r>
          </w:p>
        </w:tc>
        <w:tc>
          <w:tcPr>
            <w:tcW w:w="638" w:type="dxa"/>
            <w:vMerge w:val="restart"/>
            <w:shd w:val="clear" w:color="auto" w:fill="auto"/>
            <w:vAlign w:val="center"/>
          </w:tcPr>
          <w:p w14:paraId="0C63CC79">
            <w:pPr>
              <w:adjustRightInd w:val="0"/>
              <w:snapToGrid w:val="0"/>
              <w:rPr>
                <w:rFonts w:hint="eastAsia" w:ascii="Times New Roman" w:hAnsi="Times New Roman" w:eastAsia="宋体" w:cs="Times New Roman"/>
                <w:color w:val="auto"/>
                <w:kern w:val="28"/>
                <w:sz w:val="21"/>
                <w:szCs w:val="21"/>
                <w:highlight w:val="none"/>
                <w:lang w:val="en-US" w:eastAsia="zh-CN" w:bidi="ar-SA"/>
              </w:rPr>
            </w:pPr>
            <w:r>
              <w:rPr>
                <w:rFonts w:hint="eastAsia"/>
                <w:color w:val="auto"/>
                <w:sz w:val="21"/>
                <w:szCs w:val="21"/>
                <w:highlight w:val="none"/>
              </w:rPr>
              <w:t>30分</w:t>
            </w:r>
          </w:p>
        </w:tc>
        <w:tc>
          <w:tcPr>
            <w:tcW w:w="4247" w:type="dxa"/>
            <w:gridSpan w:val="2"/>
            <w:shd w:val="clear" w:color="auto" w:fill="auto"/>
            <w:vAlign w:val="center"/>
          </w:tcPr>
          <w:p w14:paraId="6A78D189">
            <w:pPr>
              <w:adjustRightInd w:val="0"/>
              <w:snapToGrid w:val="0"/>
              <w:rPr>
                <w:rFonts w:hint="eastAsia"/>
                <w:color w:val="auto"/>
                <w:sz w:val="21"/>
                <w:szCs w:val="21"/>
                <w:highlight w:val="none"/>
                <w:lang w:val="en-US" w:eastAsia="zh-CN"/>
              </w:rPr>
            </w:pPr>
            <w:r>
              <w:rPr>
                <w:rFonts w:hint="eastAsia"/>
                <w:color w:val="auto"/>
                <w:sz w:val="21"/>
                <w:szCs w:val="21"/>
                <w:highlight w:val="none"/>
              </w:rPr>
              <w:t>满足资格审查条件</w:t>
            </w:r>
            <w:r>
              <w:rPr>
                <w:rFonts w:hint="eastAsia"/>
                <w:color w:val="auto"/>
                <w:sz w:val="21"/>
                <w:szCs w:val="21"/>
                <w:highlight w:val="none"/>
                <w:lang w:eastAsia="zh-CN"/>
              </w:rPr>
              <w:t>（</w:t>
            </w:r>
            <w:r>
              <w:rPr>
                <w:rFonts w:hint="eastAsia"/>
                <w:color w:val="auto"/>
                <w:sz w:val="21"/>
                <w:szCs w:val="21"/>
                <w:highlight w:val="none"/>
              </w:rPr>
              <w:t>业绩最低要求</w:t>
            </w:r>
            <w:r>
              <w:rPr>
                <w:rFonts w:hint="eastAsia"/>
                <w:color w:val="auto"/>
                <w:sz w:val="21"/>
                <w:szCs w:val="21"/>
                <w:highlight w:val="none"/>
                <w:lang w:eastAsia="zh-CN"/>
              </w:rPr>
              <w:t>）</w:t>
            </w:r>
            <w:r>
              <w:rPr>
                <w:rFonts w:hint="eastAsia"/>
                <w:color w:val="auto"/>
                <w:sz w:val="21"/>
                <w:szCs w:val="21"/>
                <w:highlight w:val="none"/>
              </w:rPr>
              <w:t>，得18分；</w:t>
            </w:r>
          </w:p>
        </w:tc>
      </w:tr>
      <w:tr w14:paraId="073BA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461" w:type="dxa"/>
            <w:vMerge w:val="continue"/>
          </w:tcPr>
          <w:p w14:paraId="1E0C2D99">
            <w:pPr>
              <w:adjustRightInd w:val="0"/>
              <w:snapToGrid w:val="0"/>
              <w:rPr>
                <w:color w:val="auto"/>
                <w:highlight w:val="none"/>
              </w:rPr>
            </w:pPr>
          </w:p>
        </w:tc>
        <w:tc>
          <w:tcPr>
            <w:tcW w:w="907" w:type="dxa"/>
            <w:vMerge w:val="continue"/>
          </w:tcPr>
          <w:p w14:paraId="3BC395AB">
            <w:pPr>
              <w:adjustRightInd w:val="0"/>
              <w:snapToGrid w:val="0"/>
              <w:rPr>
                <w:color w:val="auto"/>
                <w:highlight w:val="none"/>
              </w:rPr>
            </w:pPr>
          </w:p>
        </w:tc>
        <w:tc>
          <w:tcPr>
            <w:tcW w:w="832" w:type="dxa"/>
            <w:vMerge w:val="continue"/>
          </w:tcPr>
          <w:p w14:paraId="43AFDC23">
            <w:pPr>
              <w:adjustRightInd w:val="0"/>
              <w:snapToGrid w:val="0"/>
              <w:rPr>
                <w:color w:val="auto"/>
                <w:highlight w:val="none"/>
              </w:rPr>
            </w:pPr>
          </w:p>
        </w:tc>
        <w:tc>
          <w:tcPr>
            <w:tcW w:w="1421" w:type="dxa"/>
            <w:vMerge w:val="continue"/>
          </w:tcPr>
          <w:p w14:paraId="6F642640">
            <w:pPr>
              <w:adjustRightInd w:val="0"/>
              <w:snapToGrid w:val="0"/>
              <w:rPr>
                <w:color w:val="auto"/>
                <w:highlight w:val="none"/>
              </w:rPr>
            </w:pPr>
          </w:p>
        </w:tc>
        <w:tc>
          <w:tcPr>
            <w:tcW w:w="638" w:type="dxa"/>
            <w:vMerge w:val="continue"/>
          </w:tcPr>
          <w:p w14:paraId="1D0ECCF8">
            <w:pPr>
              <w:adjustRightInd w:val="0"/>
              <w:snapToGrid w:val="0"/>
              <w:rPr>
                <w:rFonts w:hint="eastAsia"/>
                <w:color w:val="auto"/>
                <w:sz w:val="21"/>
                <w:szCs w:val="21"/>
                <w:highlight w:val="none"/>
                <w:lang w:val="en-US" w:eastAsia="zh-CN"/>
              </w:rPr>
            </w:pPr>
          </w:p>
        </w:tc>
        <w:tc>
          <w:tcPr>
            <w:tcW w:w="0" w:type="auto"/>
            <w:shd w:val="clear" w:color="auto" w:fill="auto"/>
            <w:vAlign w:val="center"/>
          </w:tcPr>
          <w:p w14:paraId="47FD11D8">
            <w:pPr>
              <w:adjustRightInd w:val="0"/>
              <w:snapToGrid w:val="0"/>
              <w:rPr>
                <w:rFonts w:hint="eastAsia" w:ascii="Times New Roman" w:hAnsi="Times New Roman" w:eastAsia="宋体" w:cs="Times New Roman"/>
                <w:color w:val="auto"/>
                <w:kern w:val="28"/>
                <w:sz w:val="21"/>
                <w:szCs w:val="21"/>
                <w:highlight w:val="none"/>
                <w:lang w:val="en-US" w:eastAsia="zh-CN" w:bidi="ar-SA"/>
              </w:rPr>
            </w:pPr>
            <w:r>
              <w:rPr>
                <w:rFonts w:hint="eastAsia"/>
                <w:color w:val="auto"/>
                <w:sz w:val="21"/>
                <w:szCs w:val="21"/>
                <w:highlight w:val="none"/>
                <w:lang w:val="en-US" w:eastAsia="zh-CN"/>
              </w:rPr>
              <w:t>TJ-3</w:t>
            </w:r>
          </w:p>
        </w:tc>
        <w:tc>
          <w:tcPr>
            <w:tcW w:w="0" w:type="auto"/>
            <w:shd w:val="clear" w:color="auto" w:fill="auto"/>
            <w:vAlign w:val="center"/>
          </w:tcPr>
          <w:p w14:paraId="34F28CED">
            <w:pPr>
              <w:adjustRightInd w:val="0"/>
              <w:snapToGrid w:val="0"/>
              <w:rPr>
                <w:rFonts w:hint="eastAsia"/>
                <w:color w:val="auto"/>
                <w:sz w:val="21"/>
                <w:szCs w:val="21"/>
                <w:highlight w:val="none"/>
              </w:rPr>
            </w:pPr>
            <w:r>
              <w:rPr>
                <w:rFonts w:hint="eastAsia"/>
                <w:color w:val="auto"/>
                <w:sz w:val="21"/>
                <w:szCs w:val="21"/>
                <w:highlight w:val="none"/>
                <w:lang w:val="en-US" w:eastAsia="zh-CN"/>
              </w:rPr>
              <w:t>（1）近5年(2021年9月1日至今，以工程交工日期为准)，每增加1条(段) 合同额10亿元及以上新建或改扩建高速公路（含特大桥）主体工程施工业绩的</w:t>
            </w:r>
            <w:r>
              <w:rPr>
                <w:rFonts w:hint="eastAsia"/>
                <w:color w:val="auto"/>
                <w:sz w:val="21"/>
                <w:szCs w:val="21"/>
                <w:highlight w:val="none"/>
              </w:rPr>
              <w:t>加</w:t>
            </w:r>
            <w:r>
              <w:rPr>
                <w:rFonts w:hint="eastAsia"/>
                <w:color w:val="auto"/>
                <w:sz w:val="21"/>
                <w:szCs w:val="21"/>
                <w:highlight w:val="none"/>
                <w:lang w:val="en-US" w:eastAsia="zh-CN"/>
              </w:rPr>
              <w:t>6</w:t>
            </w:r>
            <w:r>
              <w:rPr>
                <w:rFonts w:hint="eastAsia"/>
                <w:color w:val="auto"/>
                <w:sz w:val="21"/>
                <w:szCs w:val="21"/>
                <w:highlight w:val="none"/>
              </w:rPr>
              <w:t>分，最多加</w:t>
            </w:r>
            <w:r>
              <w:rPr>
                <w:rFonts w:hint="eastAsia"/>
                <w:color w:val="auto"/>
                <w:sz w:val="21"/>
                <w:szCs w:val="21"/>
                <w:highlight w:val="none"/>
                <w:lang w:val="en-US" w:eastAsia="zh-CN"/>
              </w:rPr>
              <w:t>6</w:t>
            </w:r>
            <w:r>
              <w:rPr>
                <w:rFonts w:hint="eastAsia"/>
                <w:color w:val="auto"/>
                <w:sz w:val="21"/>
                <w:szCs w:val="21"/>
                <w:highlight w:val="none"/>
              </w:rPr>
              <w:t>分。</w:t>
            </w:r>
          </w:p>
          <w:p w14:paraId="3097AF29">
            <w:pPr>
              <w:adjustRightInd w:val="0"/>
              <w:snapToGrid w:val="0"/>
              <w:rPr>
                <w:rFonts w:hint="eastAsia"/>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lang w:val="en-US" w:eastAsia="zh-CN"/>
              </w:rPr>
              <w:t>近5年（2021年9月1日至今，以工程交工日期为准），每增加1座新建或改扩建高速公路桥梁（单跨不低于140米）施工业绩的加6分，最多加6分。</w:t>
            </w:r>
          </w:p>
          <w:p w14:paraId="54090D09">
            <w:pPr>
              <w:adjustRightInd w:val="0"/>
              <w:snapToGrid w:val="0"/>
              <w:rPr>
                <w:rFonts w:hint="eastAsia" w:ascii="Times New Roman" w:hAnsi="Times New Roman" w:eastAsia="宋体" w:cs="Times New Roman"/>
                <w:color w:val="auto"/>
                <w:kern w:val="28"/>
                <w:sz w:val="21"/>
                <w:szCs w:val="21"/>
                <w:highlight w:val="none"/>
                <w:lang w:val="en-US" w:eastAsia="zh-CN" w:bidi="ar-SA"/>
              </w:rPr>
            </w:pPr>
            <w:r>
              <w:rPr>
                <w:rFonts w:hint="eastAsia"/>
                <w:color w:val="auto"/>
                <w:sz w:val="21"/>
                <w:szCs w:val="21"/>
                <w:highlight w:val="none"/>
                <w:lang w:val="en-US" w:eastAsia="zh-CN"/>
              </w:rPr>
              <w:t>注：同一业绩不重复认定（加分）。</w:t>
            </w:r>
          </w:p>
        </w:tc>
      </w:tr>
      <w:tr w14:paraId="2000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461" w:type="dxa"/>
            <w:vMerge w:val="continue"/>
          </w:tcPr>
          <w:p w14:paraId="2AAD9E8F">
            <w:pPr>
              <w:adjustRightInd w:val="0"/>
              <w:snapToGrid w:val="0"/>
              <w:rPr>
                <w:color w:val="auto"/>
                <w:highlight w:val="none"/>
              </w:rPr>
            </w:pPr>
          </w:p>
        </w:tc>
        <w:tc>
          <w:tcPr>
            <w:tcW w:w="907" w:type="dxa"/>
            <w:vMerge w:val="continue"/>
          </w:tcPr>
          <w:p w14:paraId="2407F6FC">
            <w:pPr>
              <w:adjustRightInd w:val="0"/>
              <w:snapToGrid w:val="0"/>
              <w:rPr>
                <w:color w:val="auto"/>
                <w:highlight w:val="none"/>
              </w:rPr>
            </w:pPr>
          </w:p>
        </w:tc>
        <w:tc>
          <w:tcPr>
            <w:tcW w:w="832" w:type="dxa"/>
            <w:vMerge w:val="continue"/>
          </w:tcPr>
          <w:p w14:paraId="3EF3A1D9">
            <w:pPr>
              <w:adjustRightInd w:val="0"/>
              <w:snapToGrid w:val="0"/>
              <w:rPr>
                <w:color w:val="auto"/>
                <w:highlight w:val="none"/>
              </w:rPr>
            </w:pPr>
          </w:p>
        </w:tc>
        <w:tc>
          <w:tcPr>
            <w:tcW w:w="1421" w:type="dxa"/>
            <w:vMerge w:val="continue"/>
          </w:tcPr>
          <w:p w14:paraId="751FA2B8">
            <w:pPr>
              <w:adjustRightInd w:val="0"/>
              <w:snapToGrid w:val="0"/>
              <w:rPr>
                <w:color w:val="auto"/>
                <w:highlight w:val="none"/>
              </w:rPr>
            </w:pPr>
          </w:p>
        </w:tc>
        <w:tc>
          <w:tcPr>
            <w:tcW w:w="638" w:type="dxa"/>
            <w:vMerge w:val="continue"/>
          </w:tcPr>
          <w:p w14:paraId="58DCEDB2">
            <w:pPr>
              <w:adjustRightInd w:val="0"/>
              <w:snapToGrid w:val="0"/>
              <w:rPr>
                <w:rFonts w:hint="eastAsia"/>
                <w:color w:val="auto"/>
                <w:sz w:val="21"/>
                <w:szCs w:val="21"/>
                <w:highlight w:val="none"/>
                <w:lang w:val="en-US" w:eastAsia="zh-CN"/>
              </w:rPr>
            </w:pPr>
          </w:p>
        </w:tc>
        <w:tc>
          <w:tcPr>
            <w:tcW w:w="0" w:type="auto"/>
            <w:shd w:val="clear" w:color="auto" w:fill="auto"/>
            <w:vAlign w:val="center"/>
          </w:tcPr>
          <w:p w14:paraId="29601B2F">
            <w:pPr>
              <w:adjustRightInd w:val="0"/>
              <w:snapToGrid w:val="0"/>
              <w:rPr>
                <w:rFonts w:hint="eastAsia" w:ascii="Times New Roman" w:hAnsi="Times New Roman" w:eastAsia="宋体" w:cs="Times New Roman"/>
                <w:color w:val="auto"/>
                <w:kern w:val="28"/>
                <w:sz w:val="21"/>
                <w:szCs w:val="21"/>
                <w:highlight w:val="none"/>
                <w:lang w:val="en-US" w:eastAsia="zh-CN" w:bidi="ar-SA"/>
              </w:rPr>
            </w:pPr>
            <w:r>
              <w:rPr>
                <w:rFonts w:hint="eastAsia"/>
                <w:color w:val="auto"/>
                <w:sz w:val="21"/>
                <w:szCs w:val="21"/>
                <w:highlight w:val="none"/>
                <w:lang w:val="en-US" w:eastAsia="zh-CN"/>
              </w:rPr>
              <w:t>TJ-5</w:t>
            </w:r>
          </w:p>
        </w:tc>
        <w:tc>
          <w:tcPr>
            <w:tcW w:w="0" w:type="auto"/>
            <w:shd w:val="clear" w:color="auto" w:fill="auto"/>
            <w:vAlign w:val="center"/>
          </w:tcPr>
          <w:p w14:paraId="58CF8B63">
            <w:pPr>
              <w:adjustRightInd w:val="0"/>
              <w:snapToGrid w:val="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lang w:val="en-US" w:eastAsia="zh-CN"/>
              </w:rPr>
              <w:t>近5年(2021年9月1日至今，以工程交工日期为准)，每增加1条(段) 合同额8.5亿元及以上新建或改扩建高速公路（含特大桥）主体工程施工业绩的</w:t>
            </w:r>
            <w:r>
              <w:rPr>
                <w:rFonts w:hint="eastAsia"/>
                <w:color w:val="auto"/>
                <w:sz w:val="21"/>
                <w:szCs w:val="21"/>
                <w:highlight w:val="none"/>
              </w:rPr>
              <w:t>加</w:t>
            </w:r>
            <w:r>
              <w:rPr>
                <w:rFonts w:hint="eastAsia"/>
                <w:color w:val="auto"/>
                <w:sz w:val="21"/>
                <w:szCs w:val="21"/>
                <w:highlight w:val="none"/>
                <w:lang w:val="en-US" w:eastAsia="zh-CN"/>
              </w:rPr>
              <w:t>6</w:t>
            </w:r>
            <w:r>
              <w:rPr>
                <w:rFonts w:hint="eastAsia"/>
                <w:color w:val="auto"/>
                <w:sz w:val="21"/>
                <w:szCs w:val="21"/>
                <w:highlight w:val="none"/>
              </w:rPr>
              <w:t>分，最多加</w:t>
            </w:r>
            <w:r>
              <w:rPr>
                <w:rFonts w:hint="eastAsia"/>
                <w:color w:val="auto"/>
                <w:sz w:val="21"/>
                <w:szCs w:val="21"/>
                <w:highlight w:val="none"/>
                <w:lang w:val="en-US" w:eastAsia="zh-CN"/>
              </w:rPr>
              <w:t>6</w:t>
            </w:r>
            <w:r>
              <w:rPr>
                <w:rFonts w:hint="eastAsia"/>
                <w:color w:val="auto"/>
                <w:sz w:val="21"/>
                <w:szCs w:val="21"/>
                <w:highlight w:val="none"/>
              </w:rPr>
              <w:t>分。</w:t>
            </w:r>
          </w:p>
          <w:p w14:paraId="0967D792">
            <w:pPr>
              <w:adjustRightInd w:val="0"/>
              <w:snapToGrid w:val="0"/>
              <w:rPr>
                <w:rFonts w:hint="eastAsia"/>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lang w:val="en-US" w:eastAsia="zh-CN"/>
              </w:rPr>
              <w:t>近5年（2021年9月1日至今，以工程交工日期为准），每增加1处新建或改扩建高速公路互通工程施工业绩的加6分，最多加6分。</w:t>
            </w:r>
          </w:p>
          <w:p w14:paraId="2820C0A0">
            <w:pPr>
              <w:adjustRightInd w:val="0"/>
              <w:snapToGrid w:val="0"/>
              <w:rPr>
                <w:rFonts w:hint="eastAsia" w:ascii="Times New Roman" w:hAnsi="Times New Roman" w:eastAsia="宋体" w:cs="Times New Roman"/>
                <w:color w:val="auto"/>
                <w:kern w:val="28"/>
                <w:sz w:val="21"/>
                <w:szCs w:val="21"/>
                <w:highlight w:val="none"/>
                <w:lang w:val="en-US" w:eastAsia="zh-CN" w:bidi="ar-SA"/>
              </w:rPr>
            </w:pPr>
            <w:r>
              <w:rPr>
                <w:rFonts w:hint="eastAsia"/>
                <w:color w:val="auto"/>
                <w:sz w:val="21"/>
                <w:szCs w:val="21"/>
                <w:highlight w:val="none"/>
                <w:lang w:val="en-US" w:eastAsia="zh-CN"/>
              </w:rPr>
              <w:t>注：同一业绩不重复认定（加分）。</w:t>
            </w:r>
          </w:p>
        </w:tc>
      </w:tr>
    </w:tbl>
    <w:p w14:paraId="5F430504">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宋体" w:hAnsi="宋体" w:cs="宋体"/>
          <w:b/>
          <w:bCs/>
          <w:color w:val="auto"/>
          <w:kern w:val="2"/>
          <w:sz w:val="21"/>
          <w:highlight w:val="none"/>
        </w:rPr>
      </w:pPr>
      <w:r>
        <w:rPr>
          <w:rFonts w:hint="eastAsia" w:ascii="宋体" w:hAnsi="宋体" w:cs="宋体"/>
          <w:b/>
          <w:bCs/>
          <w:color w:val="auto"/>
          <w:kern w:val="2"/>
          <w:sz w:val="21"/>
          <w:highlight w:val="none"/>
        </w:rPr>
        <w:t>注：（1）第2.2.</w:t>
      </w:r>
      <w:r>
        <w:rPr>
          <w:rFonts w:hint="eastAsia" w:ascii="宋体" w:hAnsi="宋体" w:cs="宋体"/>
          <w:b/>
          <w:bCs/>
          <w:color w:val="auto"/>
          <w:kern w:val="2"/>
          <w:sz w:val="21"/>
          <w:highlight w:val="none"/>
          <w:lang w:val="en-US" w:eastAsia="zh-CN"/>
        </w:rPr>
        <w:t>2</w:t>
      </w:r>
      <w:r>
        <w:rPr>
          <w:rFonts w:hint="eastAsia" w:ascii="宋体" w:hAnsi="宋体" w:cs="宋体"/>
          <w:b/>
          <w:bCs/>
          <w:color w:val="auto"/>
          <w:kern w:val="2"/>
          <w:sz w:val="21"/>
          <w:highlight w:val="none"/>
        </w:rPr>
        <w:t>（</w:t>
      </w:r>
      <w:r>
        <w:rPr>
          <w:rFonts w:hint="eastAsia" w:ascii="宋体" w:hAnsi="宋体" w:cs="宋体"/>
          <w:b/>
          <w:bCs/>
          <w:color w:val="auto"/>
          <w:kern w:val="2"/>
          <w:sz w:val="21"/>
          <w:highlight w:val="none"/>
          <w:lang w:val="en-US" w:eastAsia="zh-CN"/>
        </w:rPr>
        <w:t>1</w:t>
      </w:r>
      <w:r>
        <w:rPr>
          <w:rFonts w:hint="eastAsia" w:ascii="宋体" w:hAnsi="宋体" w:cs="宋体"/>
          <w:b/>
          <w:bCs/>
          <w:color w:val="auto"/>
          <w:kern w:val="2"/>
          <w:sz w:val="21"/>
          <w:highlight w:val="none"/>
        </w:rPr>
        <w:t>）各项评委打分保留1位小数，汇总得分保留小数点后两位。</w:t>
      </w:r>
    </w:p>
    <w:p w14:paraId="159D04BA">
      <w:pPr>
        <w:keepNext w:val="0"/>
        <w:keepLines w:val="0"/>
        <w:pageBreakBefore w:val="0"/>
        <w:widowControl w:val="0"/>
        <w:kinsoku/>
        <w:wordWrap/>
        <w:overflowPunct/>
        <w:topLinePunct w:val="0"/>
        <w:autoSpaceDE/>
        <w:autoSpaceDN/>
        <w:bidi w:val="0"/>
        <w:adjustRightInd/>
        <w:snapToGrid/>
        <w:spacing w:line="312" w:lineRule="auto"/>
        <w:textAlignment w:val="auto"/>
      </w:pPr>
      <w:r>
        <w:rPr>
          <w:rFonts w:hint="eastAsia" w:ascii="宋体" w:hAnsi="宋体" w:cs="宋体"/>
          <w:b/>
          <w:bCs/>
          <w:color w:val="auto"/>
          <w:kern w:val="2"/>
          <w:sz w:val="21"/>
          <w:highlight w:val="none"/>
          <w:lang w:eastAsia="zh-CN"/>
        </w:rPr>
        <w:t>（</w:t>
      </w:r>
      <w:r>
        <w:rPr>
          <w:rFonts w:hint="eastAsia" w:ascii="宋体" w:hAnsi="宋体" w:cs="宋体"/>
          <w:b/>
          <w:bCs/>
          <w:color w:val="auto"/>
          <w:kern w:val="2"/>
          <w:sz w:val="21"/>
          <w:highlight w:val="none"/>
          <w:lang w:val="en-US" w:eastAsia="zh-CN"/>
        </w:rPr>
        <w:t>2</w:t>
      </w:r>
      <w:r>
        <w:rPr>
          <w:rFonts w:hint="eastAsia" w:ascii="宋体" w:hAnsi="宋体" w:cs="宋体"/>
          <w:b/>
          <w:bCs/>
          <w:color w:val="auto"/>
          <w:kern w:val="2"/>
          <w:sz w:val="21"/>
          <w:highlight w:val="none"/>
          <w:lang w:eastAsia="zh-CN"/>
        </w:rPr>
        <w:t>）施工组织设计</w:t>
      </w:r>
      <w:r>
        <w:rPr>
          <w:rFonts w:hint="eastAsia" w:ascii="宋体" w:hAnsi="宋体" w:cs="宋体"/>
          <w:b/>
          <w:bCs/>
          <w:color w:val="auto"/>
          <w:kern w:val="2"/>
          <w:sz w:val="21"/>
          <w:highlight w:val="none"/>
        </w:rPr>
        <w:t>评分因素细分项得分一般不得低于其权重分值的60%，评标委员会成员对某一项评分因素的评分低于权重分值60%的，应在评标报告中作出说明</w:t>
      </w:r>
      <w:r>
        <w:rPr>
          <w:rFonts w:hint="eastAsia" w:ascii="宋体" w:hAnsi="宋体" w:cs="宋体"/>
          <w:b/>
          <w:bCs/>
          <w:color w:val="auto"/>
          <w:kern w:val="2"/>
          <w:sz w:val="21"/>
          <w:highlight w:val="none"/>
          <w:lang w:eastAsia="zh-CN"/>
        </w:rPr>
        <w:t>；</w:t>
      </w:r>
      <w:r>
        <w:rPr>
          <w:rFonts w:hint="eastAsia" w:ascii="宋体" w:hAnsi="宋体" w:cs="宋体"/>
          <w:b/>
          <w:bCs/>
          <w:color w:val="auto"/>
          <w:kern w:val="2"/>
          <w:sz w:val="21"/>
          <w:highlight w:val="none"/>
        </w:rPr>
        <w:t>缺项，则该项得0分。</w:t>
      </w:r>
      <w:bookmarkEnd w:id="28"/>
      <w:bookmarkStart w:id="30" w:name="_GoBack"/>
      <w:bookmarkEnd w:id="3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B1"/>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FA6CFA"/>
    <w:rsid w:val="12FA6CFA"/>
    <w:rsid w:val="389F3A16"/>
    <w:rsid w:val="7F9461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8"/>
      <w:sz w:val="28"/>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caption"/>
    <w:basedOn w:val="1"/>
    <w:next w:val="1"/>
    <w:qFormat/>
    <w:uiPriority w:val="0"/>
    <w:rPr>
      <w:rFonts w:ascii="Arial" w:hAnsi="Arial" w:eastAsia="黑体"/>
      <w:kern w:val="2"/>
      <w:sz w:val="20"/>
    </w:rPr>
  </w:style>
  <w:style w:type="paragraph" w:styleId="4">
    <w:name w:val="Body Text"/>
    <w:basedOn w:val="1"/>
    <w:next w:val="1"/>
    <w:qFormat/>
    <w:uiPriority w:val="0"/>
    <w:rPr>
      <w:kern w:val="2"/>
      <w:szCs w:val="24"/>
    </w:rPr>
  </w:style>
  <w:style w:type="paragraph" w:styleId="5">
    <w:name w:val="Normal (Web)"/>
    <w:basedOn w:val="1"/>
    <w:qFormat/>
    <w:uiPriority w:val="0"/>
    <w:pPr>
      <w:widowControl/>
      <w:spacing w:before="100" w:beforeAutospacing="1" w:after="100" w:afterAutospacing="1" w:line="432" w:lineRule="auto"/>
      <w:ind w:firstLine="480"/>
      <w:jc w:val="left"/>
    </w:pPr>
    <w:rPr>
      <w:rFonts w:ascii="宋体" w:hAnsi="宋体"/>
      <w:kern w:val="0"/>
      <w:sz w:val="24"/>
      <w:szCs w:val="24"/>
    </w:rPr>
  </w:style>
  <w:style w:type="character" w:styleId="8">
    <w:name w:val="Strong"/>
    <w:basedOn w:val="7"/>
    <w:qFormat/>
    <w:uiPriority w:val="0"/>
    <w:rPr>
      <w:b/>
      <w:bCs/>
    </w:rPr>
  </w:style>
  <w:style w:type="character" w:styleId="9">
    <w:name w:val="Hyperlink"/>
    <w:qFormat/>
    <w:uiPriority w:val="99"/>
    <w:rPr>
      <w:color w:val="333333"/>
      <w:u w:val="none"/>
    </w:rPr>
  </w:style>
  <w:style w:type="paragraph" w:customStyle="1" w:styleId="10">
    <w:name w:val="样式 宋体 小四 行距: 1.5 倍行距 首行缩进:  2 字符"/>
    <w:basedOn w:val="1"/>
    <w:next w:val="1"/>
    <w:qFormat/>
    <w:uiPriority w:val="0"/>
    <w:pPr>
      <w:spacing w:line="360" w:lineRule="auto"/>
      <w:ind w:firstLine="480" w:firstLineChars="200"/>
    </w:pPr>
    <w:rPr>
      <w:rFonts w:ascii="宋体" w:hAnsi="宋体" w:cs="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3716</Words>
  <Characters>4369</Characters>
  <Lines>0</Lines>
  <Paragraphs>0</Paragraphs>
  <TotalTime>3</TotalTime>
  <ScaleCrop>false</ScaleCrop>
  <LinksUpToDate>false</LinksUpToDate>
  <CharactersWithSpaces>4414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2026-09-29T03:36:00Z</dcterms:created>
  <dc:creator>Administrator</dc:creator>
  <cp:lastModifiedBy>李娜</cp:lastModifiedBy>
  <dcterms:modified xsi:type="dcterms:W3CDTF">2026-09-30T01:17:23Z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E3A16622A4AF4E5FAD73721A6190A686_11</vt:lpwstr>
  </property>
  <property fmtid="{D5CDD505-2E9C-101B-9397-08002B2CF9AE}" pid="4" name="KSOTemplateDocerSaveRecord">
    <vt:lpwstr>eyJoZGlkIjoiOWYyZDYxNTJjZmI2NmVkYTMyOWVjMGFiZjEzZGM5NjgiLCJ1c2VySWQiOiIxNTI1NDExOTAzIn0=</vt:lpwstr>
  </property>
</Properties>
</file>