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F5319A">
      <w:pPr>
        <w:rPr>
          <w:rFonts w:hint="eastAsia" w:ascii="宋体" w:hAnsi="宋体" w:eastAsia="宋体" w:cs="宋体"/>
          <w:color w:val="auto"/>
          <w:kern w:val="28"/>
          <w:sz w:val="21"/>
          <w:szCs w:val="21"/>
          <w:highlight w:val="none"/>
        </w:rPr>
      </w:pPr>
      <w:bookmarkStart w:id="0" w:name="_Toc134792338"/>
      <w:bookmarkStart w:id="1" w:name="_Toc2375"/>
      <w:bookmarkStart w:id="2" w:name="OLE_LINK1"/>
      <w:bookmarkStart w:id="3" w:name="OLE_LINK2"/>
      <w:bookmarkStart w:id="11" w:name="_GoBack"/>
      <w:bookmarkEnd w:id="11"/>
    </w:p>
    <w:p w14:paraId="0A913584">
      <w:pPr>
        <w:keepNext/>
        <w:keepLines/>
        <w:widowControl w:val="0"/>
        <w:spacing w:before="0" w:after="0" w:line="360" w:lineRule="auto"/>
        <w:jc w:val="both"/>
        <w:outlineLvl w:val="2"/>
        <w:rPr>
          <w:rFonts w:hint="eastAsia" w:ascii="宋体" w:hAnsi="宋体" w:eastAsia="宋体" w:cs="宋体"/>
          <w:b w:val="0"/>
          <w:bCs/>
          <w:color w:val="auto"/>
          <w:kern w:val="28"/>
          <w:sz w:val="21"/>
          <w:szCs w:val="21"/>
          <w:highlight w:val="none"/>
          <w:lang w:val="en-US" w:eastAsia="zh-CN" w:bidi="ar-SA"/>
        </w:rPr>
      </w:pPr>
      <w:bookmarkStart w:id="4" w:name="_Toc7964"/>
      <w:r>
        <w:rPr>
          <w:rFonts w:hint="eastAsia" w:ascii="宋体" w:hAnsi="宋体" w:eastAsia="宋体" w:cs="宋体"/>
          <w:b/>
          <w:bCs/>
          <w:color w:val="auto"/>
          <w:kern w:val="28"/>
          <w:sz w:val="21"/>
          <w:szCs w:val="21"/>
          <w:highlight w:val="none"/>
          <w:lang w:val="en-US" w:eastAsia="zh-CN" w:bidi="ar-SA"/>
        </w:rPr>
        <w:t>附件1：资格审查条件</w:t>
      </w:r>
      <w:bookmarkEnd w:id="0"/>
      <w:bookmarkEnd w:id="1"/>
      <w:bookmarkEnd w:id="4"/>
    </w:p>
    <w:p w14:paraId="0C883A70">
      <w:pPr>
        <w:adjustRightInd w:val="0"/>
        <w:snapToGrid w:val="0"/>
        <w:spacing w:line="360" w:lineRule="auto"/>
        <w:jc w:val="center"/>
        <w:rPr>
          <w:rFonts w:hint="eastAsia" w:ascii="宋体" w:hAnsi="宋体" w:eastAsia="宋体" w:cs="宋体"/>
          <w:b/>
          <w:bCs/>
          <w:snapToGrid w:val="0"/>
          <w:color w:val="auto"/>
          <w:kern w:val="0"/>
          <w:sz w:val="21"/>
          <w:szCs w:val="21"/>
          <w:highlight w:val="none"/>
        </w:rPr>
      </w:pPr>
    </w:p>
    <w:p w14:paraId="09D73D9C">
      <w:pPr>
        <w:adjustRightInd w:val="0"/>
        <w:snapToGrid w:val="0"/>
        <w:spacing w:line="360" w:lineRule="auto"/>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附录1 资格审查条件（资质最低要求）</w:t>
      </w:r>
    </w:p>
    <w:tbl>
      <w:tblPr>
        <w:tblStyle w:val="2"/>
        <w:tblW w:w="949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95"/>
      </w:tblGrid>
      <w:tr w14:paraId="128B5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9500" w:type="dxa"/>
            <w:tcBorders>
              <w:top w:val="single" w:color="000000" w:sz="2" w:space="0"/>
              <w:left w:val="single" w:color="000000" w:sz="2" w:space="0"/>
              <w:bottom w:val="single" w:color="000000" w:sz="2" w:space="0"/>
              <w:right w:val="single" w:color="000000" w:sz="2" w:space="0"/>
            </w:tcBorders>
            <w:vAlign w:val="center"/>
          </w:tcPr>
          <w:p w14:paraId="7DBA26FC">
            <w:pPr>
              <w:autoSpaceDE w:val="0"/>
              <w:autoSpaceDN w:val="0"/>
              <w:adjustRightInd w:val="0"/>
              <w:snapToGrid w:val="0"/>
              <w:spacing w:line="0" w:lineRule="atLeas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资质要求</w:t>
            </w:r>
          </w:p>
        </w:tc>
      </w:tr>
      <w:tr w14:paraId="4CA10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7" w:hRule="atLeast"/>
          <w:jc w:val="center"/>
        </w:trPr>
        <w:tc>
          <w:tcPr>
            <w:tcW w:w="9500" w:type="dxa"/>
            <w:tcBorders>
              <w:top w:val="single" w:color="000000" w:sz="2" w:space="0"/>
              <w:left w:val="single" w:color="000000" w:sz="2" w:space="0"/>
              <w:bottom w:val="single" w:color="000000" w:sz="2" w:space="0"/>
              <w:right w:val="single" w:color="000000" w:sz="2" w:space="0"/>
            </w:tcBorders>
            <w:vAlign w:val="center"/>
          </w:tcPr>
          <w:p w14:paraId="712F7147">
            <w:pPr>
              <w:widowControl/>
              <w:autoSpaceDE w:val="0"/>
              <w:autoSpaceDN w:val="0"/>
              <w:adjustRightInd w:val="0"/>
              <w:snapToGrid w:val="0"/>
              <w:spacing w:line="0" w:lineRule="atLeast"/>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（1）投标人应是中华人民共和国境内的法人或其他组织，持有有效的营业执照；</w:t>
            </w:r>
          </w:p>
          <w:p w14:paraId="7B3A13AF">
            <w:pPr>
              <w:widowControl/>
              <w:autoSpaceDE w:val="0"/>
              <w:autoSpaceDN w:val="0"/>
              <w:adjustRightInd w:val="0"/>
              <w:snapToGrid w:val="0"/>
              <w:spacing w:line="0" w:lineRule="atLeast"/>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（2）投标人应具有住房和城乡建设行政主管部门颁发的电力工程施工总承包三级及以上资质，同时具有承装（修、试）电力设施许可证（许可类别和等级：承装类、承修类和承试类均为三级及以上）；</w:t>
            </w:r>
          </w:p>
          <w:p w14:paraId="7244F60F">
            <w:pPr>
              <w:widowControl/>
              <w:autoSpaceDE w:val="0"/>
              <w:autoSpaceDN w:val="0"/>
              <w:adjustRightInd w:val="0"/>
              <w:snapToGrid w:val="0"/>
              <w:spacing w:line="0" w:lineRule="atLeast"/>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（3）投标人应具有住房和城乡建设行政主管部门颁发的有效的安全生产许可证。</w:t>
            </w:r>
          </w:p>
        </w:tc>
      </w:tr>
    </w:tbl>
    <w:p w14:paraId="450D0BAC">
      <w:pPr>
        <w:jc w:val="center"/>
        <w:rPr>
          <w:rFonts w:hint="eastAsia" w:ascii="宋体" w:hAnsi="宋体" w:eastAsia="宋体" w:cs="宋体"/>
          <w:b/>
          <w:color w:val="auto"/>
          <w:kern w:val="28"/>
          <w:sz w:val="21"/>
          <w:szCs w:val="21"/>
          <w:highlight w:val="none"/>
        </w:rPr>
      </w:pPr>
    </w:p>
    <w:p w14:paraId="0B70CFAC">
      <w:pPr>
        <w:jc w:val="center"/>
        <w:rPr>
          <w:rFonts w:hint="eastAsia" w:ascii="宋体" w:hAnsi="宋体" w:eastAsia="宋体" w:cs="宋体"/>
          <w:color w:val="auto"/>
          <w:kern w:val="28"/>
          <w:sz w:val="21"/>
          <w:szCs w:val="21"/>
          <w:highlight w:val="none"/>
        </w:rPr>
      </w:pPr>
      <w:r>
        <w:rPr>
          <w:rFonts w:hint="eastAsia" w:ascii="宋体" w:hAnsi="宋体" w:eastAsia="宋体" w:cs="宋体"/>
          <w:b/>
          <w:color w:val="auto"/>
          <w:kern w:val="28"/>
          <w:sz w:val="21"/>
          <w:szCs w:val="21"/>
          <w:highlight w:val="none"/>
        </w:rPr>
        <w:t>附录2 资格审查条件(财务最低要求)</w:t>
      </w:r>
    </w:p>
    <w:tbl>
      <w:tblPr>
        <w:tblStyle w:val="2"/>
        <w:tblW w:w="942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420"/>
      </w:tblGrid>
      <w:tr w14:paraId="745B74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9" w:hRule="atLeast"/>
          <w:jc w:val="center"/>
        </w:trPr>
        <w:tc>
          <w:tcPr>
            <w:tcW w:w="9420" w:type="dxa"/>
            <w:tcBorders>
              <w:top w:val="single" w:color="auto" w:sz="2" w:space="0"/>
              <w:left w:val="single" w:color="auto" w:sz="2" w:space="0"/>
              <w:bottom w:val="single" w:color="auto" w:sz="2" w:space="0"/>
              <w:right w:val="single" w:color="auto" w:sz="2" w:space="0"/>
            </w:tcBorders>
            <w:vAlign w:val="center"/>
          </w:tcPr>
          <w:p w14:paraId="3F94E027">
            <w:pPr>
              <w:autoSpaceDE w:val="0"/>
              <w:autoSpaceDN w:val="0"/>
              <w:adjustRightInd w:val="0"/>
              <w:snapToGrid w:val="0"/>
              <w:spacing w:line="0" w:lineRule="atLeas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财务要求</w:t>
            </w:r>
          </w:p>
        </w:tc>
      </w:tr>
      <w:tr w14:paraId="09C976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36" w:hRule="atLeast"/>
          <w:jc w:val="center"/>
        </w:trPr>
        <w:tc>
          <w:tcPr>
            <w:tcW w:w="9420" w:type="dxa"/>
            <w:tcBorders>
              <w:top w:val="single" w:color="auto" w:sz="2" w:space="0"/>
              <w:left w:val="single" w:color="auto" w:sz="2" w:space="0"/>
              <w:bottom w:val="single" w:color="auto" w:sz="2" w:space="0"/>
              <w:right w:val="single" w:color="auto" w:sz="2" w:space="0"/>
            </w:tcBorders>
            <w:vAlign w:val="center"/>
          </w:tcPr>
          <w:p w14:paraId="00064264">
            <w:pPr>
              <w:widowControl/>
              <w:autoSpaceDE w:val="0"/>
              <w:autoSpaceDN w:val="0"/>
              <w:adjustRightInd w:val="0"/>
              <w:snapToGrid w:val="0"/>
              <w:spacing w:line="0" w:lineRule="atLeast"/>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承诺为本合同所提供的营运资金(以经会计师事务所或审计机构审计的2025年度</w:t>
            </w:r>
            <w:r>
              <w:rPr>
                <w:rFonts w:hint="eastAsia" w:ascii="宋体" w:hAnsi="宋体" w:eastAsia="宋体" w:cs="宋体"/>
                <w:snapToGrid w:val="0"/>
                <w:color w:val="auto"/>
                <w:kern w:val="0"/>
                <w:sz w:val="21"/>
                <w:szCs w:val="21"/>
                <w:highlight w:val="none"/>
                <w:lang w:val="en-US" w:eastAsia="zh-CN"/>
              </w:rPr>
              <w:t>财务报表</w:t>
            </w:r>
            <w:r>
              <w:rPr>
                <w:rFonts w:hint="eastAsia" w:ascii="宋体" w:hAnsi="宋体" w:eastAsia="宋体" w:cs="宋体"/>
                <w:snapToGrid w:val="0"/>
                <w:color w:val="auto"/>
                <w:kern w:val="0"/>
                <w:sz w:val="21"/>
                <w:szCs w:val="21"/>
                <w:highlight w:val="none"/>
              </w:rPr>
              <w:t>中：营运资金＝流动资产－流动负债，以年末数计算)以及为本项目而专门开具的银行信贷证明总和不得少于</w:t>
            </w:r>
            <w:r>
              <w:rPr>
                <w:rFonts w:hint="eastAsia" w:ascii="宋体" w:hAnsi="宋体" w:eastAsia="宋体" w:cs="宋体"/>
                <w:snapToGrid w:val="0"/>
                <w:color w:val="auto"/>
                <w:kern w:val="0"/>
                <w:sz w:val="21"/>
                <w:szCs w:val="21"/>
                <w:highlight w:val="none"/>
                <w:lang w:val="en-US" w:eastAsia="zh-CN"/>
              </w:rPr>
              <w:t>1000</w:t>
            </w:r>
            <w:r>
              <w:rPr>
                <w:rFonts w:hint="eastAsia" w:ascii="宋体" w:hAnsi="宋体" w:eastAsia="宋体" w:cs="宋体"/>
                <w:snapToGrid w:val="0"/>
                <w:color w:val="auto"/>
                <w:kern w:val="0"/>
                <w:sz w:val="21"/>
                <w:szCs w:val="21"/>
                <w:highlight w:val="none"/>
              </w:rPr>
              <w:t>万元。</w:t>
            </w:r>
          </w:p>
        </w:tc>
      </w:tr>
    </w:tbl>
    <w:p w14:paraId="4E72FBE3">
      <w:pPr>
        <w:widowControl w:val="0"/>
        <w:jc w:val="both"/>
        <w:rPr>
          <w:rFonts w:hint="eastAsia" w:ascii="宋体" w:hAnsi="宋体" w:eastAsia="宋体" w:cs="宋体"/>
          <w:color w:val="auto"/>
          <w:kern w:val="2"/>
          <w:sz w:val="21"/>
          <w:szCs w:val="21"/>
          <w:highlight w:val="none"/>
          <w:lang w:val="en-US" w:eastAsia="zh-CN" w:bidi="ar-SA"/>
        </w:rPr>
      </w:pPr>
    </w:p>
    <w:p w14:paraId="055383FA">
      <w:pPr>
        <w:adjustRightInd w:val="0"/>
        <w:snapToGrid w:val="0"/>
        <w:spacing w:line="360" w:lineRule="auto"/>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附录3 资格审查条件（业绩最低要求）</w:t>
      </w:r>
    </w:p>
    <w:tbl>
      <w:tblPr>
        <w:tblStyle w:val="2"/>
        <w:tblW w:w="939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90"/>
      </w:tblGrid>
      <w:tr w14:paraId="30BC1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jc w:val="center"/>
        </w:trPr>
        <w:tc>
          <w:tcPr>
            <w:tcW w:w="9390" w:type="dxa"/>
            <w:tcBorders>
              <w:top w:val="single" w:color="000000" w:sz="2" w:space="0"/>
              <w:left w:val="single" w:color="000000" w:sz="2" w:space="0"/>
              <w:bottom w:val="single" w:color="000000" w:sz="2" w:space="0"/>
              <w:right w:val="single" w:color="000000" w:sz="2" w:space="0"/>
            </w:tcBorders>
            <w:vAlign w:val="center"/>
          </w:tcPr>
          <w:p w14:paraId="074A025E">
            <w:pPr>
              <w:autoSpaceDE w:val="0"/>
              <w:autoSpaceDN w:val="0"/>
              <w:adjustRightInd w:val="0"/>
              <w:snapToGrid w:val="0"/>
              <w:spacing w:line="0" w:lineRule="atLeas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业绩要求</w:t>
            </w:r>
          </w:p>
        </w:tc>
      </w:tr>
      <w:tr w14:paraId="734A0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jc w:val="center"/>
        </w:trPr>
        <w:tc>
          <w:tcPr>
            <w:tcW w:w="9390" w:type="dxa"/>
            <w:tcBorders>
              <w:top w:val="single" w:color="000000" w:sz="2" w:space="0"/>
              <w:left w:val="single" w:color="000000" w:sz="2" w:space="0"/>
              <w:bottom w:val="single" w:color="000000" w:sz="2" w:space="0"/>
              <w:right w:val="single" w:color="000000" w:sz="2" w:space="0"/>
            </w:tcBorders>
            <w:vAlign w:val="center"/>
          </w:tcPr>
          <w:p w14:paraId="39854A06">
            <w:pPr>
              <w:widowControl/>
              <w:autoSpaceDE w:val="0"/>
              <w:autoSpaceDN w:val="0"/>
              <w:adjustRightInd w:val="0"/>
              <w:snapToGrid w:val="0"/>
              <w:spacing w:line="0" w:lineRule="atLeast"/>
              <w:textAlignment w:val="baseline"/>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近5年（2021年</w:t>
            </w:r>
            <w:r>
              <w:rPr>
                <w:rFonts w:hint="eastAsia" w:ascii="宋体" w:hAnsi="宋体" w:eastAsia="宋体" w:cs="宋体"/>
                <w:snapToGrid w:val="0"/>
                <w:color w:val="auto"/>
                <w:kern w:val="0"/>
                <w:sz w:val="21"/>
                <w:szCs w:val="21"/>
                <w:highlight w:val="none"/>
                <w:lang w:eastAsia="zh-CN"/>
              </w:rPr>
              <w:t>9月</w:t>
            </w:r>
            <w:r>
              <w:rPr>
                <w:rFonts w:hint="eastAsia" w:ascii="宋体" w:hAnsi="宋体" w:eastAsia="宋体" w:cs="宋体"/>
                <w:snapToGrid w:val="0"/>
                <w:color w:val="auto"/>
                <w:kern w:val="0"/>
                <w:sz w:val="21"/>
                <w:szCs w:val="21"/>
                <w:highlight w:val="none"/>
              </w:rPr>
              <w:t>1日至投标截止时间，以竣（交）工时间为准）至少完成过1项合同金额不低于2000万元</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lang w:val="en-US" w:eastAsia="zh-CN"/>
              </w:rPr>
              <w:t>含</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的电力工程施工业绩。</w:t>
            </w:r>
          </w:p>
          <w:p w14:paraId="16253892">
            <w:pPr>
              <w:widowControl/>
              <w:autoSpaceDE w:val="0"/>
              <w:autoSpaceDN w:val="0"/>
              <w:adjustRightInd w:val="0"/>
              <w:snapToGrid w:val="0"/>
              <w:spacing w:line="0" w:lineRule="atLeast"/>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注：施工业绩包括单独施工业绩或设计施工总承包中的施工业绩。</w:t>
            </w:r>
          </w:p>
        </w:tc>
      </w:tr>
    </w:tbl>
    <w:p w14:paraId="3694B805">
      <w:pPr>
        <w:adjustRightInd w:val="0"/>
        <w:snapToGrid w:val="0"/>
        <w:spacing w:line="360" w:lineRule="auto"/>
        <w:jc w:val="center"/>
        <w:rPr>
          <w:rFonts w:hint="eastAsia" w:ascii="宋体" w:hAnsi="宋体" w:eastAsia="宋体" w:cs="宋体"/>
          <w:b/>
          <w:bCs/>
          <w:snapToGrid w:val="0"/>
          <w:color w:val="auto"/>
          <w:kern w:val="0"/>
          <w:sz w:val="21"/>
          <w:szCs w:val="21"/>
          <w:highlight w:val="none"/>
        </w:rPr>
      </w:pPr>
    </w:p>
    <w:p w14:paraId="2C940DC3">
      <w:pPr>
        <w:adjustRightInd w:val="0"/>
        <w:snapToGrid w:val="0"/>
        <w:spacing w:line="360" w:lineRule="auto"/>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附录4 资格审查条件（信誉最低要求）</w:t>
      </w:r>
    </w:p>
    <w:tbl>
      <w:tblPr>
        <w:tblStyle w:val="2"/>
        <w:tblW w:w="949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96"/>
      </w:tblGrid>
      <w:tr w14:paraId="6F46A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9255" w:type="dxa"/>
            <w:tcBorders>
              <w:top w:val="single" w:color="000000" w:sz="2" w:space="0"/>
              <w:left w:val="single" w:color="000000" w:sz="2" w:space="0"/>
              <w:bottom w:val="single" w:color="000000" w:sz="2" w:space="0"/>
              <w:right w:val="single" w:color="000000" w:sz="2" w:space="0"/>
            </w:tcBorders>
            <w:vAlign w:val="center"/>
          </w:tcPr>
          <w:p w14:paraId="7FDFE37D">
            <w:pPr>
              <w:autoSpaceDE w:val="0"/>
              <w:autoSpaceDN w:val="0"/>
              <w:adjustRightInd w:val="0"/>
              <w:snapToGrid w:val="0"/>
              <w:spacing w:line="0" w:lineRule="atLeas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信誉要求</w:t>
            </w:r>
          </w:p>
        </w:tc>
      </w:tr>
      <w:tr w14:paraId="0301E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jc w:val="center"/>
        </w:trPr>
        <w:tc>
          <w:tcPr>
            <w:tcW w:w="9255" w:type="dxa"/>
            <w:tcBorders>
              <w:top w:val="single" w:color="000000" w:sz="2" w:space="0"/>
              <w:left w:val="single" w:color="000000" w:sz="2" w:space="0"/>
              <w:bottom w:val="single" w:color="000000" w:sz="2" w:space="0"/>
              <w:right w:val="single" w:color="000000" w:sz="2" w:space="0"/>
            </w:tcBorders>
            <w:vAlign w:val="center"/>
          </w:tcPr>
          <w:p w14:paraId="1C384420">
            <w:pPr>
              <w:widowControl/>
              <w:autoSpaceDE w:val="0"/>
              <w:autoSpaceDN w:val="0"/>
              <w:adjustRightInd w:val="0"/>
              <w:snapToGrid w:val="0"/>
              <w:spacing w:line="0" w:lineRule="atLeast"/>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投标人在近1年内（2025年</w:t>
            </w:r>
            <w:r>
              <w:rPr>
                <w:rFonts w:hint="eastAsia" w:ascii="宋体" w:hAnsi="宋体" w:eastAsia="宋体" w:cs="宋体"/>
                <w:snapToGrid w:val="0"/>
                <w:color w:val="auto"/>
                <w:kern w:val="0"/>
                <w:sz w:val="21"/>
                <w:szCs w:val="21"/>
                <w:highlight w:val="none"/>
                <w:lang w:eastAsia="zh-CN"/>
              </w:rPr>
              <w:t>9月</w:t>
            </w:r>
            <w:r>
              <w:rPr>
                <w:rFonts w:hint="eastAsia" w:ascii="宋体" w:hAnsi="宋体" w:eastAsia="宋体" w:cs="宋体"/>
                <w:snapToGrid w:val="0"/>
                <w:color w:val="auto"/>
                <w:kern w:val="0"/>
                <w:sz w:val="21"/>
                <w:szCs w:val="21"/>
                <w:highlight w:val="none"/>
              </w:rPr>
              <w:t>1日至投标截止时间）不曾在电力工程施工合同中违约而被驱逐或因投标人自身的原因而使电力工程施工合同被解除。</w:t>
            </w:r>
          </w:p>
        </w:tc>
      </w:tr>
    </w:tbl>
    <w:p w14:paraId="45FF8DF8">
      <w:pPr>
        <w:rPr>
          <w:rFonts w:hint="eastAsia" w:ascii="宋体" w:hAnsi="宋体" w:eastAsia="宋体" w:cs="宋体"/>
          <w:b/>
          <w:bCs/>
          <w:snapToGrid w:val="0"/>
          <w:color w:val="auto"/>
          <w:kern w:val="0"/>
          <w:sz w:val="21"/>
          <w:szCs w:val="21"/>
          <w:highlight w:val="none"/>
        </w:rPr>
      </w:pPr>
    </w:p>
    <w:p w14:paraId="72B598D7">
      <w:pPr>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附录5 资格审查条件（项目经理和项目总工最低要求）</w:t>
      </w:r>
    </w:p>
    <w:tbl>
      <w:tblPr>
        <w:tblStyle w:val="2"/>
        <w:tblW w:w="949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57" w:type="dxa"/>
        </w:tblCellMar>
      </w:tblPr>
      <w:tblGrid>
        <w:gridCol w:w="1187"/>
        <w:gridCol w:w="593"/>
        <w:gridCol w:w="6233"/>
        <w:gridCol w:w="1483"/>
      </w:tblGrid>
      <w:tr w14:paraId="54167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567" w:hRule="atLeast"/>
          <w:jc w:val="center"/>
        </w:trPr>
        <w:tc>
          <w:tcPr>
            <w:tcW w:w="1187" w:type="dxa"/>
            <w:tcBorders>
              <w:top w:val="single" w:color="000000" w:sz="2" w:space="0"/>
              <w:left w:val="single" w:color="000000" w:sz="2" w:space="0"/>
              <w:bottom w:val="single" w:color="000000" w:sz="2" w:space="0"/>
              <w:right w:val="single" w:color="000000" w:sz="4" w:space="0"/>
            </w:tcBorders>
            <w:vAlign w:val="center"/>
          </w:tcPr>
          <w:p w14:paraId="620F8B3B">
            <w:pPr>
              <w:autoSpaceDE w:val="0"/>
              <w:autoSpaceDN w:val="0"/>
              <w:adjustRightInd w:val="0"/>
              <w:snapToGrid w:val="0"/>
              <w:spacing w:line="288"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岗位</w:t>
            </w:r>
          </w:p>
        </w:tc>
        <w:tc>
          <w:tcPr>
            <w:tcW w:w="593" w:type="dxa"/>
            <w:tcBorders>
              <w:top w:val="single" w:color="000000" w:sz="2" w:space="0"/>
              <w:left w:val="single" w:color="000000" w:sz="4" w:space="0"/>
              <w:bottom w:val="single" w:color="000000" w:sz="2" w:space="0"/>
              <w:right w:val="single" w:color="000000" w:sz="4" w:space="0"/>
            </w:tcBorders>
            <w:vAlign w:val="center"/>
          </w:tcPr>
          <w:p w14:paraId="0BEA8631">
            <w:pPr>
              <w:autoSpaceDE w:val="0"/>
              <w:autoSpaceDN w:val="0"/>
              <w:adjustRightInd w:val="0"/>
              <w:snapToGrid w:val="0"/>
              <w:spacing w:line="288"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数量</w:t>
            </w:r>
          </w:p>
        </w:tc>
        <w:tc>
          <w:tcPr>
            <w:tcW w:w="6233" w:type="dxa"/>
            <w:tcBorders>
              <w:top w:val="single" w:color="000000" w:sz="2" w:space="0"/>
              <w:left w:val="single" w:color="000000" w:sz="4" w:space="0"/>
              <w:bottom w:val="single" w:color="000000" w:sz="2" w:space="0"/>
              <w:right w:val="single" w:color="000000" w:sz="4" w:space="0"/>
            </w:tcBorders>
            <w:vAlign w:val="center"/>
          </w:tcPr>
          <w:p w14:paraId="29CD2FCB">
            <w:pPr>
              <w:autoSpaceDE w:val="0"/>
              <w:autoSpaceDN w:val="0"/>
              <w:adjustRightInd w:val="0"/>
              <w:snapToGrid w:val="0"/>
              <w:spacing w:line="288"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资格标准</w:t>
            </w:r>
          </w:p>
        </w:tc>
        <w:tc>
          <w:tcPr>
            <w:tcW w:w="1483" w:type="dxa"/>
            <w:tcBorders>
              <w:top w:val="single" w:color="000000" w:sz="2" w:space="0"/>
              <w:left w:val="single" w:color="000000" w:sz="4" w:space="0"/>
              <w:bottom w:val="single" w:color="000000" w:sz="2" w:space="0"/>
              <w:right w:val="single" w:color="000000" w:sz="2" w:space="0"/>
            </w:tcBorders>
            <w:vAlign w:val="center"/>
          </w:tcPr>
          <w:p w14:paraId="6108BA77">
            <w:pPr>
              <w:autoSpaceDE w:val="0"/>
              <w:autoSpaceDN w:val="0"/>
              <w:adjustRightInd w:val="0"/>
              <w:snapToGrid w:val="0"/>
              <w:spacing w:line="288"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在岗要求</w:t>
            </w:r>
          </w:p>
        </w:tc>
      </w:tr>
      <w:tr w14:paraId="524C1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179" w:hRule="atLeast"/>
          <w:jc w:val="center"/>
        </w:trPr>
        <w:tc>
          <w:tcPr>
            <w:tcW w:w="1187" w:type="dxa"/>
            <w:tcBorders>
              <w:top w:val="single" w:color="000000" w:sz="2" w:space="0"/>
              <w:left w:val="single" w:color="000000" w:sz="2" w:space="0"/>
              <w:bottom w:val="single" w:color="000000" w:sz="2" w:space="0"/>
              <w:right w:val="single" w:color="000000" w:sz="4" w:space="0"/>
            </w:tcBorders>
            <w:vAlign w:val="center"/>
          </w:tcPr>
          <w:p w14:paraId="32A03622">
            <w:pPr>
              <w:autoSpaceDE w:val="0"/>
              <w:autoSpaceDN w:val="0"/>
              <w:adjustRightInd w:val="0"/>
              <w:snapToGrid w:val="0"/>
              <w:spacing w:line="288"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项目经理</w:t>
            </w:r>
          </w:p>
        </w:tc>
        <w:tc>
          <w:tcPr>
            <w:tcW w:w="593" w:type="dxa"/>
            <w:tcBorders>
              <w:top w:val="single" w:color="000000" w:sz="2" w:space="0"/>
              <w:left w:val="single" w:color="000000" w:sz="4" w:space="0"/>
              <w:bottom w:val="single" w:color="000000" w:sz="2" w:space="0"/>
              <w:right w:val="single" w:color="000000" w:sz="4" w:space="0"/>
            </w:tcBorders>
            <w:vAlign w:val="center"/>
          </w:tcPr>
          <w:p w14:paraId="335AFA9E">
            <w:pPr>
              <w:autoSpaceDE w:val="0"/>
              <w:autoSpaceDN w:val="0"/>
              <w:adjustRightInd w:val="0"/>
              <w:snapToGrid w:val="0"/>
              <w:spacing w:line="288"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6233" w:type="dxa"/>
            <w:tcBorders>
              <w:top w:val="single" w:color="000000" w:sz="2" w:space="0"/>
              <w:left w:val="single" w:color="000000" w:sz="4" w:space="0"/>
              <w:bottom w:val="single" w:color="000000" w:sz="2" w:space="0"/>
              <w:right w:val="single" w:color="000000" w:sz="4" w:space="0"/>
            </w:tcBorders>
            <w:vAlign w:val="center"/>
          </w:tcPr>
          <w:p w14:paraId="04C3DC8E">
            <w:pPr>
              <w:autoSpaceDE w:val="0"/>
              <w:autoSpaceDN w:val="0"/>
              <w:adjustRightInd w:val="0"/>
              <w:snapToGrid w:val="0"/>
              <w:spacing w:line="288" w:lineRule="auto"/>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（1）具有机电工程专业二级及以上注册建造师证书，注册建造师证书的注册单位须与投标人单位名称一致；</w:t>
            </w:r>
          </w:p>
          <w:p w14:paraId="6670513E">
            <w:pPr>
              <w:autoSpaceDE w:val="0"/>
              <w:autoSpaceDN w:val="0"/>
              <w:adjustRightInd w:val="0"/>
              <w:snapToGrid w:val="0"/>
              <w:spacing w:line="288" w:lineRule="auto"/>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（2）具有住房和城乡建设行政主管部门颁发的有效的《安全生产考核合格证书》（B类），安全生产考核合格证书的登记单位须与投标人单位名称一致。</w:t>
            </w:r>
          </w:p>
          <w:p w14:paraId="171D8CD7">
            <w:pPr>
              <w:autoSpaceDE w:val="0"/>
              <w:autoSpaceDN w:val="0"/>
              <w:adjustRightInd w:val="0"/>
              <w:snapToGrid w:val="0"/>
              <w:spacing w:line="288" w:lineRule="auto"/>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（3）近5年（2021年</w:t>
            </w:r>
            <w:r>
              <w:rPr>
                <w:rFonts w:hint="eastAsia" w:ascii="宋体" w:hAnsi="宋体" w:eastAsia="宋体" w:cs="宋体"/>
                <w:snapToGrid w:val="0"/>
                <w:color w:val="auto"/>
                <w:kern w:val="0"/>
                <w:sz w:val="21"/>
                <w:szCs w:val="21"/>
                <w:highlight w:val="none"/>
                <w:lang w:eastAsia="zh-CN"/>
              </w:rPr>
              <w:t>9月</w:t>
            </w:r>
            <w:r>
              <w:rPr>
                <w:rFonts w:hint="eastAsia" w:ascii="宋体" w:hAnsi="宋体" w:eastAsia="宋体" w:cs="宋体"/>
                <w:snapToGrid w:val="0"/>
                <w:color w:val="auto"/>
                <w:kern w:val="0"/>
                <w:sz w:val="21"/>
                <w:szCs w:val="21"/>
                <w:highlight w:val="none"/>
              </w:rPr>
              <w:t>1日至投标截止时间，以竣（交）工时间为准）至少担任过1项合同金额不低于2000万元</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lang w:val="en-US" w:eastAsia="zh-CN"/>
              </w:rPr>
              <w:t>含</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的电力工程施工项目的项目经理（项目负责人）</w:t>
            </w:r>
            <w:r>
              <w:rPr>
                <w:rFonts w:hint="eastAsia" w:ascii="宋体" w:hAnsi="宋体" w:eastAsia="宋体" w:cs="宋体"/>
                <w:snapToGrid w:val="0"/>
                <w:color w:val="auto"/>
                <w:kern w:val="0"/>
                <w:sz w:val="21"/>
                <w:szCs w:val="21"/>
                <w:highlight w:val="none"/>
                <w:lang w:val="en-US" w:eastAsia="zh-CN"/>
              </w:rPr>
              <w:t>或项目总工（技术负责人）</w:t>
            </w:r>
            <w:r>
              <w:rPr>
                <w:rFonts w:hint="eastAsia" w:ascii="宋体" w:hAnsi="宋体" w:eastAsia="宋体" w:cs="宋体"/>
                <w:snapToGrid w:val="0"/>
                <w:color w:val="auto"/>
                <w:kern w:val="0"/>
                <w:sz w:val="21"/>
                <w:szCs w:val="21"/>
                <w:highlight w:val="none"/>
              </w:rPr>
              <w:t>。</w:t>
            </w:r>
          </w:p>
        </w:tc>
        <w:tc>
          <w:tcPr>
            <w:tcW w:w="1483" w:type="dxa"/>
            <w:vMerge w:val="restart"/>
            <w:tcBorders>
              <w:top w:val="single" w:color="000000" w:sz="2" w:space="0"/>
              <w:left w:val="single" w:color="000000" w:sz="4" w:space="0"/>
              <w:right w:val="single" w:color="000000" w:sz="2" w:space="0"/>
            </w:tcBorders>
            <w:vAlign w:val="center"/>
          </w:tcPr>
          <w:p w14:paraId="13F416F0">
            <w:pPr>
              <w:autoSpaceDE w:val="0"/>
              <w:autoSpaceDN w:val="0"/>
              <w:adjustRightInd w:val="0"/>
              <w:snapToGrid w:val="0"/>
              <w:spacing w:line="288" w:lineRule="auto"/>
              <w:rPr>
                <w:rFonts w:ascii="Times New Roman" w:hAnsi="Times New Roman" w:eastAsia="宋体" w:cs="Times New Roman"/>
                <w:color w:val="auto"/>
                <w:kern w:val="28"/>
                <w:sz w:val="28"/>
                <w:szCs w:val="20"/>
                <w:highlight w:val="none"/>
              </w:rPr>
            </w:pPr>
            <w:r>
              <w:rPr>
                <w:rFonts w:hint="eastAsia" w:ascii="宋体" w:hAnsi="宋体" w:eastAsia="宋体" w:cs="宋体"/>
                <w:snapToGrid w:val="0"/>
                <w:color w:val="auto"/>
                <w:kern w:val="0"/>
                <w:sz w:val="21"/>
                <w:szCs w:val="21"/>
                <w:highlight w:val="none"/>
              </w:rPr>
              <w:t>目前未在其他项目上任职，或虽在其他项目上任职但能够从其他项目撤离并能在本项目履约。</w:t>
            </w:r>
          </w:p>
        </w:tc>
      </w:tr>
      <w:tr w14:paraId="15391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1351" w:hRule="atLeast"/>
          <w:jc w:val="center"/>
        </w:trPr>
        <w:tc>
          <w:tcPr>
            <w:tcW w:w="1187" w:type="dxa"/>
            <w:tcBorders>
              <w:top w:val="single" w:color="000000" w:sz="2" w:space="0"/>
              <w:left w:val="single" w:color="000000" w:sz="2" w:space="0"/>
              <w:bottom w:val="single" w:color="000000" w:sz="2" w:space="0"/>
              <w:right w:val="single" w:color="000000" w:sz="4" w:space="0"/>
            </w:tcBorders>
            <w:vAlign w:val="center"/>
          </w:tcPr>
          <w:p w14:paraId="402B4BAB">
            <w:pPr>
              <w:autoSpaceDE w:val="0"/>
              <w:autoSpaceDN w:val="0"/>
              <w:adjustRightInd w:val="0"/>
              <w:snapToGrid w:val="0"/>
              <w:spacing w:line="288" w:lineRule="auto"/>
              <w:jc w:val="center"/>
              <w:rPr>
                <w:rFonts w:hint="eastAsia" w:ascii="宋体" w:hAnsi="宋体" w:eastAsia="宋体" w:cs="宋体"/>
                <w:snapToGrid w:val="0"/>
                <w:color w:val="auto"/>
                <w:kern w:val="0"/>
                <w:sz w:val="21"/>
                <w:szCs w:val="21"/>
                <w:highlight w:val="none"/>
              </w:rPr>
            </w:pPr>
            <w:bookmarkStart w:id="5" w:name="_Toc134792340"/>
            <w:r>
              <w:rPr>
                <w:rFonts w:hint="eastAsia" w:ascii="宋体" w:hAnsi="宋体" w:eastAsia="宋体" w:cs="宋体"/>
                <w:snapToGrid w:val="0"/>
                <w:color w:val="auto"/>
                <w:kern w:val="0"/>
                <w:sz w:val="21"/>
                <w:szCs w:val="21"/>
                <w:highlight w:val="none"/>
              </w:rPr>
              <w:t>项目总工</w:t>
            </w:r>
          </w:p>
        </w:tc>
        <w:tc>
          <w:tcPr>
            <w:tcW w:w="593" w:type="dxa"/>
            <w:tcBorders>
              <w:top w:val="single" w:color="000000" w:sz="2" w:space="0"/>
              <w:left w:val="single" w:color="000000" w:sz="4" w:space="0"/>
              <w:bottom w:val="single" w:color="000000" w:sz="2" w:space="0"/>
              <w:right w:val="single" w:color="000000" w:sz="4" w:space="0"/>
            </w:tcBorders>
            <w:vAlign w:val="center"/>
          </w:tcPr>
          <w:p w14:paraId="2DA888AD">
            <w:pPr>
              <w:autoSpaceDE w:val="0"/>
              <w:autoSpaceDN w:val="0"/>
              <w:adjustRightInd w:val="0"/>
              <w:snapToGrid w:val="0"/>
              <w:spacing w:line="288"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6233" w:type="dxa"/>
            <w:tcBorders>
              <w:top w:val="single" w:color="000000" w:sz="2" w:space="0"/>
              <w:left w:val="single" w:color="000000" w:sz="4" w:space="0"/>
              <w:bottom w:val="single" w:color="000000" w:sz="2" w:space="0"/>
              <w:right w:val="single" w:color="000000" w:sz="4" w:space="0"/>
            </w:tcBorders>
            <w:vAlign w:val="center"/>
          </w:tcPr>
          <w:p w14:paraId="400FDF5C">
            <w:pPr>
              <w:autoSpaceDE w:val="0"/>
              <w:autoSpaceDN w:val="0"/>
              <w:adjustRightInd w:val="0"/>
              <w:snapToGrid w:val="0"/>
              <w:spacing w:line="288"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（1）具有高级或以上职称；</w:t>
            </w:r>
          </w:p>
          <w:p w14:paraId="654D544F">
            <w:pPr>
              <w:autoSpaceDE w:val="0"/>
              <w:autoSpaceDN w:val="0"/>
              <w:adjustRightInd w:val="0"/>
              <w:snapToGrid w:val="0"/>
              <w:spacing w:line="288"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（2）近5年内（2021年</w:t>
            </w:r>
            <w:r>
              <w:rPr>
                <w:rFonts w:hint="eastAsia" w:ascii="宋体" w:hAnsi="宋体" w:eastAsia="宋体" w:cs="宋体"/>
                <w:snapToGrid w:val="0"/>
                <w:color w:val="auto"/>
                <w:kern w:val="0"/>
                <w:sz w:val="21"/>
                <w:szCs w:val="21"/>
                <w:highlight w:val="none"/>
                <w:lang w:eastAsia="zh-CN"/>
              </w:rPr>
              <w:t>9月</w:t>
            </w:r>
            <w:r>
              <w:rPr>
                <w:rFonts w:hint="eastAsia" w:ascii="宋体" w:hAnsi="宋体" w:eastAsia="宋体" w:cs="宋体"/>
                <w:snapToGrid w:val="0"/>
                <w:color w:val="auto"/>
                <w:kern w:val="0"/>
                <w:sz w:val="21"/>
                <w:szCs w:val="21"/>
                <w:highlight w:val="none"/>
              </w:rPr>
              <w:t>1日至投标截止时间，</w:t>
            </w:r>
            <w:r>
              <w:rPr>
                <w:rFonts w:ascii="宋体" w:hAnsi="宋体" w:eastAsia="宋体" w:cs="宋体"/>
                <w:snapToGrid w:val="0"/>
                <w:color w:val="auto"/>
                <w:kern w:val="0"/>
                <w:sz w:val="21"/>
                <w:szCs w:val="21"/>
                <w:highlight w:val="none"/>
              </w:rPr>
              <w:t>以工程竣（交）工时间为准</w:t>
            </w:r>
            <w:r>
              <w:rPr>
                <w:rFonts w:hint="eastAsia" w:ascii="宋体" w:hAnsi="宋体" w:eastAsia="宋体" w:cs="宋体"/>
                <w:snapToGrid w:val="0"/>
                <w:color w:val="auto"/>
                <w:kern w:val="0"/>
                <w:sz w:val="21"/>
                <w:szCs w:val="21"/>
                <w:highlight w:val="none"/>
              </w:rPr>
              <w:t>），至少担任过1项合同额不少于2000万元</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lang w:val="en-US" w:eastAsia="zh-CN"/>
              </w:rPr>
              <w:t>含</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的电力工程施工项目的项目总工</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技术负责人</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w:t>
            </w:r>
          </w:p>
        </w:tc>
        <w:tc>
          <w:tcPr>
            <w:tcW w:w="1483" w:type="dxa"/>
            <w:vMerge w:val="continue"/>
            <w:tcBorders>
              <w:left w:val="single" w:color="000000" w:sz="4" w:space="0"/>
              <w:right w:val="single" w:color="000000" w:sz="2" w:space="0"/>
            </w:tcBorders>
            <w:vAlign w:val="center"/>
          </w:tcPr>
          <w:p w14:paraId="4F594157">
            <w:pPr>
              <w:widowControl w:val="0"/>
              <w:jc w:val="both"/>
              <w:rPr>
                <w:rFonts w:ascii="Times New Roman" w:hAnsi="Times New Roman" w:eastAsia="宋体" w:cs="Times New Roman"/>
                <w:color w:val="auto"/>
                <w:kern w:val="2"/>
                <w:sz w:val="28"/>
                <w:szCs w:val="24"/>
                <w:highlight w:val="none"/>
                <w:lang w:val="en-US" w:eastAsia="zh-CN" w:bidi="ar-SA"/>
              </w:rPr>
            </w:pPr>
          </w:p>
        </w:tc>
      </w:tr>
    </w:tbl>
    <w:p w14:paraId="15A0F235">
      <w:pPr>
        <w:ind w:firstLine="420" w:firstLineChars="200"/>
        <w:rPr>
          <w:rFonts w:hint="eastAsia" w:ascii="宋体" w:hAnsi="宋体" w:eastAsia="宋体" w:cs="宋体"/>
          <w:snapToGrid w:val="0"/>
          <w:color w:val="auto"/>
          <w:kern w:val="0"/>
          <w:sz w:val="21"/>
          <w:szCs w:val="21"/>
          <w:highlight w:val="none"/>
        </w:rPr>
      </w:pPr>
    </w:p>
    <w:p w14:paraId="11F20FAA">
      <w:pPr>
        <w:ind w:firstLine="420" w:firstLineChars="200"/>
        <w:rPr>
          <w:rFonts w:ascii="Times New Roman" w:hAnsi="Times New Roman" w:eastAsia="宋体" w:cs="Times New Roman"/>
          <w:color w:val="auto"/>
          <w:kern w:val="28"/>
          <w:sz w:val="28"/>
          <w:szCs w:val="20"/>
          <w:highlight w:val="none"/>
        </w:rPr>
      </w:pPr>
      <w:r>
        <w:rPr>
          <w:rFonts w:hint="eastAsia" w:ascii="宋体" w:hAnsi="宋体" w:eastAsia="宋体" w:cs="宋体"/>
          <w:snapToGrid w:val="0"/>
          <w:color w:val="auto"/>
          <w:kern w:val="0"/>
          <w:sz w:val="21"/>
          <w:szCs w:val="21"/>
          <w:highlight w:val="none"/>
        </w:rPr>
        <w:t>注：项目经理业绩包括单独施工业绩或设计施工总承包中的施工业绩。</w:t>
      </w:r>
      <w:r>
        <w:rPr>
          <w:rFonts w:hint="eastAsia" w:ascii="宋体" w:hAnsi="宋体" w:eastAsia="宋体" w:cs="宋体"/>
          <w:color w:val="auto"/>
          <w:kern w:val="28"/>
          <w:sz w:val="21"/>
          <w:szCs w:val="21"/>
          <w:highlight w:val="none"/>
        </w:rPr>
        <w:br w:type="page"/>
      </w:r>
    </w:p>
    <w:bookmarkEnd w:id="2"/>
    <w:bookmarkEnd w:id="5"/>
    <w:p w14:paraId="6A984F1D">
      <w:pPr>
        <w:adjustRightInd w:val="0"/>
        <w:spacing w:line="360" w:lineRule="auto"/>
        <w:rPr>
          <w:rFonts w:hint="eastAsia" w:ascii="宋体" w:hAnsi="宋体" w:eastAsia="宋体" w:cs="宋体"/>
          <w:b/>
          <w:bCs w:val="0"/>
          <w:color w:val="auto"/>
          <w:kern w:val="28"/>
          <w:sz w:val="21"/>
          <w:szCs w:val="21"/>
          <w:highlight w:val="none"/>
        </w:rPr>
      </w:pPr>
      <w:r>
        <w:rPr>
          <w:rFonts w:hint="eastAsia" w:ascii="宋体" w:hAnsi="宋体" w:eastAsia="宋体" w:cs="宋体"/>
          <w:b/>
          <w:bCs w:val="0"/>
          <w:color w:val="auto"/>
          <w:kern w:val="28"/>
          <w:sz w:val="21"/>
          <w:szCs w:val="21"/>
          <w:highlight w:val="none"/>
        </w:rPr>
        <w:t>附件2：随机确定评标基准价计算方法的规则与程序</w:t>
      </w:r>
    </w:p>
    <w:p w14:paraId="6532D479">
      <w:pPr>
        <w:adjustRightInd w:val="0"/>
        <w:spacing w:line="360" w:lineRule="auto"/>
        <w:outlineLvl w:val="2"/>
        <w:rPr>
          <w:rFonts w:hint="eastAsia" w:ascii="宋体" w:hAnsi="宋体" w:eastAsia="宋体" w:cs="宋体"/>
          <w:bCs/>
          <w:color w:val="auto"/>
          <w:kern w:val="28"/>
          <w:sz w:val="21"/>
          <w:szCs w:val="21"/>
          <w:highlight w:val="none"/>
        </w:rPr>
      </w:pPr>
      <w:bookmarkStart w:id="6" w:name="_Toc11058"/>
      <w:r>
        <w:rPr>
          <w:rFonts w:hint="eastAsia" w:ascii="宋体" w:hAnsi="宋体" w:eastAsia="宋体" w:cs="宋体"/>
          <w:bCs/>
          <w:color w:val="auto"/>
          <w:kern w:val="28"/>
          <w:sz w:val="21"/>
          <w:szCs w:val="21"/>
          <w:highlight w:val="none"/>
        </w:rPr>
        <w:t>一、随机抽取规则</w:t>
      </w:r>
      <w:bookmarkEnd w:id="6"/>
    </w:p>
    <w:p w14:paraId="76372B41">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参与随机确定评标基准价计算方法的各方当事人（以下简称“各方”）应当严格遵守以下规则：</w:t>
      </w:r>
    </w:p>
    <w:p w14:paraId="4A2EE645">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（一）各方必须严格遵守公开、公平、公正和诚实信用原则；</w:t>
      </w:r>
    </w:p>
    <w:p w14:paraId="0F8AC103">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（二）随机抽取活动在招标人的主持下进行，由监督人员对全过程进行监督 ,招标人做好影像记录，并存档备查；</w:t>
      </w:r>
    </w:p>
    <w:p w14:paraId="30F77BED">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（三）用于随机抽取的器具由招标人提供；</w:t>
      </w:r>
    </w:p>
    <w:p w14:paraId="0A5FD57B">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（四）各方必须严格遵守现场纪律，确保随机抽取活动有序进行；</w:t>
      </w:r>
    </w:p>
    <w:p w14:paraId="4E9F82C8">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五）投标人对随机抽取结果有异议的，应当于产生随机抽取结果后的10分钟内在线提出异议，在规定时间之内未提出异议的，视为默认随机抽取结果。对于投标人提出的异议，招标人当场作出答复，并作好记录。</w:t>
      </w:r>
    </w:p>
    <w:p w14:paraId="5D3F6A96">
      <w:pPr>
        <w:adjustRightInd w:val="0"/>
        <w:spacing w:line="360" w:lineRule="auto"/>
        <w:outlineLvl w:val="2"/>
        <w:rPr>
          <w:rFonts w:hint="eastAsia" w:ascii="宋体" w:hAnsi="宋体" w:eastAsia="宋体" w:cs="宋体"/>
          <w:bCs/>
          <w:color w:val="auto"/>
          <w:kern w:val="28"/>
          <w:sz w:val="21"/>
          <w:szCs w:val="21"/>
          <w:highlight w:val="none"/>
        </w:rPr>
      </w:pPr>
      <w:bookmarkStart w:id="7" w:name="_Toc8381"/>
      <w:r>
        <w:rPr>
          <w:rFonts w:hint="eastAsia" w:ascii="宋体" w:hAnsi="宋体" w:eastAsia="宋体" w:cs="宋体"/>
          <w:bCs/>
          <w:color w:val="auto"/>
          <w:kern w:val="28"/>
          <w:sz w:val="21"/>
          <w:szCs w:val="21"/>
          <w:highlight w:val="none"/>
        </w:rPr>
        <w:t>二、随机抽取确定评标基准价计算方法的程序</w:t>
      </w:r>
      <w:bookmarkEnd w:id="7"/>
    </w:p>
    <w:p w14:paraId="0A0D6874">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（一）确定随机抽取代码球</w:t>
      </w:r>
    </w:p>
    <w:p w14:paraId="40BC40F6">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用抽取器具随机确定抽取代码球一套，作为本次随机抽取确定评标基准价计算方法的代码球。</w:t>
      </w:r>
    </w:p>
    <w:p w14:paraId="02CC4C36">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（二）本次招标共设置三种评标基准价计算方法（详见评标办法）。</w:t>
      </w:r>
    </w:p>
    <w:p w14:paraId="31456E12">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确定评标基准价计算方法的编号及代码球，1号球代表评标基准价计算方法1；2号球代表评标基准价计算方法2；3号球代表评标基准价计算方法3。</w:t>
      </w:r>
    </w:p>
    <w:p w14:paraId="7C8880D1">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（三）在投标文件第一信封（商务及技术文件）开标现场，将编号1、2、3代码球全部放入随机抽取器具中，由抽取器具随机抽取产生本次招标评标基准价计算方法。</w:t>
      </w:r>
    </w:p>
    <w:p w14:paraId="2181E272">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（四）确定评标基准价计算方法需要的系数（如有）。</w:t>
      </w:r>
    </w:p>
    <w:p w14:paraId="362A26F7">
      <w:pPr>
        <w:adjustRightInd w:val="0"/>
        <w:spacing w:line="360" w:lineRule="auto"/>
        <w:outlineLvl w:val="1"/>
        <w:rPr>
          <w:rFonts w:hint="eastAsia" w:ascii="宋体" w:hAnsi="宋体" w:eastAsia="宋体" w:cs="宋体"/>
          <w:bCs/>
          <w:color w:val="auto"/>
          <w:kern w:val="28"/>
          <w:sz w:val="21"/>
          <w:szCs w:val="21"/>
          <w:highlight w:val="none"/>
        </w:rPr>
      </w:pPr>
      <w:bookmarkStart w:id="8" w:name="_Toc26979"/>
      <w:r>
        <w:rPr>
          <w:rFonts w:hint="eastAsia" w:ascii="宋体" w:hAnsi="宋体" w:eastAsia="宋体" w:cs="宋体"/>
          <w:bCs/>
          <w:color w:val="auto"/>
          <w:kern w:val="28"/>
          <w:sz w:val="21"/>
          <w:szCs w:val="21"/>
          <w:highlight w:val="none"/>
        </w:rPr>
        <w:t>1、如果抽取的评标基准价计算方法为方法1，则不需要抽取系数。</w:t>
      </w:r>
      <w:bookmarkEnd w:id="8"/>
    </w:p>
    <w:p w14:paraId="57A30E0D">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2、如果抽取的评标基准价计算方法为方法2，则需要抽取评标基准价系数K1。</w:t>
      </w:r>
    </w:p>
    <w:p w14:paraId="6F8F810B">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K1取值范围为0.975、0.980、0.985、0.990、0.995。将编号为1～5的代码球放入抽取器具，由抽取器具随机抽取1个代码球，1号球代表K1值为0.975；2号球代表K1值为0.980；3号球代表K1值为0.985；4号球代表K1值为0.990；5号球代表K1值为0.995。</w:t>
      </w:r>
    </w:p>
    <w:p w14:paraId="67B5E996">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3、如果抽取的评标基准价计算方法为方法3，则需要抽取评标基准价系数K2。</w:t>
      </w:r>
    </w:p>
    <w:p w14:paraId="7A5D1613">
      <w:p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K2取值范围为0.10、0.15、0.20、0.25、0.30。将编号为1～5的代码球放入抽取器具，由抽取器具随机抽取1个代码球，1号球代表K2值为0.10；2号球代表K2值为0.15；3号球代表K2值为0.20；4号球代表K2值为0.25；5号球代表K2值为0.30。</w:t>
      </w:r>
    </w:p>
    <w:p w14:paraId="242C2A15">
      <w:pPr>
        <w:numPr>
          <w:ilvl w:val="0"/>
          <w:numId w:val="1"/>
        </w:num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如果遇到抽取器具发生故障，导致随机确定评标基准价计算方法过程中断时，招标人应及时宣布发生故障之前的随机确定评标基准价计算方法结果有效。宣布前任何人不得随意处理抽取器具，并请招标人、监督人员对故障发生情况进行书面确认。故障排除或更换抽取器具后，招标人应宣布继续后续的抽取程序。</w:t>
      </w:r>
    </w:p>
    <w:p w14:paraId="72C19E95">
      <w:pPr>
        <w:numPr>
          <w:ilvl w:val="0"/>
          <w:numId w:val="1"/>
        </w:numPr>
        <w:adjustRightInd w:val="0"/>
        <w:spacing w:line="360" w:lineRule="auto"/>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br w:type="page"/>
      </w:r>
    </w:p>
    <w:p w14:paraId="7828EDC7">
      <w:pPr>
        <w:keepNext/>
        <w:keepLines/>
        <w:widowControl w:val="0"/>
        <w:spacing w:before="0" w:after="0" w:line="360" w:lineRule="auto"/>
        <w:jc w:val="both"/>
        <w:outlineLvl w:val="0"/>
        <w:rPr>
          <w:rFonts w:hint="eastAsia" w:ascii="宋体" w:hAnsi="宋体" w:eastAsia="宋体" w:cs="宋体"/>
          <w:b/>
          <w:bCs/>
          <w:color w:val="auto"/>
          <w:kern w:val="28"/>
          <w:sz w:val="21"/>
          <w:szCs w:val="21"/>
          <w:highlight w:val="none"/>
          <w:lang w:val="en-US" w:eastAsia="zh-CN" w:bidi="ar-SA"/>
        </w:rPr>
      </w:pPr>
      <w:bookmarkStart w:id="9" w:name="_Toc28405"/>
      <w:bookmarkStart w:id="10" w:name="_Toc28559"/>
      <w:r>
        <w:rPr>
          <w:rFonts w:hint="eastAsia" w:ascii="宋体" w:hAnsi="宋体" w:eastAsia="宋体" w:cs="宋体"/>
          <w:b/>
          <w:bCs/>
          <w:color w:val="auto"/>
          <w:kern w:val="28"/>
          <w:sz w:val="21"/>
          <w:szCs w:val="21"/>
          <w:highlight w:val="none"/>
          <w:lang w:val="en-US" w:eastAsia="zh-CN" w:bidi="ar-SA"/>
        </w:rPr>
        <w:t>附件3：评标办法</w:t>
      </w:r>
      <w:bookmarkEnd w:id="9"/>
      <w:bookmarkEnd w:id="10"/>
    </w:p>
    <w:bookmarkEnd w:id="3"/>
    <w:p w14:paraId="31D65D95">
      <w:pPr>
        <w:tabs>
          <w:tab w:val="left" w:pos="0"/>
        </w:tabs>
        <w:spacing w:line="360" w:lineRule="auto"/>
        <w:jc w:val="center"/>
        <w:rPr>
          <w:rFonts w:hint="eastAsia" w:ascii="宋体" w:hAnsi="宋体" w:eastAsia="宋体" w:cs="宋体"/>
          <w:b/>
          <w:bCs/>
          <w:color w:val="auto"/>
          <w:kern w:val="28"/>
          <w:sz w:val="21"/>
          <w:szCs w:val="21"/>
          <w:highlight w:val="none"/>
        </w:rPr>
      </w:pPr>
      <w:r>
        <w:rPr>
          <w:rFonts w:hint="eastAsia" w:ascii="宋体" w:hAnsi="宋体" w:eastAsia="宋体" w:cs="宋体"/>
          <w:b/>
          <w:bCs/>
          <w:color w:val="auto"/>
          <w:kern w:val="28"/>
          <w:sz w:val="21"/>
          <w:szCs w:val="21"/>
          <w:highlight w:val="none"/>
        </w:rPr>
        <w:t>评标办法前附表</w:t>
      </w:r>
    </w:p>
    <w:tbl>
      <w:tblPr>
        <w:tblStyle w:val="2"/>
        <w:tblW w:w="10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5"/>
        <w:gridCol w:w="1684"/>
        <w:gridCol w:w="6986"/>
      </w:tblGrid>
      <w:tr w14:paraId="6128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77" w:type="pct"/>
            <w:gridSpan w:val="2"/>
            <w:vAlign w:val="center"/>
          </w:tcPr>
          <w:p w14:paraId="0A29A87F">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条款号</w:t>
            </w:r>
          </w:p>
        </w:tc>
        <w:tc>
          <w:tcPr>
            <w:tcW w:w="3422" w:type="pct"/>
            <w:vAlign w:val="center"/>
          </w:tcPr>
          <w:p w14:paraId="00CD85EC">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评审因素与评审标准</w:t>
            </w:r>
          </w:p>
        </w:tc>
      </w:tr>
      <w:tr w14:paraId="6F6F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pct"/>
            <w:vAlign w:val="center"/>
          </w:tcPr>
          <w:p w14:paraId="59CB37F7">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1</w:t>
            </w:r>
          </w:p>
        </w:tc>
        <w:tc>
          <w:tcPr>
            <w:tcW w:w="825" w:type="pct"/>
            <w:vAlign w:val="center"/>
          </w:tcPr>
          <w:p w14:paraId="11C73F77">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评标方法</w:t>
            </w:r>
          </w:p>
        </w:tc>
        <w:tc>
          <w:tcPr>
            <w:tcW w:w="3422" w:type="pct"/>
            <w:vAlign w:val="center"/>
          </w:tcPr>
          <w:p w14:paraId="67155302">
            <w:pPr>
              <w:snapToGrid w:val="0"/>
              <w:jc w:val="left"/>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本次评标采用技术评分合理低价法，双信封形式。</w:t>
            </w:r>
          </w:p>
          <w:p w14:paraId="6876C3A3">
            <w:pPr>
              <w:snapToGrid w:val="0"/>
              <w:jc w:val="left"/>
              <w:rPr>
                <w:rFonts w:hint="eastAsia" w:ascii="宋体" w:hAnsi="宋体" w:eastAsia="宋体" w:cs="宋体"/>
                <w:color w:val="auto"/>
                <w:kern w:val="28"/>
                <w:sz w:val="21"/>
                <w:szCs w:val="21"/>
                <w:highlight w:val="none"/>
              </w:rPr>
            </w:pPr>
            <w:r>
              <w:rPr>
                <w:rFonts w:ascii="宋体" w:hAnsi="宋体" w:eastAsia="宋体" w:cs="宋体"/>
                <w:color w:val="auto"/>
                <w:kern w:val="28"/>
                <w:sz w:val="21"/>
                <w:szCs w:val="21"/>
                <w:highlight w:val="none"/>
              </w:rPr>
              <w:t>评标委员</w:t>
            </w:r>
            <w:r>
              <w:rPr>
                <w:rFonts w:hint="eastAsia" w:ascii="宋体" w:hAnsi="宋体" w:eastAsia="宋体" w:cs="宋体"/>
                <w:color w:val="auto"/>
                <w:kern w:val="28"/>
                <w:sz w:val="21"/>
                <w:szCs w:val="21"/>
                <w:highlight w:val="none"/>
              </w:rPr>
              <w:t>会</w:t>
            </w:r>
            <w:r>
              <w:rPr>
                <w:rFonts w:ascii="宋体" w:hAnsi="宋体" w:eastAsia="宋体" w:cs="宋体"/>
                <w:color w:val="auto"/>
                <w:kern w:val="28"/>
                <w:sz w:val="21"/>
                <w:szCs w:val="21"/>
                <w:highlight w:val="none"/>
              </w:rPr>
              <w:t>对满足招标文件实质性要求的投标文件的施工组织设计、主要人员、企业业绩</w:t>
            </w:r>
            <w:r>
              <w:rPr>
                <w:rFonts w:hint="eastAsia" w:ascii="宋体" w:hAnsi="宋体" w:eastAsia="宋体" w:cs="宋体"/>
                <w:color w:val="auto"/>
                <w:kern w:val="28"/>
                <w:sz w:val="21"/>
                <w:szCs w:val="21"/>
                <w:highlight w:val="none"/>
              </w:rPr>
              <w:t>（即第一信封）等因素</w:t>
            </w:r>
            <w:r>
              <w:rPr>
                <w:rFonts w:ascii="宋体" w:hAnsi="宋体" w:eastAsia="宋体" w:cs="宋体"/>
                <w:color w:val="auto"/>
                <w:kern w:val="28"/>
                <w:sz w:val="21"/>
                <w:szCs w:val="21"/>
                <w:highlight w:val="none"/>
              </w:rPr>
              <w:t>进行评分，按照</w:t>
            </w:r>
            <w:r>
              <w:rPr>
                <w:rFonts w:hint="eastAsia" w:ascii="宋体" w:hAnsi="宋体" w:eastAsia="宋体" w:cs="宋体"/>
                <w:color w:val="auto"/>
                <w:kern w:val="28"/>
                <w:sz w:val="21"/>
                <w:szCs w:val="21"/>
                <w:highlight w:val="none"/>
                <w:lang w:val="en-US" w:eastAsia="zh-CN"/>
              </w:rPr>
              <w:t>综合</w:t>
            </w:r>
            <w:r>
              <w:rPr>
                <w:rFonts w:ascii="宋体" w:hAnsi="宋体" w:eastAsia="宋体" w:cs="宋体"/>
                <w:color w:val="auto"/>
                <w:kern w:val="28"/>
                <w:sz w:val="21"/>
                <w:szCs w:val="21"/>
                <w:highlight w:val="none"/>
              </w:rPr>
              <w:t>得分由高到低排序，</w:t>
            </w:r>
            <w:r>
              <w:rPr>
                <w:rFonts w:hint="eastAsia" w:ascii="宋体" w:hAnsi="宋体" w:eastAsia="宋体" w:cs="宋体"/>
                <w:color w:val="auto"/>
                <w:kern w:val="28"/>
                <w:sz w:val="21"/>
                <w:szCs w:val="21"/>
                <w:highlight w:val="none"/>
              </w:rPr>
              <w:t>确定前5</w:t>
            </w:r>
            <w:r>
              <w:rPr>
                <w:rFonts w:hint="eastAsia" w:ascii="宋体" w:hAnsi="宋体" w:eastAsia="宋体" w:cs="宋体"/>
                <w:color w:val="auto"/>
                <w:kern w:val="28"/>
                <w:sz w:val="21"/>
                <w:szCs w:val="21"/>
                <w:highlight w:val="none"/>
                <w:lang w:val="en-US" w:eastAsia="zh-CN"/>
              </w:rPr>
              <w:t>家</w:t>
            </w:r>
            <w:r>
              <w:rPr>
                <w:rFonts w:ascii="宋体" w:hAnsi="宋体" w:eastAsia="宋体" w:cs="宋体"/>
                <w:color w:val="auto"/>
                <w:kern w:val="28"/>
                <w:sz w:val="21"/>
                <w:szCs w:val="21"/>
                <w:highlight w:val="none"/>
              </w:rPr>
              <w:t>的投标人</w:t>
            </w:r>
            <w:r>
              <w:rPr>
                <w:rFonts w:hint="eastAsia" w:ascii="宋体" w:hAnsi="宋体" w:eastAsia="宋体" w:cs="宋体"/>
                <w:color w:val="auto"/>
                <w:kern w:val="28"/>
                <w:sz w:val="21"/>
                <w:szCs w:val="21"/>
                <w:highlight w:val="none"/>
              </w:rPr>
              <w:t>进入</w:t>
            </w:r>
            <w:r>
              <w:rPr>
                <w:rFonts w:ascii="宋体" w:hAnsi="宋体" w:eastAsia="宋体" w:cs="宋体"/>
                <w:color w:val="auto"/>
                <w:kern w:val="28"/>
                <w:sz w:val="21"/>
                <w:szCs w:val="21"/>
                <w:highlight w:val="none"/>
              </w:rPr>
              <w:t>报价文件</w:t>
            </w:r>
            <w:r>
              <w:rPr>
                <w:rFonts w:hint="eastAsia" w:ascii="宋体" w:hAnsi="宋体" w:eastAsia="宋体" w:cs="宋体"/>
                <w:color w:val="auto"/>
                <w:kern w:val="28"/>
                <w:sz w:val="21"/>
                <w:szCs w:val="21"/>
                <w:highlight w:val="none"/>
              </w:rPr>
              <w:t>（即第二信封）</w:t>
            </w:r>
            <w:r>
              <w:rPr>
                <w:rFonts w:ascii="宋体" w:hAnsi="宋体" w:eastAsia="宋体" w:cs="宋体"/>
                <w:color w:val="auto"/>
                <w:kern w:val="28"/>
                <w:sz w:val="21"/>
                <w:szCs w:val="21"/>
                <w:highlight w:val="none"/>
              </w:rPr>
              <w:t>评审</w:t>
            </w:r>
            <w:r>
              <w:rPr>
                <w:rFonts w:hint="eastAsia" w:ascii="宋体" w:hAnsi="宋体" w:eastAsia="宋体" w:cs="宋体"/>
                <w:color w:val="auto"/>
                <w:kern w:val="28"/>
                <w:sz w:val="21"/>
                <w:szCs w:val="21"/>
                <w:highlight w:val="none"/>
              </w:rPr>
              <w:t>。</w:t>
            </w:r>
          </w:p>
          <w:p w14:paraId="5E4DE79F">
            <w:pPr>
              <w:snapToGrid w:val="0"/>
              <w:jc w:val="left"/>
              <w:rPr>
                <w:rFonts w:hint="eastAsia" w:ascii="宋体" w:hAnsi="宋体" w:eastAsia="宋体" w:cs="宋体"/>
                <w:color w:val="auto"/>
                <w:kern w:val="28"/>
                <w:sz w:val="21"/>
                <w:szCs w:val="21"/>
                <w:highlight w:val="none"/>
              </w:rPr>
            </w:pPr>
            <w:r>
              <w:rPr>
                <w:rFonts w:ascii="宋体" w:hAnsi="宋体" w:eastAsia="宋体" w:cs="宋体"/>
                <w:color w:val="auto"/>
                <w:kern w:val="28"/>
                <w:sz w:val="21"/>
                <w:szCs w:val="21"/>
                <w:highlight w:val="none"/>
              </w:rPr>
              <w:t>第一信封</w:t>
            </w:r>
            <w:r>
              <w:rPr>
                <w:rFonts w:hint="eastAsia" w:ascii="宋体" w:hAnsi="宋体" w:eastAsia="宋体" w:cs="宋体"/>
                <w:color w:val="auto"/>
                <w:kern w:val="28"/>
                <w:sz w:val="21"/>
                <w:szCs w:val="21"/>
                <w:highlight w:val="none"/>
                <w:lang w:val="en-US" w:eastAsia="zh-CN"/>
              </w:rPr>
              <w:t>综合</w:t>
            </w:r>
            <w:r>
              <w:rPr>
                <w:rFonts w:ascii="宋体" w:hAnsi="宋体" w:eastAsia="宋体" w:cs="宋体"/>
                <w:color w:val="auto"/>
                <w:kern w:val="28"/>
                <w:sz w:val="21"/>
                <w:szCs w:val="21"/>
                <w:highlight w:val="none"/>
              </w:rPr>
              <w:t>得分相等时，</w:t>
            </w:r>
            <w:r>
              <w:rPr>
                <w:rFonts w:hint="eastAsia" w:ascii="宋体" w:hAnsi="宋体" w:eastAsia="宋体" w:cs="宋体"/>
                <w:color w:val="auto"/>
                <w:kern w:val="28"/>
                <w:sz w:val="21"/>
                <w:szCs w:val="21"/>
                <w:highlight w:val="none"/>
                <w:lang w:val="en-US" w:eastAsia="zh-CN"/>
              </w:rPr>
              <w:t>以</w:t>
            </w:r>
            <w:r>
              <w:rPr>
                <w:rFonts w:hint="eastAsia" w:ascii="宋体" w:hAnsi="宋体" w:eastAsia="宋体" w:cs="宋体"/>
                <w:color w:val="auto"/>
                <w:kern w:val="28"/>
                <w:sz w:val="21"/>
                <w:szCs w:val="21"/>
                <w:highlight w:val="none"/>
              </w:rPr>
              <w:t>施工组织设计得分高的优先；施工组织设计得分也相等的，以</w:t>
            </w:r>
            <w:r>
              <w:rPr>
                <w:rFonts w:ascii="宋体" w:hAnsi="宋体" w:eastAsia="宋体" w:cs="宋体"/>
                <w:color w:val="auto"/>
                <w:kern w:val="28"/>
                <w:sz w:val="21"/>
                <w:szCs w:val="21"/>
                <w:highlight w:val="none"/>
              </w:rPr>
              <w:t>满足资格审查条件（业绩最低要求）的业绩</w:t>
            </w:r>
            <w:r>
              <w:rPr>
                <w:rFonts w:hint="eastAsia" w:ascii="宋体" w:hAnsi="宋体" w:eastAsia="宋体" w:cs="宋体"/>
                <w:color w:val="auto"/>
                <w:kern w:val="28"/>
                <w:sz w:val="21"/>
                <w:szCs w:val="21"/>
                <w:highlight w:val="none"/>
              </w:rPr>
              <w:t>单项合同额最高</w:t>
            </w:r>
            <w:r>
              <w:rPr>
                <w:rFonts w:ascii="宋体" w:hAnsi="宋体" w:eastAsia="宋体" w:cs="宋体"/>
                <w:color w:val="auto"/>
                <w:kern w:val="28"/>
                <w:sz w:val="21"/>
                <w:szCs w:val="21"/>
                <w:highlight w:val="none"/>
              </w:rPr>
              <w:t>的优先，</w:t>
            </w:r>
            <w:r>
              <w:rPr>
                <w:rFonts w:hint="eastAsia" w:ascii="宋体" w:hAnsi="宋体" w:eastAsia="宋体" w:cs="宋体"/>
                <w:color w:val="auto"/>
                <w:kern w:val="28"/>
                <w:sz w:val="21"/>
                <w:szCs w:val="21"/>
                <w:highlight w:val="none"/>
              </w:rPr>
              <w:t>单项合同额</w:t>
            </w:r>
            <w:r>
              <w:rPr>
                <w:rFonts w:ascii="宋体" w:hAnsi="宋体" w:eastAsia="宋体" w:cs="宋体"/>
                <w:color w:val="auto"/>
                <w:kern w:val="28"/>
                <w:sz w:val="21"/>
                <w:szCs w:val="21"/>
                <w:highlight w:val="none"/>
              </w:rPr>
              <w:t>也相等时，以累计合同金额</w:t>
            </w:r>
            <w:r>
              <w:rPr>
                <w:rFonts w:hint="eastAsia" w:ascii="宋体" w:hAnsi="宋体" w:eastAsia="宋体" w:cs="宋体"/>
                <w:color w:val="auto"/>
                <w:kern w:val="28"/>
                <w:sz w:val="21"/>
                <w:szCs w:val="21"/>
                <w:highlight w:val="none"/>
              </w:rPr>
              <w:t>高</w:t>
            </w:r>
            <w:r>
              <w:rPr>
                <w:rFonts w:ascii="宋体" w:hAnsi="宋体" w:eastAsia="宋体" w:cs="宋体"/>
                <w:color w:val="auto"/>
                <w:kern w:val="28"/>
                <w:sz w:val="21"/>
                <w:szCs w:val="21"/>
                <w:highlight w:val="none"/>
              </w:rPr>
              <w:t>的优先</w:t>
            </w:r>
            <w:r>
              <w:rPr>
                <w:rFonts w:hint="eastAsia" w:ascii="宋体" w:hAnsi="宋体" w:eastAsia="宋体" w:cs="宋体"/>
                <w:color w:val="auto"/>
                <w:kern w:val="28"/>
                <w:sz w:val="21"/>
                <w:szCs w:val="21"/>
                <w:highlight w:val="none"/>
              </w:rPr>
              <w:t>。</w:t>
            </w:r>
          </w:p>
          <w:p w14:paraId="46075BFE">
            <w:pPr>
              <w:snapToGrid w:val="0"/>
              <w:jc w:val="left"/>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未通过第一信封评审或第一信封综合得分未进入前</w:t>
            </w:r>
            <w:r>
              <w:rPr>
                <w:rFonts w:hint="eastAsia" w:ascii="宋体" w:hAnsi="宋体" w:eastAsia="宋体" w:cs="宋体"/>
                <w:color w:val="auto"/>
                <w:kern w:val="28"/>
                <w:sz w:val="21"/>
                <w:szCs w:val="21"/>
                <w:highlight w:val="none"/>
                <w:lang w:eastAsia="zh-CN"/>
              </w:rPr>
              <w:t>5家</w:t>
            </w:r>
            <w:r>
              <w:rPr>
                <w:rFonts w:hint="eastAsia" w:ascii="宋体" w:hAnsi="宋体" w:eastAsia="宋体" w:cs="宋体"/>
                <w:color w:val="auto"/>
                <w:kern w:val="28"/>
                <w:sz w:val="21"/>
                <w:szCs w:val="21"/>
                <w:highlight w:val="none"/>
              </w:rPr>
              <w:t>的投标人，其第二信封在整个评标期间不再开封，不随任何因素发生变化。</w:t>
            </w:r>
          </w:p>
          <w:p w14:paraId="5686B7FF">
            <w:pPr>
              <w:snapToGrid w:val="0"/>
              <w:jc w:val="left"/>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若通过第一信封初步评审的投标人≤5家时，则第一信封不再进行打分，通过第一信封的所有投标人直接进入报价文件（即第二信封）评审</w:t>
            </w:r>
            <w:r>
              <w:rPr>
                <w:rFonts w:ascii="宋体" w:hAnsi="宋体" w:eastAsia="宋体" w:cs="宋体"/>
                <w:color w:val="auto"/>
                <w:kern w:val="28"/>
                <w:sz w:val="21"/>
                <w:szCs w:val="21"/>
                <w:highlight w:val="none"/>
              </w:rPr>
              <w:t>。</w:t>
            </w:r>
          </w:p>
          <w:p w14:paraId="3A147BDF">
            <w:pPr>
              <w:snapToGrid w:val="0"/>
              <w:jc w:val="left"/>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评标委员会对通过第二信封初步评审的投标人，按其评标价得分由高到低的顺序，向招标人推荐1-3名中标候选</w:t>
            </w:r>
            <w:r>
              <w:rPr>
                <w:rFonts w:hint="eastAsia" w:ascii="Times New Roman" w:hAnsi="Times New Roman" w:eastAsia="宋体" w:cs="Times New Roman"/>
                <w:color w:val="auto"/>
                <w:kern w:val="28"/>
                <w:sz w:val="21"/>
                <w:szCs w:val="24"/>
                <w:highlight w:val="none"/>
              </w:rPr>
              <w:t>人。</w:t>
            </w:r>
            <w:r>
              <w:rPr>
                <w:rFonts w:ascii="宋体" w:hAnsi="宋体" w:eastAsia="宋体" w:cs="宋体"/>
                <w:color w:val="auto"/>
                <w:kern w:val="28"/>
                <w:sz w:val="21"/>
                <w:szCs w:val="21"/>
                <w:highlight w:val="none"/>
              </w:rPr>
              <w:t>评标价</w:t>
            </w:r>
            <w:r>
              <w:rPr>
                <w:rFonts w:hint="eastAsia" w:ascii="宋体" w:hAnsi="宋体" w:eastAsia="宋体" w:cs="宋体"/>
                <w:color w:val="auto"/>
                <w:kern w:val="28"/>
                <w:sz w:val="21"/>
                <w:szCs w:val="21"/>
                <w:highlight w:val="none"/>
              </w:rPr>
              <w:t>得分</w:t>
            </w:r>
            <w:r>
              <w:rPr>
                <w:rFonts w:ascii="宋体" w:hAnsi="宋体" w:eastAsia="宋体" w:cs="宋体"/>
                <w:color w:val="auto"/>
                <w:kern w:val="28"/>
                <w:sz w:val="21"/>
                <w:szCs w:val="21"/>
                <w:highlight w:val="none"/>
              </w:rPr>
              <w:t>相等时，评标委员会按照以下优先顺序推荐中标候选人：</w:t>
            </w:r>
          </w:p>
          <w:p w14:paraId="793A2073">
            <w:pPr>
              <w:snapToGrid w:val="0"/>
              <w:jc w:val="left"/>
              <w:rPr>
                <w:rFonts w:hint="eastAsia" w:ascii="宋体" w:hAnsi="宋体" w:eastAsia="宋体" w:cs="宋体"/>
                <w:color w:val="auto"/>
                <w:kern w:val="28"/>
                <w:sz w:val="21"/>
                <w:szCs w:val="21"/>
                <w:highlight w:val="none"/>
              </w:rPr>
            </w:pPr>
            <w:r>
              <w:rPr>
                <w:rFonts w:ascii="宋体" w:hAnsi="宋体" w:eastAsia="宋体" w:cs="宋体"/>
                <w:color w:val="auto"/>
                <w:kern w:val="28"/>
                <w:sz w:val="21"/>
                <w:szCs w:val="21"/>
                <w:highlight w:val="none"/>
              </w:rPr>
              <w:t>（1）</w:t>
            </w:r>
            <w:r>
              <w:rPr>
                <w:rFonts w:hint="eastAsia" w:ascii="宋体" w:hAnsi="宋体" w:eastAsia="宋体" w:cs="宋体"/>
                <w:color w:val="auto"/>
                <w:kern w:val="28"/>
                <w:sz w:val="21"/>
                <w:szCs w:val="21"/>
                <w:highlight w:val="none"/>
              </w:rPr>
              <w:t>评标价</w:t>
            </w:r>
            <w:r>
              <w:rPr>
                <w:rFonts w:ascii="宋体" w:hAnsi="宋体" w:eastAsia="宋体" w:cs="宋体"/>
                <w:color w:val="auto"/>
                <w:kern w:val="28"/>
                <w:sz w:val="21"/>
                <w:szCs w:val="21"/>
                <w:highlight w:val="none"/>
              </w:rPr>
              <w:t>低的优先；</w:t>
            </w:r>
          </w:p>
          <w:p w14:paraId="714C8B6A">
            <w:pPr>
              <w:snapToGrid w:val="0"/>
              <w:jc w:val="left"/>
              <w:rPr>
                <w:rFonts w:hint="eastAsia" w:ascii="宋体" w:hAnsi="宋体" w:eastAsia="宋体" w:cs="宋体"/>
                <w:color w:val="auto"/>
                <w:kern w:val="28"/>
                <w:sz w:val="21"/>
                <w:szCs w:val="21"/>
                <w:highlight w:val="none"/>
              </w:rPr>
            </w:pPr>
            <w:r>
              <w:rPr>
                <w:rFonts w:ascii="宋体" w:hAnsi="宋体" w:eastAsia="宋体" w:cs="宋体"/>
                <w:color w:val="auto"/>
                <w:kern w:val="28"/>
                <w:sz w:val="21"/>
                <w:szCs w:val="21"/>
                <w:highlight w:val="none"/>
              </w:rPr>
              <w:t>（2）第一信封</w:t>
            </w:r>
            <w:r>
              <w:rPr>
                <w:rFonts w:hint="eastAsia" w:ascii="宋体" w:hAnsi="宋体" w:eastAsia="宋体" w:cs="宋体"/>
                <w:color w:val="auto"/>
                <w:kern w:val="28"/>
                <w:sz w:val="21"/>
                <w:szCs w:val="21"/>
                <w:highlight w:val="none"/>
                <w:lang w:val="en-US" w:eastAsia="zh-CN"/>
              </w:rPr>
              <w:t>综合</w:t>
            </w:r>
            <w:r>
              <w:rPr>
                <w:rFonts w:ascii="宋体" w:hAnsi="宋体" w:eastAsia="宋体" w:cs="宋体"/>
                <w:color w:val="auto"/>
                <w:kern w:val="28"/>
                <w:sz w:val="21"/>
                <w:szCs w:val="21"/>
                <w:highlight w:val="none"/>
              </w:rPr>
              <w:t>得分高的投标人优先</w:t>
            </w:r>
            <w:r>
              <w:rPr>
                <w:rFonts w:hint="eastAsia" w:ascii="宋体" w:hAnsi="宋体" w:eastAsia="宋体" w:cs="宋体"/>
                <w:color w:val="auto"/>
                <w:kern w:val="28"/>
                <w:sz w:val="21"/>
                <w:szCs w:val="21"/>
                <w:highlight w:val="none"/>
              </w:rPr>
              <w:t>；</w:t>
            </w:r>
          </w:p>
          <w:p w14:paraId="79C6FCA7">
            <w:pPr>
              <w:snapToGrid w:val="0"/>
              <w:jc w:val="left"/>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（3）以</w:t>
            </w:r>
            <w:r>
              <w:rPr>
                <w:rFonts w:ascii="宋体" w:hAnsi="宋体" w:eastAsia="宋体" w:cs="宋体"/>
                <w:color w:val="auto"/>
                <w:kern w:val="28"/>
                <w:sz w:val="21"/>
                <w:szCs w:val="21"/>
                <w:highlight w:val="none"/>
              </w:rPr>
              <w:t>满足资格审查条件（业绩最低要求）的业绩</w:t>
            </w:r>
            <w:r>
              <w:rPr>
                <w:rFonts w:hint="eastAsia" w:ascii="宋体" w:hAnsi="宋体" w:eastAsia="宋体" w:cs="宋体"/>
                <w:color w:val="auto"/>
                <w:kern w:val="28"/>
                <w:sz w:val="21"/>
                <w:szCs w:val="21"/>
                <w:highlight w:val="none"/>
              </w:rPr>
              <w:t>单项合同额最高</w:t>
            </w:r>
            <w:r>
              <w:rPr>
                <w:rFonts w:ascii="宋体" w:hAnsi="宋体" w:eastAsia="宋体" w:cs="宋体"/>
                <w:color w:val="auto"/>
                <w:kern w:val="28"/>
                <w:sz w:val="21"/>
                <w:szCs w:val="21"/>
                <w:highlight w:val="none"/>
              </w:rPr>
              <w:t>的优先，</w:t>
            </w:r>
            <w:r>
              <w:rPr>
                <w:rFonts w:hint="eastAsia" w:ascii="宋体" w:hAnsi="宋体" w:eastAsia="宋体" w:cs="宋体"/>
                <w:color w:val="auto"/>
                <w:kern w:val="28"/>
                <w:sz w:val="21"/>
                <w:szCs w:val="21"/>
                <w:highlight w:val="none"/>
              </w:rPr>
              <w:t>单项合同额</w:t>
            </w:r>
            <w:r>
              <w:rPr>
                <w:rFonts w:ascii="宋体" w:hAnsi="宋体" w:eastAsia="宋体" w:cs="宋体"/>
                <w:color w:val="auto"/>
                <w:kern w:val="28"/>
                <w:sz w:val="21"/>
                <w:szCs w:val="21"/>
                <w:highlight w:val="none"/>
              </w:rPr>
              <w:t>也相等时，以累计合同金额</w:t>
            </w:r>
            <w:r>
              <w:rPr>
                <w:rFonts w:hint="eastAsia" w:ascii="宋体" w:hAnsi="宋体" w:eastAsia="宋体" w:cs="宋体"/>
                <w:color w:val="auto"/>
                <w:kern w:val="28"/>
                <w:sz w:val="21"/>
                <w:szCs w:val="21"/>
                <w:highlight w:val="none"/>
              </w:rPr>
              <w:t>高</w:t>
            </w:r>
            <w:r>
              <w:rPr>
                <w:rFonts w:ascii="宋体" w:hAnsi="宋体" w:eastAsia="宋体" w:cs="宋体"/>
                <w:color w:val="auto"/>
                <w:kern w:val="28"/>
                <w:sz w:val="21"/>
                <w:szCs w:val="21"/>
                <w:highlight w:val="none"/>
              </w:rPr>
              <w:t>的优先</w:t>
            </w:r>
            <w:r>
              <w:rPr>
                <w:rFonts w:hint="eastAsia" w:ascii="宋体" w:hAnsi="宋体" w:eastAsia="宋体" w:cs="宋体"/>
                <w:color w:val="auto"/>
                <w:kern w:val="28"/>
                <w:sz w:val="21"/>
                <w:szCs w:val="21"/>
                <w:highlight w:val="none"/>
              </w:rPr>
              <w:t>。</w:t>
            </w:r>
          </w:p>
          <w:p w14:paraId="57AD63A0">
            <w:pPr>
              <w:adjustRightInd w:val="0"/>
              <w:snapToGrid w:val="0"/>
              <w:jc w:val="left"/>
              <w:rPr>
                <w:rFonts w:ascii="Times New Roman" w:hAnsi="Times New Roman" w:eastAsia="宋体" w:cs="Times New Roman"/>
                <w:color w:val="auto"/>
                <w:kern w:val="2"/>
                <w:sz w:val="21"/>
                <w:szCs w:val="21"/>
                <w:highlight w:val="none"/>
              </w:rPr>
            </w:pPr>
            <w:r>
              <w:rPr>
                <w:rFonts w:ascii="宋体" w:hAnsi="宋体" w:eastAsia="宋体" w:cs="宋体"/>
                <w:color w:val="auto"/>
                <w:kern w:val="28"/>
                <w:sz w:val="21"/>
                <w:szCs w:val="21"/>
                <w:highlight w:val="none"/>
              </w:rPr>
              <w:t>通过第二信封评审的投标人少于3个的，评标委员会可以否决全部投标；未否决全部投标的，评标委员会应当在评标报告中阐明理由并推荐中标候选人。</w:t>
            </w:r>
          </w:p>
          <w:p w14:paraId="68C82E1C">
            <w:pPr>
              <w:snapToGrid w:val="0"/>
              <w:jc w:val="left"/>
              <w:rPr>
                <w:rFonts w:hint="eastAsia" w:ascii="宋体" w:hAnsi="宋体" w:eastAsia="宋体" w:cs="宋体"/>
                <w:color w:val="auto"/>
                <w:kern w:val="28"/>
                <w:sz w:val="21"/>
                <w:szCs w:val="21"/>
                <w:highlight w:val="none"/>
              </w:rPr>
            </w:pPr>
            <w:r>
              <w:rPr>
                <w:rFonts w:ascii="Times New Roman" w:hAnsi="Times New Roman" w:eastAsia="宋体" w:cs="Times New Roman"/>
                <w:b/>
                <w:bCs/>
                <w:color w:val="auto"/>
                <w:kern w:val="0"/>
                <w:sz w:val="21"/>
                <w:szCs w:val="21"/>
                <w:highlight w:val="none"/>
              </w:rPr>
              <w:t>与本项目</w:t>
            </w:r>
            <w:r>
              <w:rPr>
                <w:rFonts w:hint="eastAsia" w:ascii="Times New Roman" w:hAnsi="Times New Roman" w:eastAsia="宋体" w:cs="Times New Roman"/>
                <w:b/>
                <w:bCs/>
                <w:color w:val="auto"/>
                <w:kern w:val="0"/>
                <w:sz w:val="21"/>
                <w:szCs w:val="21"/>
                <w:highlight w:val="none"/>
                <w:lang w:val="en-US" w:eastAsia="zh-CN"/>
              </w:rPr>
              <w:t>监理</w:t>
            </w:r>
            <w:r>
              <w:rPr>
                <w:rFonts w:ascii="Times New Roman" w:hAnsi="Times New Roman" w:eastAsia="宋体" w:cs="Times New Roman"/>
                <w:b/>
                <w:bCs/>
                <w:color w:val="auto"/>
                <w:kern w:val="0"/>
                <w:sz w:val="21"/>
                <w:szCs w:val="21"/>
                <w:highlight w:val="none"/>
              </w:rPr>
              <w:t>的</w:t>
            </w:r>
            <w:r>
              <w:rPr>
                <w:rFonts w:hint="eastAsia" w:ascii="Times New Roman" w:hAnsi="Times New Roman" w:eastAsia="宋体" w:cs="Times New Roman"/>
                <w:b/>
                <w:bCs/>
                <w:color w:val="auto"/>
                <w:kern w:val="0"/>
                <w:sz w:val="21"/>
                <w:szCs w:val="21"/>
                <w:highlight w:val="none"/>
                <w:lang w:val="en-US" w:eastAsia="zh-CN"/>
              </w:rPr>
              <w:t>第一中标候选人</w:t>
            </w:r>
            <w:r>
              <w:rPr>
                <w:rFonts w:ascii="Times New Roman" w:hAnsi="Times New Roman" w:eastAsia="宋体" w:cs="Times New Roman"/>
                <w:b/>
                <w:bCs/>
                <w:color w:val="auto"/>
                <w:kern w:val="0"/>
                <w:sz w:val="21"/>
                <w:szCs w:val="21"/>
                <w:highlight w:val="none"/>
              </w:rPr>
              <w:t>存在隶属关系或者其他利害关系</w:t>
            </w:r>
            <w:r>
              <w:rPr>
                <w:rFonts w:ascii="Times New Roman" w:hAnsi="Times New Roman" w:eastAsia="宋体" w:cs="Times New Roman"/>
                <w:b/>
                <w:bCs/>
                <w:color w:val="auto"/>
                <w:kern w:val="2"/>
                <w:sz w:val="21"/>
                <w:szCs w:val="21"/>
                <w:highlight w:val="none"/>
              </w:rPr>
              <w:t>的投标人或</w:t>
            </w:r>
            <w:r>
              <w:rPr>
                <w:rFonts w:ascii="Times New Roman" w:hAnsi="Times New Roman" w:eastAsia="宋体" w:cs="Times New Roman"/>
                <w:b/>
                <w:bCs/>
                <w:color w:val="auto"/>
                <w:kern w:val="0"/>
                <w:sz w:val="21"/>
                <w:szCs w:val="21"/>
                <w:highlight w:val="none"/>
              </w:rPr>
              <w:t>与本项目</w:t>
            </w:r>
            <w:r>
              <w:rPr>
                <w:rFonts w:hint="eastAsia" w:ascii="Times New Roman" w:hAnsi="Times New Roman" w:eastAsia="宋体" w:cs="Times New Roman"/>
                <w:b/>
                <w:bCs/>
                <w:color w:val="auto"/>
                <w:kern w:val="0"/>
                <w:sz w:val="21"/>
                <w:szCs w:val="21"/>
                <w:highlight w:val="none"/>
                <w:lang w:val="en-US" w:eastAsia="zh-CN"/>
              </w:rPr>
              <w:t>监理</w:t>
            </w:r>
            <w:r>
              <w:rPr>
                <w:rFonts w:ascii="Times New Roman" w:hAnsi="Times New Roman" w:eastAsia="宋体" w:cs="Times New Roman"/>
                <w:b/>
                <w:bCs/>
                <w:color w:val="auto"/>
                <w:kern w:val="0"/>
                <w:sz w:val="21"/>
                <w:szCs w:val="21"/>
                <w:highlight w:val="none"/>
              </w:rPr>
              <w:t>的</w:t>
            </w:r>
            <w:r>
              <w:rPr>
                <w:rFonts w:hint="eastAsia" w:ascii="Times New Roman" w:hAnsi="Times New Roman" w:eastAsia="宋体" w:cs="Times New Roman"/>
                <w:b/>
                <w:bCs/>
                <w:color w:val="auto"/>
                <w:kern w:val="0"/>
                <w:sz w:val="21"/>
                <w:szCs w:val="21"/>
                <w:highlight w:val="none"/>
                <w:lang w:val="en-US" w:eastAsia="zh-CN"/>
              </w:rPr>
              <w:t>第一中标候选人</w:t>
            </w:r>
            <w:r>
              <w:rPr>
                <w:rFonts w:ascii="Times New Roman" w:hAnsi="Times New Roman" w:eastAsia="宋体" w:cs="Times New Roman"/>
                <w:b/>
                <w:bCs/>
                <w:color w:val="auto"/>
                <w:kern w:val="0"/>
                <w:sz w:val="21"/>
                <w:szCs w:val="21"/>
                <w:highlight w:val="none"/>
              </w:rPr>
              <w:t>单位负责人为同一人或存在控股、管理关系的不同单位，不再被推荐为中标候选人。</w:t>
            </w:r>
          </w:p>
        </w:tc>
      </w:tr>
      <w:tr w14:paraId="43A76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pct"/>
            <w:vAlign w:val="center"/>
          </w:tcPr>
          <w:p w14:paraId="4FD9395D">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2.1.1</w:t>
            </w:r>
          </w:p>
          <w:p w14:paraId="26360025">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2.1.3</w:t>
            </w:r>
          </w:p>
        </w:tc>
        <w:tc>
          <w:tcPr>
            <w:tcW w:w="825" w:type="pct"/>
            <w:vAlign w:val="center"/>
          </w:tcPr>
          <w:p w14:paraId="22011DFE">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形式评审与响应性评审标准</w:t>
            </w:r>
          </w:p>
        </w:tc>
        <w:tc>
          <w:tcPr>
            <w:tcW w:w="3422" w:type="pct"/>
          </w:tcPr>
          <w:p w14:paraId="0BD3F624">
            <w:pPr>
              <w:tabs>
                <w:tab w:val="left" w:pos="3060"/>
              </w:tabs>
              <w:snapToGrid w:val="0"/>
              <w:jc w:val="left"/>
              <w:rPr>
                <w:rFonts w:hint="eastAsia" w:ascii="宋体" w:hAnsi="宋体" w:eastAsia="宋体" w:cs="宋体"/>
                <w:b/>
                <w:bCs/>
                <w:color w:val="auto"/>
                <w:spacing w:val="-4"/>
                <w:kern w:val="28"/>
                <w:sz w:val="21"/>
                <w:szCs w:val="21"/>
                <w:highlight w:val="none"/>
              </w:rPr>
            </w:pPr>
            <w:r>
              <w:rPr>
                <w:rFonts w:hint="eastAsia" w:ascii="宋体" w:hAnsi="宋体" w:eastAsia="宋体" w:cs="宋体"/>
                <w:b/>
                <w:bCs/>
                <w:color w:val="auto"/>
                <w:spacing w:val="-4"/>
                <w:kern w:val="28"/>
                <w:sz w:val="21"/>
                <w:szCs w:val="21"/>
                <w:highlight w:val="none"/>
              </w:rPr>
              <w:t>第一个信封（商务文件）评审标准（明标部分）：</w:t>
            </w:r>
          </w:p>
          <w:p w14:paraId="02BE8DB1">
            <w:pPr>
              <w:tabs>
                <w:tab w:val="left" w:pos="3060"/>
              </w:tabs>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（1）投标文件按照招标文件规定的格式、内容填写，字迹清晰可辨：</w:t>
            </w:r>
          </w:p>
          <w:p w14:paraId="100A388F">
            <w:pPr>
              <w:tabs>
                <w:tab w:val="left" w:pos="3060"/>
              </w:tabs>
              <w:snapToGrid w:val="0"/>
              <w:rPr>
                <w:rFonts w:hint="eastAsia" w:ascii="宋体" w:hAnsi="宋体" w:eastAsia="宋体" w:cs="宋体"/>
                <w:color w:val="auto"/>
                <w:kern w:val="28"/>
                <w:sz w:val="28"/>
                <w:szCs w:val="21"/>
                <w:highlight w:val="none"/>
              </w:rPr>
            </w:pPr>
            <w:r>
              <w:rPr>
                <w:rFonts w:hint="eastAsia" w:ascii="宋体" w:hAnsi="宋体" w:eastAsia="宋体" w:cs="宋体"/>
                <w:color w:val="auto"/>
                <w:kern w:val="28"/>
                <w:sz w:val="21"/>
                <w:szCs w:val="21"/>
                <w:highlight w:val="none"/>
              </w:rPr>
              <w:t>a．投标函按招标文件规定填报了招标人名称、项目名称、补遗书编号（如有）、项目经理和项目总工等内容，</w:t>
            </w:r>
            <w:r>
              <w:rPr>
                <w:rFonts w:ascii="Times New Roman" w:hAnsi="Times New Roman" w:eastAsia="宋体" w:cs="Times New Roman"/>
                <w:color w:val="auto"/>
                <w:kern w:val="28"/>
                <w:sz w:val="21"/>
                <w:szCs w:val="21"/>
                <w:highlight w:val="none"/>
              </w:rPr>
              <w:t>未对投标函中填写的</w:t>
            </w:r>
            <w:r>
              <w:rPr>
                <w:rFonts w:hint="eastAsia" w:ascii="宋体" w:hAnsi="宋体" w:eastAsia="宋体" w:cs="宋体"/>
                <w:color w:val="auto"/>
                <w:spacing w:val="-4"/>
                <w:kern w:val="28"/>
                <w:sz w:val="21"/>
                <w:szCs w:val="21"/>
                <w:highlight w:val="none"/>
              </w:rPr>
              <w:t>计划工期、质量标准、安全目标</w:t>
            </w:r>
            <w:r>
              <w:rPr>
                <w:rFonts w:ascii="Times New Roman" w:hAnsi="Times New Roman" w:eastAsia="宋体" w:cs="Times New Roman"/>
                <w:color w:val="auto"/>
                <w:kern w:val="28"/>
                <w:sz w:val="21"/>
                <w:szCs w:val="21"/>
                <w:highlight w:val="none"/>
              </w:rPr>
              <w:t>进行修改</w:t>
            </w:r>
            <w:r>
              <w:rPr>
                <w:rFonts w:hint="eastAsia" w:ascii="宋体" w:hAnsi="宋体" w:eastAsia="宋体" w:cs="宋体"/>
                <w:color w:val="auto"/>
                <w:kern w:val="28"/>
                <w:sz w:val="28"/>
                <w:szCs w:val="21"/>
                <w:highlight w:val="none"/>
              </w:rPr>
              <w:t>；</w:t>
            </w:r>
          </w:p>
          <w:p w14:paraId="0A4C6601">
            <w:pPr>
              <w:tabs>
                <w:tab w:val="left" w:pos="3060"/>
              </w:tabs>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b．投标函附录的所有数据均符合招标文件规定。</w:t>
            </w:r>
          </w:p>
          <w:p w14:paraId="7B56D21A">
            <w:pPr>
              <w:tabs>
                <w:tab w:val="left" w:pos="3060"/>
              </w:tabs>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c.投标文件组成齐全完整，内容均按规定填写。</w:t>
            </w:r>
          </w:p>
          <w:p w14:paraId="355CD968">
            <w:pPr>
              <w:tabs>
                <w:tab w:val="left" w:pos="3060"/>
              </w:tabs>
              <w:snapToGrid w:val="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（2）投标文件上法定代表人或其授权代理人的签字、投标人的单位章盖章齐全，符合招标文件规定。</w:t>
            </w:r>
          </w:p>
          <w:p w14:paraId="293E3719">
            <w:pPr>
              <w:tabs>
                <w:tab w:val="left" w:pos="3060"/>
              </w:tabs>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（3）投标人按照招标文件的规定提供了投标保证金，满足招标文件投标人须知前附表第3.4.1项要求。</w:t>
            </w:r>
          </w:p>
          <w:p w14:paraId="72CD2A7E">
            <w:pPr>
              <w:tabs>
                <w:tab w:val="left" w:pos="3060"/>
              </w:tabs>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（4）投标人法定代表人授权委托代理人签署投标文件的，</w:t>
            </w:r>
            <w:r>
              <w:rPr>
                <w:rFonts w:ascii="宋体" w:hAnsi="宋体" w:eastAsia="宋体" w:cs="宋体"/>
                <w:color w:val="auto"/>
                <w:kern w:val="28"/>
                <w:sz w:val="21"/>
                <w:szCs w:val="21"/>
                <w:highlight w:val="none"/>
              </w:rPr>
              <w:t>提供了授权委托书，</w:t>
            </w:r>
            <w:r>
              <w:rPr>
                <w:rFonts w:hint="eastAsia" w:ascii="宋体" w:hAnsi="宋体" w:eastAsia="宋体" w:cs="宋体"/>
                <w:color w:val="auto"/>
                <w:kern w:val="28"/>
                <w:sz w:val="21"/>
                <w:szCs w:val="21"/>
                <w:highlight w:val="none"/>
              </w:rPr>
              <w:t>授权委托书符合招标文件规定。</w:t>
            </w:r>
          </w:p>
          <w:p w14:paraId="709851FD">
            <w:pPr>
              <w:tabs>
                <w:tab w:val="left" w:pos="3060"/>
              </w:tabs>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（5）投标人法定代表人亲自签署投标文件的，提供了法定代表人身份证明，法定代表人身份证明符合招标文件规定。</w:t>
            </w:r>
          </w:p>
          <w:p w14:paraId="23744F58">
            <w:pPr>
              <w:tabs>
                <w:tab w:val="left" w:pos="3060"/>
              </w:tabs>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（6）投标人未以联合体形式投标。</w:t>
            </w:r>
          </w:p>
          <w:p w14:paraId="1C3B7F09">
            <w:pPr>
              <w:tabs>
                <w:tab w:val="left" w:pos="3060"/>
              </w:tabs>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（7）投标人未提出分包计划</w:t>
            </w:r>
            <w:r>
              <w:rPr>
                <w:rFonts w:ascii="宋体" w:hAnsi="宋体" w:eastAsia="宋体" w:cs="宋体"/>
                <w:color w:val="auto"/>
                <w:kern w:val="28"/>
                <w:sz w:val="21"/>
                <w:szCs w:val="21"/>
                <w:highlight w:val="none"/>
              </w:rPr>
              <w:t>。</w:t>
            </w:r>
          </w:p>
          <w:p w14:paraId="5EE3B838">
            <w:pPr>
              <w:tabs>
                <w:tab w:val="left" w:pos="3060"/>
              </w:tabs>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（8）同一投标人未提交两个以上不同的投标文件。</w:t>
            </w:r>
          </w:p>
          <w:p w14:paraId="0C1F2608">
            <w:pPr>
              <w:tabs>
                <w:tab w:val="left" w:pos="3060"/>
              </w:tabs>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（9）投标文件中未出现有关投标报价的内容。</w:t>
            </w:r>
          </w:p>
          <w:p w14:paraId="6A910E57">
            <w:pPr>
              <w:tabs>
                <w:tab w:val="left" w:pos="3060"/>
              </w:tabs>
              <w:snapToGrid w:val="0"/>
              <w:rPr>
                <w:rFonts w:hint="eastAsia" w:ascii="宋体" w:hAnsi="宋体" w:eastAsia="宋体" w:cs="宋体"/>
                <w:bCs/>
                <w:color w:val="auto"/>
                <w:kern w:val="28"/>
                <w:sz w:val="21"/>
                <w:szCs w:val="21"/>
                <w:highlight w:val="none"/>
              </w:rPr>
            </w:pPr>
            <w:r>
              <w:rPr>
                <w:rFonts w:hint="eastAsia" w:ascii="宋体" w:hAnsi="宋体" w:eastAsia="宋体" w:cs="宋体"/>
                <w:color w:val="auto"/>
                <w:kern w:val="28"/>
                <w:sz w:val="21"/>
                <w:szCs w:val="21"/>
                <w:highlight w:val="none"/>
              </w:rPr>
              <w:t>（10）投标文件载明的招标项</w:t>
            </w:r>
            <w:r>
              <w:rPr>
                <w:rFonts w:hint="eastAsia" w:ascii="宋体" w:hAnsi="宋体" w:eastAsia="宋体" w:cs="宋体"/>
                <w:bCs/>
                <w:color w:val="auto"/>
                <w:kern w:val="28"/>
                <w:sz w:val="21"/>
                <w:szCs w:val="21"/>
                <w:highlight w:val="none"/>
              </w:rPr>
              <w:t>目完成期限未超过招标文件规定的时限。</w:t>
            </w:r>
          </w:p>
          <w:p w14:paraId="3CAFF6D9">
            <w:pPr>
              <w:tabs>
                <w:tab w:val="left" w:pos="3060"/>
              </w:tabs>
              <w:snapToGrid w:val="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（11）投标文件对招标文件的实质性要求和条件作出响应。</w:t>
            </w:r>
          </w:p>
          <w:p w14:paraId="25B6AFB7">
            <w:pPr>
              <w:tabs>
                <w:tab w:val="left" w:pos="3060"/>
              </w:tabs>
              <w:snapToGrid w:val="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（12）权利义务符合招标文件规定：</w:t>
            </w:r>
          </w:p>
          <w:p w14:paraId="59884C0B">
            <w:pPr>
              <w:tabs>
                <w:tab w:val="left" w:pos="3060"/>
              </w:tabs>
              <w:snapToGrid w:val="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a．投标人应接受招标文件规定的风险划分原则，未提出新的风险划分办法；</w:t>
            </w:r>
          </w:p>
          <w:p w14:paraId="56ED6A69">
            <w:pPr>
              <w:tabs>
                <w:tab w:val="left" w:pos="3060"/>
              </w:tabs>
              <w:snapToGrid w:val="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b．投标人未增加发包人的责任范围，或减少投标人义务；</w:t>
            </w:r>
          </w:p>
          <w:p w14:paraId="6E645102">
            <w:pPr>
              <w:tabs>
                <w:tab w:val="left" w:pos="3060"/>
              </w:tabs>
              <w:snapToGrid w:val="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c．投标人未提出不同的工程验收、计量、支付办法；</w:t>
            </w:r>
          </w:p>
          <w:p w14:paraId="6019ED3F">
            <w:pPr>
              <w:tabs>
                <w:tab w:val="left" w:pos="3060"/>
              </w:tabs>
              <w:snapToGrid w:val="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d．投标人对合同纠纷、事故处理办法未提出异议；</w:t>
            </w:r>
          </w:p>
          <w:p w14:paraId="6A8458AB">
            <w:pPr>
              <w:tabs>
                <w:tab w:val="left" w:pos="3060"/>
              </w:tabs>
              <w:snapToGrid w:val="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e．投标人在投标活动中无欺诈行为；</w:t>
            </w:r>
          </w:p>
          <w:p w14:paraId="184E3589">
            <w:pPr>
              <w:tabs>
                <w:tab w:val="left" w:pos="3060"/>
              </w:tabs>
              <w:snapToGrid w:val="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f．投标人未对合同条款有重要保留；</w:t>
            </w:r>
          </w:p>
          <w:p w14:paraId="06780992">
            <w:pPr>
              <w:tabs>
                <w:tab w:val="left" w:pos="3060"/>
              </w:tabs>
              <w:snapToGrid w:val="0"/>
              <w:jc w:val="left"/>
              <w:rPr>
                <w:rFonts w:hint="eastAsia" w:ascii="宋体" w:hAnsi="宋体" w:eastAsia="宋体" w:cs="宋体"/>
                <w:color w:val="auto"/>
                <w:kern w:val="28"/>
                <w:sz w:val="21"/>
                <w:szCs w:val="21"/>
                <w:highlight w:val="none"/>
              </w:rPr>
            </w:pPr>
            <w:r>
              <w:rPr>
                <w:rFonts w:hint="eastAsia" w:ascii="宋体" w:hAnsi="宋体" w:eastAsia="宋体" w:cs="宋体"/>
                <w:b/>
                <w:bCs/>
                <w:color w:val="auto"/>
                <w:spacing w:val="-4"/>
                <w:kern w:val="28"/>
                <w:sz w:val="21"/>
                <w:szCs w:val="21"/>
                <w:highlight w:val="none"/>
              </w:rPr>
              <w:t>第一个信封（技术文件）评审标准（暗标部分）：</w:t>
            </w:r>
          </w:p>
          <w:p w14:paraId="17B7ECEA">
            <w:pPr>
              <w:tabs>
                <w:tab w:val="left" w:pos="3060"/>
              </w:tabs>
              <w:snapToGrid w:val="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8"/>
                <w:sz w:val="21"/>
                <w:szCs w:val="21"/>
                <w:highlight w:val="none"/>
              </w:rPr>
              <w:t>施工组织设计（暗标）编制符合招标文件第二章“投标人须知”第10.2款的规定</w:t>
            </w:r>
            <w:r>
              <w:rPr>
                <w:rFonts w:hint="eastAsia" w:ascii="宋体" w:hAnsi="宋体" w:eastAsia="宋体" w:cs="宋体"/>
                <w:color w:val="auto"/>
                <w:kern w:val="2"/>
                <w:sz w:val="21"/>
                <w:szCs w:val="21"/>
                <w:highlight w:val="none"/>
              </w:rPr>
              <w:t>。</w:t>
            </w:r>
          </w:p>
          <w:p w14:paraId="1127963A">
            <w:pPr>
              <w:tabs>
                <w:tab w:val="left" w:pos="3060"/>
              </w:tabs>
              <w:snapToGrid w:val="0"/>
              <w:rPr>
                <w:rFonts w:hint="eastAsia" w:ascii="宋体" w:hAnsi="宋体" w:eastAsia="宋体" w:cs="宋体"/>
                <w:b/>
                <w:color w:val="auto"/>
                <w:kern w:val="28"/>
                <w:sz w:val="21"/>
                <w:szCs w:val="21"/>
                <w:highlight w:val="none"/>
              </w:rPr>
            </w:pPr>
            <w:r>
              <w:rPr>
                <w:rFonts w:hint="eastAsia" w:ascii="宋体" w:hAnsi="宋体" w:eastAsia="宋体" w:cs="宋体"/>
                <w:b/>
                <w:color w:val="auto"/>
                <w:kern w:val="28"/>
                <w:sz w:val="21"/>
                <w:szCs w:val="21"/>
                <w:highlight w:val="none"/>
              </w:rPr>
              <w:t>第二个信封（报价文件）评审标准：</w:t>
            </w:r>
          </w:p>
          <w:p w14:paraId="35BA8CCD">
            <w:pPr>
              <w:tabs>
                <w:tab w:val="left" w:pos="3060"/>
              </w:tabs>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（1）投标文件按照招标文件规定的格式、内容填写，字迹清晰可辨：</w:t>
            </w:r>
          </w:p>
          <w:p w14:paraId="7E3A9065">
            <w:pPr>
              <w:snapToGrid w:val="0"/>
              <w:rPr>
                <w:rFonts w:hint="eastAsia" w:ascii="宋体" w:hAnsi="宋体" w:eastAsia="宋体" w:cs="宋体"/>
                <w:color w:val="auto"/>
                <w:kern w:val="28"/>
                <w:sz w:val="21"/>
                <w:szCs w:val="21"/>
                <w:highlight w:val="none"/>
                <w:lang w:val="en-US" w:eastAsia="zh-CN"/>
              </w:rPr>
            </w:pPr>
            <w:r>
              <w:rPr>
                <w:rFonts w:hint="eastAsia" w:ascii="宋体" w:hAnsi="宋体" w:eastAsia="宋体" w:cs="宋体"/>
                <w:color w:val="auto"/>
                <w:kern w:val="28"/>
                <w:sz w:val="21"/>
                <w:szCs w:val="21"/>
                <w:highlight w:val="none"/>
              </w:rPr>
              <w:t>a．投标函按招标文件规定填报了招标人名称、项目名称、补遗书编号（如有）、投标报价（包括大写金额和小写金额）；</w:t>
            </w:r>
          </w:p>
          <w:p w14:paraId="38AEC044">
            <w:pPr>
              <w:tabs>
                <w:tab w:val="left" w:pos="3060"/>
              </w:tabs>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b.已标价工程量固化清单文字说明与招标文件规定一致，未进行实质性修改和删减；</w:t>
            </w:r>
          </w:p>
          <w:p w14:paraId="242C56AB">
            <w:pPr>
              <w:tabs>
                <w:tab w:val="left" w:pos="3060"/>
              </w:tabs>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lang w:val="en-US" w:eastAsia="zh-CN"/>
              </w:rPr>
              <w:t>c</w:t>
            </w:r>
            <w:r>
              <w:rPr>
                <w:rFonts w:hint="eastAsia" w:ascii="宋体" w:hAnsi="宋体" w:eastAsia="宋体" w:cs="宋体"/>
                <w:color w:val="auto"/>
                <w:kern w:val="28"/>
                <w:sz w:val="21"/>
                <w:szCs w:val="21"/>
                <w:highlight w:val="none"/>
              </w:rPr>
              <w:t>．投标文件组成齐全完整，内容均按规定填写。</w:t>
            </w:r>
          </w:p>
          <w:p w14:paraId="17308680">
            <w:pPr>
              <w:tabs>
                <w:tab w:val="left" w:pos="3060"/>
              </w:tabs>
              <w:snapToGrid w:val="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（2）投标文件上法定代表人或其授权代理人的签字、投标人的单位章盖章齐全，符合招标文件规定；</w:t>
            </w:r>
          </w:p>
          <w:p w14:paraId="51ED3F30">
            <w:pPr>
              <w:tabs>
                <w:tab w:val="left" w:pos="3060"/>
              </w:tabs>
              <w:snapToGrid w:val="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（3）投标报价未超过招标文件设定的最高投标限价；</w:t>
            </w:r>
          </w:p>
          <w:p w14:paraId="75B18BF3">
            <w:pPr>
              <w:tabs>
                <w:tab w:val="left" w:pos="3060"/>
              </w:tabs>
              <w:snapToGrid w:val="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（4）投标报价大写金额能够确定具体数值；</w:t>
            </w:r>
          </w:p>
          <w:p w14:paraId="5E989D3E">
            <w:pPr>
              <w:tabs>
                <w:tab w:val="left" w:pos="3060"/>
              </w:tabs>
              <w:snapToGrid w:val="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（5）投标人未提交两个以上不同的投标报价；</w:t>
            </w:r>
          </w:p>
          <w:p w14:paraId="3A2DBE10">
            <w:pPr>
              <w:tabs>
                <w:tab w:val="left" w:pos="3060"/>
              </w:tabs>
              <w:snapToGrid w:val="0"/>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（6）投标人未提交调价函。</w:t>
            </w:r>
          </w:p>
          <w:p w14:paraId="72043CFC">
            <w:pPr>
              <w:tabs>
                <w:tab w:val="left" w:pos="3060"/>
              </w:tabs>
              <w:snapToGrid w:val="0"/>
              <w:rPr>
                <w:rFonts w:hint="eastAsia" w:ascii="宋体" w:hAnsi="宋体" w:eastAsia="宋体" w:cs="宋体"/>
                <w:color w:val="auto"/>
                <w:kern w:val="2"/>
                <w:sz w:val="21"/>
                <w:szCs w:val="21"/>
                <w:highlight w:val="none"/>
              </w:rPr>
            </w:pPr>
            <w:r>
              <w:rPr>
                <w:rFonts w:hint="eastAsia" w:ascii="宋体" w:hAnsi="宋体" w:eastAsia="宋体" w:cs="宋体"/>
                <w:bCs/>
                <w:color w:val="auto"/>
                <w:kern w:val="28"/>
                <w:sz w:val="21"/>
                <w:szCs w:val="21"/>
                <w:highlight w:val="none"/>
              </w:rPr>
              <w:t>（</w:t>
            </w:r>
            <w:r>
              <w:rPr>
                <w:rFonts w:hint="eastAsia" w:ascii="宋体" w:hAnsi="宋体" w:eastAsia="宋体" w:cs="宋体"/>
                <w:bCs/>
                <w:color w:val="auto"/>
                <w:kern w:val="28"/>
                <w:sz w:val="21"/>
                <w:szCs w:val="21"/>
                <w:highlight w:val="none"/>
                <w:lang w:val="en-US" w:eastAsia="zh-CN"/>
              </w:rPr>
              <w:t>7</w:t>
            </w:r>
            <w:r>
              <w:rPr>
                <w:rFonts w:hint="eastAsia" w:ascii="宋体" w:hAnsi="宋体" w:eastAsia="宋体" w:cs="宋体"/>
                <w:bCs/>
                <w:color w:val="auto"/>
                <w:kern w:val="28"/>
                <w:sz w:val="21"/>
                <w:szCs w:val="21"/>
                <w:highlight w:val="none"/>
              </w:rPr>
              <w:t>）</w:t>
            </w:r>
            <w:r>
              <w:rPr>
                <w:rFonts w:hint="eastAsia" w:ascii="宋体" w:hAnsi="宋体" w:eastAsia="宋体" w:cs="宋体"/>
                <w:color w:val="auto"/>
                <w:kern w:val="2"/>
                <w:sz w:val="21"/>
                <w:szCs w:val="21"/>
                <w:highlight w:val="none"/>
              </w:rPr>
              <w:t>已标价的工程量清单未对招标人提供的工程量固化清单电子文件中的数据、格式和运算定义进行修改；已标价的工程量清单中的投标报价和投标函大写金额报价一致。</w:t>
            </w:r>
          </w:p>
        </w:tc>
      </w:tr>
      <w:tr w14:paraId="4730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pct"/>
            <w:vAlign w:val="center"/>
          </w:tcPr>
          <w:p w14:paraId="0BC1D1D5">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2.1.2</w:t>
            </w:r>
          </w:p>
        </w:tc>
        <w:tc>
          <w:tcPr>
            <w:tcW w:w="825" w:type="pct"/>
            <w:vAlign w:val="center"/>
          </w:tcPr>
          <w:p w14:paraId="31B8114F">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资格评审标准</w:t>
            </w:r>
          </w:p>
        </w:tc>
        <w:tc>
          <w:tcPr>
            <w:tcW w:w="3422" w:type="pct"/>
          </w:tcPr>
          <w:p w14:paraId="643110C3">
            <w:pPr>
              <w:tabs>
                <w:tab w:val="left" w:pos="3060"/>
              </w:tabs>
              <w:snapToGrid w:val="0"/>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（1）投标人具备有效的营业执照、资质证书、安全生产许可证和基本账户开户许可证（或基本存款账户信息）。</w:t>
            </w:r>
          </w:p>
          <w:p w14:paraId="41954498">
            <w:pPr>
              <w:tabs>
                <w:tab w:val="left" w:pos="3060"/>
              </w:tabs>
              <w:snapToGrid w:val="0"/>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（2）投标人的资质等级符合招标文件规定。</w:t>
            </w:r>
          </w:p>
          <w:p w14:paraId="41932231">
            <w:pPr>
              <w:tabs>
                <w:tab w:val="left" w:pos="3060"/>
              </w:tabs>
              <w:snapToGrid w:val="0"/>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（3）投标人的财务状况符合招标文件规定。</w:t>
            </w:r>
          </w:p>
          <w:p w14:paraId="18FF0623">
            <w:pPr>
              <w:tabs>
                <w:tab w:val="left" w:pos="3060"/>
              </w:tabs>
              <w:snapToGrid w:val="0"/>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（4）投标人的业绩符合招标文件规定。</w:t>
            </w:r>
          </w:p>
          <w:p w14:paraId="6EF10E1D">
            <w:pPr>
              <w:tabs>
                <w:tab w:val="left" w:pos="3060"/>
              </w:tabs>
              <w:snapToGrid w:val="0"/>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（5）投标人的信誉符合招标文件规定。</w:t>
            </w:r>
          </w:p>
          <w:p w14:paraId="39438D04">
            <w:pPr>
              <w:tabs>
                <w:tab w:val="left" w:pos="3060"/>
              </w:tabs>
              <w:snapToGrid w:val="0"/>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（6）投标人的项目经理和项目总工资格符合招标文件规定。</w:t>
            </w:r>
          </w:p>
          <w:p w14:paraId="654F738D">
            <w:pPr>
              <w:tabs>
                <w:tab w:val="left" w:pos="3060"/>
              </w:tabs>
              <w:snapToGrid w:val="0"/>
              <w:jc w:val="left"/>
              <w:rPr>
                <w:rFonts w:ascii="Times New Roman" w:hAnsi="Times New Roman" w:eastAsia="宋体" w:cs="Times New Roman"/>
                <w:color w:val="auto"/>
                <w:kern w:val="28"/>
                <w:sz w:val="28"/>
                <w:szCs w:val="20"/>
                <w:highlight w:val="none"/>
              </w:rPr>
            </w:pPr>
            <w:r>
              <w:rPr>
                <w:rFonts w:hint="eastAsia" w:ascii="宋体" w:hAnsi="宋体" w:eastAsia="宋体" w:cs="宋体"/>
                <w:bCs/>
                <w:color w:val="auto"/>
                <w:kern w:val="28"/>
                <w:sz w:val="21"/>
                <w:szCs w:val="21"/>
                <w:highlight w:val="none"/>
              </w:rPr>
              <w:t>（7）投标人不存在第二章“投标人须知”第 1.4.3 项或第 1.4.4 项规定的任何一种情形。</w:t>
            </w:r>
          </w:p>
        </w:tc>
      </w:tr>
      <w:tr w14:paraId="6C1B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pct"/>
            <w:vAlign w:val="center"/>
          </w:tcPr>
          <w:p w14:paraId="4AE9A3DC">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2.2.1</w:t>
            </w:r>
          </w:p>
        </w:tc>
        <w:tc>
          <w:tcPr>
            <w:tcW w:w="825" w:type="pct"/>
            <w:vAlign w:val="center"/>
          </w:tcPr>
          <w:p w14:paraId="134C1BE2">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分值构成</w:t>
            </w:r>
          </w:p>
        </w:tc>
        <w:tc>
          <w:tcPr>
            <w:tcW w:w="3422" w:type="pct"/>
            <w:vAlign w:val="center"/>
          </w:tcPr>
          <w:p w14:paraId="19B12A17">
            <w:pPr>
              <w:rPr>
                <w:rFonts w:ascii="Times New Roman" w:hAnsi="Times New Roman" w:eastAsia="宋体" w:cs="Times New Roman"/>
                <w:b/>
                <w:bCs/>
                <w:color w:val="auto"/>
                <w:kern w:val="28"/>
                <w:sz w:val="21"/>
                <w:szCs w:val="21"/>
                <w:highlight w:val="none"/>
              </w:rPr>
            </w:pPr>
            <w:r>
              <w:rPr>
                <w:rFonts w:hint="eastAsia" w:ascii="Times New Roman" w:hAnsi="Times New Roman" w:eastAsia="宋体" w:cs="Times New Roman"/>
                <w:b/>
                <w:bCs/>
                <w:color w:val="auto"/>
                <w:kern w:val="28"/>
                <w:sz w:val="21"/>
                <w:szCs w:val="21"/>
                <w:highlight w:val="none"/>
              </w:rPr>
              <w:t>第一个信封分值构成：</w:t>
            </w:r>
          </w:p>
          <w:p w14:paraId="6752576F">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施工组织设计：40分；</w:t>
            </w:r>
          </w:p>
          <w:p w14:paraId="715F81F9">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主要人员：</w:t>
            </w:r>
            <w:r>
              <w:rPr>
                <w:rFonts w:hint="eastAsia" w:ascii="Times New Roman" w:hAnsi="Times New Roman" w:eastAsia="宋体" w:cs="Times New Roman"/>
                <w:color w:val="auto"/>
                <w:kern w:val="28"/>
                <w:sz w:val="21"/>
                <w:szCs w:val="21"/>
                <w:highlight w:val="none"/>
                <w:lang w:val="en-US" w:eastAsia="zh-CN"/>
              </w:rPr>
              <w:t>3</w:t>
            </w:r>
            <w:r>
              <w:rPr>
                <w:rFonts w:hint="eastAsia" w:ascii="Times New Roman" w:hAnsi="Times New Roman" w:eastAsia="宋体" w:cs="Times New Roman"/>
                <w:color w:val="auto"/>
                <w:kern w:val="28"/>
                <w:sz w:val="21"/>
                <w:szCs w:val="21"/>
                <w:highlight w:val="none"/>
              </w:rPr>
              <w:t>0分；</w:t>
            </w:r>
          </w:p>
          <w:p w14:paraId="5B741642">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其他评分因素：</w:t>
            </w:r>
            <w:r>
              <w:rPr>
                <w:rFonts w:hint="eastAsia" w:ascii="Times New Roman" w:hAnsi="Times New Roman" w:eastAsia="宋体" w:cs="Times New Roman"/>
                <w:color w:val="auto"/>
                <w:kern w:val="28"/>
                <w:sz w:val="21"/>
                <w:szCs w:val="21"/>
                <w:highlight w:val="none"/>
                <w:lang w:val="en-US" w:eastAsia="zh-CN"/>
              </w:rPr>
              <w:t>3</w:t>
            </w:r>
            <w:r>
              <w:rPr>
                <w:rFonts w:hint="eastAsia" w:ascii="Times New Roman" w:hAnsi="Times New Roman" w:eastAsia="宋体" w:cs="Times New Roman"/>
                <w:color w:val="auto"/>
                <w:kern w:val="28"/>
                <w:sz w:val="21"/>
                <w:szCs w:val="21"/>
                <w:highlight w:val="none"/>
              </w:rPr>
              <w:t>0分；</w:t>
            </w:r>
          </w:p>
          <w:p w14:paraId="4EE233E1">
            <w:pPr>
              <w:snapToGrid w:val="0"/>
              <w:jc w:val="left"/>
              <w:rPr>
                <w:rFonts w:ascii="Times New Roman" w:hAnsi="Times New Roman" w:eastAsia="宋体" w:cs="Times New Roman"/>
                <w:b/>
                <w:bCs/>
                <w:color w:val="auto"/>
                <w:kern w:val="28"/>
                <w:sz w:val="21"/>
                <w:szCs w:val="21"/>
                <w:highlight w:val="none"/>
              </w:rPr>
            </w:pPr>
            <w:r>
              <w:rPr>
                <w:rFonts w:hint="eastAsia" w:ascii="Times New Roman" w:hAnsi="Times New Roman" w:eastAsia="宋体" w:cs="Times New Roman"/>
                <w:b/>
                <w:bCs/>
                <w:color w:val="auto"/>
                <w:kern w:val="28"/>
                <w:sz w:val="21"/>
                <w:szCs w:val="21"/>
                <w:highlight w:val="none"/>
              </w:rPr>
              <w:t>第二个信封分值构成：</w:t>
            </w:r>
          </w:p>
          <w:p w14:paraId="5D1CA996">
            <w:pPr>
              <w:snapToGrid w:val="0"/>
              <w:jc w:val="left"/>
              <w:rPr>
                <w:rFonts w:hint="eastAsia" w:ascii="宋体" w:hAnsi="宋体" w:eastAsia="宋体" w:cs="宋体"/>
                <w:b/>
                <w:color w:val="auto"/>
                <w:kern w:val="28"/>
                <w:sz w:val="21"/>
                <w:szCs w:val="21"/>
                <w:highlight w:val="none"/>
              </w:rPr>
            </w:pPr>
            <w:r>
              <w:rPr>
                <w:rFonts w:hint="eastAsia" w:ascii="Times New Roman" w:hAnsi="Times New Roman" w:eastAsia="宋体" w:cs="Times New Roman"/>
                <w:color w:val="auto"/>
                <w:kern w:val="28"/>
                <w:sz w:val="21"/>
                <w:szCs w:val="21"/>
                <w:highlight w:val="none"/>
              </w:rPr>
              <w:t>报价：100分。</w:t>
            </w:r>
          </w:p>
        </w:tc>
      </w:tr>
      <w:tr w14:paraId="5ACA1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pct"/>
            <w:vAlign w:val="center"/>
          </w:tcPr>
          <w:p w14:paraId="4CE82850">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2.2.2</w:t>
            </w:r>
          </w:p>
        </w:tc>
        <w:tc>
          <w:tcPr>
            <w:tcW w:w="825" w:type="pct"/>
            <w:vAlign w:val="center"/>
          </w:tcPr>
          <w:p w14:paraId="19A9BA7F">
            <w:pPr>
              <w:snapToGrid w:val="0"/>
              <w:jc w:val="center"/>
              <w:rPr>
                <w:rFonts w:hint="eastAsia" w:ascii="宋体" w:hAnsi="宋体" w:eastAsia="宋体" w:cs="宋体"/>
                <w:color w:val="auto"/>
                <w:kern w:val="28"/>
                <w:sz w:val="21"/>
                <w:szCs w:val="21"/>
                <w:highlight w:val="none"/>
              </w:rPr>
            </w:pPr>
            <w:r>
              <w:rPr>
                <w:rFonts w:hint="eastAsia" w:ascii="宋体" w:hAnsi="宋体" w:eastAsia="宋体" w:cs="Times New Roman"/>
                <w:color w:val="auto"/>
                <w:spacing w:val="0"/>
                <w:w w:val="100"/>
                <w:kern w:val="28"/>
                <w:position w:val="0"/>
                <w:sz w:val="21"/>
                <w:szCs w:val="21"/>
                <w:highlight w:val="none"/>
                <w:u w:val="none"/>
                <w:shd w:val="clear" w:color="auto" w:fill="FFFFFF"/>
                <w:lang w:val="zh-CN" w:bidi="zh-CN"/>
              </w:rPr>
              <w:t>第一个信封评分评分标准</w:t>
            </w:r>
          </w:p>
        </w:tc>
        <w:tc>
          <w:tcPr>
            <w:tcW w:w="3422" w:type="pct"/>
            <w:vAlign w:val="center"/>
          </w:tcPr>
          <w:p w14:paraId="5DE57433">
            <w:pPr>
              <w:widowControl w:val="0"/>
              <w:autoSpaceDE w:val="0"/>
              <w:autoSpaceDN w:val="0"/>
              <w:snapToGrid w:val="0"/>
              <w:jc w:val="both"/>
              <w:rPr>
                <w:rFonts w:hint="eastAsia" w:ascii="宋体" w:hAnsi="宋体" w:eastAsia="宋体" w:cs="宋体"/>
                <w:color w:val="auto"/>
                <w:kern w:val="0"/>
                <w:sz w:val="21"/>
                <w:szCs w:val="21"/>
                <w:highlight w:val="none"/>
                <w:lang w:val="en-US" w:eastAsia="zh-CN" w:bidi="zh-CN"/>
              </w:rPr>
            </w:pPr>
            <w:r>
              <w:rPr>
                <w:rFonts w:hint="eastAsia" w:ascii="宋体" w:hAnsi="宋体" w:eastAsia="宋体" w:cs="宋体"/>
                <w:color w:val="auto"/>
                <w:kern w:val="0"/>
                <w:sz w:val="21"/>
                <w:szCs w:val="21"/>
                <w:highlight w:val="none"/>
                <w:lang w:val="en-US" w:eastAsia="zh-CN" w:bidi="zh-CN"/>
              </w:rPr>
              <w:t>详见附表</w:t>
            </w:r>
          </w:p>
        </w:tc>
      </w:tr>
      <w:tr w14:paraId="44E3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pct"/>
            <w:vMerge w:val="restart"/>
            <w:vAlign w:val="center"/>
          </w:tcPr>
          <w:p w14:paraId="2ABEB16B">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2.2.3</w:t>
            </w:r>
          </w:p>
        </w:tc>
        <w:tc>
          <w:tcPr>
            <w:tcW w:w="825" w:type="pct"/>
            <w:vMerge w:val="restart"/>
            <w:vAlign w:val="center"/>
          </w:tcPr>
          <w:p w14:paraId="5F5E46CF">
            <w:pPr>
              <w:snapToGrid w:val="0"/>
              <w:jc w:val="center"/>
              <w:rPr>
                <w:rFonts w:hint="eastAsia" w:ascii="宋体" w:hAnsi="宋体"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第二个信封详细评审标准</w:t>
            </w:r>
          </w:p>
        </w:tc>
        <w:tc>
          <w:tcPr>
            <w:tcW w:w="3422" w:type="pct"/>
            <w:vAlign w:val="center"/>
          </w:tcPr>
          <w:p w14:paraId="47030884">
            <w:pPr>
              <w:snapToGrid w:val="0"/>
              <w:jc w:val="left"/>
              <w:rPr>
                <w:rFonts w:hint="eastAsia" w:ascii="宋体" w:hAnsi="宋体" w:eastAsia="宋体" w:cs="宋体"/>
                <w:b/>
                <w:bCs/>
                <w:color w:val="auto"/>
                <w:kern w:val="28"/>
                <w:sz w:val="21"/>
                <w:szCs w:val="21"/>
                <w:highlight w:val="none"/>
              </w:rPr>
            </w:pPr>
            <w:r>
              <w:rPr>
                <w:rFonts w:hint="eastAsia" w:ascii="宋体" w:hAnsi="宋体" w:eastAsia="宋体" w:cs="宋体"/>
                <w:b/>
                <w:bCs/>
                <w:color w:val="auto"/>
                <w:kern w:val="28"/>
                <w:sz w:val="21"/>
                <w:szCs w:val="21"/>
                <w:highlight w:val="none"/>
              </w:rPr>
              <w:t>评标价偏差率的计算公式：</w:t>
            </w:r>
          </w:p>
          <w:p w14:paraId="17182619">
            <w:pPr>
              <w:snapToGrid w:val="0"/>
              <w:jc w:val="left"/>
              <w:rPr>
                <w:rFonts w:ascii="Times New Roman" w:hAnsi="Times New Roman" w:eastAsia="宋体" w:cs="宋体"/>
                <w:color w:val="auto"/>
                <w:kern w:val="28"/>
                <w:sz w:val="21"/>
                <w:szCs w:val="21"/>
                <w:highlight w:val="none"/>
              </w:rPr>
            </w:pPr>
            <w:r>
              <w:rPr>
                <w:rFonts w:hint="eastAsia" w:ascii="宋体" w:hAnsi="宋体" w:eastAsia="宋体" w:cs="宋体"/>
                <w:color w:val="auto"/>
                <w:kern w:val="28"/>
                <w:sz w:val="21"/>
                <w:szCs w:val="21"/>
                <w:highlight w:val="none"/>
              </w:rPr>
              <w:t>偏差率=100%×（投标人评标价-评标基准价）／评标基准价</w:t>
            </w:r>
          </w:p>
        </w:tc>
      </w:tr>
      <w:tr w14:paraId="2B2D7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pct"/>
            <w:vMerge w:val="continue"/>
            <w:vAlign w:val="center"/>
          </w:tcPr>
          <w:p w14:paraId="2E9DD41A">
            <w:pPr>
              <w:snapToGrid w:val="0"/>
              <w:jc w:val="center"/>
              <w:rPr>
                <w:rFonts w:hint="eastAsia" w:ascii="宋体" w:hAnsi="宋体" w:eastAsia="宋体" w:cs="宋体"/>
                <w:color w:val="auto"/>
                <w:kern w:val="28"/>
                <w:sz w:val="21"/>
                <w:szCs w:val="21"/>
                <w:highlight w:val="none"/>
              </w:rPr>
            </w:pPr>
          </w:p>
        </w:tc>
        <w:tc>
          <w:tcPr>
            <w:tcW w:w="825" w:type="pct"/>
            <w:vMerge w:val="continue"/>
            <w:vAlign w:val="center"/>
          </w:tcPr>
          <w:p w14:paraId="3E88775F">
            <w:pPr>
              <w:snapToGrid w:val="0"/>
              <w:jc w:val="center"/>
              <w:rPr>
                <w:rFonts w:hint="eastAsia" w:ascii="宋体" w:hAnsi="宋体" w:eastAsia="宋体" w:cs="Times New Roman"/>
                <w:color w:val="auto"/>
                <w:kern w:val="28"/>
                <w:sz w:val="21"/>
                <w:szCs w:val="21"/>
                <w:highlight w:val="none"/>
              </w:rPr>
            </w:pPr>
          </w:p>
        </w:tc>
        <w:tc>
          <w:tcPr>
            <w:tcW w:w="3422" w:type="pct"/>
            <w:vAlign w:val="center"/>
          </w:tcPr>
          <w:p w14:paraId="6808ACA1">
            <w:pPr>
              <w:snapToGrid w:val="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评标价的评分标准（100分）：</w:t>
            </w:r>
          </w:p>
          <w:p w14:paraId="03940C99">
            <w:pPr>
              <w:widowControl w:val="0"/>
              <w:snapToGrid w:val="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评标价得分计算公式：</w:t>
            </w:r>
          </w:p>
          <w:p w14:paraId="15E7C5F8">
            <w:pPr>
              <w:snapToGrid w:val="0"/>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a.如果投标人的评标价＞评标基准价，则评标价得分＝100－偏差率×100×E1；</w:t>
            </w:r>
          </w:p>
          <w:p w14:paraId="6EE5590D">
            <w:pPr>
              <w:snapToGrid w:val="0"/>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b.如果投标人的评标价≤评标基准价，则评标价得分＝100＋偏差率×100×E2；</w:t>
            </w:r>
          </w:p>
          <w:p w14:paraId="42625B8F">
            <w:pPr>
              <w:widowControl w:val="0"/>
              <w:snapToGrid w:val="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其中，E1是评标价每高于评标基准价一个百分点的扣分值，E1＝2；E2是评标价每低于评标基准价一个百分点的扣分值，E2＝1。</w:t>
            </w:r>
          </w:p>
          <w:p w14:paraId="6098E4AA">
            <w:pPr>
              <w:widowControl w:val="0"/>
              <w:spacing w:after="0"/>
              <w:ind w:left="0" w:leftChars="0" w:firstLine="0" w:firstLine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注：评标价得分最低为0分；评标价得分保留小数点后两位，小数点后第三位四舍五入。</w:t>
            </w:r>
          </w:p>
        </w:tc>
      </w:tr>
      <w:tr w14:paraId="3FB8E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pct"/>
            <w:vAlign w:val="center"/>
          </w:tcPr>
          <w:p w14:paraId="01F61D2B">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2.2.4</w:t>
            </w:r>
          </w:p>
        </w:tc>
        <w:tc>
          <w:tcPr>
            <w:tcW w:w="825" w:type="pct"/>
            <w:vAlign w:val="center"/>
          </w:tcPr>
          <w:p w14:paraId="3DDA9A4B">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评标基准价计算方法</w:t>
            </w:r>
          </w:p>
        </w:tc>
        <w:tc>
          <w:tcPr>
            <w:tcW w:w="3422" w:type="pct"/>
            <w:vAlign w:val="center"/>
          </w:tcPr>
          <w:p w14:paraId="09768BA2">
            <w:pPr>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1、第二个信封（报价文件）评分分值构成：评标价：100分。</w:t>
            </w:r>
          </w:p>
          <w:p w14:paraId="08649CD5">
            <w:pPr>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2、评标基准价的计算：</w:t>
            </w:r>
          </w:p>
          <w:p w14:paraId="3C17606D">
            <w:pPr>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在第二个信封开标现场，招标人将按照第一信封开标现场抽取的评标基准价的计算方法当场计算并宣布评标基准价。</w:t>
            </w:r>
          </w:p>
          <w:p w14:paraId="2D1E0B57">
            <w:pPr>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（1）评标价的确定：评标价＝投标函文字报价</w:t>
            </w:r>
          </w:p>
          <w:p w14:paraId="56EF84F6">
            <w:pPr>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（2）评标价平均值的计算：</w:t>
            </w:r>
          </w:p>
          <w:p w14:paraId="3B38DF04">
            <w:pPr>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除按第二章“投标人须知”第5.2.</w:t>
            </w:r>
            <w:r>
              <w:rPr>
                <w:rFonts w:hint="eastAsia" w:ascii="宋体" w:hAnsi="宋体" w:eastAsia="宋体" w:cs="Times New Roman"/>
                <w:color w:val="auto"/>
                <w:kern w:val="28"/>
                <w:sz w:val="21"/>
                <w:szCs w:val="21"/>
                <w:highlight w:val="none"/>
                <w:lang w:val="en-US" w:eastAsia="zh-CN"/>
              </w:rPr>
              <w:t>2</w:t>
            </w:r>
            <w:r>
              <w:rPr>
                <w:rFonts w:hint="eastAsia" w:ascii="宋体" w:hAnsi="宋体" w:eastAsia="宋体" w:cs="Times New Roman"/>
                <w:color w:val="auto"/>
                <w:kern w:val="28"/>
                <w:sz w:val="21"/>
                <w:szCs w:val="21"/>
                <w:highlight w:val="none"/>
              </w:rPr>
              <w:t>项规定开标现场被宣布为不进入评标基准价计算的投标报价之外，所有投标人的评标价的算术平均值即为评标价平均值（评标价平均值保留小数点后两位，小数点后第三位四舍五入）。</w:t>
            </w:r>
          </w:p>
          <w:p w14:paraId="7A2F6FCA">
            <w:pPr>
              <w:widowControl w:val="0"/>
              <w:autoSpaceDE w:val="0"/>
              <w:autoSpaceDN w:val="0"/>
              <w:snapToGrid w:val="0"/>
              <w:jc w:val="both"/>
              <w:rPr>
                <w:rFonts w:hint="eastAsia" w:ascii="宋体" w:hAnsi="宋体" w:eastAsia="宋体" w:cs="宋体"/>
                <w:color w:val="auto"/>
                <w:kern w:val="0"/>
                <w:sz w:val="21"/>
                <w:szCs w:val="21"/>
                <w:highlight w:val="none"/>
                <w:lang w:val="zh-CN" w:eastAsia="zh-CN" w:bidi="zh-CN"/>
              </w:rPr>
            </w:pPr>
            <w:r>
              <w:rPr>
                <w:rFonts w:hint="eastAsia" w:ascii="宋体" w:hAnsi="宋体" w:eastAsia="宋体" w:cs="宋体"/>
                <w:color w:val="auto"/>
                <w:kern w:val="0"/>
                <w:sz w:val="21"/>
                <w:szCs w:val="21"/>
                <w:highlight w:val="none"/>
                <w:lang w:val="zh-CN" w:eastAsia="zh-CN" w:bidi="zh-CN"/>
              </w:rPr>
              <w:t>（3）评标基准价的计算：</w:t>
            </w:r>
          </w:p>
          <w:p w14:paraId="051213AD">
            <w:pPr>
              <w:widowControl w:val="0"/>
              <w:autoSpaceDE w:val="0"/>
              <w:autoSpaceDN w:val="0"/>
              <w:snapToGrid w:val="0"/>
              <w:jc w:val="both"/>
              <w:rPr>
                <w:rFonts w:hint="eastAsia" w:ascii="宋体" w:hAnsi="宋体" w:eastAsia="宋体" w:cs="宋体"/>
                <w:color w:val="auto"/>
                <w:kern w:val="0"/>
                <w:sz w:val="21"/>
                <w:szCs w:val="21"/>
                <w:highlight w:val="none"/>
                <w:lang w:val="zh-CN" w:eastAsia="zh-CN" w:bidi="zh-CN"/>
              </w:rPr>
            </w:pPr>
            <w:r>
              <w:rPr>
                <w:rFonts w:hint="eastAsia" w:ascii="宋体" w:hAnsi="宋体" w:eastAsia="宋体" w:cs="宋体"/>
                <w:color w:val="auto"/>
                <w:kern w:val="0"/>
                <w:sz w:val="21"/>
                <w:szCs w:val="21"/>
                <w:highlight w:val="none"/>
                <w:lang w:val="zh-CN" w:eastAsia="zh-CN" w:bidi="zh-CN"/>
              </w:rPr>
              <w:t>本次招标共设置以下三种评标基准价计算方法，在第一信封（商务及技术文件）开标现场随机确定一种评标基准价计算方法，作为本次评标的评标基准价计算方法。</w:t>
            </w:r>
          </w:p>
          <w:p w14:paraId="2D7621C1">
            <w:pPr>
              <w:widowControl w:val="0"/>
              <w:autoSpaceDE w:val="0"/>
              <w:autoSpaceDN w:val="0"/>
              <w:snapToGrid w:val="0"/>
              <w:jc w:val="both"/>
              <w:rPr>
                <w:rFonts w:hint="eastAsia" w:ascii="宋体" w:hAnsi="宋体" w:eastAsia="宋体" w:cs="宋体"/>
                <w:color w:val="auto"/>
                <w:kern w:val="0"/>
                <w:sz w:val="21"/>
                <w:szCs w:val="21"/>
                <w:highlight w:val="none"/>
                <w:lang w:val="zh-CN" w:eastAsia="zh-CN" w:bidi="zh-CN"/>
              </w:rPr>
            </w:pPr>
            <w:r>
              <w:rPr>
                <w:rFonts w:hint="eastAsia" w:ascii="宋体" w:hAnsi="宋体" w:eastAsia="宋体" w:cs="宋体"/>
                <w:color w:val="auto"/>
                <w:kern w:val="0"/>
                <w:sz w:val="21"/>
                <w:szCs w:val="21"/>
                <w:highlight w:val="none"/>
                <w:lang w:val="zh-CN" w:eastAsia="zh-CN" w:bidi="zh-CN"/>
              </w:rPr>
              <w:t>①方法1：评标价平均值直接作为评标基准价。</w:t>
            </w:r>
          </w:p>
          <w:p w14:paraId="2B77FFB4">
            <w:pPr>
              <w:widowControl w:val="0"/>
              <w:autoSpaceDE w:val="0"/>
              <w:autoSpaceDN w:val="0"/>
              <w:snapToGrid w:val="0"/>
              <w:jc w:val="both"/>
              <w:rPr>
                <w:rFonts w:hint="eastAsia" w:ascii="宋体" w:hAnsi="宋体" w:eastAsia="宋体" w:cs="宋体"/>
                <w:color w:val="auto"/>
                <w:kern w:val="0"/>
                <w:sz w:val="21"/>
                <w:szCs w:val="21"/>
                <w:highlight w:val="none"/>
                <w:lang w:val="zh-CN" w:eastAsia="zh-CN" w:bidi="zh-CN"/>
              </w:rPr>
            </w:pPr>
            <w:r>
              <w:rPr>
                <w:rFonts w:hint="eastAsia" w:ascii="宋体" w:hAnsi="宋体" w:eastAsia="宋体" w:cs="宋体"/>
                <w:color w:val="auto"/>
                <w:kern w:val="0"/>
                <w:sz w:val="21"/>
                <w:szCs w:val="21"/>
                <w:highlight w:val="none"/>
                <w:lang w:val="zh-CN" w:eastAsia="zh-CN" w:bidi="zh-CN"/>
              </w:rPr>
              <w:t>②方法2：评标基准价P=评标价平均值×评标基准价系数K1。</w:t>
            </w:r>
          </w:p>
          <w:p w14:paraId="33C09C21">
            <w:pPr>
              <w:widowControl w:val="0"/>
              <w:autoSpaceDE w:val="0"/>
              <w:autoSpaceDN w:val="0"/>
              <w:snapToGrid w:val="0"/>
              <w:jc w:val="both"/>
              <w:rPr>
                <w:rFonts w:hint="eastAsia" w:ascii="宋体" w:hAnsi="宋体" w:eastAsia="宋体" w:cs="宋体"/>
                <w:color w:val="auto"/>
                <w:kern w:val="0"/>
                <w:sz w:val="21"/>
                <w:szCs w:val="21"/>
                <w:highlight w:val="none"/>
                <w:lang w:val="zh-CN" w:eastAsia="zh-CN" w:bidi="zh-CN"/>
              </w:rPr>
            </w:pPr>
            <w:r>
              <w:rPr>
                <w:rFonts w:hint="eastAsia" w:ascii="宋体" w:hAnsi="宋体" w:eastAsia="宋体" w:cs="宋体"/>
                <w:color w:val="auto"/>
                <w:kern w:val="0"/>
                <w:sz w:val="21"/>
                <w:szCs w:val="21"/>
                <w:highlight w:val="none"/>
                <w:lang w:val="zh-CN" w:eastAsia="zh-CN" w:bidi="zh-CN"/>
              </w:rPr>
              <w:t>K1为开标现场随机确定的评标基准价系数，取值范围为0.975、0.980、0.985、0.990、0.995。</w:t>
            </w:r>
          </w:p>
          <w:p w14:paraId="4332172C">
            <w:pPr>
              <w:widowControl w:val="0"/>
              <w:autoSpaceDE w:val="0"/>
              <w:autoSpaceDN w:val="0"/>
              <w:snapToGrid w:val="0"/>
              <w:jc w:val="both"/>
              <w:rPr>
                <w:rFonts w:hint="eastAsia" w:ascii="宋体" w:hAnsi="宋体" w:eastAsia="宋体" w:cs="宋体"/>
                <w:color w:val="auto"/>
                <w:kern w:val="0"/>
                <w:sz w:val="21"/>
                <w:szCs w:val="21"/>
                <w:highlight w:val="none"/>
                <w:lang w:val="zh-CN" w:eastAsia="zh-CN" w:bidi="zh-CN"/>
              </w:rPr>
            </w:pPr>
            <w:r>
              <w:rPr>
                <w:rFonts w:hint="eastAsia" w:ascii="宋体" w:hAnsi="宋体" w:eastAsia="宋体" w:cs="宋体"/>
                <w:color w:val="auto"/>
                <w:kern w:val="0"/>
                <w:sz w:val="21"/>
                <w:szCs w:val="21"/>
                <w:highlight w:val="none"/>
                <w:lang w:val="zh-CN" w:eastAsia="zh-CN" w:bidi="zh-CN"/>
              </w:rPr>
              <w:t>③方法3：评标基准价P=最高投标限价×K2+评标价平均值×（1-K2）。</w:t>
            </w:r>
          </w:p>
          <w:p w14:paraId="07869B44">
            <w:pPr>
              <w:widowControl w:val="0"/>
              <w:autoSpaceDE w:val="0"/>
              <w:autoSpaceDN w:val="0"/>
              <w:snapToGrid w:val="0"/>
              <w:jc w:val="both"/>
              <w:rPr>
                <w:rFonts w:hint="eastAsia" w:ascii="宋体" w:hAnsi="宋体" w:eastAsia="宋体" w:cs="宋体"/>
                <w:color w:val="auto"/>
                <w:kern w:val="0"/>
                <w:sz w:val="21"/>
                <w:szCs w:val="21"/>
                <w:highlight w:val="none"/>
                <w:lang w:val="zh-CN" w:eastAsia="zh-CN" w:bidi="zh-CN"/>
              </w:rPr>
            </w:pPr>
            <w:r>
              <w:rPr>
                <w:rFonts w:hint="eastAsia" w:ascii="宋体" w:hAnsi="宋体" w:eastAsia="宋体" w:cs="宋体"/>
                <w:color w:val="auto"/>
                <w:kern w:val="0"/>
                <w:sz w:val="21"/>
                <w:szCs w:val="21"/>
                <w:highlight w:val="none"/>
                <w:lang w:val="zh-CN" w:eastAsia="zh-CN" w:bidi="zh-CN"/>
              </w:rPr>
              <w:t>K2为开标现场随机确定的最高投标限价所占比例系数，取值范围为0.10、0.15、0.20、0.25、0.30。</w:t>
            </w:r>
          </w:p>
          <w:p w14:paraId="5758F0BB">
            <w:pPr>
              <w:widowControl w:val="0"/>
              <w:autoSpaceDE w:val="0"/>
              <w:autoSpaceDN w:val="0"/>
              <w:snapToGrid w:val="0"/>
              <w:jc w:val="both"/>
              <w:rPr>
                <w:rFonts w:hint="eastAsia" w:ascii="宋体" w:hAnsi="宋体" w:eastAsia="宋体" w:cs="宋体"/>
                <w:color w:val="auto"/>
                <w:kern w:val="0"/>
                <w:sz w:val="21"/>
                <w:szCs w:val="21"/>
                <w:highlight w:val="none"/>
                <w:lang w:val="zh-CN" w:eastAsia="zh-CN" w:bidi="zh-CN"/>
              </w:rPr>
            </w:pPr>
            <w:r>
              <w:rPr>
                <w:rFonts w:hint="eastAsia" w:ascii="宋体" w:hAnsi="宋体" w:eastAsia="宋体" w:cs="宋体"/>
                <w:color w:val="auto"/>
                <w:kern w:val="0"/>
                <w:sz w:val="21"/>
                <w:szCs w:val="21"/>
                <w:highlight w:val="none"/>
                <w:lang w:val="zh-CN" w:eastAsia="zh-CN" w:bidi="zh-CN"/>
              </w:rPr>
              <w:t>在评标过程中，评标委员会应对招标人计算的评标基准价进行复核，存在计算错误的应予以修正并在评标报告中作出说明。除此之外，评标基准价在整个评标期间保持不变，不随任何因素发生变化。</w:t>
            </w:r>
          </w:p>
        </w:tc>
      </w:tr>
      <w:tr w14:paraId="3542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pct"/>
            <w:vAlign w:val="center"/>
          </w:tcPr>
          <w:p w14:paraId="7638B819">
            <w:pPr>
              <w:jc w:val="center"/>
              <w:rPr>
                <w:rFonts w:hint="eastAsia" w:ascii="宋体" w:hAnsi="宋体" w:eastAsia="宋体" w:cs="宋体"/>
                <w:color w:val="auto"/>
                <w:kern w:val="28"/>
                <w:sz w:val="21"/>
                <w:szCs w:val="21"/>
                <w:highlight w:val="none"/>
              </w:rPr>
            </w:pPr>
            <w:r>
              <w:rPr>
                <w:rFonts w:hint="eastAsia" w:ascii="Times New Roman" w:hAnsi="Times New Roman" w:eastAsia="宋体" w:cs="Times New Roman"/>
                <w:color w:val="auto"/>
                <w:kern w:val="28"/>
                <w:sz w:val="21"/>
                <w:szCs w:val="21"/>
                <w:highlight w:val="none"/>
              </w:rPr>
              <w:t>3.2.4</w:t>
            </w:r>
          </w:p>
        </w:tc>
        <w:tc>
          <w:tcPr>
            <w:tcW w:w="825" w:type="pct"/>
            <w:vAlign w:val="center"/>
          </w:tcPr>
          <w:p w14:paraId="1A7B24DD">
            <w:pPr>
              <w:jc w:val="center"/>
              <w:rPr>
                <w:rFonts w:hint="eastAsia" w:ascii="宋体" w:hAnsi="宋体" w:eastAsia="宋体" w:cs="宋体"/>
                <w:color w:val="auto"/>
                <w:kern w:val="28"/>
                <w:sz w:val="21"/>
                <w:szCs w:val="21"/>
                <w:highlight w:val="none"/>
              </w:rPr>
            </w:pPr>
            <w:r>
              <w:rPr>
                <w:rFonts w:hint="eastAsia" w:ascii="Times New Roman" w:hAnsi="Times New Roman" w:eastAsia="宋体" w:cs="Times New Roman"/>
                <w:color w:val="auto"/>
                <w:kern w:val="28"/>
                <w:sz w:val="21"/>
                <w:szCs w:val="21"/>
                <w:highlight w:val="none"/>
              </w:rPr>
              <w:t>通过第一个信封详细评审的投标人数量</w:t>
            </w:r>
          </w:p>
        </w:tc>
        <w:tc>
          <w:tcPr>
            <w:tcW w:w="3422" w:type="pct"/>
            <w:vAlign w:val="center"/>
          </w:tcPr>
          <w:p w14:paraId="4ED2BAF1">
            <w:pPr>
              <w:rPr>
                <w:rFonts w:hint="eastAsia" w:ascii="宋体" w:hAnsi="宋体" w:eastAsia="宋体" w:cs="宋体"/>
                <w:color w:val="auto"/>
                <w:kern w:val="28"/>
                <w:sz w:val="21"/>
                <w:szCs w:val="21"/>
                <w:highlight w:val="none"/>
              </w:rPr>
            </w:pPr>
            <w:r>
              <w:rPr>
                <w:rFonts w:hint="eastAsia" w:ascii="Times New Roman" w:hAnsi="Times New Roman" w:eastAsia="宋体" w:cs="Times New Roman"/>
                <w:color w:val="auto"/>
                <w:kern w:val="28"/>
                <w:sz w:val="21"/>
                <w:szCs w:val="21"/>
                <w:highlight w:val="none"/>
              </w:rPr>
              <w:t>按照投标人的第一信封</w:t>
            </w:r>
            <w:r>
              <w:rPr>
                <w:rFonts w:hint="eastAsia" w:ascii="Times New Roman" w:hAnsi="Times New Roman" w:eastAsia="宋体" w:cs="Times New Roman"/>
                <w:color w:val="auto"/>
                <w:kern w:val="28"/>
                <w:sz w:val="21"/>
                <w:szCs w:val="21"/>
                <w:highlight w:val="none"/>
                <w:lang w:val="en-US" w:eastAsia="zh-CN"/>
              </w:rPr>
              <w:t>综合</w:t>
            </w:r>
            <w:r>
              <w:rPr>
                <w:rFonts w:hint="eastAsia" w:ascii="Times New Roman" w:hAnsi="Times New Roman" w:eastAsia="宋体" w:cs="Times New Roman"/>
                <w:color w:val="auto"/>
                <w:kern w:val="28"/>
                <w:sz w:val="21"/>
                <w:szCs w:val="21"/>
                <w:highlight w:val="none"/>
              </w:rPr>
              <w:t>得分由高到低排序，选择前</w:t>
            </w:r>
            <w:r>
              <w:rPr>
                <w:rFonts w:hint="eastAsia" w:ascii="Times New Roman" w:hAnsi="Times New Roman" w:eastAsia="宋体" w:cs="Times New Roman"/>
                <w:color w:val="auto"/>
                <w:kern w:val="28"/>
                <w:sz w:val="21"/>
                <w:szCs w:val="21"/>
                <w:highlight w:val="none"/>
                <w:u w:val="single"/>
              </w:rPr>
              <w:t xml:space="preserve"> 5 </w:t>
            </w:r>
            <w:r>
              <w:rPr>
                <w:rFonts w:hint="eastAsia" w:ascii="Times New Roman" w:hAnsi="Times New Roman" w:eastAsia="宋体" w:cs="Times New Roman"/>
                <w:color w:val="auto"/>
                <w:kern w:val="28"/>
                <w:sz w:val="21"/>
                <w:szCs w:val="21"/>
                <w:highlight w:val="none"/>
                <w:lang w:val="en-US" w:eastAsia="zh-CN"/>
              </w:rPr>
              <w:t>家</w:t>
            </w:r>
            <w:r>
              <w:rPr>
                <w:rFonts w:hint="eastAsia" w:ascii="Times New Roman" w:hAnsi="Times New Roman" w:eastAsia="宋体" w:cs="Times New Roman"/>
                <w:color w:val="auto"/>
                <w:kern w:val="28"/>
                <w:sz w:val="21"/>
                <w:szCs w:val="21"/>
                <w:highlight w:val="none"/>
              </w:rPr>
              <w:t>进入</w:t>
            </w:r>
            <w:r>
              <w:rPr>
                <w:rFonts w:hint="eastAsia" w:ascii="宋体" w:hAnsi="宋体" w:eastAsia="宋体" w:cs="宋体"/>
                <w:color w:val="auto"/>
                <w:kern w:val="28"/>
                <w:sz w:val="21"/>
                <w:szCs w:val="21"/>
                <w:highlight w:val="none"/>
              </w:rPr>
              <w:t>第二信封</w:t>
            </w:r>
            <w:r>
              <w:rPr>
                <w:rFonts w:hint="eastAsia" w:ascii="Times New Roman" w:hAnsi="Times New Roman" w:eastAsia="宋体" w:cs="Times New Roman"/>
                <w:color w:val="auto"/>
                <w:kern w:val="28"/>
                <w:sz w:val="21"/>
                <w:szCs w:val="21"/>
                <w:highlight w:val="none"/>
              </w:rPr>
              <w:t>评审。</w:t>
            </w:r>
            <w:r>
              <w:rPr>
                <w:rFonts w:ascii="宋体" w:hAnsi="宋体" w:eastAsia="宋体" w:cs="宋体"/>
                <w:color w:val="auto"/>
                <w:kern w:val="28"/>
                <w:sz w:val="21"/>
                <w:szCs w:val="21"/>
                <w:highlight w:val="none"/>
              </w:rPr>
              <w:t>第一信封</w:t>
            </w:r>
            <w:r>
              <w:rPr>
                <w:rFonts w:hint="eastAsia" w:ascii="Times New Roman" w:hAnsi="Times New Roman" w:eastAsia="宋体" w:cs="Times New Roman"/>
                <w:color w:val="auto"/>
                <w:kern w:val="28"/>
                <w:sz w:val="21"/>
                <w:szCs w:val="21"/>
                <w:highlight w:val="none"/>
                <w:lang w:val="en-US" w:eastAsia="zh-CN"/>
              </w:rPr>
              <w:t>综合</w:t>
            </w:r>
            <w:r>
              <w:rPr>
                <w:rFonts w:ascii="宋体" w:hAnsi="宋体" w:eastAsia="宋体" w:cs="宋体"/>
                <w:color w:val="auto"/>
                <w:kern w:val="28"/>
                <w:sz w:val="21"/>
                <w:szCs w:val="21"/>
                <w:highlight w:val="none"/>
              </w:rPr>
              <w:t>得分相等时，</w:t>
            </w:r>
            <w:r>
              <w:rPr>
                <w:rFonts w:hint="eastAsia" w:ascii="宋体" w:hAnsi="宋体" w:eastAsia="宋体" w:cs="宋体"/>
                <w:color w:val="auto"/>
                <w:kern w:val="28"/>
                <w:sz w:val="21"/>
                <w:szCs w:val="21"/>
                <w:highlight w:val="none"/>
                <w:lang w:val="en-US" w:eastAsia="zh-CN"/>
              </w:rPr>
              <w:t>以</w:t>
            </w:r>
            <w:r>
              <w:rPr>
                <w:rFonts w:hint="eastAsia" w:ascii="宋体" w:hAnsi="宋体" w:eastAsia="宋体" w:cs="宋体"/>
                <w:color w:val="auto"/>
                <w:kern w:val="28"/>
                <w:sz w:val="21"/>
                <w:szCs w:val="21"/>
                <w:highlight w:val="none"/>
              </w:rPr>
              <w:t>施工组织设计得分高的优先；施工组织设计得分也相等的，以</w:t>
            </w:r>
            <w:r>
              <w:rPr>
                <w:rFonts w:ascii="宋体" w:hAnsi="宋体" w:eastAsia="宋体" w:cs="宋体"/>
                <w:color w:val="auto"/>
                <w:kern w:val="28"/>
                <w:sz w:val="21"/>
                <w:szCs w:val="21"/>
                <w:highlight w:val="none"/>
              </w:rPr>
              <w:t>满足资格审查条件（业绩最低要求）的业绩</w:t>
            </w:r>
            <w:r>
              <w:rPr>
                <w:rFonts w:hint="eastAsia" w:ascii="宋体" w:hAnsi="宋体" w:eastAsia="宋体" w:cs="宋体"/>
                <w:color w:val="auto"/>
                <w:kern w:val="28"/>
                <w:sz w:val="21"/>
                <w:szCs w:val="21"/>
                <w:highlight w:val="none"/>
              </w:rPr>
              <w:t>单项合同额最高</w:t>
            </w:r>
            <w:r>
              <w:rPr>
                <w:rFonts w:ascii="宋体" w:hAnsi="宋体" w:eastAsia="宋体" w:cs="宋体"/>
                <w:color w:val="auto"/>
                <w:kern w:val="28"/>
                <w:sz w:val="21"/>
                <w:szCs w:val="21"/>
                <w:highlight w:val="none"/>
              </w:rPr>
              <w:t>的优先，</w:t>
            </w:r>
            <w:r>
              <w:rPr>
                <w:rFonts w:hint="eastAsia" w:ascii="宋体" w:hAnsi="宋体" w:eastAsia="宋体" w:cs="宋体"/>
                <w:color w:val="auto"/>
                <w:kern w:val="28"/>
                <w:sz w:val="21"/>
                <w:szCs w:val="21"/>
                <w:highlight w:val="none"/>
              </w:rPr>
              <w:t>单项合同额</w:t>
            </w:r>
            <w:r>
              <w:rPr>
                <w:rFonts w:ascii="宋体" w:hAnsi="宋体" w:eastAsia="宋体" w:cs="宋体"/>
                <w:color w:val="auto"/>
                <w:kern w:val="28"/>
                <w:sz w:val="21"/>
                <w:szCs w:val="21"/>
                <w:highlight w:val="none"/>
              </w:rPr>
              <w:t>也相等时，以累计合同金额</w:t>
            </w:r>
            <w:r>
              <w:rPr>
                <w:rFonts w:hint="eastAsia" w:ascii="宋体" w:hAnsi="宋体" w:eastAsia="宋体" w:cs="宋体"/>
                <w:color w:val="auto"/>
                <w:kern w:val="28"/>
                <w:sz w:val="21"/>
                <w:szCs w:val="21"/>
                <w:highlight w:val="none"/>
              </w:rPr>
              <w:t>高</w:t>
            </w:r>
            <w:r>
              <w:rPr>
                <w:rFonts w:ascii="宋体" w:hAnsi="宋体" w:eastAsia="宋体" w:cs="宋体"/>
                <w:color w:val="auto"/>
                <w:kern w:val="28"/>
                <w:sz w:val="21"/>
                <w:szCs w:val="21"/>
                <w:highlight w:val="none"/>
              </w:rPr>
              <w:t>的优先</w:t>
            </w:r>
            <w:r>
              <w:rPr>
                <w:rFonts w:hint="eastAsia" w:ascii="宋体" w:hAnsi="宋体" w:eastAsia="宋体" w:cs="宋体"/>
                <w:color w:val="auto"/>
                <w:kern w:val="28"/>
                <w:sz w:val="21"/>
                <w:szCs w:val="21"/>
                <w:highlight w:val="none"/>
              </w:rPr>
              <w:t>。</w:t>
            </w:r>
          </w:p>
        </w:tc>
      </w:tr>
      <w:tr w14:paraId="6EF2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pct"/>
            <w:vAlign w:val="center"/>
          </w:tcPr>
          <w:p w14:paraId="1D478AEF">
            <w:pPr>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3.5.3</w:t>
            </w:r>
          </w:p>
        </w:tc>
        <w:tc>
          <w:tcPr>
            <w:tcW w:w="4247" w:type="pct"/>
            <w:gridSpan w:val="2"/>
            <w:vAlign w:val="center"/>
          </w:tcPr>
          <w:p w14:paraId="3933E744">
            <w:pP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本项修改为：</w:t>
            </w:r>
          </w:p>
          <w:p w14:paraId="58CAA968">
            <w:pPr>
              <w:autoSpaceDE w:val="0"/>
              <w:autoSpaceDN w:val="0"/>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0"/>
                <w:sz w:val="21"/>
                <w:szCs w:val="21"/>
                <w:highlight w:val="none"/>
              </w:rPr>
              <w:t>评标委员会发现投标人的投标报价低于最高投标限价的65%（含），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421CB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pct"/>
            <w:vAlign w:val="center"/>
          </w:tcPr>
          <w:p w14:paraId="51803478">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3.6.1</w:t>
            </w:r>
          </w:p>
        </w:tc>
        <w:tc>
          <w:tcPr>
            <w:tcW w:w="825" w:type="pct"/>
            <w:vAlign w:val="center"/>
          </w:tcPr>
          <w:p w14:paraId="5FB19F6F">
            <w:pPr>
              <w:adjustRightInd w:val="0"/>
              <w:snapToGrid w:val="0"/>
              <w:jc w:val="center"/>
              <w:rPr>
                <w:rFonts w:hint="eastAsia" w:ascii="宋体" w:hAnsi="宋体" w:eastAsia="宋体" w:cs="宋体"/>
                <w:color w:val="auto"/>
                <w:kern w:val="28"/>
                <w:sz w:val="21"/>
                <w:szCs w:val="21"/>
                <w:highlight w:val="none"/>
              </w:rPr>
            </w:pPr>
            <w:r>
              <w:rPr>
                <w:rFonts w:hint="eastAsia" w:ascii="宋体" w:hAnsi="宋体" w:eastAsia="宋体" w:cs="宋体"/>
                <w:b/>
                <w:color w:val="auto"/>
                <w:kern w:val="28"/>
                <w:sz w:val="21"/>
                <w:szCs w:val="21"/>
                <w:highlight w:val="none"/>
              </w:rPr>
              <w:t>投标文件相关信息的核查</w:t>
            </w:r>
          </w:p>
        </w:tc>
        <w:tc>
          <w:tcPr>
            <w:tcW w:w="3422" w:type="pct"/>
            <w:vAlign w:val="center"/>
          </w:tcPr>
          <w:p w14:paraId="74713FE1">
            <w:pPr>
              <w:autoSpaceDE w:val="0"/>
              <w:autoSpaceDN w:val="0"/>
              <w:snapToGrid w:val="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本项修改为：</w:t>
            </w:r>
          </w:p>
          <w:p w14:paraId="4ED72518">
            <w:pPr>
              <w:widowControl w:val="0"/>
              <w:numPr>
                <w:ilvl w:val="0"/>
                <w:numId w:val="2"/>
              </w:numPr>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评标委员会在评标过程中将对投标人的信誉情况进行查询。如投标人存在下列情形之一的，评标委员会应否决其投标。</w:t>
            </w:r>
          </w:p>
          <w:p w14:paraId="6E9211D5">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1)在国家企业信用信息公示系统(https://www.gsxt.gov.cn/)中被列入严重违法失信名单(黑名单)(不含分公司);</w:t>
            </w:r>
          </w:p>
          <w:p w14:paraId="75EBD1B2">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2)在“信用中国"网站(http://www.creditchina.gov.cn/)中被列入经营活动异常名录、重大税收违法失信主体、政府采购严重违法失信行为记录名单和安全生产严重失信主体名单（均不含分公司）；</w:t>
            </w:r>
          </w:p>
          <w:p w14:paraId="209C3DC4">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3)在中国执行信息公开网(zxgk.court.gov.cn)中被列入失信被执行人(不含分公司)。</w:t>
            </w:r>
          </w:p>
          <w:p w14:paraId="2043177A">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注：以上查询结果以评标当日查询结果为准。</w:t>
            </w:r>
          </w:p>
          <w:p w14:paraId="587BE655">
            <w:pPr>
              <w:widowControl w:val="0"/>
              <w:numPr>
                <w:ilvl w:val="0"/>
                <w:numId w:val="0"/>
              </w:numPr>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 所附项目经理一级注册建造师信息的网页截图复印件与“全国建筑市场监管公共服务平台（http://jzsc.mohurd.gov.cn/）”核查的结果一致。项目经理的一级建造师注册证书的注册单位名称必须与投标人名称一致。</w:t>
            </w:r>
          </w:p>
          <w:p w14:paraId="0786C657">
            <w:pPr>
              <w:widowControl w:val="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注：如投标人未提供相关网页截图或所附截图与复核结果不一致导致其不满足资格条件，评标委员会应否决其投标。</w:t>
            </w:r>
          </w:p>
          <w:p w14:paraId="70B2639C">
            <w:pPr>
              <w:widowControl w:val="0"/>
              <w:jc w:val="both"/>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投标人应当及时核查并更新政府网站公开的相关信息，并承担由于信息填报不完整或者不准确等原因导致投标可能被否决的后果。相关信息由投标人填报的，其真实性由投标人负责，经查证与事实不符的，视为投标过程中的弄虚作假行为，按相关规定处理。</w:t>
            </w:r>
          </w:p>
        </w:tc>
      </w:tr>
      <w:tr w14:paraId="2E0BE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pct"/>
            <w:vAlign w:val="center"/>
          </w:tcPr>
          <w:p w14:paraId="432F98ED">
            <w:pPr>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3.6.3</w:t>
            </w:r>
          </w:p>
        </w:tc>
        <w:tc>
          <w:tcPr>
            <w:tcW w:w="825" w:type="pct"/>
            <w:vAlign w:val="center"/>
          </w:tcPr>
          <w:p w14:paraId="63809414">
            <w:pPr>
              <w:adjustRightInd w:val="0"/>
              <w:snapToGrid w:val="0"/>
              <w:jc w:val="center"/>
              <w:rPr>
                <w:rFonts w:hint="eastAsia" w:ascii="宋体" w:hAnsi="宋体" w:eastAsia="宋体" w:cs="宋体"/>
                <w:b/>
                <w:color w:val="auto"/>
                <w:kern w:val="28"/>
                <w:sz w:val="21"/>
                <w:szCs w:val="21"/>
                <w:highlight w:val="none"/>
              </w:rPr>
            </w:pPr>
            <w:r>
              <w:rPr>
                <w:rFonts w:hint="eastAsia" w:ascii="宋体" w:hAnsi="宋体" w:eastAsia="宋体" w:cs="宋体"/>
                <w:color w:val="auto"/>
                <w:kern w:val="28"/>
                <w:sz w:val="21"/>
                <w:szCs w:val="21"/>
                <w:highlight w:val="none"/>
              </w:rPr>
              <w:t>投标人异常投标情形的核查</w:t>
            </w:r>
          </w:p>
        </w:tc>
        <w:tc>
          <w:tcPr>
            <w:tcW w:w="3422" w:type="pct"/>
            <w:vAlign w:val="center"/>
          </w:tcPr>
          <w:p w14:paraId="33DA2543">
            <w:p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补充本项：</w:t>
            </w:r>
          </w:p>
          <w:p w14:paraId="1C0DD240">
            <w:pPr>
              <w:autoSpaceDE w:val="0"/>
              <w:autoSpaceDN w:val="0"/>
              <w:snapToGrid w:val="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评标委员会在评标过程中发现存在投标文件异常一致或投标活动异常关联等异常投标情形的，应当要求该投标人在规定时间内作出书面说明并提供相应的证明材料。投标人不能合理说明或者不能提供相应证明材料的，评标委员会应当认定该投标人存在串通投标情形，并否决其投标。</w:t>
            </w:r>
          </w:p>
          <w:p w14:paraId="2F548515">
            <w:pPr>
              <w:autoSpaceDE w:val="0"/>
              <w:autoSpaceDN w:val="0"/>
              <w:snapToGrid w:val="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有下列情形之一的，属于投标文件异常一致或投标活动异常关联等异常投标情形：</w:t>
            </w:r>
          </w:p>
          <w:p w14:paraId="0268A6FC">
            <w:pPr>
              <w:autoSpaceDE w:val="0"/>
              <w:autoSpaceDN w:val="0"/>
              <w:snapToGrid w:val="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（1）投标人投标文件制作机器码雷同；</w:t>
            </w:r>
          </w:p>
          <w:p w14:paraId="6A8BC973">
            <w:pPr>
              <w:autoSpaceDE w:val="0"/>
              <w:autoSpaceDN w:val="0"/>
              <w:snapToGrid w:val="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（2）投标文件创建标识码雷同；</w:t>
            </w:r>
          </w:p>
          <w:p w14:paraId="610F2A68">
            <w:pPr>
              <w:autoSpaceDE w:val="0"/>
              <w:autoSpaceDN w:val="0"/>
              <w:snapToGrid w:val="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（3）投标文件制作计算机MAC地址雷同；</w:t>
            </w:r>
          </w:p>
          <w:p w14:paraId="5EF6272C">
            <w:pPr>
              <w:autoSpaceDE w:val="0"/>
              <w:autoSpaceDN w:val="0"/>
              <w:snapToGrid w:val="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（4）投标文件制作计算机硬盘序列号雷同；</w:t>
            </w:r>
          </w:p>
          <w:p w14:paraId="39FB487A">
            <w:pPr>
              <w:autoSpaceDE w:val="0"/>
              <w:autoSpaceDN w:val="0"/>
              <w:snapToGrid w:val="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（5）投标文件上传IP地址雷同；</w:t>
            </w:r>
          </w:p>
          <w:p w14:paraId="2D94C981">
            <w:pPr>
              <w:autoSpaceDE w:val="0"/>
              <w:autoSpaceDN w:val="0"/>
              <w:snapToGrid w:val="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（6）投标文件解密IP地址雷同。</w:t>
            </w:r>
          </w:p>
        </w:tc>
      </w:tr>
      <w:tr w14:paraId="5EF4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pct"/>
            <w:vAlign w:val="center"/>
          </w:tcPr>
          <w:p w14:paraId="67236D19">
            <w:pPr>
              <w:adjustRightInd w:val="0"/>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3.9.1</w:t>
            </w:r>
          </w:p>
        </w:tc>
        <w:tc>
          <w:tcPr>
            <w:tcW w:w="825" w:type="pct"/>
            <w:vAlign w:val="center"/>
          </w:tcPr>
          <w:p w14:paraId="4FC979EF">
            <w:pPr>
              <w:adjustRightInd w:val="0"/>
              <w:snapToGrid w:val="0"/>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评标</w:t>
            </w:r>
          </w:p>
          <w:p w14:paraId="3178B9FA">
            <w:pPr>
              <w:adjustRightInd w:val="0"/>
              <w:snapToGrid w:val="0"/>
              <w:jc w:val="center"/>
              <w:rPr>
                <w:rFonts w:hint="eastAsia" w:ascii="宋体" w:hAnsi="宋体" w:eastAsia="宋体" w:cs="宋体"/>
                <w:b/>
                <w:color w:val="auto"/>
                <w:kern w:val="28"/>
                <w:sz w:val="21"/>
                <w:szCs w:val="21"/>
                <w:highlight w:val="none"/>
              </w:rPr>
            </w:pPr>
            <w:r>
              <w:rPr>
                <w:rFonts w:hint="eastAsia" w:ascii="宋体" w:hAnsi="宋体" w:eastAsia="宋体" w:cs="宋体"/>
                <w:color w:val="auto"/>
                <w:kern w:val="28"/>
                <w:sz w:val="21"/>
                <w:szCs w:val="21"/>
                <w:highlight w:val="none"/>
              </w:rPr>
              <w:t>结果</w:t>
            </w:r>
          </w:p>
        </w:tc>
        <w:tc>
          <w:tcPr>
            <w:tcW w:w="3422" w:type="pct"/>
            <w:vAlign w:val="center"/>
          </w:tcPr>
          <w:p w14:paraId="6FAC28C6">
            <w:pPr>
              <w:adjustRightInd w:val="0"/>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评标委员会按照评标办法前附表“1.评标办法”的规定推荐中标候选人。</w:t>
            </w:r>
          </w:p>
        </w:tc>
      </w:tr>
      <w:tr w14:paraId="2C18D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3"/>
            <w:vAlign w:val="center"/>
          </w:tcPr>
          <w:p w14:paraId="12DFAEE0">
            <w:pPr>
              <w:snapToGrid w:val="0"/>
              <w:rPr>
                <w:rFonts w:hint="eastAsia" w:ascii="宋体" w:hAnsi="宋体" w:eastAsia="宋体" w:cs="宋体"/>
                <w:bCs/>
                <w:color w:val="auto"/>
                <w:kern w:val="28"/>
                <w:sz w:val="21"/>
                <w:szCs w:val="21"/>
                <w:highlight w:val="none"/>
              </w:rPr>
            </w:pPr>
            <w:r>
              <w:rPr>
                <w:rFonts w:hint="eastAsia" w:ascii="宋体" w:hAnsi="宋体" w:eastAsia="宋体" w:cs="宋体"/>
                <w:color w:val="auto"/>
                <w:kern w:val="28"/>
                <w:sz w:val="21"/>
                <w:szCs w:val="21"/>
                <w:highlight w:val="none"/>
              </w:rPr>
              <w:t>需补充的其他内容：无</w:t>
            </w:r>
          </w:p>
        </w:tc>
      </w:tr>
    </w:tbl>
    <w:p w14:paraId="62C1FB73">
      <w:pPr>
        <w:widowControl w:val="0"/>
        <w:spacing w:after="120"/>
        <w:ind w:left="0" w:leftChars="0" w:firstLine="0" w:firstLineChars="0"/>
        <w:jc w:val="left"/>
        <w:rPr>
          <w:rFonts w:hint="eastAsia" w:ascii="宋体" w:hAnsi="宋体" w:eastAsia="宋体" w:cs="宋体"/>
          <w:b/>
          <w:bCs/>
          <w:color w:val="auto"/>
          <w:kern w:val="2"/>
          <w:sz w:val="21"/>
          <w:szCs w:val="24"/>
          <w:highlight w:val="none"/>
          <w:lang w:val="en-US" w:eastAsia="zh-CN" w:bidi="ar-SA"/>
        </w:rPr>
      </w:pPr>
    </w:p>
    <w:p w14:paraId="7456B443">
      <w:pPr>
        <w:rPr>
          <w:rFonts w:ascii="Times New Roman" w:hAnsi="Times New Roman" w:eastAsia="宋体" w:cs="宋体"/>
          <w:b/>
          <w:bCs/>
          <w:color w:val="auto"/>
          <w:kern w:val="28"/>
          <w:sz w:val="28"/>
          <w:szCs w:val="20"/>
          <w:highlight w:val="none"/>
        </w:rPr>
      </w:pPr>
      <w:r>
        <w:rPr>
          <w:rFonts w:hint="eastAsia" w:ascii="Times New Roman" w:hAnsi="Times New Roman" w:eastAsia="宋体" w:cs="宋体"/>
          <w:b/>
          <w:bCs/>
          <w:color w:val="auto"/>
          <w:kern w:val="28"/>
          <w:sz w:val="28"/>
          <w:szCs w:val="20"/>
          <w:highlight w:val="none"/>
        </w:rPr>
        <w:br w:type="page"/>
      </w:r>
    </w:p>
    <w:p w14:paraId="661956E3">
      <w:pPr>
        <w:widowControl w:val="0"/>
        <w:spacing w:after="120"/>
        <w:ind w:left="0" w:leftChars="0" w:firstLine="0" w:firstLineChars="0"/>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b/>
          <w:bCs/>
          <w:color w:val="auto"/>
          <w:kern w:val="2"/>
          <w:sz w:val="21"/>
          <w:szCs w:val="24"/>
          <w:highlight w:val="none"/>
          <w:lang w:val="en-US" w:eastAsia="zh-CN" w:bidi="ar-SA"/>
        </w:rPr>
        <w:t>附表</w:t>
      </w:r>
    </w:p>
    <w:tbl>
      <w:tblPr>
        <w:tblStyle w:val="2"/>
        <w:tblW w:w="10205" w:type="dxa"/>
        <w:jc w:val="center"/>
        <w:tblLayout w:type="fixed"/>
        <w:tblCellMar>
          <w:top w:w="0" w:type="dxa"/>
          <w:left w:w="108" w:type="dxa"/>
          <w:bottom w:w="0" w:type="dxa"/>
          <w:right w:w="108" w:type="dxa"/>
        </w:tblCellMar>
      </w:tblPr>
      <w:tblGrid>
        <w:gridCol w:w="846"/>
        <w:gridCol w:w="1762"/>
        <w:gridCol w:w="1469"/>
        <w:gridCol w:w="1174"/>
        <w:gridCol w:w="3699"/>
        <w:gridCol w:w="1255"/>
      </w:tblGrid>
      <w:tr w14:paraId="575FD148">
        <w:tblPrEx>
          <w:tblCellMar>
            <w:top w:w="0" w:type="dxa"/>
            <w:left w:w="108" w:type="dxa"/>
            <w:bottom w:w="0" w:type="dxa"/>
            <w:right w:w="108" w:type="dxa"/>
          </w:tblCellMar>
        </w:tblPrEx>
        <w:trPr>
          <w:trHeight w:val="831" w:hRule="atLeast"/>
          <w:jc w:val="center"/>
        </w:trPr>
        <w:tc>
          <w:tcPr>
            <w:tcW w:w="846" w:type="dxa"/>
            <w:tcBorders>
              <w:top w:val="single" w:color="auto" w:sz="8" w:space="0"/>
              <w:left w:val="single" w:color="auto" w:sz="8" w:space="0"/>
              <w:bottom w:val="single" w:color="000000" w:sz="2" w:space="0"/>
              <w:right w:val="single" w:color="auto" w:sz="4" w:space="0"/>
            </w:tcBorders>
            <w:vAlign w:val="center"/>
          </w:tcPr>
          <w:p w14:paraId="15DDAE53">
            <w:pPr>
              <w:jc w:val="center"/>
              <w:rPr>
                <w:rFonts w:ascii="Times New Roman" w:hAnsi="Times New Roman" w:eastAsia="宋体" w:cs="Times New Roman"/>
                <w:b/>
                <w:bCs/>
                <w:color w:val="auto"/>
                <w:kern w:val="28"/>
                <w:sz w:val="21"/>
                <w:szCs w:val="21"/>
                <w:highlight w:val="none"/>
              </w:rPr>
            </w:pPr>
            <w:r>
              <w:rPr>
                <w:rFonts w:hint="eastAsia" w:ascii="Times New Roman" w:hAnsi="Times New Roman" w:eastAsia="宋体" w:cs="Times New Roman"/>
                <w:b/>
                <w:bCs/>
                <w:color w:val="auto"/>
                <w:kern w:val="28"/>
                <w:sz w:val="21"/>
                <w:szCs w:val="21"/>
                <w:highlight w:val="none"/>
              </w:rPr>
              <w:t>条款号</w:t>
            </w:r>
          </w:p>
        </w:tc>
        <w:tc>
          <w:tcPr>
            <w:tcW w:w="1762" w:type="dxa"/>
            <w:tcBorders>
              <w:top w:val="single" w:color="auto" w:sz="8" w:space="0"/>
              <w:left w:val="single" w:color="auto" w:sz="4" w:space="0"/>
              <w:bottom w:val="single" w:color="000000" w:sz="2" w:space="0"/>
              <w:right w:val="single" w:color="auto" w:sz="4" w:space="0"/>
            </w:tcBorders>
            <w:vAlign w:val="center"/>
          </w:tcPr>
          <w:p w14:paraId="6A9E79DA">
            <w:pPr>
              <w:jc w:val="center"/>
              <w:rPr>
                <w:rFonts w:ascii="Times New Roman" w:hAnsi="Times New Roman" w:eastAsia="宋体" w:cs="Times New Roman"/>
                <w:b/>
                <w:bCs/>
                <w:color w:val="auto"/>
                <w:kern w:val="28"/>
                <w:sz w:val="21"/>
                <w:szCs w:val="21"/>
                <w:highlight w:val="none"/>
              </w:rPr>
            </w:pPr>
            <w:r>
              <w:rPr>
                <w:rFonts w:hint="eastAsia" w:ascii="Times New Roman" w:hAnsi="Times New Roman" w:eastAsia="宋体" w:cs="Times New Roman"/>
                <w:b/>
                <w:bCs/>
                <w:color w:val="auto"/>
                <w:kern w:val="28"/>
                <w:sz w:val="21"/>
                <w:szCs w:val="21"/>
                <w:highlight w:val="none"/>
              </w:rPr>
              <w:t>评分因素及其权重分值</w:t>
            </w:r>
          </w:p>
        </w:tc>
        <w:tc>
          <w:tcPr>
            <w:tcW w:w="1469" w:type="dxa"/>
            <w:tcBorders>
              <w:top w:val="single" w:color="auto" w:sz="8" w:space="0"/>
              <w:left w:val="single" w:color="auto" w:sz="4" w:space="0"/>
              <w:bottom w:val="single" w:color="auto" w:sz="4" w:space="0"/>
              <w:right w:val="single" w:color="auto" w:sz="4" w:space="0"/>
            </w:tcBorders>
            <w:vAlign w:val="center"/>
          </w:tcPr>
          <w:p w14:paraId="4C7EC1BC">
            <w:pPr>
              <w:jc w:val="center"/>
              <w:rPr>
                <w:rFonts w:ascii="Times New Roman" w:hAnsi="Times New Roman" w:eastAsia="宋体" w:cs="Times New Roman"/>
                <w:b/>
                <w:bCs/>
                <w:color w:val="auto"/>
                <w:kern w:val="28"/>
                <w:sz w:val="21"/>
                <w:szCs w:val="21"/>
                <w:highlight w:val="none"/>
              </w:rPr>
            </w:pPr>
            <w:r>
              <w:rPr>
                <w:rFonts w:hint="eastAsia" w:ascii="Times New Roman" w:hAnsi="Times New Roman" w:eastAsia="宋体" w:cs="Times New Roman"/>
                <w:b/>
                <w:bCs/>
                <w:color w:val="auto"/>
                <w:kern w:val="28"/>
                <w:sz w:val="21"/>
                <w:szCs w:val="21"/>
                <w:highlight w:val="none"/>
              </w:rPr>
              <w:t>各评分因素细分项</w:t>
            </w:r>
          </w:p>
        </w:tc>
        <w:tc>
          <w:tcPr>
            <w:tcW w:w="1174" w:type="dxa"/>
            <w:tcBorders>
              <w:top w:val="single" w:color="auto" w:sz="8" w:space="0"/>
              <w:left w:val="single" w:color="auto" w:sz="4" w:space="0"/>
              <w:bottom w:val="single" w:color="auto" w:sz="4" w:space="0"/>
              <w:right w:val="single" w:color="auto" w:sz="4" w:space="0"/>
            </w:tcBorders>
            <w:vAlign w:val="center"/>
          </w:tcPr>
          <w:p w14:paraId="4A9E3D0E">
            <w:pPr>
              <w:jc w:val="center"/>
              <w:rPr>
                <w:rFonts w:hint="eastAsia" w:ascii="Times New Roman" w:hAnsi="Times New Roman" w:eastAsia="宋体" w:cs="Times New Roman"/>
                <w:color w:val="auto"/>
                <w:kern w:val="28"/>
                <w:sz w:val="28"/>
                <w:szCs w:val="20"/>
                <w:highlight w:val="none"/>
                <w:lang w:eastAsia="zh-CN"/>
              </w:rPr>
            </w:pPr>
            <w:r>
              <w:rPr>
                <w:rFonts w:hint="eastAsia" w:ascii="Times New Roman" w:hAnsi="Times New Roman" w:eastAsia="宋体" w:cs="Times New Roman"/>
                <w:b/>
                <w:bCs/>
                <w:color w:val="auto"/>
                <w:kern w:val="28"/>
                <w:sz w:val="21"/>
                <w:szCs w:val="21"/>
                <w:highlight w:val="none"/>
              </w:rPr>
              <w:t>评分因素权重分值</w:t>
            </w:r>
          </w:p>
        </w:tc>
        <w:tc>
          <w:tcPr>
            <w:tcW w:w="3699" w:type="dxa"/>
            <w:tcBorders>
              <w:top w:val="single" w:color="auto" w:sz="8" w:space="0"/>
              <w:left w:val="single" w:color="auto" w:sz="4" w:space="0"/>
              <w:bottom w:val="single" w:color="auto" w:sz="4" w:space="0"/>
              <w:right w:val="single" w:color="auto" w:sz="4" w:space="0"/>
            </w:tcBorders>
            <w:vAlign w:val="center"/>
          </w:tcPr>
          <w:p w14:paraId="27CCDA89">
            <w:pPr>
              <w:jc w:val="center"/>
              <w:rPr>
                <w:rFonts w:ascii="Times New Roman" w:hAnsi="Times New Roman" w:eastAsia="宋体" w:cs="Times New Roman"/>
                <w:b/>
                <w:bCs/>
                <w:color w:val="auto"/>
                <w:kern w:val="28"/>
                <w:sz w:val="21"/>
                <w:szCs w:val="21"/>
                <w:highlight w:val="none"/>
              </w:rPr>
            </w:pPr>
            <w:r>
              <w:rPr>
                <w:rFonts w:hint="eastAsia" w:ascii="Times New Roman" w:hAnsi="Times New Roman" w:eastAsia="宋体" w:cs="Times New Roman"/>
                <w:b/>
                <w:bCs/>
                <w:color w:val="auto"/>
                <w:kern w:val="28"/>
                <w:sz w:val="21"/>
                <w:szCs w:val="21"/>
                <w:highlight w:val="none"/>
              </w:rPr>
              <w:t>评分标准</w:t>
            </w:r>
          </w:p>
        </w:tc>
        <w:tc>
          <w:tcPr>
            <w:tcW w:w="1255" w:type="dxa"/>
            <w:tcBorders>
              <w:top w:val="single" w:color="auto" w:sz="8" w:space="0"/>
              <w:left w:val="single" w:color="auto" w:sz="4" w:space="0"/>
              <w:bottom w:val="single" w:color="auto" w:sz="4" w:space="0"/>
              <w:right w:val="single" w:color="auto" w:sz="8" w:space="0"/>
            </w:tcBorders>
            <w:vAlign w:val="center"/>
          </w:tcPr>
          <w:p w14:paraId="3CF6B915">
            <w:pPr>
              <w:jc w:val="center"/>
              <w:rPr>
                <w:rFonts w:ascii="Times New Roman" w:hAnsi="Times New Roman" w:eastAsia="宋体" w:cs="Times New Roman"/>
                <w:b/>
                <w:bCs/>
                <w:color w:val="auto"/>
                <w:kern w:val="28"/>
                <w:sz w:val="21"/>
                <w:szCs w:val="21"/>
                <w:highlight w:val="none"/>
              </w:rPr>
            </w:pPr>
            <w:r>
              <w:rPr>
                <w:rFonts w:hint="eastAsia" w:ascii="Times New Roman" w:hAnsi="Times New Roman" w:eastAsia="宋体" w:cs="Times New Roman"/>
                <w:b/>
                <w:bCs/>
                <w:color w:val="auto"/>
                <w:kern w:val="28"/>
                <w:sz w:val="21"/>
                <w:szCs w:val="21"/>
                <w:highlight w:val="none"/>
              </w:rPr>
              <w:t>分值</w:t>
            </w:r>
          </w:p>
        </w:tc>
      </w:tr>
      <w:tr w14:paraId="613B7C52">
        <w:tblPrEx>
          <w:tblCellMar>
            <w:top w:w="0" w:type="dxa"/>
            <w:left w:w="108" w:type="dxa"/>
            <w:bottom w:w="0" w:type="dxa"/>
            <w:right w:w="108" w:type="dxa"/>
          </w:tblCellMar>
        </w:tblPrEx>
        <w:trPr>
          <w:trHeight w:val="299" w:hRule="atLeast"/>
          <w:jc w:val="center"/>
        </w:trPr>
        <w:tc>
          <w:tcPr>
            <w:tcW w:w="846" w:type="dxa"/>
            <w:vMerge w:val="restart"/>
            <w:tcBorders>
              <w:top w:val="single" w:color="000000" w:sz="2" w:space="0"/>
              <w:left w:val="single" w:color="000000" w:sz="2" w:space="0"/>
              <w:bottom w:val="single" w:color="000000" w:sz="2" w:space="0"/>
              <w:right w:val="single" w:color="000000" w:sz="2" w:space="0"/>
            </w:tcBorders>
            <w:vAlign w:val="center"/>
          </w:tcPr>
          <w:p w14:paraId="7C13DDD4">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2.2.2（1）</w:t>
            </w:r>
          </w:p>
        </w:tc>
        <w:tc>
          <w:tcPr>
            <w:tcW w:w="1762" w:type="dxa"/>
            <w:vMerge w:val="restart"/>
            <w:tcBorders>
              <w:top w:val="single" w:color="000000" w:sz="2" w:space="0"/>
              <w:left w:val="single" w:color="000000" w:sz="2" w:space="0"/>
              <w:bottom w:val="single" w:color="000000" w:sz="2" w:space="0"/>
              <w:right w:val="single" w:color="000000" w:sz="2" w:space="0"/>
            </w:tcBorders>
            <w:vAlign w:val="center"/>
          </w:tcPr>
          <w:p w14:paraId="646A3F39">
            <w:pPr>
              <w:jc w:val="cente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施工组织设计</w:t>
            </w:r>
            <w:r>
              <w:rPr>
                <w:rFonts w:hint="eastAsia" w:ascii="Times New Roman" w:hAnsi="Times New Roman" w:eastAsia="宋体" w:cs="Times New Roman"/>
                <w:color w:val="auto"/>
                <w:kern w:val="28"/>
                <w:sz w:val="21"/>
                <w:szCs w:val="21"/>
                <w:highlight w:val="none"/>
              </w:rPr>
              <w:t>（暗标）（40分）</w:t>
            </w:r>
          </w:p>
        </w:tc>
        <w:tc>
          <w:tcPr>
            <w:tcW w:w="1469" w:type="dxa"/>
            <w:vMerge w:val="restart"/>
            <w:tcBorders>
              <w:top w:val="single" w:color="auto" w:sz="4" w:space="0"/>
              <w:left w:val="single" w:color="000000" w:sz="2" w:space="0"/>
              <w:right w:val="single" w:color="auto" w:sz="4" w:space="0"/>
            </w:tcBorders>
            <w:vAlign w:val="center"/>
          </w:tcPr>
          <w:p w14:paraId="7EC836CA">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总体施工组织布置及规划</w:t>
            </w:r>
          </w:p>
        </w:tc>
        <w:tc>
          <w:tcPr>
            <w:tcW w:w="1174" w:type="dxa"/>
            <w:vMerge w:val="restart"/>
            <w:tcBorders>
              <w:top w:val="single" w:color="auto" w:sz="4" w:space="0"/>
              <w:left w:val="single" w:color="auto" w:sz="4" w:space="0"/>
              <w:right w:val="single" w:color="auto" w:sz="4" w:space="0"/>
            </w:tcBorders>
            <w:vAlign w:val="center"/>
          </w:tcPr>
          <w:p w14:paraId="749C83AE">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5分</w:t>
            </w:r>
          </w:p>
        </w:tc>
        <w:tc>
          <w:tcPr>
            <w:tcW w:w="3699" w:type="dxa"/>
            <w:tcBorders>
              <w:top w:val="single" w:color="auto" w:sz="4" w:space="0"/>
              <w:left w:val="single" w:color="auto" w:sz="4" w:space="0"/>
              <w:bottom w:val="single" w:color="auto" w:sz="4" w:space="0"/>
              <w:right w:val="single" w:color="auto" w:sz="4" w:space="0"/>
            </w:tcBorders>
            <w:vAlign w:val="center"/>
          </w:tcPr>
          <w:p w14:paraId="3182690A">
            <w:pP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 xml:space="preserve">内容完整，编制水平高  </w:t>
            </w:r>
          </w:p>
        </w:tc>
        <w:tc>
          <w:tcPr>
            <w:tcW w:w="1255" w:type="dxa"/>
            <w:tcBorders>
              <w:top w:val="single" w:color="auto" w:sz="8" w:space="0"/>
              <w:left w:val="single" w:color="auto" w:sz="4" w:space="0"/>
              <w:bottom w:val="single" w:color="auto" w:sz="4" w:space="0"/>
              <w:right w:val="single" w:color="auto" w:sz="8" w:space="0"/>
            </w:tcBorders>
            <w:vAlign w:val="center"/>
          </w:tcPr>
          <w:p w14:paraId="712F1B1A">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4.0-5.0</w:t>
            </w:r>
          </w:p>
        </w:tc>
      </w:tr>
      <w:tr w14:paraId="7BC05F7A">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384304CB">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16FDD717">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right w:val="single" w:color="auto" w:sz="4" w:space="0"/>
            </w:tcBorders>
            <w:vAlign w:val="center"/>
          </w:tcPr>
          <w:p w14:paraId="043D1AFB">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4" w:space="0"/>
              <w:right w:val="single" w:color="auto" w:sz="4" w:space="0"/>
            </w:tcBorders>
            <w:vAlign w:val="center"/>
          </w:tcPr>
          <w:p w14:paraId="6A1CC0AB">
            <w:pPr>
              <w:rPr>
                <w:rFonts w:ascii="Times New Roman" w:hAnsi="Times New Roman" w:eastAsia="宋体" w:cs="Times New Roman"/>
                <w:color w:val="auto"/>
                <w:kern w:val="28"/>
                <w:sz w:val="21"/>
                <w:szCs w:val="21"/>
                <w:highlight w:val="none"/>
              </w:rPr>
            </w:pPr>
          </w:p>
        </w:tc>
        <w:tc>
          <w:tcPr>
            <w:tcW w:w="3699" w:type="dxa"/>
            <w:tcBorders>
              <w:top w:val="single" w:color="auto" w:sz="4" w:space="0"/>
              <w:left w:val="single" w:color="auto" w:sz="4" w:space="0"/>
              <w:bottom w:val="single" w:color="auto" w:sz="4" w:space="0"/>
              <w:right w:val="single" w:color="auto" w:sz="4" w:space="0"/>
            </w:tcBorders>
            <w:vAlign w:val="center"/>
          </w:tcPr>
          <w:p w14:paraId="2E8B5A85">
            <w:pP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内容较完整，编制水平较高</w:t>
            </w:r>
          </w:p>
        </w:tc>
        <w:tc>
          <w:tcPr>
            <w:tcW w:w="1255" w:type="dxa"/>
            <w:tcBorders>
              <w:top w:val="single" w:color="auto" w:sz="4" w:space="0"/>
              <w:left w:val="single" w:color="auto" w:sz="4" w:space="0"/>
              <w:bottom w:val="single" w:color="auto" w:sz="4" w:space="0"/>
              <w:right w:val="single" w:color="auto" w:sz="8" w:space="0"/>
            </w:tcBorders>
            <w:vAlign w:val="center"/>
          </w:tcPr>
          <w:p w14:paraId="4802DDB0">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3.0-4.0</w:t>
            </w:r>
          </w:p>
        </w:tc>
      </w:tr>
      <w:tr w14:paraId="745F9E37">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29739872">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1DEA603B">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right w:val="single" w:color="auto" w:sz="4" w:space="0"/>
            </w:tcBorders>
            <w:vAlign w:val="center"/>
          </w:tcPr>
          <w:p w14:paraId="39DC341B">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4" w:space="0"/>
              <w:right w:val="single" w:color="auto" w:sz="4" w:space="0"/>
            </w:tcBorders>
            <w:vAlign w:val="center"/>
          </w:tcPr>
          <w:p w14:paraId="57402B7E">
            <w:pPr>
              <w:rPr>
                <w:rFonts w:ascii="Times New Roman" w:hAnsi="Times New Roman" w:eastAsia="宋体" w:cs="Times New Roman"/>
                <w:color w:val="auto"/>
                <w:kern w:val="28"/>
                <w:sz w:val="21"/>
                <w:szCs w:val="21"/>
                <w:highlight w:val="none"/>
              </w:rPr>
            </w:pPr>
          </w:p>
        </w:tc>
        <w:tc>
          <w:tcPr>
            <w:tcW w:w="3699" w:type="dxa"/>
            <w:tcBorders>
              <w:top w:val="single" w:color="auto" w:sz="4" w:space="0"/>
              <w:left w:val="single" w:color="auto" w:sz="4" w:space="0"/>
              <w:bottom w:val="single" w:color="auto" w:sz="4" w:space="0"/>
              <w:right w:val="single" w:color="auto" w:sz="4" w:space="0"/>
            </w:tcBorders>
            <w:vAlign w:val="center"/>
          </w:tcPr>
          <w:p w14:paraId="3C4B42B1">
            <w:pP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内容基本完整，编制水平一般</w:t>
            </w:r>
          </w:p>
        </w:tc>
        <w:tc>
          <w:tcPr>
            <w:tcW w:w="1255" w:type="dxa"/>
            <w:tcBorders>
              <w:top w:val="single" w:color="auto" w:sz="4" w:space="0"/>
              <w:left w:val="single" w:color="auto" w:sz="4" w:space="0"/>
              <w:bottom w:val="single" w:color="auto" w:sz="4" w:space="0"/>
              <w:right w:val="single" w:color="auto" w:sz="8" w:space="0"/>
            </w:tcBorders>
            <w:vAlign w:val="center"/>
          </w:tcPr>
          <w:p w14:paraId="45D0B74A">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3.0</w:t>
            </w:r>
          </w:p>
        </w:tc>
      </w:tr>
      <w:tr w14:paraId="008F2D9A">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3B739EC8">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20427EF5">
            <w:pPr>
              <w:jc w:val="center"/>
              <w:rPr>
                <w:rFonts w:ascii="Times New Roman" w:hAnsi="Times New Roman" w:eastAsia="宋体" w:cs="Times New Roman"/>
                <w:color w:val="auto"/>
                <w:kern w:val="28"/>
                <w:sz w:val="21"/>
                <w:szCs w:val="21"/>
                <w:highlight w:val="none"/>
              </w:rPr>
            </w:pPr>
          </w:p>
        </w:tc>
        <w:tc>
          <w:tcPr>
            <w:tcW w:w="1469" w:type="dxa"/>
            <w:vMerge w:val="restart"/>
            <w:tcBorders>
              <w:top w:val="single" w:color="auto" w:sz="4" w:space="0"/>
              <w:left w:val="single" w:color="000000" w:sz="2" w:space="0"/>
              <w:right w:val="single" w:color="auto" w:sz="4" w:space="0"/>
            </w:tcBorders>
            <w:vAlign w:val="center"/>
          </w:tcPr>
          <w:p w14:paraId="14EC6031">
            <w:pPr>
              <w:jc w:val="cente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施工方案</w:t>
            </w:r>
            <w:r>
              <w:rPr>
                <w:rFonts w:hint="eastAsia" w:ascii="Times New Roman" w:hAnsi="Times New Roman" w:eastAsia="宋体" w:cs="Times New Roman"/>
                <w:color w:val="auto"/>
                <w:kern w:val="28"/>
                <w:sz w:val="21"/>
                <w:szCs w:val="21"/>
                <w:highlight w:val="none"/>
              </w:rPr>
              <w:t>、方法</w:t>
            </w:r>
            <w:r>
              <w:rPr>
                <w:rFonts w:ascii="Times New Roman" w:hAnsi="Times New Roman" w:eastAsia="宋体" w:cs="Times New Roman"/>
                <w:color w:val="auto"/>
                <w:kern w:val="28"/>
                <w:sz w:val="21"/>
                <w:szCs w:val="21"/>
                <w:highlight w:val="none"/>
              </w:rPr>
              <w:t>与技术措施</w:t>
            </w:r>
          </w:p>
        </w:tc>
        <w:tc>
          <w:tcPr>
            <w:tcW w:w="1174" w:type="dxa"/>
            <w:vMerge w:val="restart"/>
            <w:tcBorders>
              <w:top w:val="single" w:color="auto" w:sz="4" w:space="0"/>
              <w:left w:val="single" w:color="auto" w:sz="4" w:space="0"/>
              <w:right w:val="single" w:color="auto" w:sz="4" w:space="0"/>
            </w:tcBorders>
            <w:vAlign w:val="center"/>
          </w:tcPr>
          <w:p w14:paraId="27E18A85">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8</w:t>
            </w:r>
            <w:r>
              <w:rPr>
                <w:rFonts w:hint="eastAsia" w:ascii="Times New Roman" w:hAnsi="Times New Roman" w:eastAsia="宋体" w:cs="Times New Roman"/>
                <w:color w:val="auto"/>
                <w:kern w:val="28"/>
                <w:sz w:val="21"/>
                <w:szCs w:val="21"/>
                <w:highlight w:val="none"/>
              </w:rPr>
              <w:t>分</w:t>
            </w:r>
          </w:p>
        </w:tc>
        <w:tc>
          <w:tcPr>
            <w:tcW w:w="3699" w:type="dxa"/>
            <w:tcBorders>
              <w:top w:val="single" w:color="auto" w:sz="4" w:space="0"/>
              <w:left w:val="single" w:color="auto" w:sz="4" w:space="0"/>
              <w:bottom w:val="single" w:color="auto" w:sz="4" w:space="0"/>
              <w:right w:val="single" w:color="auto" w:sz="4" w:space="0"/>
            </w:tcBorders>
            <w:vAlign w:val="center"/>
          </w:tcPr>
          <w:p w14:paraId="32326679">
            <w:pP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科学合理</w:t>
            </w:r>
            <w:r>
              <w:rPr>
                <w:rFonts w:hint="eastAsia" w:ascii="Times New Roman" w:hAnsi="Times New Roman" w:eastAsia="宋体" w:cs="Times New Roman"/>
                <w:color w:val="auto"/>
                <w:kern w:val="28"/>
                <w:sz w:val="21"/>
                <w:szCs w:val="21"/>
                <w:highlight w:val="none"/>
              </w:rPr>
              <w:t>，适用性及合理性高</w:t>
            </w:r>
          </w:p>
        </w:tc>
        <w:tc>
          <w:tcPr>
            <w:tcW w:w="1255" w:type="dxa"/>
            <w:tcBorders>
              <w:top w:val="single" w:color="auto" w:sz="4" w:space="0"/>
              <w:left w:val="single" w:color="auto" w:sz="4" w:space="0"/>
              <w:bottom w:val="single" w:color="auto" w:sz="4" w:space="0"/>
              <w:right w:val="single" w:color="auto" w:sz="8" w:space="0"/>
            </w:tcBorders>
            <w:vAlign w:val="center"/>
          </w:tcPr>
          <w:p w14:paraId="128B4E2D">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6.4</w:t>
            </w:r>
            <w:r>
              <w:rPr>
                <w:rFonts w:hint="eastAsia" w:ascii="Times New Roman" w:hAnsi="Times New Roman" w:eastAsia="宋体" w:cs="Times New Roman"/>
                <w:color w:val="auto"/>
                <w:kern w:val="28"/>
                <w:sz w:val="21"/>
                <w:szCs w:val="21"/>
                <w:highlight w:val="none"/>
              </w:rPr>
              <w:t>-</w:t>
            </w:r>
            <w:r>
              <w:rPr>
                <w:rFonts w:hint="eastAsia" w:ascii="Times New Roman" w:hAnsi="Times New Roman" w:eastAsia="宋体" w:cs="Times New Roman"/>
                <w:color w:val="auto"/>
                <w:kern w:val="28"/>
                <w:sz w:val="21"/>
                <w:szCs w:val="21"/>
                <w:highlight w:val="none"/>
                <w:lang w:val="en-US" w:eastAsia="zh-CN"/>
              </w:rPr>
              <w:t>8</w:t>
            </w:r>
            <w:r>
              <w:rPr>
                <w:rFonts w:hint="eastAsia" w:ascii="Times New Roman" w:hAnsi="Times New Roman" w:eastAsia="宋体" w:cs="Times New Roman"/>
                <w:color w:val="auto"/>
                <w:kern w:val="28"/>
                <w:sz w:val="21"/>
                <w:szCs w:val="21"/>
                <w:highlight w:val="none"/>
              </w:rPr>
              <w:t>.0</w:t>
            </w:r>
          </w:p>
        </w:tc>
      </w:tr>
      <w:tr w14:paraId="35D763A4">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7BC846A2">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1233B8E7">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right w:val="single" w:color="auto" w:sz="4" w:space="0"/>
            </w:tcBorders>
            <w:vAlign w:val="center"/>
          </w:tcPr>
          <w:p w14:paraId="59917130">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4" w:space="0"/>
              <w:right w:val="single" w:color="auto" w:sz="4" w:space="0"/>
            </w:tcBorders>
            <w:vAlign w:val="center"/>
          </w:tcPr>
          <w:p w14:paraId="7461B474">
            <w:pPr>
              <w:rPr>
                <w:rFonts w:ascii="Times New Roman" w:hAnsi="Times New Roman" w:eastAsia="宋体" w:cs="Times New Roman"/>
                <w:color w:val="auto"/>
                <w:kern w:val="28"/>
                <w:sz w:val="21"/>
                <w:szCs w:val="21"/>
                <w:highlight w:val="none"/>
              </w:rPr>
            </w:pPr>
          </w:p>
        </w:tc>
        <w:tc>
          <w:tcPr>
            <w:tcW w:w="3699" w:type="dxa"/>
            <w:tcBorders>
              <w:top w:val="single" w:color="auto" w:sz="4" w:space="0"/>
              <w:left w:val="single" w:color="auto" w:sz="4" w:space="0"/>
              <w:bottom w:val="single" w:color="auto" w:sz="4" w:space="0"/>
              <w:right w:val="single" w:color="auto" w:sz="4" w:space="0"/>
            </w:tcBorders>
            <w:vAlign w:val="center"/>
          </w:tcPr>
          <w:p w14:paraId="14736B62">
            <w:pP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较合理</w:t>
            </w:r>
            <w:r>
              <w:rPr>
                <w:rFonts w:hint="eastAsia" w:ascii="Times New Roman" w:hAnsi="Times New Roman" w:eastAsia="宋体" w:cs="Times New Roman"/>
                <w:color w:val="auto"/>
                <w:kern w:val="28"/>
                <w:sz w:val="21"/>
                <w:szCs w:val="21"/>
                <w:highlight w:val="none"/>
              </w:rPr>
              <w:t>，适用性及合理性较高</w:t>
            </w:r>
          </w:p>
        </w:tc>
        <w:tc>
          <w:tcPr>
            <w:tcW w:w="1255" w:type="dxa"/>
            <w:tcBorders>
              <w:top w:val="single" w:color="auto" w:sz="4" w:space="0"/>
              <w:left w:val="single" w:color="auto" w:sz="4" w:space="0"/>
              <w:bottom w:val="single" w:color="auto" w:sz="4" w:space="0"/>
              <w:right w:val="single" w:color="auto" w:sz="8" w:space="0"/>
            </w:tcBorders>
            <w:vAlign w:val="center"/>
          </w:tcPr>
          <w:p w14:paraId="1431F2BB">
            <w:pPr>
              <w:jc w:val="center"/>
              <w:rPr>
                <w:rFonts w:hint="default" w:ascii="Times New Roman" w:hAnsi="Times New Roman" w:eastAsia="宋体" w:cs="Times New Roman"/>
                <w:color w:val="auto"/>
                <w:kern w:val="28"/>
                <w:sz w:val="21"/>
                <w:szCs w:val="21"/>
                <w:highlight w:val="none"/>
                <w:lang w:val="en-US" w:eastAsia="zh-CN"/>
              </w:rPr>
            </w:pPr>
            <w:r>
              <w:rPr>
                <w:rFonts w:hint="eastAsia" w:ascii="Times New Roman" w:hAnsi="Times New Roman" w:eastAsia="宋体" w:cs="Times New Roman"/>
                <w:color w:val="auto"/>
                <w:kern w:val="28"/>
                <w:sz w:val="21"/>
                <w:szCs w:val="21"/>
                <w:highlight w:val="none"/>
                <w:lang w:val="en-US" w:eastAsia="zh-CN"/>
              </w:rPr>
              <w:t>4.8</w:t>
            </w:r>
            <w:r>
              <w:rPr>
                <w:rFonts w:hint="eastAsia" w:ascii="Times New Roman" w:hAnsi="Times New Roman" w:eastAsia="宋体" w:cs="Times New Roman"/>
                <w:color w:val="auto"/>
                <w:kern w:val="28"/>
                <w:sz w:val="21"/>
                <w:szCs w:val="21"/>
                <w:highlight w:val="none"/>
              </w:rPr>
              <w:t>-</w:t>
            </w:r>
            <w:r>
              <w:rPr>
                <w:rFonts w:hint="eastAsia" w:ascii="Times New Roman" w:hAnsi="Times New Roman" w:eastAsia="宋体" w:cs="Times New Roman"/>
                <w:color w:val="auto"/>
                <w:kern w:val="28"/>
                <w:sz w:val="21"/>
                <w:szCs w:val="21"/>
                <w:highlight w:val="none"/>
                <w:lang w:val="en-US" w:eastAsia="zh-CN"/>
              </w:rPr>
              <w:t>6.4</w:t>
            </w:r>
          </w:p>
        </w:tc>
      </w:tr>
      <w:tr w14:paraId="66FD4B3F">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501D4B93">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59F592AB">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bottom w:val="single" w:color="auto" w:sz="4" w:space="0"/>
              <w:right w:val="single" w:color="auto" w:sz="4" w:space="0"/>
            </w:tcBorders>
            <w:vAlign w:val="center"/>
          </w:tcPr>
          <w:p w14:paraId="5EFE7133">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4" w:space="0"/>
              <w:bottom w:val="single" w:color="auto" w:sz="4" w:space="0"/>
              <w:right w:val="single" w:color="auto" w:sz="4" w:space="0"/>
            </w:tcBorders>
            <w:vAlign w:val="center"/>
          </w:tcPr>
          <w:p w14:paraId="50EB3056">
            <w:pPr>
              <w:rPr>
                <w:rFonts w:ascii="Times New Roman" w:hAnsi="Times New Roman" w:eastAsia="宋体" w:cs="Times New Roman"/>
                <w:color w:val="auto"/>
                <w:kern w:val="28"/>
                <w:sz w:val="21"/>
                <w:szCs w:val="21"/>
                <w:highlight w:val="none"/>
              </w:rPr>
            </w:pPr>
          </w:p>
        </w:tc>
        <w:tc>
          <w:tcPr>
            <w:tcW w:w="3699" w:type="dxa"/>
            <w:tcBorders>
              <w:top w:val="single" w:color="auto" w:sz="4" w:space="0"/>
              <w:left w:val="single" w:color="auto" w:sz="4" w:space="0"/>
              <w:bottom w:val="single" w:color="auto" w:sz="4" w:space="0"/>
              <w:right w:val="single" w:color="auto" w:sz="4" w:space="0"/>
            </w:tcBorders>
            <w:vAlign w:val="center"/>
          </w:tcPr>
          <w:p w14:paraId="5AA806CF">
            <w:pP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一般</w:t>
            </w:r>
          </w:p>
        </w:tc>
        <w:tc>
          <w:tcPr>
            <w:tcW w:w="1255" w:type="dxa"/>
            <w:tcBorders>
              <w:top w:val="single" w:color="auto" w:sz="4" w:space="0"/>
              <w:left w:val="single" w:color="auto" w:sz="4" w:space="0"/>
              <w:bottom w:val="single" w:color="auto" w:sz="4" w:space="0"/>
              <w:right w:val="single" w:color="auto" w:sz="8" w:space="0"/>
            </w:tcBorders>
            <w:vAlign w:val="center"/>
          </w:tcPr>
          <w:p w14:paraId="1822089C">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4.8</w:t>
            </w:r>
          </w:p>
        </w:tc>
      </w:tr>
      <w:tr w14:paraId="06A85B71">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4A171488">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1F2469BC">
            <w:pPr>
              <w:jc w:val="center"/>
              <w:rPr>
                <w:rFonts w:ascii="Times New Roman" w:hAnsi="Times New Roman" w:eastAsia="宋体" w:cs="Times New Roman"/>
                <w:color w:val="auto"/>
                <w:kern w:val="28"/>
                <w:sz w:val="21"/>
                <w:szCs w:val="21"/>
                <w:highlight w:val="none"/>
              </w:rPr>
            </w:pPr>
          </w:p>
        </w:tc>
        <w:tc>
          <w:tcPr>
            <w:tcW w:w="1469" w:type="dxa"/>
            <w:vMerge w:val="restart"/>
            <w:tcBorders>
              <w:left w:val="single" w:color="000000" w:sz="2" w:space="0"/>
              <w:right w:val="single" w:color="auto" w:sz="4" w:space="0"/>
            </w:tcBorders>
            <w:vAlign w:val="center"/>
          </w:tcPr>
          <w:p w14:paraId="1675B895">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工期的保证体系及保证措施</w:t>
            </w:r>
          </w:p>
        </w:tc>
        <w:tc>
          <w:tcPr>
            <w:tcW w:w="1174" w:type="dxa"/>
            <w:vMerge w:val="restart"/>
            <w:tcBorders>
              <w:left w:val="single" w:color="auto" w:sz="4" w:space="0"/>
              <w:right w:val="single" w:color="auto" w:sz="4" w:space="0"/>
            </w:tcBorders>
            <w:vAlign w:val="center"/>
          </w:tcPr>
          <w:p w14:paraId="22E10FE2">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5分</w:t>
            </w:r>
          </w:p>
        </w:tc>
        <w:tc>
          <w:tcPr>
            <w:tcW w:w="3699" w:type="dxa"/>
            <w:tcBorders>
              <w:top w:val="single" w:color="auto" w:sz="4" w:space="0"/>
              <w:left w:val="single" w:color="auto" w:sz="4" w:space="0"/>
              <w:bottom w:val="single" w:color="auto" w:sz="4" w:space="0"/>
              <w:right w:val="single" w:color="auto" w:sz="4" w:space="0"/>
            </w:tcBorders>
            <w:vAlign w:val="center"/>
          </w:tcPr>
          <w:p w14:paraId="51D44CAB">
            <w:pP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科学合理</w:t>
            </w:r>
            <w:r>
              <w:rPr>
                <w:rFonts w:hint="eastAsia" w:ascii="Times New Roman" w:hAnsi="Times New Roman" w:eastAsia="宋体" w:cs="Times New Roman"/>
                <w:color w:val="auto"/>
                <w:kern w:val="28"/>
                <w:sz w:val="21"/>
                <w:szCs w:val="21"/>
                <w:highlight w:val="none"/>
              </w:rPr>
              <w:t>，适用性及合理性高</w:t>
            </w:r>
          </w:p>
        </w:tc>
        <w:tc>
          <w:tcPr>
            <w:tcW w:w="1255" w:type="dxa"/>
            <w:tcBorders>
              <w:top w:val="single" w:color="auto" w:sz="4" w:space="0"/>
              <w:left w:val="single" w:color="auto" w:sz="4" w:space="0"/>
              <w:bottom w:val="single" w:color="auto" w:sz="4" w:space="0"/>
              <w:right w:val="single" w:color="auto" w:sz="8" w:space="0"/>
            </w:tcBorders>
            <w:vAlign w:val="center"/>
          </w:tcPr>
          <w:p w14:paraId="69082EB9">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4.0-5.0</w:t>
            </w:r>
          </w:p>
        </w:tc>
      </w:tr>
      <w:tr w14:paraId="3B13C92D">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43222519">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35E252E7">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right w:val="single" w:color="auto" w:sz="4" w:space="0"/>
            </w:tcBorders>
            <w:vAlign w:val="center"/>
          </w:tcPr>
          <w:p w14:paraId="2850A400">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4" w:space="0"/>
              <w:right w:val="single" w:color="auto" w:sz="4" w:space="0"/>
            </w:tcBorders>
            <w:vAlign w:val="center"/>
          </w:tcPr>
          <w:p w14:paraId="7A08632C">
            <w:pPr>
              <w:rPr>
                <w:rFonts w:ascii="Times New Roman" w:hAnsi="Times New Roman" w:eastAsia="宋体" w:cs="Times New Roman"/>
                <w:color w:val="auto"/>
                <w:kern w:val="28"/>
                <w:sz w:val="21"/>
                <w:szCs w:val="21"/>
                <w:highlight w:val="none"/>
              </w:rPr>
            </w:pPr>
          </w:p>
        </w:tc>
        <w:tc>
          <w:tcPr>
            <w:tcW w:w="3699" w:type="dxa"/>
            <w:tcBorders>
              <w:top w:val="single" w:color="auto" w:sz="4" w:space="0"/>
              <w:left w:val="single" w:color="auto" w:sz="4" w:space="0"/>
              <w:bottom w:val="single" w:color="auto" w:sz="4" w:space="0"/>
              <w:right w:val="single" w:color="auto" w:sz="4" w:space="0"/>
            </w:tcBorders>
            <w:vAlign w:val="center"/>
          </w:tcPr>
          <w:p w14:paraId="5568B1CC">
            <w:pP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较合理</w:t>
            </w:r>
            <w:r>
              <w:rPr>
                <w:rFonts w:hint="eastAsia" w:ascii="Times New Roman" w:hAnsi="Times New Roman" w:eastAsia="宋体" w:cs="Times New Roman"/>
                <w:color w:val="auto"/>
                <w:kern w:val="28"/>
                <w:sz w:val="21"/>
                <w:szCs w:val="21"/>
                <w:highlight w:val="none"/>
              </w:rPr>
              <w:t>，适用性及合理性较高</w:t>
            </w:r>
          </w:p>
        </w:tc>
        <w:tc>
          <w:tcPr>
            <w:tcW w:w="1255" w:type="dxa"/>
            <w:tcBorders>
              <w:top w:val="single" w:color="auto" w:sz="4" w:space="0"/>
              <w:left w:val="single" w:color="auto" w:sz="4" w:space="0"/>
              <w:bottom w:val="single" w:color="auto" w:sz="4" w:space="0"/>
              <w:right w:val="single" w:color="auto" w:sz="8" w:space="0"/>
            </w:tcBorders>
            <w:vAlign w:val="center"/>
          </w:tcPr>
          <w:p w14:paraId="32CCE665">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3.0-4.0</w:t>
            </w:r>
          </w:p>
        </w:tc>
      </w:tr>
      <w:tr w14:paraId="24AC18D7">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4D0F41FD">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70E98244">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bottom w:val="single" w:color="auto" w:sz="4" w:space="0"/>
              <w:right w:val="single" w:color="auto" w:sz="4" w:space="0"/>
            </w:tcBorders>
            <w:vAlign w:val="center"/>
          </w:tcPr>
          <w:p w14:paraId="2CFD85EA">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4" w:space="0"/>
              <w:bottom w:val="single" w:color="auto" w:sz="4" w:space="0"/>
              <w:right w:val="single" w:color="auto" w:sz="4" w:space="0"/>
            </w:tcBorders>
            <w:vAlign w:val="center"/>
          </w:tcPr>
          <w:p w14:paraId="285DC232">
            <w:pPr>
              <w:rPr>
                <w:rFonts w:ascii="Times New Roman" w:hAnsi="Times New Roman" w:eastAsia="宋体" w:cs="Times New Roman"/>
                <w:color w:val="auto"/>
                <w:kern w:val="28"/>
                <w:sz w:val="21"/>
                <w:szCs w:val="21"/>
                <w:highlight w:val="none"/>
              </w:rPr>
            </w:pPr>
          </w:p>
        </w:tc>
        <w:tc>
          <w:tcPr>
            <w:tcW w:w="3699" w:type="dxa"/>
            <w:tcBorders>
              <w:top w:val="single" w:color="auto" w:sz="4" w:space="0"/>
              <w:left w:val="single" w:color="auto" w:sz="4" w:space="0"/>
              <w:bottom w:val="single" w:color="auto" w:sz="4" w:space="0"/>
              <w:right w:val="single" w:color="auto" w:sz="4" w:space="0"/>
            </w:tcBorders>
            <w:vAlign w:val="center"/>
          </w:tcPr>
          <w:p w14:paraId="7EDFD5BA">
            <w:pP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一般</w:t>
            </w:r>
          </w:p>
        </w:tc>
        <w:tc>
          <w:tcPr>
            <w:tcW w:w="1255" w:type="dxa"/>
            <w:tcBorders>
              <w:top w:val="single" w:color="auto" w:sz="4" w:space="0"/>
              <w:left w:val="single" w:color="auto" w:sz="4" w:space="0"/>
              <w:bottom w:val="single" w:color="auto" w:sz="4" w:space="0"/>
              <w:right w:val="single" w:color="auto" w:sz="8" w:space="0"/>
            </w:tcBorders>
            <w:vAlign w:val="center"/>
          </w:tcPr>
          <w:p w14:paraId="7C80BB1B">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3.0</w:t>
            </w:r>
          </w:p>
        </w:tc>
      </w:tr>
      <w:tr w14:paraId="43C8BC4B">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440A836C">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31B81AEF">
            <w:pPr>
              <w:jc w:val="center"/>
              <w:rPr>
                <w:rFonts w:ascii="Times New Roman" w:hAnsi="Times New Roman" w:eastAsia="宋体" w:cs="Times New Roman"/>
                <w:color w:val="auto"/>
                <w:kern w:val="28"/>
                <w:sz w:val="21"/>
                <w:szCs w:val="21"/>
                <w:highlight w:val="none"/>
              </w:rPr>
            </w:pPr>
          </w:p>
        </w:tc>
        <w:tc>
          <w:tcPr>
            <w:tcW w:w="1469" w:type="dxa"/>
            <w:vMerge w:val="restart"/>
            <w:tcBorders>
              <w:top w:val="single" w:color="auto" w:sz="4" w:space="0"/>
              <w:left w:val="single" w:color="000000" w:sz="2" w:space="0"/>
              <w:right w:val="single" w:color="auto" w:sz="4" w:space="0"/>
            </w:tcBorders>
            <w:vAlign w:val="center"/>
          </w:tcPr>
          <w:p w14:paraId="3CA5FAE6">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质量管理体系及保证措施</w:t>
            </w:r>
          </w:p>
        </w:tc>
        <w:tc>
          <w:tcPr>
            <w:tcW w:w="1174" w:type="dxa"/>
            <w:vMerge w:val="restart"/>
            <w:tcBorders>
              <w:top w:val="single" w:color="auto" w:sz="4" w:space="0"/>
              <w:left w:val="single" w:color="auto" w:sz="4" w:space="0"/>
              <w:right w:val="single" w:color="auto" w:sz="4" w:space="0"/>
            </w:tcBorders>
            <w:vAlign w:val="center"/>
          </w:tcPr>
          <w:p w14:paraId="74A36202">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5分</w:t>
            </w:r>
          </w:p>
        </w:tc>
        <w:tc>
          <w:tcPr>
            <w:tcW w:w="3699" w:type="dxa"/>
            <w:tcBorders>
              <w:top w:val="single" w:color="auto" w:sz="4" w:space="0"/>
              <w:left w:val="single" w:color="auto" w:sz="4" w:space="0"/>
              <w:bottom w:val="single" w:color="auto" w:sz="4" w:space="0"/>
              <w:right w:val="single" w:color="auto" w:sz="4" w:space="0"/>
            </w:tcBorders>
            <w:vAlign w:val="center"/>
          </w:tcPr>
          <w:p w14:paraId="297EC6BE">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体系措施完整严密，且相应措施体系完善得当</w:t>
            </w:r>
          </w:p>
        </w:tc>
        <w:tc>
          <w:tcPr>
            <w:tcW w:w="1255" w:type="dxa"/>
            <w:tcBorders>
              <w:top w:val="single" w:color="auto" w:sz="4" w:space="0"/>
              <w:left w:val="single" w:color="auto" w:sz="4" w:space="0"/>
              <w:bottom w:val="single" w:color="auto" w:sz="4" w:space="0"/>
              <w:right w:val="single" w:color="auto" w:sz="8" w:space="0"/>
            </w:tcBorders>
            <w:vAlign w:val="center"/>
          </w:tcPr>
          <w:p w14:paraId="5F1B906A">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4.0-5.0</w:t>
            </w:r>
          </w:p>
        </w:tc>
      </w:tr>
      <w:tr w14:paraId="1F5762F6">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43A34A7A">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360AE3AE">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right w:val="single" w:color="auto" w:sz="4" w:space="0"/>
            </w:tcBorders>
            <w:vAlign w:val="center"/>
          </w:tcPr>
          <w:p w14:paraId="67AA64A3">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4" w:space="0"/>
              <w:right w:val="single" w:color="auto" w:sz="4" w:space="0"/>
            </w:tcBorders>
            <w:vAlign w:val="center"/>
          </w:tcPr>
          <w:p w14:paraId="429E1363">
            <w:pPr>
              <w:rPr>
                <w:rFonts w:ascii="Times New Roman" w:hAnsi="Times New Roman" w:eastAsia="宋体" w:cs="Times New Roman"/>
                <w:color w:val="auto"/>
                <w:kern w:val="28"/>
                <w:sz w:val="21"/>
                <w:szCs w:val="21"/>
                <w:highlight w:val="none"/>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4CD9215E">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体系措施较完善</w:t>
            </w:r>
          </w:p>
        </w:tc>
        <w:tc>
          <w:tcPr>
            <w:tcW w:w="1255" w:type="dxa"/>
            <w:tcBorders>
              <w:top w:val="single" w:color="auto" w:sz="4" w:space="0"/>
              <w:left w:val="single" w:color="auto" w:sz="4" w:space="0"/>
              <w:bottom w:val="single" w:color="auto" w:sz="4" w:space="0"/>
              <w:right w:val="single" w:color="auto" w:sz="8" w:space="0"/>
            </w:tcBorders>
            <w:vAlign w:val="center"/>
          </w:tcPr>
          <w:p w14:paraId="40413502">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3.0-4.0</w:t>
            </w:r>
          </w:p>
        </w:tc>
      </w:tr>
      <w:tr w14:paraId="4687A86C">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43A0C909">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5F0B9B34">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bottom w:val="single" w:color="auto" w:sz="4" w:space="0"/>
              <w:right w:val="single" w:color="auto" w:sz="4" w:space="0"/>
            </w:tcBorders>
            <w:vAlign w:val="center"/>
          </w:tcPr>
          <w:p w14:paraId="24FB89BA">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4" w:space="0"/>
              <w:bottom w:val="single" w:color="auto" w:sz="4" w:space="0"/>
              <w:right w:val="single" w:color="auto" w:sz="4" w:space="0"/>
            </w:tcBorders>
            <w:vAlign w:val="center"/>
          </w:tcPr>
          <w:p w14:paraId="6866454E">
            <w:pPr>
              <w:rPr>
                <w:rFonts w:ascii="Times New Roman" w:hAnsi="Times New Roman" w:eastAsia="宋体" w:cs="Times New Roman"/>
                <w:color w:val="auto"/>
                <w:kern w:val="28"/>
                <w:sz w:val="21"/>
                <w:szCs w:val="21"/>
                <w:highlight w:val="none"/>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3F65B1A0">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体系措施一般</w:t>
            </w:r>
          </w:p>
        </w:tc>
        <w:tc>
          <w:tcPr>
            <w:tcW w:w="1255" w:type="dxa"/>
            <w:tcBorders>
              <w:top w:val="single" w:color="auto" w:sz="4" w:space="0"/>
              <w:left w:val="single" w:color="auto" w:sz="4" w:space="0"/>
              <w:bottom w:val="single" w:color="auto" w:sz="4" w:space="0"/>
              <w:right w:val="single" w:color="auto" w:sz="8" w:space="0"/>
            </w:tcBorders>
            <w:vAlign w:val="center"/>
          </w:tcPr>
          <w:p w14:paraId="4CEFC31C">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3.0</w:t>
            </w:r>
          </w:p>
        </w:tc>
      </w:tr>
      <w:tr w14:paraId="31EC4BC1">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435F9F34">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5528CA17">
            <w:pPr>
              <w:jc w:val="center"/>
              <w:rPr>
                <w:rFonts w:ascii="Times New Roman" w:hAnsi="Times New Roman" w:eastAsia="宋体" w:cs="Times New Roman"/>
                <w:color w:val="auto"/>
                <w:kern w:val="28"/>
                <w:sz w:val="21"/>
                <w:szCs w:val="21"/>
                <w:highlight w:val="none"/>
              </w:rPr>
            </w:pPr>
          </w:p>
        </w:tc>
        <w:tc>
          <w:tcPr>
            <w:tcW w:w="1469" w:type="dxa"/>
            <w:vMerge w:val="restart"/>
            <w:tcBorders>
              <w:top w:val="single" w:color="auto" w:sz="4" w:space="0"/>
              <w:left w:val="single" w:color="000000" w:sz="2" w:space="0"/>
              <w:right w:val="single" w:color="auto" w:sz="8" w:space="0"/>
            </w:tcBorders>
            <w:vAlign w:val="center"/>
          </w:tcPr>
          <w:p w14:paraId="0D4D4074">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安全生产管理体系及保证措施</w:t>
            </w:r>
          </w:p>
        </w:tc>
        <w:tc>
          <w:tcPr>
            <w:tcW w:w="1174" w:type="dxa"/>
            <w:vMerge w:val="restart"/>
            <w:tcBorders>
              <w:top w:val="single" w:color="auto" w:sz="4" w:space="0"/>
              <w:left w:val="single" w:color="auto" w:sz="8" w:space="0"/>
              <w:right w:val="single" w:color="auto" w:sz="4" w:space="0"/>
            </w:tcBorders>
            <w:vAlign w:val="center"/>
          </w:tcPr>
          <w:p w14:paraId="20376FE7">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5分</w:t>
            </w:r>
          </w:p>
        </w:tc>
        <w:tc>
          <w:tcPr>
            <w:tcW w:w="3699" w:type="dxa"/>
            <w:tcBorders>
              <w:top w:val="single" w:color="auto" w:sz="4" w:space="0"/>
              <w:left w:val="single" w:color="auto" w:sz="4" w:space="0"/>
              <w:bottom w:val="single" w:color="auto" w:sz="4" w:space="0"/>
              <w:right w:val="single" w:color="auto" w:sz="4" w:space="0"/>
            </w:tcBorders>
            <w:vAlign w:val="center"/>
          </w:tcPr>
          <w:p w14:paraId="7D133CD3">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体系措施完整严密，且相应措施体系完善全面得当</w:t>
            </w:r>
          </w:p>
        </w:tc>
        <w:tc>
          <w:tcPr>
            <w:tcW w:w="1255" w:type="dxa"/>
            <w:tcBorders>
              <w:top w:val="single" w:color="auto" w:sz="4" w:space="0"/>
              <w:left w:val="single" w:color="auto" w:sz="4" w:space="0"/>
              <w:bottom w:val="single" w:color="auto" w:sz="4" w:space="0"/>
              <w:right w:val="single" w:color="auto" w:sz="8" w:space="0"/>
            </w:tcBorders>
            <w:vAlign w:val="center"/>
          </w:tcPr>
          <w:p w14:paraId="0C973C14">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4.0-5.0</w:t>
            </w:r>
          </w:p>
        </w:tc>
      </w:tr>
      <w:tr w14:paraId="718C8897">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520302DD">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6FBC0B38">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right w:val="single" w:color="auto" w:sz="8" w:space="0"/>
            </w:tcBorders>
            <w:vAlign w:val="center"/>
          </w:tcPr>
          <w:p w14:paraId="2E2BA7BE">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8" w:space="0"/>
              <w:right w:val="single" w:color="auto" w:sz="4" w:space="0"/>
            </w:tcBorders>
            <w:vAlign w:val="center"/>
          </w:tcPr>
          <w:p w14:paraId="74D74C55">
            <w:pPr>
              <w:rPr>
                <w:rFonts w:ascii="Times New Roman" w:hAnsi="Times New Roman" w:eastAsia="宋体" w:cs="Times New Roman"/>
                <w:color w:val="auto"/>
                <w:kern w:val="28"/>
                <w:sz w:val="21"/>
                <w:szCs w:val="21"/>
                <w:highlight w:val="none"/>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400441F5">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体系措施较完善</w:t>
            </w:r>
          </w:p>
        </w:tc>
        <w:tc>
          <w:tcPr>
            <w:tcW w:w="1255" w:type="dxa"/>
            <w:tcBorders>
              <w:top w:val="single" w:color="auto" w:sz="4" w:space="0"/>
              <w:left w:val="single" w:color="auto" w:sz="4" w:space="0"/>
              <w:bottom w:val="single" w:color="auto" w:sz="4" w:space="0"/>
              <w:right w:val="single" w:color="auto" w:sz="8" w:space="0"/>
            </w:tcBorders>
            <w:vAlign w:val="center"/>
          </w:tcPr>
          <w:p w14:paraId="7E055FA3">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3.0-4.0</w:t>
            </w:r>
          </w:p>
        </w:tc>
      </w:tr>
      <w:tr w14:paraId="01C58305">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742FE2D6">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3EE135BA">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bottom w:val="single" w:color="auto" w:sz="4" w:space="0"/>
              <w:right w:val="single" w:color="auto" w:sz="8" w:space="0"/>
            </w:tcBorders>
            <w:vAlign w:val="center"/>
          </w:tcPr>
          <w:p w14:paraId="084F26F0">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8" w:space="0"/>
              <w:bottom w:val="single" w:color="auto" w:sz="4" w:space="0"/>
              <w:right w:val="single" w:color="auto" w:sz="4" w:space="0"/>
            </w:tcBorders>
            <w:vAlign w:val="center"/>
          </w:tcPr>
          <w:p w14:paraId="23442947">
            <w:pPr>
              <w:rPr>
                <w:rFonts w:ascii="Times New Roman" w:hAnsi="Times New Roman" w:eastAsia="宋体" w:cs="Times New Roman"/>
                <w:color w:val="auto"/>
                <w:kern w:val="28"/>
                <w:sz w:val="21"/>
                <w:szCs w:val="21"/>
                <w:highlight w:val="none"/>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429DEE5F">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体系措施一般</w:t>
            </w:r>
          </w:p>
        </w:tc>
        <w:tc>
          <w:tcPr>
            <w:tcW w:w="1255" w:type="dxa"/>
            <w:tcBorders>
              <w:top w:val="single" w:color="auto" w:sz="4" w:space="0"/>
              <w:left w:val="single" w:color="auto" w:sz="4" w:space="0"/>
              <w:bottom w:val="single" w:color="auto" w:sz="4" w:space="0"/>
              <w:right w:val="single" w:color="auto" w:sz="8" w:space="0"/>
            </w:tcBorders>
            <w:vAlign w:val="center"/>
          </w:tcPr>
          <w:p w14:paraId="1EC846C8">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3.0</w:t>
            </w:r>
          </w:p>
        </w:tc>
      </w:tr>
      <w:tr w14:paraId="78B8C76C">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45F99825">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499E5F75">
            <w:pPr>
              <w:jc w:val="center"/>
              <w:rPr>
                <w:rFonts w:ascii="Times New Roman" w:hAnsi="Times New Roman" w:eastAsia="宋体" w:cs="Times New Roman"/>
                <w:color w:val="auto"/>
                <w:kern w:val="28"/>
                <w:sz w:val="21"/>
                <w:szCs w:val="21"/>
                <w:highlight w:val="none"/>
              </w:rPr>
            </w:pPr>
          </w:p>
        </w:tc>
        <w:tc>
          <w:tcPr>
            <w:tcW w:w="1469" w:type="dxa"/>
            <w:vMerge w:val="restart"/>
            <w:tcBorders>
              <w:top w:val="single" w:color="auto" w:sz="4" w:space="0"/>
              <w:left w:val="single" w:color="000000" w:sz="2" w:space="0"/>
              <w:right w:val="single" w:color="auto" w:sz="8" w:space="0"/>
            </w:tcBorders>
            <w:vAlign w:val="center"/>
          </w:tcPr>
          <w:p w14:paraId="62A3B3FA">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环境保护、水土保持、文明施工保证措施</w:t>
            </w:r>
          </w:p>
        </w:tc>
        <w:tc>
          <w:tcPr>
            <w:tcW w:w="1174" w:type="dxa"/>
            <w:vMerge w:val="restart"/>
            <w:tcBorders>
              <w:top w:val="single" w:color="auto" w:sz="4" w:space="0"/>
              <w:left w:val="single" w:color="auto" w:sz="8" w:space="0"/>
              <w:right w:val="single" w:color="auto" w:sz="4" w:space="0"/>
            </w:tcBorders>
            <w:vAlign w:val="center"/>
          </w:tcPr>
          <w:p w14:paraId="60D56D22">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4</w:t>
            </w:r>
            <w:r>
              <w:rPr>
                <w:rFonts w:hint="eastAsia" w:ascii="Times New Roman" w:hAnsi="Times New Roman" w:eastAsia="宋体" w:cs="Times New Roman"/>
                <w:color w:val="auto"/>
                <w:kern w:val="28"/>
                <w:sz w:val="21"/>
                <w:szCs w:val="21"/>
                <w:highlight w:val="none"/>
              </w:rPr>
              <w:t>分</w:t>
            </w:r>
          </w:p>
        </w:tc>
        <w:tc>
          <w:tcPr>
            <w:tcW w:w="3699" w:type="dxa"/>
            <w:tcBorders>
              <w:top w:val="single" w:color="auto" w:sz="4" w:space="0"/>
              <w:left w:val="single" w:color="auto" w:sz="4" w:space="0"/>
              <w:bottom w:val="single" w:color="auto" w:sz="4" w:space="0"/>
              <w:right w:val="single" w:color="auto" w:sz="4" w:space="0"/>
            </w:tcBorders>
            <w:vAlign w:val="center"/>
          </w:tcPr>
          <w:p w14:paraId="7FD6C192">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保证措施完整严密，且相应措施体系完善全面得当</w:t>
            </w:r>
          </w:p>
        </w:tc>
        <w:tc>
          <w:tcPr>
            <w:tcW w:w="1255" w:type="dxa"/>
            <w:tcBorders>
              <w:top w:val="single" w:color="auto" w:sz="4" w:space="0"/>
              <w:left w:val="single" w:color="auto" w:sz="4" w:space="0"/>
              <w:bottom w:val="single" w:color="auto" w:sz="4" w:space="0"/>
              <w:right w:val="single" w:color="auto" w:sz="8" w:space="0"/>
            </w:tcBorders>
            <w:vAlign w:val="center"/>
          </w:tcPr>
          <w:p w14:paraId="2C0AC93E">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3.2</w:t>
            </w:r>
            <w:r>
              <w:rPr>
                <w:rFonts w:hint="eastAsia" w:ascii="Times New Roman" w:hAnsi="Times New Roman" w:eastAsia="宋体" w:cs="Times New Roman"/>
                <w:color w:val="auto"/>
                <w:kern w:val="28"/>
                <w:sz w:val="21"/>
                <w:szCs w:val="21"/>
                <w:highlight w:val="none"/>
              </w:rPr>
              <w:t>-</w:t>
            </w:r>
            <w:r>
              <w:rPr>
                <w:rFonts w:hint="eastAsia" w:ascii="Times New Roman" w:hAnsi="Times New Roman" w:eastAsia="宋体" w:cs="Times New Roman"/>
                <w:color w:val="auto"/>
                <w:kern w:val="28"/>
                <w:sz w:val="21"/>
                <w:szCs w:val="21"/>
                <w:highlight w:val="none"/>
                <w:lang w:val="en-US" w:eastAsia="zh-CN"/>
              </w:rPr>
              <w:t>4</w:t>
            </w:r>
            <w:r>
              <w:rPr>
                <w:rFonts w:hint="eastAsia" w:ascii="Times New Roman" w:hAnsi="Times New Roman" w:eastAsia="宋体" w:cs="Times New Roman"/>
                <w:color w:val="auto"/>
                <w:kern w:val="28"/>
                <w:sz w:val="21"/>
                <w:szCs w:val="21"/>
                <w:highlight w:val="none"/>
              </w:rPr>
              <w:t>.0</w:t>
            </w:r>
          </w:p>
        </w:tc>
      </w:tr>
      <w:tr w14:paraId="17C2F4DE">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05496ACE">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0D7B02F0">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right w:val="single" w:color="auto" w:sz="8" w:space="0"/>
            </w:tcBorders>
            <w:vAlign w:val="center"/>
          </w:tcPr>
          <w:p w14:paraId="1A88079D">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8" w:space="0"/>
              <w:right w:val="single" w:color="auto" w:sz="4" w:space="0"/>
            </w:tcBorders>
            <w:vAlign w:val="center"/>
          </w:tcPr>
          <w:p w14:paraId="07E9C861">
            <w:pPr>
              <w:rPr>
                <w:rFonts w:ascii="Times New Roman" w:hAnsi="Times New Roman" w:eastAsia="宋体" w:cs="Times New Roman"/>
                <w:color w:val="auto"/>
                <w:kern w:val="28"/>
                <w:sz w:val="21"/>
                <w:szCs w:val="21"/>
                <w:highlight w:val="none"/>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5ABBBE4F">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保证措施较完善</w:t>
            </w:r>
          </w:p>
        </w:tc>
        <w:tc>
          <w:tcPr>
            <w:tcW w:w="1255" w:type="dxa"/>
            <w:tcBorders>
              <w:top w:val="single" w:color="auto" w:sz="4" w:space="0"/>
              <w:left w:val="single" w:color="auto" w:sz="4" w:space="0"/>
              <w:bottom w:val="single" w:color="auto" w:sz="4" w:space="0"/>
              <w:right w:val="single" w:color="auto" w:sz="8" w:space="0"/>
            </w:tcBorders>
            <w:vAlign w:val="center"/>
          </w:tcPr>
          <w:p w14:paraId="5EBAD155">
            <w:pPr>
              <w:jc w:val="center"/>
              <w:rPr>
                <w:rFonts w:hint="default" w:ascii="Times New Roman" w:hAnsi="Times New Roman" w:eastAsia="宋体" w:cs="Times New Roman"/>
                <w:color w:val="auto"/>
                <w:kern w:val="28"/>
                <w:sz w:val="21"/>
                <w:szCs w:val="21"/>
                <w:highlight w:val="none"/>
                <w:lang w:val="en-US" w:eastAsia="zh-CN"/>
              </w:rPr>
            </w:pPr>
            <w:r>
              <w:rPr>
                <w:rFonts w:hint="eastAsia" w:ascii="Times New Roman" w:hAnsi="Times New Roman" w:eastAsia="宋体" w:cs="Times New Roman"/>
                <w:color w:val="auto"/>
                <w:kern w:val="28"/>
                <w:sz w:val="21"/>
                <w:szCs w:val="21"/>
                <w:highlight w:val="none"/>
                <w:lang w:val="en-US" w:eastAsia="zh-CN"/>
              </w:rPr>
              <w:t>2.4</w:t>
            </w:r>
            <w:r>
              <w:rPr>
                <w:rFonts w:hint="eastAsia" w:ascii="Times New Roman" w:hAnsi="Times New Roman" w:eastAsia="宋体" w:cs="Times New Roman"/>
                <w:color w:val="auto"/>
                <w:kern w:val="28"/>
                <w:sz w:val="21"/>
                <w:szCs w:val="21"/>
                <w:highlight w:val="none"/>
              </w:rPr>
              <w:t>-</w:t>
            </w:r>
            <w:r>
              <w:rPr>
                <w:rFonts w:hint="eastAsia" w:ascii="Times New Roman" w:hAnsi="Times New Roman" w:eastAsia="宋体" w:cs="Times New Roman"/>
                <w:color w:val="auto"/>
                <w:kern w:val="28"/>
                <w:sz w:val="21"/>
                <w:szCs w:val="21"/>
                <w:highlight w:val="none"/>
                <w:lang w:val="en-US" w:eastAsia="zh-CN"/>
              </w:rPr>
              <w:t>3.2</w:t>
            </w:r>
          </w:p>
        </w:tc>
      </w:tr>
      <w:tr w14:paraId="01A8CBC7">
        <w:tblPrEx>
          <w:tblCellMar>
            <w:top w:w="0" w:type="dxa"/>
            <w:left w:w="108" w:type="dxa"/>
            <w:bottom w:w="0" w:type="dxa"/>
            <w:right w:w="108" w:type="dxa"/>
          </w:tblCellMar>
        </w:tblPrEx>
        <w:trPr>
          <w:trHeight w:val="28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3FD8622B">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47845781">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bottom w:val="single" w:color="auto" w:sz="4" w:space="0"/>
              <w:right w:val="single" w:color="auto" w:sz="8" w:space="0"/>
            </w:tcBorders>
            <w:vAlign w:val="center"/>
          </w:tcPr>
          <w:p w14:paraId="09BB7B20">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8" w:space="0"/>
              <w:bottom w:val="single" w:color="auto" w:sz="4" w:space="0"/>
              <w:right w:val="single" w:color="auto" w:sz="4" w:space="0"/>
            </w:tcBorders>
            <w:vAlign w:val="center"/>
          </w:tcPr>
          <w:p w14:paraId="7A1F883D">
            <w:pPr>
              <w:rPr>
                <w:rFonts w:ascii="Times New Roman" w:hAnsi="Times New Roman" w:eastAsia="宋体" w:cs="Times New Roman"/>
                <w:color w:val="auto"/>
                <w:kern w:val="28"/>
                <w:sz w:val="21"/>
                <w:szCs w:val="21"/>
                <w:highlight w:val="none"/>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6D981ADA">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保证措施一般</w:t>
            </w:r>
          </w:p>
        </w:tc>
        <w:tc>
          <w:tcPr>
            <w:tcW w:w="1255" w:type="dxa"/>
            <w:tcBorders>
              <w:top w:val="single" w:color="auto" w:sz="4" w:space="0"/>
              <w:left w:val="single" w:color="auto" w:sz="4" w:space="0"/>
              <w:bottom w:val="single" w:color="auto" w:sz="4" w:space="0"/>
              <w:right w:val="single" w:color="auto" w:sz="8" w:space="0"/>
            </w:tcBorders>
            <w:vAlign w:val="center"/>
          </w:tcPr>
          <w:p w14:paraId="628AAF27">
            <w:pPr>
              <w:jc w:val="center"/>
              <w:rPr>
                <w:rFonts w:hint="eastAsia" w:ascii="Times New Roman" w:hAnsi="Times New Roman" w:eastAsia="宋体" w:cs="Times New Roman"/>
                <w:color w:val="auto"/>
                <w:kern w:val="28"/>
                <w:sz w:val="21"/>
                <w:szCs w:val="21"/>
                <w:highlight w:val="none"/>
                <w:lang w:val="en-US" w:eastAsia="zh-CN"/>
              </w:rPr>
            </w:pPr>
            <w:r>
              <w:rPr>
                <w:rFonts w:hint="eastAsia" w:ascii="Times New Roman" w:hAnsi="Times New Roman" w:eastAsia="宋体" w:cs="Times New Roman"/>
                <w:color w:val="auto"/>
                <w:kern w:val="28"/>
                <w:sz w:val="21"/>
                <w:szCs w:val="21"/>
                <w:highlight w:val="none"/>
                <w:lang w:val="en-US" w:eastAsia="zh-CN"/>
              </w:rPr>
              <w:t>2.4</w:t>
            </w:r>
          </w:p>
        </w:tc>
      </w:tr>
      <w:tr w14:paraId="50EFFA7C">
        <w:tblPrEx>
          <w:tblCellMar>
            <w:top w:w="0" w:type="dxa"/>
            <w:left w:w="108" w:type="dxa"/>
            <w:bottom w:w="0" w:type="dxa"/>
            <w:right w:w="108" w:type="dxa"/>
          </w:tblCellMar>
        </w:tblPrEx>
        <w:trPr>
          <w:trHeight w:val="28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47B97AB7">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26EF56EF">
            <w:pPr>
              <w:jc w:val="center"/>
              <w:rPr>
                <w:rFonts w:ascii="Times New Roman" w:hAnsi="Times New Roman" w:eastAsia="宋体" w:cs="Times New Roman"/>
                <w:color w:val="auto"/>
                <w:kern w:val="28"/>
                <w:sz w:val="21"/>
                <w:szCs w:val="21"/>
                <w:highlight w:val="none"/>
              </w:rPr>
            </w:pPr>
          </w:p>
        </w:tc>
        <w:tc>
          <w:tcPr>
            <w:tcW w:w="1469" w:type="dxa"/>
            <w:vMerge w:val="restart"/>
            <w:tcBorders>
              <w:left w:val="single" w:color="000000" w:sz="2" w:space="0"/>
              <w:right w:val="single" w:color="auto" w:sz="8" w:space="0"/>
            </w:tcBorders>
            <w:vAlign w:val="center"/>
          </w:tcPr>
          <w:p w14:paraId="2A855341">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项目风险预测与防范及应急预案</w:t>
            </w:r>
          </w:p>
        </w:tc>
        <w:tc>
          <w:tcPr>
            <w:tcW w:w="1174" w:type="dxa"/>
            <w:vMerge w:val="restart"/>
            <w:tcBorders>
              <w:left w:val="single" w:color="auto" w:sz="8" w:space="0"/>
              <w:right w:val="single" w:color="auto" w:sz="4" w:space="0"/>
            </w:tcBorders>
            <w:vAlign w:val="center"/>
          </w:tcPr>
          <w:p w14:paraId="369264A3">
            <w:pPr>
              <w:jc w:val="center"/>
              <w:rPr>
                <w:rFonts w:ascii="Times New Roman" w:hAnsi="Times New Roman" w:eastAsia="宋体" w:cs="Times New Roman"/>
                <w:color w:val="auto"/>
                <w:kern w:val="28"/>
                <w:sz w:val="21"/>
                <w:szCs w:val="21"/>
                <w:highlight w:val="none"/>
                <w:lang w:bidi="en-US"/>
              </w:rPr>
            </w:pPr>
            <w:r>
              <w:rPr>
                <w:rFonts w:hint="eastAsia" w:ascii="Times New Roman" w:hAnsi="Times New Roman" w:eastAsia="宋体" w:cs="Times New Roman"/>
                <w:color w:val="auto"/>
                <w:kern w:val="28"/>
                <w:sz w:val="21"/>
                <w:szCs w:val="21"/>
                <w:highlight w:val="none"/>
                <w:lang w:val="en-US" w:eastAsia="zh-CN"/>
              </w:rPr>
              <w:t>4</w:t>
            </w:r>
            <w:r>
              <w:rPr>
                <w:rFonts w:hint="eastAsia" w:ascii="Times New Roman" w:hAnsi="Times New Roman" w:eastAsia="宋体" w:cs="Times New Roman"/>
                <w:color w:val="auto"/>
                <w:kern w:val="28"/>
                <w:sz w:val="21"/>
                <w:szCs w:val="21"/>
                <w:highlight w:val="none"/>
              </w:rPr>
              <w:t>分</w:t>
            </w:r>
          </w:p>
        </w:tc>
        <w:tc>
          <w:tcPr>
            <w:tcW w:w="3699" w:type="dxa"/>
            <w:tcBorders>
              <w:top w:val="single" w:color="auto" w:sz="4" w:space="0"/>
              <w:left w:val="single" w:color="auto" w:sz="4" w:space="0"/>
              <w:bottom w:val="single" w:color="auto" w:sz="4" w:space="0"/>
              <w:right w:val="single" w:color="auto" w:sz="4" w:space="0"/>
            </w:tcBorders>
            <w:vAlign w:val="center"/>
          </w:tcPr>
          <w:p w14:paraId="4F71AFB3">
            <w:pPr>
              <w:rPr>
                <w:rFonts w:ascii="Times New Roman" w:hAnsi="Times New Roman" w:eastAsia="宋体" w:cs="Times New Roman"/>
                <w:color w:val="auto"/>
                <w:kern w:val="28"/>
                <w:sz w:val="21"/>
                <w:szCs w:val="21"/>
                <w:highlight w:val="none"/>
                <w:lang w:bidi="en-US"/>
              </w:rPr>
            </w:pPr>
            <w:r>
              <w:rPr>
                <w:rFonts w:hint="eastAsia" w:ascii="Times New Roman" w:hAnsi="Times New Roman" w:eastAsia="宋体" w:cs="Times New Roman"/>
                <w:color w:val="auto"/>
                <w:kern w:val="28"/>
                <w:sz w:val="21"/>
                <w:szCs w:val="21"/>
                <w:highlight w:val="none"/>
                <w:lang w:bidi="en-US"/>
              </w:rPr>
              <w:t>有全面合理的应急预案，且相应预测与防范完善得当</w:t>
            </w:r>
          </w:p>
        </w:tc>
        <w:tc>
          <w:tcPr>
            <w:tcW w:w="1255" w:type="dxa"/>
            <w:tcBorders>
              <w:top w:val="single" w:color="auto" w:sz="4" w:space="0"/>
              <w:left w:val="single" w:color="auto" w:sz="4" w:space="0"/>
              <w:bottom w:val="single" w:color="auto" w:sz="4" w:space="0"/>
              <w:right w:val="single" w:color="auto" w:sz="8" w:space="0"/>
            </w:tcBorders>
            <w:vAlign w:val="center"/>
          </w:tcPr>
          <w:p w14:paraId="1132B32D">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3.2</w:t>
            </w:r>
            <w:r>
              <w:rPr>
                <w:rFonts w:hint="eastAsia" w:ascii="Times New Roman" w:hAnsi="Times New Roman" w:eastAsia="宋体" w:cs="Times New Roman"/>
                <w:color w:val="auto"/>
                <w:kern w:val="28"/>
                <w:sz w:val="21"/>
                <w:szCs w:val="21"/>
                <w:highlight w:val="none"/>
              </w:rPr>
              <w:t>-</w:t>
            </w:r>
            <w:r>
              <w:rPr>
                <w:rFonts w:hint="eastAsia" w:ascii="Times New Roman" w:hAnsi="Times New Roman" w:eastAsia="宋体" w:cs="Times New Roman"/>
                <w:color w:val="auto"/>
                <w:kern w:val="28"/>
                <w:sz w:val="21"/>
                <w:szCs w:val="21"/>
                <w:highlight w:val="none"/>
                <w:lang w:val="en-US" w:eastAsia="zh-CN"/>
              </w:rPr>
              <w:t>4</w:t>
            </w:r>
            <w:r>
              <w:rPr>
                <w:rFonts w:hint="eastAsia" w:ascii="Times New Roman" w:hAnsi="Times New Roman" w:eastAsia="宋体" w:cs="Times New Roman"/>
                <w:color w:val="auto"/>
                <w:kern w:val="28"/>
                <w:sz w:val="21"/>
                <w:szCs w:val="21"/>
                <w:highlight w:val="none"/>
              </w:rPr>
              <w:t>.0</w:t>
            </w:r>
          </w:p>
        </w:tc>
      </w:tr>
      <w:tr w14:paraId="7A494438">
        <w:tblPrEx>
          <w:tblCellMar>
            <w:top w:w="0" w:type="dxa"/>
            <w:left w:w="108" w:type="dxa"/>
            <w:bottom w:w="0" w:type="dxa"/>
            <w:right w:w="108" w:type="dxa"/>
          </w:tblCellMar>
        </w:tblPrEx>
        <w:trPr>
          <w:trHeight w:val="28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71FD45CC">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7DFB06AF">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right w:val="single" w:color="auto" w:sz="8" w:space="0"/>
            </w:tcBorders>
            <w:vAlign w:val="center"/>
          </w:tcPr>
          <w:p w14:paraId="47635086">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8" w:space="0"/>
              <w:right w:val="single" w:color="auto" w:sz="4" w:space="0"/>
            </w:tcBorders>
            <w:vAlign w:val="center"/>
          </w:tcPr>
          <w:p w14:paraId="30920A84">
            <w:pPr>
              <w:rPr>
                <w:rFonts w:ascii="Times New Roman" w:hAnsi="Times New Roman" w:eastAsia="宋体" w:cs="Times New Roman"/>
                <w:color w:val="auto"/>
                <w:kern w:val="28"/>
                <w:sz w:val="21"/>
                <w:szCs w:val="21"/>
                <w:highlight w:val="none"/>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738476CA">
            <w:pPr>
              <w:rPr>
                <w:rFonts w:ascii="Times New Roman" w:hAnsi="Times New Roman" w:eastAsia="宋体" w:cs="Times New Roman"/>
                <w:color w:val="auto"/>
                <w:kern w:val="28"/>
                <w:sz w:val="21"/>
                <w:szCs w:val="21"/>
                <w:highlight w:val="none"/>
                <w:lang w:bidi="en-US"/>
              </w:rPr>
            </w:pPr>
            <w:r>
              <w:rPr>
                <w:rFonts w:hint="eastAsia" w:ascii="Times New Roman" w:hAnsi="Times New Roman" w:eastAsia="宋体" w:cs="Times New Roman"/>
                <w:color w:val="auto"/>
                <w:kern w:val="28"/>
                <w:sz w:val="21"/>
                <w:szCs w:val="21"/>
                <w:highlight w:val="none"/>
                <w:lang w:bidi="en-US"/>
              </w:rPr>
              <w:t>应急预案较合理</w:t>
            </w:r>
          </w:p>
        </w:tc>
        <w:tc>
          <w:tcPr>
            <w:tcW w:w="1255" w:type="dxa"/>
            <w:tcBorders>
              <w:top w:val="single" w:color="auto" w:sz="4" w:space="0"/>
              <w:left w:val="single" w:color="auto" w:sz="4" w:space="0"/>
              <w:bottom w:val="single" w:color="auto" w:sz="4" w:space="0"/>
              <w:right w:val="single" w:color="auto" w:sz="8" w:space="0"/>
            </w:tcBorders>
            <w:vAlign w:val="center"/>
          </w:tcPr>
          <w:p w14:paraId="7C2E7DF6">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2.4</w:t>
            </w:r>
            <w:r>
              <w:rPr>
                <w:rFonts w:hint="eastAsia" w:ascii="Times New Roman" w:hAnsi="Times New Roman" w:eastAsia="宋体" w:cs="Times New Roman"/>
                <w:color w:val="auto"/>
                <w:kern w:val="28"/>
                <w:sz w:val="21"/>
                <w:szCs w:val="21"/>
                <w:highlight w:val="none"/>
              </w:rPr>
              <w:t>-</w:t>
            </w:r>
            <w:r>
              <w:rPr>
                <w:rFonts w:hint="eastAsia" w:ascii="Times New Roman" w:hAnsi="Times New Roman" w:eastAsia="宋体" w:cs="Times New Roman"/>
                <w:color w:val="auto"/>
                <w:kern w:val="28"/>
                <w:sz w:val="21"/>
                <w:szCs w:val="21"/>
                <w:highlight w:val="none"/>
                <w:lang w:val="en-US" w:eastAsia="zh-CN"/>
              </w:rPr>
              <w:t>3.2</w:t>
            </w:r>
          </w:p>
        </w:tc>
      </w:tr>
      <w:tr w14:paraId="61A67258">
        <w:tblPrEx>
          <w:tblCellMar>
            <w:top w:w="0" w:type="dxa"/>
            <w:left w:w="108" w:type="dxa"/>
            <w:bottom w:w="0" w:type="dxa"/>
            <w:right w:w="108" w:type="dxa"/>
          </w:tblCellMar>
        </w:tblPrEx>
        <w:trPr>
          <w:trHeight w:val="28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5C08A2D4">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76FD0FBF">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bottom w:val="single" w:color="auto" w:sz="4" w:space="0"/>
              <w:right w:val="single" w:color="auto" w:sz="8" w:space="0"/>
            </w:tcBorders>
            <w:vAlign w:val="center"/>
          </w:tcPr>
          <w:p w14:paraId="536F5347">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8" w:space="0"/>
              <w:bottom w:val="single" w:color="auto" w:sz="4" w:space="0"/>
              <w:right w:val="single" w:color="auto" w:sz="4" w:space="0"/>
            </w:tcBorders>
            <w:vAlign w:val="center"/>
          </w:tcPr>
          <w:p w14:paraId="3867CBF6">
            <w:pPr>
              <w:rPr>
                <w:rFonts w:ascii="Times New Roman" w:hAnsi="Times New Roman" w:eastAsia="宋体" w:cs="Times New Roman"/>
                <w:color w:val="auto"/>
                <w:kern w:val="28"/>
                <w:sz w:val="21"/>
                <w:szCs w:val="21"/>
                <w:highlight w:val="none"/>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02F467FB">
            <w:pPr>
              <w:rPr>
                <w:rFonts w:ascii="Times New Roman" w:hAnsi="Times New Roman" w:eastAsia="宋体" w:cs="Times New Roman"/>
                <w:color w:val="auto"/>
                <w:kern w:val="28"/>
                <w:sz w:val="21"/>
                <w:szCs w:val="21"/>
                <w:highlight w:val="none"/>
                <w:lang w:bidi="en-US"/>
              </w:rPr>
            </w:pPr>
            <w:r>
              <w:rPr>
                <w:rFonts w:hint="eastAsia" w:ascii="Times New Roman" w:hAnsi="Times New Roman" w:eastAsia="宋体" w:cs="Times New Roman"/>
                <w:color w:val="auto"/>
                <w:kern w:val="28"/>
                <w:sz w:val="21"/>
                <w:szCs w:val="21"/>
                <w:highlight w:val="none"/>
                <w:lang w:bidi="en-US"/>
              </w:rPr>
              <w:t>应急预案基本满足要求</w:t>
            </w:r>
          </w:p>
        </w:tc>
        <w:tc>
          <w:tcPr>
            <w:tcW w:w="1255" w:type="dxa"/>
            <w:tcBorders>
              <w:top w:val="single" w:color="auto" w:sz="4" w:space="0"/>
              <w:left w:val="single" w:color="auto" w:sz="4" w:space="0"/>
              <w:bottom w:val="single" w:color="auto" w:sz="4" w:space="0"/>
              <w:right w:val="single" w:color="auto" w:sz="8" w:space="0"/>
            </w:tcBorders>
            <w:vAlign w:val="center"/>
          </w:tcPr>
          <w:p w14:paraId="6C343637">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2.4</w:t>
            </w:r>
          </w:p>
        </w:tc>
      </w:tr>
      <w:tr w14:paraId="144A6F72">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1DC14BF4">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12B81C6F">
            <w:pPr>
              <w:jc w:val="center"/>
              <w:rPr>
                <w:rFonts w:ascii="Times New Roman" w:hAnsi="Times New Roman" w:eastAsia="宋体" w:cs="Times New Roman"/>
                <w:color w:val="auto"/>
                <w:kern w:val="28"/>
                <w:sz w:val="21"/>
                <w:szCs w:val="21"/>
                <w:highlight w:val="none"/>
              </w:rPr>
            </w:pPr>
          </w:p>
        </w:tc>
        <w:tc>
          <w:tcPr>
            <w:tcW w:w="1469" w:type="dxa"/>
            <w:vMerge w:val="restart"/>
            <w:tcBorders>
              <w:top w:val="single" w:color="auto" w:sz="4" w:space="0"/>
              <w:left w:val="single" w:color="000000" w:sz="2" w:space="0"/>
              <w:right w:val="single" w:color="auto" w:sz="4" w:space="0"/>
            </w:tcBorders>
            <w:vAlign w:val="center"/>
          </w:tcPr>
          <w:p w14:paraId="6AF195E0">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交通组织方案</w:t>
            </w:r>
          </w:p>
        </w:tc>
        <w:tc>
          <w:tcPr>
            <w:tcW w:w="1174" w:type="dxa"/>
            <w:vMerge w:val="restart"/>
            <w:tcBorders>
              <w:top w:val="single" w:color="auto" w:sz="4" w:space="0"/>
              <w:left w:val="single" w:color="auto" w:sz="4" w:space="0"/>
              <w:right w:val="single" w:color="auto" w:sz="4" w:space="0"/>
            </w:tcBorders>
            <w:vAlign w:val="center"/>
          </w:tcPr>
          <w:p w14:paraId="12329A25">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4</w:t>
            </w:r>
            <w:r>
              <w:rPr>
                <w:rFonts w:hint="eastAsia" w:ascii="Times New Roman" w:hAnsi="Times New Roman" w:eastAsia="宋体" w:cs="Times New Roman"/>
                <w:color w:val="auto"/>
                <w:kern w:val="28"/>
                <w:sz w:val="21"/>
                <w:szCs w:val="21"/>
                <w:highlight w:val="none"/>
              </w:rPr>
              <w:t>分</w:t>
            </w:r>
          </w:p>
        </w:tc>
        <w:tc>
          <w:tcPr>
            <w:tcW w:w="3699" w:type="dxa"/>
            <w:tcBorders>
              <w:top w:val="single" w:color="auto" w:sz="4" w:space="0"/>
              <w:left w:val="single" w:color="auto" w:sz="4" w:space="0"/>
              <w:bottom w:val="single" w:color="auto" w:sz="4" w:space="0"/>
              <w:right w:val="single" w:color="auto" w:sz="4" w:space="0"/>
            </w:tcBorders>
            <w:vAlign w:val="center"/>
          </w:tcPr>
          <w:p w14:paraId="39C973C0">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方案合理、完善</w:t>
            </w:r>
          </w:p>
        </w:tc>
        <w:tc>
          <w:tcPr>
            <w:tcW w:w="1255" w:type="dxa"/>
            <w:tcBorders>
              <w:top w:val="single" w:color="auto" w:sz="4" w:space="0"/>
              <w:left w:val="single" w:color="auto" w:sz="4" w:space="0"/>
              <w:bottom w:val="single" w:color="auto" w:sz="4" w:space="0"/>
              <w:right w:val="single" w:color="auto" w:sz="8" w:space="0"/>
            </w:tcBorders>
            <w:vAlign w:val="center"/>
          </w:tcPr>
          <w:p w14:paraId="51775FC7">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3.2</w:t>
            </w:r>
            <w:r>
              <w:rPr>
                <w:rFonts w:hint="eastAsia" w:ascii="Times New Roman" w:hAnsi="Times New Roman" w:eastAsia="宋体" w:cs="Times New Roman"/>
                <w:color w:val="auto"/>
                <w:kern w:val="28"/>
                <w:sz w:val="21"/>
                <w:szCs w:val="21"/>
                <w:highlight w:val="none"/>
              </w:rPr>
              <w:t>-</w:t>
            </w:r>
            <w:r>
              <w:rPr>
                <w:rFonts w:hint="eastAsia" w:ascii="Times New Roman" w:hAnsi="Times New Roman" w:eastAsia="宋体" w:cs="Times New Roman"/>
                <w:color w:val="auto"/>
                <w:kern w:val="28"/>
                <w:sz w:val="21"/>
                <w:szCs w:val="21"/>
                <w:highlight w:val="none"/>
                <w:lang w:val="en-US" w:eastAsia="zh-CN"/>
              </w:rPr>
              <w:t>4</w:t>
            </w:r>
            <w:r>
              <w:rPr>
                <w:rFonts w:hint="eastAsia" w:ascii="Times New Roman" w:hAnsi="Times New Roman" w:eastAsia="宋体" w:cs="Times New Roman"/>
                <w:color w:val="auto"/>
                <w:kern w:val="28"/>
                <w:sz w:val="21"/>
                <w:szCs w:val="21"/>
                <w:highlight w:val="none"/>
              </w:rPr>
              <w:t>.0</w:t>
            </w:r>
          </w:p>
        </w:tc>
      </w:tr>
      <w:tr w14:paraId="1715E465">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192333A8">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63C2D76C">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right w:val="single" w:color="auto" w:sz="4" w:space="0"/>
            </w:tcBorders>
            <w:vAlign w:val="center"/>
          </w:tcPr>
          <w:p w14:paraId="6556E7D1">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4" w:space="0"/>
              <w:right w:val="single" w:color="auto" w:sz="4" w:space="0"/>
            </w:tcBorders>
            <w:vAlign w:val="center"/>
          </w:tcPr>
          <w:p w14:paraId="3DCC4A7F">
            <w:pPr>
              <w:jc w:val="center"/>
              <w:rPr>
                <w:rFonts w:ascii="Times New Roman" w:hAnsi="Times New Roman" w:eastAsia="宋体" w:cs="Times New Roman"/>
                <w:color w:val="auto"/>
                <w:kern w:val="28"/>
                <w:sz w:val="21"/>
                <w:szCs w:val="21"/>
                <w:highlight w:val="none"/>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0A0491EF">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方案较合理、较完善</w:t>
            </w:r>
          </w:p>
        </w:tc>
        <w:tc>
          <w:tcPr>
            <w:tcW w:w="1255" w:type="dxa"/>
            <w:tcBorders>
              <w:top w:val="single" w:color="auto" w:sz="4" w:space="0"/>
              <w:left w:val="single" w:color="auto" w:sz="4" w:space="0"/>
              <w:bottom w:val="single" w:color="auto" w:sz="4" w:space="0"/>
              <w:right w:val="single" w:color="auto" w:sz="8" w:space="0"/>
            </w:tcBorders>
            <w:vAlign w:val="center"/>
          </w:tcPr>
          <w:p w14:paraId="33D49BB0">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2.4</w:t>
            </w:r>
            <w:r>
              <w:rPr>
                <w:rFonts w:hint="eastAsia" w:ascii="Times New Roman" w:hAnsi="Times New Roman" w:eastAsia="宋体" w:cs="Times New Roman"/>
                <w:color w:val="auto"/>
                <w:kern w:val="28"/>
                <w:sz w:val="21"/>
                <w:szCs w:val="21"/>
                <w:highlight w:val="none"/>
              </w:rPr>
              <w:t>-</w:t>
            </w:r>
            <w:r>
              <w:rPr>
                <w:rFonts w:hint="eastAsia" w:ascii="Times New Roman" w:hAnsi="Times New Roman" w:eastAsia="宋体" w:cs="Times New Roman"/>
                <w:color w:val="auto"/>
                <w:kern w:val="28"/>
                <w:sz w:val="21"/>
                <w:szCs w:val="21"/>
                <w:highlight w:val="none"/>
                <w:lang w:val="en-US" w:eastAsia="zh-CN"/>
              </w:rPr>
              <w:t>3.2</w:t>
            </w:r>
          </w:p>
        </w:tc>
      </w:tr>
      <w:tr w14:paraId="69DDB35B">
        <w:tblPrEx>
          <w:tblCellMar>
            <w:top w:w="0" w:type="dxa"/>
            <w:left w:w="108" w:type="dxa"/>
            <w:bottom w:w="0" w:type="dxa"/>
            <w:right w:w="108" w:type="dxa"/>
          </w:tblCellMar>
        </w:tblPrEx>
        <w:trPr>
          <w:trHeight w:val="290"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1D64CD1E">
            <w:pPr>
              <w:jc w:val="center"/>
              <w:rPr>
                <w:rFonts w:ascii="Times New Roman" w:hAnsi="Times New Roman" w:eastAsia="宋体" w:cs="Times New Roman"/>
                <w:color w:val="auto"/>
                <w:kern w:val="28"/>
                <w:sz w:val="21"/>
                <w:szCs w:val="21"/>
                <w:highlight w:val="none"/>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5EA98BF0">
            <w:pPr>
              <w:jc w:val="center"/>
              <w:rPr>
                <w:rFonts w:ascii="Times New Roman" w:hAnsi="Times New Roman" w:eastAsia="宋体" w:cs="Times New Roman"/>
                <w:color w:val="auto"/>
                <w:kern w:val="28"/>
                <w:sz w:val="21"/>
                <w:szCs w:val="21"/>
                <w:highlight w:val="none"/>
              </w:rPr>
            </w:pPr>
          </w:p>
        </w:tc>
        <w:tc>
          <w:tcPr>
            <w:tcW w:w="1469" w:type="dxa"/>
            <w:vMerge w:val="continue"/>
            <w:tcBorders>
              <w:left w:val="single" w:color="000000" w:sz="2" w:space="0"/>
              <w:bottom w:val="single" w:color="auto" w:sz="4" w:space="0"/>
              <w:right w:val="single" w:color="auto" w:sz="4" w:space="0"/>
            </w:tcBorders>
            <w:vAlign w:val="center"/>
          </w:tcPr>
          <w:p w14:paraId="788B405F">
            <w:pPr>
              <w:jc w:val="center"/>
              <w:rPr>
                <w:rFonts w:ascii="Times New Roman" w:hAnsi="Times New Roman" w:eastAsia="宋体" w:cs="Times New Roman"/>
                <w:color w:val="auto"/>
                <w:kern w:val="28"/>
                <w:sz w:val="21"/>
                <w:szCs w:val="21"/>
                <w:highlight w:val="none"/>
              </w:rPr>
            </w:pPr>
          </w:p>
        </w:tc>
        <w:tc>
          <w:tcPr>
            <w:tcW w:w="1174" w:type="dxa"/>
            <w:vMerge w:val="continue"/>
            <w:tcBorders>
              <w:left w:val="single" w:color="auto" w:sz="4" w:space="0"/>
              <w:bottom w:val="single" w:color="auto" w:sz="4" w:space="0"/>
              <w:right w:val="single" w:color="auto" w:sz="4" w:space="0"/>
            </w:tcBorders>
            <w:vAlign w:val="center"/>
          </w:tcPr>
          <w:p w14:paraId="63C8CB9F">
            <w:pPr>
              <w:jc w:val="center"/>
              <w:rPr>
                <w:rFonts w:ascii="Times New Roman" w:hAnsi="Times New Roman" w:eastAsia="宋体" w:cs="Times New Roman"/>
                <w:color w:val="auto"/>
                <w:kern w:val="28"/>
                <w:sz w:val="21"/>
                <w:szCs w:val="21"/>
                <w:highlight w:val="none"/>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67571250">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方案基本满足要求</w:t>
            </w:r>
          </w:p>
        </w:tc>
        <w:tc>
          <w:tcPr>
            <w:tcW w:w="1255" w:type="dxa"/>
            <w:tcBorders>
              <w:top w:val="single" w:color="auto" w:sz="4" w:space="0"/>
              <w:left w:val="single" w:color="auto" w:sz="4" w:space="0"/>
              <w:bottom w:val="single" w:color="auto" w:sz="4" w:space="0"/>
              <w:right w:val="single" w:color="auto" w:sz="8" w:space="0"/>
            </w:tcBorders>
            <w:vAlign w:val="center"/>
          </w:tcPr>
          <w:p w14:paraId="5A23321E">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2.4</w:t>
            </w:r>
          </w:p>
        </w:tc>
      </w:tr>
      <w:tr w14:paraId="49088B3D">
        <w:tblPrEx>
          <w:tblCellMar>
            <w:top w:w="0" w:type="dxa"/>
            <w:left w:w="108" w:type="dxa"/>
            <w:bottom w:w="0" w:type="dxa"/>
            <w:right w:w="108" w:type="dxa"/>
          </w:tblCellMar>
        </w:tblPrEx>
        <w:trPr>
          <w:trHeight w:val="967" w:hRule="atLeast"/>
          <w:jc w:val="center"/>
        </w:trPr>
        <w:tc>
          <w:tcPr>
            <w:tcW w:w="846" w:type="dxa"/>
            <w:vMerge w:val="restart"/>
            <w:tcBorders>
              <w:top w:val="single" w:color="000000" w:sz="2" w:space="0"/>
              <w:left w:val="single" w:color="auto" w:sz="8" w:space="0"/>
              <w:right w:val="single" w:color="auto" w:sz="8" w:space="0"/>
            </w:tcBorders>
            <w:vAlign w:val="center"/>
          </w:tcPr>
          <w:p w14:paraId="3B9412C3">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2.2.2（2）</w:t>
            </w:r>
          </w:p>
        </w:tc>
        <w:tc>
          <w:tcPr>
            <w:tcW w:w="1762" w:type="dxa"/>
            <w:vMerge w:val="restart"/>
            <w:tcBorders>
              <w:top w:val="single" w:color="000000" w:sz="2" w:space="0"/>
              <w:left w:val="single" w:color="auto" w:sz="8" w:space="0"/>
              <w:right w:val="single" w:color="auto" w:sz="8" w:space="0"/>
            </w:tcBorders>
            <w:vAlign w:val="center"/>
          </w:tcPr>
          <w:p w14:paraId="7FC6ED71">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主要人员</w:t>
            </w:r>
          </w:p>
          <w:p w14:paraId="6FA4B48B">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w:t>
            </w:r>
            <w:r>
              <w:rPr>
                <w:rFonts w:hint="eastAsia" w:ascii="Times New Roman" w:hAnsi="Times New Roman" w:eastAsia="宋体" w:cs="Times New Roman"/>
                <w:color w:val="auto"/>
                <w:kern w:val="28"/>
                <w:sz w:val="21"/>
                <w:szCs w:val="21"/>
                <w:highlight w:val="none"/>
                <w:lang w:val="en-US" w:eastAsia="zh-CN"/>
              </w:rPr>
              <w:t>3</w:t>
            </w:r>
            <w:r>
              <w:rPr>
                <w:rFonts w:hint="eastAsia" w:ascii="Times New Roman" w:hAnsi="Times New Roman" w:eastAsia="宋体" w:cs="Times New Roman"/>
                <w:color w:val="auto"/>
                <w:kern w:val="28"/>
                <w:sz w:val="21"/>
                <w:szCs w:val="21"/>
                <w:highlight w:val="none"/>
              </w:rPr>
              <w:t>0分）</w:t>
            </w:r>
          </w:p>
        </w:tc>
        <w:tc>
          <w:tcPr>
            <w:tcW w:w="1469" w:type="dxa"/>
            <w:tcBorders>
              <w:top w:val="single" w:color="auto" w:sz="4" w:space="0"/>
              <w:left w:val="nil"/>
              <w:right w:val="single" w:color="auto" w:sz="4" w:space="0"/>
            </w:tcBorders>
            <w:vAlign w:val="center"/>
          </w:tcPr>
          <w:p w14:paraId="2956786B">
            <w:pPr>
              <w:ind w:right="113"/>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项目经理任职资格</w:t>
            </w:r>
          </w:p>
        </w:tc>
        <w:tc>
          <w:tcPr>
            <w:tcW w:w="1174" w:type="dxa"/>
            <w:tcBorders>
              <w:top w:val="single" w:color="auto" w:sz="4" w:space="0"/>
              <w:left w:val="single" w:color="auto" w:sz="4" w:space="0"/>
              <w:right w:val="single" w:color="auto" w:sz="4" w:space="0"/>
            </w:tcBorders>
            <w:vAlign w:val="center"/>
          </w:tcPr>
          <w:p w14:paraId="1E26EAED">
            <w:pPr>
              <w:jc w:val="center"/>
              <w:rPr>
                <w:rFonts w:ascii="Times New Roman" w:hAnsi="Times New Roman" w:eastAsia="宋体" w:cs="Times New Roman"/>
                <w:color w:val="auto"/>
                <w:kern w:val="28"/>
                <w:sz w:val="21"/>
                <w:szCs w:val="21"/>
                <w:highlight w:val="none"/>
                <w:lang w:bidi="en-US"/>
              </w:rPr>
            </w:pPr>
            <w:r>
              <w:rPr>
                <w:rFonts w:hint="eastAsia" w:ascii="Times New Roman" w:hAnsi="Times New Roman" w:eastAsia="宋体" w:cs="Times New Roman"/>
                <w:color w:val="auto"/>
                <w:kern w:val="28"/>
                <w:sz w:val="21"/>
                <w:szCs w:val="21"/>
                <w:highlight w:val="none"/>
                <w:lang w:val="en-US" w:eastAsia="zh-CN"/>
              </w:rPr>
              <w:t>15</w:t>
            </w:r>
            <w:r>
              <w:rPr>
                <w:rFonts w:hint="eastAsia" w:ascii="Times New Roman" w:hAnsi="Times New Roman" w:eastAsia="宋体" w:cs="Times New Roman"/>
                <w:color w:val="auto"/>
                <w:kern w:val="28"/>
                <w:sz w:val="21"/>
                <w:szCs w:val="21"/>
                <w:highlight w:val="none"/>
              </w:rPr>
              <w:t>分</w:t>
            </w:r>
          </w:p>
        </w:tc>
        <w:tc>
          <w:tcPr>
            <w:tcW w:w="3699" w:type="dxa"/>
            <w:tcBorders>
              <w:top w:val="single" w:color="auto" w:sz="4" w:space="0"/>
              <w:left w:val="single" w:color="auto" w:sz="4" w:space="0"/>
              <w:right w:val="single" w:color="auto" w:sz="4" w:space="0"/>
            </w:tcBorders>
            <w:vAlign w:val="center"/>
          </w:tcPr>
          <w:p w14:paraId="27271465">
            <w:pPr>
              <w:rPr>
                <w:rFonts w:hint="eastAsia" w:ascii="Times New Roman" w:hAnsi="Times New Roman" w:eastAsia="宋体" w:cs="Times New Roman"/>
                <w:color w:val="auto"/>
                <w:kern w:val="28"/>
                <w:sz w:val="21"/>
                <w:szCs w:val="21"/>
                <w:highlight w:val="none"/>
                <w:lang w:bidi="en-US"/>
              </w:rPr>
            </w:pPr>
            <w:r>
              <w:rPr>
                <w:rFonts w:hint="eastAsia" w:ascii="Times New Roman" w:hAnsi="Times New Roman" w:eastAsia="宋体" w:cs="Times New Roman"/>
                <w:color w:val="auto"/>
                <w:kern w:val="28"/>
                <w:sz w:val="21"/>
                <w:szCs w:val="21"/>
                <w:highlight w:val="none"/>
                <w:lang w:bidi="en-US"/>
              </w:rPr>
              <w:t>满足资格审查条件，得</w:t>
            </w:r>
            <w:r>
              <w:rPr>
                <w:rFonts w:hint="eastAsia" w:ascii="Times New Roman" w:hAnsi="Times New Roman" w:eastAsia="宋体" w:cs="Times New Roman"/>
                <w:color w:val="auto"/>
                <w:kern w:val="28"/>
                <w:sz w:val="21"/>
                <w:szCs w:val="21"/>
                <w:highlight w:val="none"/>
                <w:lang w:val="en-US" w:eastAsia="zh-CN" w:bidi="en-US"/>
              </w:rPr>
              <w:t>9</w:t>
            </w:r>
            <w:r>
              <w:rPr>
                <w:rFonts w:hint="eastAsia" w:ascii="Times New Roman" w:hAnsi="Times New Roman" w:eastAsia="宋体" w:cs="Times New Roman"/>
                <w:color w:val="auto"/>
                <w:kern w:val="28"/>
                <w:sz w:val="21"/>
                <w:szCs w:val="21"/>
                <w:highlight w:val="none"/>
                <w:lang w:bidi="en-US"/>
              </w:rPr>
              <w:t>分；</w:t>
            </w:r>
          </w:p>
          <w:p w14:paraId="65AA7ABF">
            <w:pPr>
              <w:rPr>
                <w:rFonts w:hint="eastAsia" w:ascii="Times New Roman" w:hAnsi="Times New Roman" w:eastAsia="宋体" w:cs="Times New Roman"/>
                <w:color w:val="auto"/>
                <w:kern w:val="28"/>
                <w:sz w:val="21"/>
                <w:szCs w:val="21"/>
                <w:highlight w:val="none"/>
                <w:lang w:bidi="en-US"/>
              </w:rPr>
            </w:pPr>
            <w:r>
              <w:rPr>
                <w:rFonts w:hint="eastAsia" w:ascii="Times New Roman" w:hAnsi="Times New Roman" w:eastAsia="宋体" w:cs="Times New Roman"/>
                <w:color w:val="auto"/>
                <w:kern w:val="28"/>
                <w:sz w:val="21"/>
                <w:szCs w:val="21"/>
                <w:highlight w:val="none"/>
                <w:lang w:bidi="en-US"/>
              </w:rPr>
              <w:t>每</w:t>
            </w:r>
            <w:r>
              <w:rPr>
                <w:rFonts w:hint="eastAsia" w:ascii="Times New Roman" w:hAnsi="Times New Roman" w:eastAsia="宋体" w:cs="Times New Roman"/>
                <w:color w:val="auto"/>
                <w:kern w:val="28"/>
                <w:sz w:val="21"/>
                <w:szCs w:val="21"/>
                <w:highlight w:val="none"/>
                <w:lang w:val="en-US" w:eastAsia="zh-CN" w:bidi="en-US"/>
              </w:rPr>
              <w:t>再</w:t>
            </w:r>
            <w:r>
              <w:rPr>
                <w:rFonts w:hint="eastAsia" w:ascii="宋体" w:hAnsi="宋体" w:eastAsia="宋体" w:cs="宋体"/>
                <w:snapToGrid w:val="0"/>
                <w:color w:val="auto"/>
                <w:kern w:val="0"/>
                <w:sz w:val="21"/>
                <w:szCs w:val="21"/>
                <w:highlight w:val="none"/>
              </w:rPr>
              <w:t>担任过1项合同金额不低于2000万元</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lang w:val="en-US" w:eastAsia="zh-CN"/>
              </w:rPr>
              <w:t>含</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的电力工程施工项目的项目经理（项目负责人）</w:t>
            </w:r>
            <w:r>
              <w:rPr>
                <w:rFonts w:hint="eastAsia" w:ascii="宋体" w:hAnsi="宋体" w:eastAsia="宋体" w:cs="宋体"/>
                <w:snapToGrid w:val="0"/>
                <w:color w:val="auto"/>
                <w:kern w:val="0"/>
                <w:sz w:val="21"/>
                <w:szCs w:val="21"/>
                <w:highlight w:val="none"/>
                <w:lang w:val="en-US" w:eastAsia="zh-CN"/>
              </w:rPr>
              <w:t>或项目总工（技术负责人）</w:t>
            </w:r>
            <w:r>
              <w:rPr>
                <w:rFonts w:hint="eastAsia" w:ascii="Times New Roman" w:hAnsi="Times New Roman" w:eastAsia="宋体" w:cs="Times New Roman"/>
                <w:color w:val="auto"/>
                <w:kern w:val="28"/>
                <w:sz w:val="21"/>
                <w:szCs w:val="21"/>
                <w:highlight w:val="none"/>
                <w:lang w:bidi="en-US"/>
              </w:rPr>
              <w:t>加</w:t>
            </w:r>
            <w:r>
              <w:rPr>
                <w:rFonts w:hint="eastAsia" w:ascii="Times New Roman" w:hAnsi="Times New Roman" w:eastAsia="宋体" w:cs="Times New Roman"/>
                <w:color w:val="auto"/>
                <w:kern w:val="28"/>
                <w:sz w:val="21"/>
                <w:szCs w:val="21"/>
                <w:highlight w:val="none"/>
                <w:lang w:val="en-US" w:eastAsia="zh-CN" w:bidi="en-US"/>
              </w:rPr>
              <w:t>6</w:t>
            </w:r>
            <w:r>
              <w:rPr>
                <w:rFonts w:hint="eastAsia" w:ascii="Times New Roman" w:hAnsi="Times New Roman" w:eastAsia="宋体" w:cs="Times New Roman"/>
                <w:color w:val="auto"/>
                <w:kern w:val="28"/>
                <w:sz w:val="21"/>
                <w:szCs w:val="21"/>
                <w:highlight w:val="none"/>
                <w:lang w:bidi="en-US"/>
              </w:rPr>
              <w:t>分，最多加</w:t>
            </w:r>
            <w:r>
              <w:rPr>
                <w:rFonts w:hint="eastAsia" w:ascii="Times New Roman" w:hAnsi="Times New Roman" w:eastAsia="宋体" w:cs="Times New Roman"/>
                <w:color w:val="auto"/>
                <w:kern w:val="28"/>
                <w:sz w:val="21"/>
                <w:szCs w:val="21"/>
                <w:highlight w:val="none"/>
                <w:lang w:val="en-US" w:eastAsia="zh-CN" w:bidi="en-US"/>
              </w:rPr>
              <w:t>6</w:t>
            </w:r>
            <w:r>
              <w:rPr>
                <w:rFonts w:hint="eastAsia" w:ascii="Times New Roman" w:hAnsi="Times New Roman" w:eastAsia="宋体" w:cs="Times New Roman"/>
                <w:color w:val="auto"/>
                <w:kern w:val="28"/>
                <w:sz w:val="21"/>
                <w:szCs w:val="21"/>
                <w:highlight w:val="none"/>
                <w:lang w:bidi="en-US"/>
              </w:rPr>
              <w:t>分。</w:t>
            </w:r>
          </w:p>
        </w:tc>
        <w:tc>
          <w:tcPr>
            <w:tcW w:w="1255" w:type="dxa"/>
            <w:tcBorders>
              <w:top w:val="single" w:color="auto" w:sz="4" w:space="0"/>
              <w:left w:val="single" w:color="auto" w:sz="4" w:space="0"/>
              <w:right w:val="single" w:color="auto" w:sz="8" w:space="0"/>
            </w:tcBorders>
            <w:vAlign w:val="center"/>
          </w:tcPr>
          <w:p w14:paraId="66F6DB86">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15</w:t>
            </w:r>
            <w:r>
              <w:rPr>
                <w:rFonts w:hint="eastAsia" w:ascii="Times New Roman" w:hAnsi="Times New Roman" w:eastAsia="宋体" w:cs="Times New Roman"/>
                <w:color w:val="auto"/>
                <w:kern w:val="28"/>
                <w:sz w:val="21"/>
                <w:szCs w:val="21"/>
                <w:highlight w:val="none"/>
              </w:rPr>
              <w:t>分</w:t>
            </w:r>
          </w:p>
        </w:tc>
      </w:tr>
      <w:tr w14:paraId="22D488B6">
        <w:tblPrEx>
          <w:tblCellMar>
            <w:top w:w="0" w:type="dxa"/>
            <w:left w:w="108" w:type="dxa"/>
            <w:bottom w:w="0" w:type="dxa"/>
            <w:right w:w="108" w:type="dxa"/>
          </w:tblCellMar>
        </w:tblPrEx>
        <w:trPr>
          <w:trHeight w:val="967" w:hRule="atLeast"/>
          <w:jc w:val="center"/>
        </w:trPr>
        <w:tc>
          <w:tcPr>
            <w:tcW w:w="846" w:type="dxa"/>
            <w:vMerge w:val="continue"/>
            <w:tcBorders>
              <w:left w:val="single" w:color="auto" w:sz="8" w:space="0"/>
              <w:bottom w:val="single" w:color="auto" w:sz="4" w:space="0"/>
              <w:right w:val="single" w:color="auto" w:sz="8" w:space="0"/>
            </w:tcBorders>
            <w:vAlign w:val="center"/>
          </w:tcPr>
          <w:p w14:paraId="6D3D9D14">
            <w:pPr>
              <w:jc w:val="center"/>
              <w:rPr>
                <w:rFonts w:ascii="Times New Roman" w:hAnsi="Times New Roman" w:eastAsia="宋体" w:cs="Times New Roman"/>
                <w:color w:val="auto"/>
                <w:kern w:val="28"/>
                <w:sz w:val="21"/>
                <w:szCs w:val="21"/>
                <w:highlight w:val="none"/>
              </w:rPr>
            </w:pPr>
          </w:p>
        </w:tc>
        <w:tc>
          <w:tcPr>
            <w:tcW w:w="1762" w:type="dxa"/>
            <w:vMerge w:val="continue"/>
            <w:tcBorders>
              <w:left w:val="single" w:color="auto" w:sz="8" w:space="0"/>
              <w:bottom w:val="single" w:color="auto" w:sz="4" w:space="0"/>
              <w:right w:val="single" w:color="auto" w:sz="8" w:space="0"/>
            </w:tcBorders>
            <w:vAlign w:val="center"/>
          </w:tcPr>
          <w:p w14:paraId="1BF977A0">
            <w:pPr>
              <w:jc w:val="center"/>
              <w:rPr>
                <w:rFonts w:ascii="Times New Roman" w:hAnsi="Times New Roman" w:eastAsia="宋体" w:cs="Times New Roman"/>
                <w:color w:val="auto"/>
                <w:kern w:val="28"/>
                <w:sz w:val="21"/>
                <w:szCs w:val="21"/>
                <w:highlight w:val="none"/>
              </w:rPr>
            </w:pPr>
          </w:p>
        </w:tc>
        <w:tc>
          <w:tcPr>
            <w:tcW w:w="1469" w:type="dxa"/>
            <w:tcBorders>
              <w:top w:val="single" w:color="auto" w:sz="4" w:space="0"/>
              <w:left w:val="nil"/>
              <w:right w:val="single" w:color="auto" w:sz="4" w:space="0"/>
            </w:tcBorders>
            <w:vAlign w:val="center"/>
          </w:tcPr>
          <w:p w14:paraId="1C89EA1D">
            <w:pPr>
              <w:ind w:right="113"/>
              <w:jc w:val="center"/>
              <w:rPr>
                <w:rFonts w:ascii="Times New Roman" w:hAnsi="Times New Roman" w:eastAsia="宋体" w:cs="Times New Roman"/>
                <w:color w:val="auto"/>
                <w:kern w:val="28"/>
                <w:sz w:val="21"/>
                <w:szCs w:val="21"/>
                <w:highlight w:val="none"/>
                <w:lang w:bidi="en-US"/>
              </w:rPr>
            </w:pPr>
            <w:r>
              <w:rPr>
                <w:rFonts w:hint="eastAsia" w:ascii="Times New Roman" w:hAnsi="Times New Roman" w:eastAsia="宋体" w:cs="Times New Roman"/>
                <w:color w:val="auto"/>
                <w:kern w:val="28"/>
                <w:sz w:val="21"/>
                <w:szCs w:val="21"/>
                <w:highlight w:val="none"/>
                <w:lang w:bidi="en-US"/>
              </w:rPr>
              <w:t>项目总工任职资格</w:t>
            </w:r>
          </w:p>
        </w:tc>
        <w:tc>
          <w:tcPr>
            <w:tcW w:w="1174" w:type="dxa"/>
            <w:tcBorders>
              <w:top w:val="single" w:color="auto" w:sz="4" w:space="0"/>
              <w:left w:val="single" w:color="auto" w:sz="4" w:space="0"/>
              <w:right w:val="single" w:color="auto" w:sz="4" w:space="0"/>
            </w:tcBorders>
            <w:vAlign w:val="center"/>
          </w:tcPr>
          <w:p w14:paraId="4D31F56C">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15</w:t>
            </w:r>
            <w:r>
              <w:rPr>
                <w:rFonts w:hint="eastAsia" w:ascii="Times New Roman" w:hAnsi="Times New Roman" w:eastAsia="宋体" w:cs="Times New Roman"/>
                <w:color w:val="auto"/>
                <w:kern w:val="28"/>
                <w:sz w:val="21"/>
                <w:szCs w:val="21"/>
                <w:highlight w:val="none"/>
              </w:rPr>
              <w:t>分</w:t>
            </w:r>
          </w:p>
        </w:tc>
        <w:tc>
          <w:tcPr>
            <w:tcW w:w="3699" w:type="dxa"/>
            <w:tcBorders>
              <w:top w:val="single" w:color="auto" w:sz="4" w:space="0"/>
              <w:left w:val="single" w:color="auto" w:sz="4" w:space="0"/>
              <w:right w:val="single" w:color="auto" w:sz="4" w:space="0"/>
            </w:tcBorders>
            <w:vAlign w:val="center"/>
          </w:tcPr>
          <w:p w14:paraId="6B4FBD68">
            <w:pPr>
              <w:rPr>
                <w:rFonts w:hint="eastAsia" w:ascii="Times New Roman" w:hAnsi="Times New Roman" w:eastAsia="宋体" w:cs="Times New Roman"/>
                <w:color w:val="auto"/>
                <w:kern w:val="28"/>
                <w:sz w:val="21"/>
                <w:szCs w:val="21"/>
                <w:highlight w:val="none"/>
                <w:lang w:bidi="en-US"/>
              </w:rPr>
            </w:pPr>
            <w:r>
              <w:rPr>
                <w:rFonts w:hint="eastAsia" w:ascii="Times New Roman" w:hAnsi="Times New Roman" w:eastAsia="宋体" w:cs="Times New Roman"/>
                <w:color w:val="auto"/>
                <w:kern w:val="28"/>
                <w:sz w:val="21"/>
                <w:szCs w:val="21"/>
                <w:highlight w:val="none"/>
                <w:lang w:bidi="en-US"/>
              </w:rPr>
              <w:t>满足资格审查条件，得</w:t>
            </w:r>
            <w:r>
              <w:rPr>
                <w:rFonts w:hint="eastAsia" w:ascii="Times New Roman" w:hAnsi="Times New Roman" w:eastAsia="宋体" w:cs="Times New Roman"/>
                <w:color w:val="auto"/>
                <w:kern w:val="28"/>
                <w:sz w:val="21"/>
                <w:szCs w:val="21"/>
                <w:highlight w:val="none"/>
                <w:lang w:val="en-US" w:eastAsia="zh-CN" w:bidi="en-US"/>
              </w:rPr>
              <w:t>9</w:t>
            </w:r>
            <w:r>
              <w:rPr>
                <w:rFonts w:hint="eastAsia" w:ascii="Times New Roman" w:hAnsi="Times New Roman" w:eastAsia="宋体" w:cs="Times New Roman"/>
                <w:color w:val="auto"/>
                <w:kern w:val="28"/>
                <w:sz w:val="21"/>
                <w:szCs w:val="21"/>
                <w:highlight w:val="none"/>
                <w:lang w:bidi="en-US"/>
              </w:rPr>
              <w:t>分；</w:t>
            </w:r>
          </w:p>
          <w:p w14:paraId="014BAE97">
            <w:pPr>
              <w:rPr>
                <w:rFonts w:hint="eastAsia" w:ascii="Times New Roman" w:hAnsi="Times New Roman" w:eastAsia="宋体" w:cs="Times New Roman"/>
                <w:color w:val="auto"/>
                <w:kern w:val="28"/>
                <w:sz w:val="21"/>
                <w:szCs w:val="21"/>
                <w:highlight w:val="none"/>
                <w:lang w:bidi="en-US"/>
              </w:rPr>
            </w:pPr>
            <w:r>
              <w:rPr>
                <w:rFonts w:hint="eastAsia" w:ascii="Times New Roman" w:hAnsi="Times New Roman" w:eastAsia="宋体" w:cs="Times New Roman"/>
                <w:color w:val="auto"/>
                <w:kern w:val="28"/>
                <w:sz w:val="21"/>
                <w:szCs w:val="21"/>
                <w:highlight w:val="none"/>
                <w:lang w:bidi="en-US"/>
              </w:rPr>
              <w:t>每</w:t>
            </w:r>
            <w:r>
              <w:rPr>
                <w:rFonts w:hint="eastAsia" w:ascii="Times New Roman" w:hAnsi="Times New Roman" w:eastAsia="宋体" w:cs="Times New Roman"/>
                <w:color w:val="auto"/>
                <w:kern w:val="28"/>
                <w:sz w:val="21"/>
                <w:szCs w:val="21"/>
                <w:highlight w:val="none"/>
                <w:lang w:val="en-US" w:eastAsia="zh-CN" w:bidi="en-US"/>
              </w:rPr>
              <w:t>再</w:t>
            </w:r>
            <w:r>
              <w:rPr>
                <w:rFonts w:hint="eastAsia" w:ascii="Times New Roman" w:hAnsi="Times New Roman" w:eastAsia="宋体" w:cs="Times New Roman"/>
                <w:color w:val="auto"/>
                <w:kern w:val="28"/>
                <w:sz w:val="21"/>
                <w:szCs w:val="21"/>
                <w:highlight w:val="none"/>
                <w:lang w:bidi="en-US"/>
              </w:rPr>
              <w:t>担任过1项合同额不少于2000万元（含）的电力工程施工项目的项目总工（技术负责人）加</w:t>
            </w:r>
            <w:r>
              <w:rPr>
                <w:rFonts w:hint="eastAsia" w:ascii="Times New Roman" w:hAnsi="Times New Roman" w:eastAsia="宋体" w:cs="Times New Roman"/>
                <w:color w:val="auto"/>
                <w:kern w:val="28"/>
                <w:sz w:val="21"/>
                <w:szCs w:val="21"/>
                <w:highlight w:val="none"/>
                <w:lang w:val="en-US" w:eastAsia="zh-CN" w:bidi="en-US"/>
              </w:rPr>
              <w:t>6</w:t>
            </w:r>
            <w:r>
              <w:rPr>
                <w:rFonts w:hint="eastAsia" w:ascii="Times New Roman" w:hAnsi="Times New Roman" w:eastAsia="宋体" w:cs="Times New Roman"/>
                <w:color w:val="auto"/>
                <w:kern w:val="28"/>
                <w:sz w:val="21"/>
                <w:szCs w:val="21"/>
                <w:highlight w:val="none"/>
                <w:lang w:bidi="en-US"/>
              </w:rPr>
              <w:t>分，最多加</w:t>
            </w:r>
            <w:r>
              <w:rPr>
                <w:rFonts w:hint="eastAsia" w:ascii="Times New Roman" w:hAnsi="Times New Roman" w:eastAsia="宋体" w:cs="Times New Roman"/>
                <w:color w:val="auto"/>
                <w:kern w:val="28"/>
                <w:sz w:val="21"/>
                <w:szCs w:val="21"/>
                <w:highlight w:val="none"/>
                <w:lang w:val="en-US" w:eastAsia="zh-CN" w:bidi="en-US"/>
              </w:rPr>
              <w:t>6</w:t>
            </w:r>
            <w:r>
              <w:rPr>
                <w:rFonts w:hint="eastAsia" w:ascii="Times New Roman" w:hAnsi="Times New Roman" w:eastAsia="宋体" w:cs="Times New Roman"/>
                <w:color w:val="auto"/>
                <w:kern w:val="28"/>
                <w:sz w:val="21"/>
                <w:szCs w:val="21"/>
                <w:highlight w:val="none"/>
                <w:lang w:bidi="en-US"/>
              </w:rPr>
              <w:t>分。</w:t>
            </w:r>
          </w:p>
        </w:tc>
        <w:tc>
          <w:tcPr>
            <w:tcW w:w="1255" w:type="dxa"/>
            <w:tcBorders>
              <w:top w:val="single" w:color="auto" w:sz="4" w:space="0"/>
              <w:left w:val="single" w:color="auto" w:sz="4" w:space="0"/>
              <w:right w:val="single" w:color="auto" w:sz="8" w:space="0"/>
            </w:tcBorders>
            <w:vAlign w:val="center"/>
          </w:tcPr>
          <w:p w14:paraId="3EA43C55">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15</w:t>
            </w:r>
            <w:r>
              <w:rPr>
                <w:rFonts w:hint="eastAsia" w:ascii="Times New Roman" w:hAnsi="Times New Roman" w:eastAsia="宋体" w:cs="Times New Roman"/>
                <w:color w:val="auto"/>
                <w:kern w:val="28"/>
                <w:sz w:val="21"/>
                <w:szCs w:val="21"/>
                <w:highlight w:val="none"/>
              </w:rPr>
              <w:t>分</w:t>
            </w:r>
          </w:p>
        </w:tc>
      </w:tr>
      <w:tr w14:paraId="340CD769">
        <w:tblPrEx>
          <w:tblCellMar>
            <w:top w:w="0" w:type="dxa"/>
            <w:left w:w="108" w:type="dxa"/>
            <w:bottom w:w="0" w:type="dxa"/>
            <w:right w:w="108" w:type="dxa"/>
          </w:tblCellMar>
        </w:tblPrEx>
        <w:trPr>
          <w:trHeight w:val="1081"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50B61A71">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2.2.2（3）</w:t>
            </w:r>
          </w:p>
        </w:tc>
        <w:tc>
          <w:tcPr>
            <w:tcW w:w="1762" w:type="dxa"/>
            <w:tcBorders>
              <w:top w:val="single" w:color="auto" w:sz="4" w:space="0"/>
              <w:left w:val="single" w:color="auto" w:sz="4" w:space="0"/>
              <w:bottom w:val="single" w:color="auto" w:sz="4" w:space="0"/>
              <w:right w:val="single" w:color="auto" w:sz="4" w:space="0"/>
            </w:tcBorders>
            <w:vAlign w:val="center"/>
          </w:tcPr>
          <w:p w14:paraId="4520D9DC">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其他评分因素（</w:t>
            </w:r>
            <w:r>
              <w:rPr>
                <w:rFonts w:hint="eastAsia" w:ascii="Times New Roman" w:hAnsi="Times New Roman" w:eastAsia="宋体" w:cs="Times New Roman"/>
                <w:color w:val="auto"/>
                <w:kern w:val="28"/>
                <w:sz w:val="21"/>
                <w:szCs w:val="21"/>
                <w:highlight w:val="none"/>
                <w:lang w:val="en-US" w:eastAsia="zh-CN" w:bidi="en-US"/>
              </w:rPr>
              <w:t>3</w:t>
            </w:r>
            <w:r>
              <w:rPr>
                <w:rFonts w:hint="eastAsia" w:ascii="Times New Roman" w:hAnsi="Times New Roman" w:eastAsia="宋体" w:cs="Times New Roman"/>
                <w:color w:val="auto"/>
                <w:kern w:val="28"/>
                <w:sz w:val="21"/>
                <w:szCs w:val="21"/>
                <w:highlight w:val="none"/>
                <w:lang w:bidi="en-US"/>
              </w:rPr>
              <w:t>0分）</w:t>
            </w:r>
          </w:p>
        </w:tc>
        <w:tc>
          <w:tcPr>
            <w:tcW w:w="1469" w:type="dxa"/>
            <w:tcBorders>
              <w:top w:val="single" w:color="auto" w:sz="4" w:space="0"/>
              <w:left w:val="single" w:color="auto" w:sz="4" w:space="0"/>
              <w:bottom w:val="single" w:color="auto" w:sz="4" w:space="0"/>
              <w:right w:val="single" w:color="auto" w:sz="4" w:space="0"/>
            </w:tcBorders>
            <w:vAlign w:val="center"/>
          </w:tcPr>
          <w:p w14:paraId="44B9ADE3">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企业业绩</w:t>
            </w:r>
          </w:p>
        </w:tc>
        <w:tc>
          <w:tcPr>
            <w:tcW w:w="1174" w:type="dxa"/>
            <w:tcBorders>
              <w:top w:val="single" w:color="auto" w:sz="4" w:space="0"/>
              <w:left w:val="single" w:color="auto" w:sz="4" w:space="0"/>
              <w:bottom w:val="single" w:color="auto" w:sz="4" w:space="0"/>
              <w:right w:val="single" w:color="auto" w:sz="4" w:space="0"/>
            </w:tcBorders>
            <w:vAlign w:val="center"/>
          </w:tcPr>
          <w:p w14:paraId="72D77ACB">
            <w:pPr>
              <w:ind w:right="113"/>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3</w:t>
            </w:r>
            <w:r>
              <w:rPr>
                <w:rFonts w:hint="eastAsia" w:ascii="Times New Roman" w:hAnsi="Times New Roman" w:eastAsia="宋体" w:cs="Times New Roman"/>
                <w:color w:val="auto"/>
                <w:kern w:val="28"/>
                <w:sz w:val="21"/>
                <w:szCs w:val="21"/>
                <w:highlight w:val="none"/>
              </w:rPr>
              <w:t>0分</w:t>
            </w:r>
          </w:p>
        </w:tc>
        <w:tc>
          <w:tcPr>
            <w:tcW w:w="3699" w:type="dxa"/>
            <w:tcBorders>
              <w:top w:val="single" w:color="auto" w:sz="4" w:space="0"/>
              <w:left w:val="single" w:color="auto" w:sz="4" w:space="0"/>
              <w:bottom w:val="single" w:color="auto" w:sz="4" w:space="0"/>
              <w:right w:val="single" w:color="auto" w:sz="4" w:space="0"/>
            </w:tcBorders>
            <w:vAlign w:val="center"/>
          </w:tcPr>
          <w:p w14:paraId="48220085">
            <w:pPr>
              <w:ind w:right="113"/>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满足资格审查条件，得</w:t>
            </w:r>
            <w:r>
              <w:rPr>
                <w:rFonts w:hint="eastAsia" w:ascii="Times New Roman" w:hAnsi="Times New Roman" w:eastAsia="宋体" w:cs="Times New Roman"/>
                <w:color w:val="auto"/>
                <w:kern w:val="28"/>
                <w:sz w:val="21"/>
                <w:szCs w:val="21"/>
                <w:highlight w:val="none"/>
                <w:lang w:val="en-US" w:eastAsia="zh-CN"/>
              </w:rPr>
              <w:t>18</w:t>
            </w:r>
            <w:r>
              <w:rPr>
                <w:rFonts w:hint="eastAsia" w:ascii="Times New Roman" w:hAnsi="Times New Roman" w:eastAsia="宋体" w:cs="Times New Roman"/>
                <w:color w:val="auto"/>
                <w:kern w:val="28"/>
                <w:sz w:val="21"/>
                <w:szCs w:val="21"/>
                <w:highlight w:val="none"/>
              </w:rPr>
              <w:t>分；</w:t>
            </w:r>
          </w:p>
          <w:p w14:paraId="0275A56A">
            <w:pPr>
              <w:rPr>
                <w:rFonts w:hint="default" w:ascii="Times New Roman" w:hAnsi="Times New Roman" w:eastAsia="宋体" w:cs="Times New Roman"/>
                <w:color w:val="auto"/>
                <w:kern w:val="28"/>
                <w:sz w:val="21"/>
                <w:szCs w:val="21"/>
                <w:highlight w:val="none"/>
                <w:lang w:val="en-US" w:eastAsia="zh-CN"/>
              </w:rPr>
            </w:pPr>
            <w:r>
              <w:rPr>
                <w:rFonts w:hint="eastAsia" w:ascii="Times New Roman" w:hAnsi="Times New Roman" w:eastAsia="宋体" w:cs="Times New Roman"/>
                <w:color w:val="auto"/>
                <w:kern w:val="28"/>
                <w:sz w:val="21"/>
                <w:szCs w:val="21"/>
                <w:highlight w:val="none"/>
              </w:rPr>
              <w:t>每</w:t>
            </w:r>
            <w:r>
              <w:rPr>
                <w:rFonts w:hint="eastAsia" w:ascii="Times New Roman" w:hAnsi="Times New Roman" w:eastAsia="宋体" w:cs="Times New Roman"/>
                <w:color w:val="auto"/>
                <w:kern w:val="28"/>
                <w:sz w:val="21"/>
                <w:szCs w:val="21"/>
                <w:highlight w:val="none"/>
                <w:lang w:val="en-US" w:eastAsia="zh-CN"/>
              </w:rPr>
              <w:t>再</w:t>
            </w:r>
            <w:r>
              <w:rPr>
                <w:rFonts w:hint="eastAsia" w:ascii="Times New Roman" w:hAnsi="Times New Roman" w:eastAsia="宋体" w:cs="Times New Roman"/>
                <w:color w:val="auto"/>
                <w:kern w:val="28"/>
                <w:sz w:val="21"/>
                <w:szCs w:val="21"/>
                <w:highlight w:val="none"/>
              </w:rPr>
              <w:t>增加1</w:t>
            </w:r>
            <w:r>
              <w:rPr>
                <w:rFonts w:hint="eastAsia" w:ascii="Times New Roman" w:hAnsi="Times New Roman" w:eastAsia="宋体" w:cs="Times New Roman"/>
                <w:color w:val="auto"/>
                <w:kern w:val="28"/>
                <w:sz w:val="21"/>
                <w:szCs w:val="21"/>
                <w:highlight w:val="none"/>
                <w:lang w:val="en-US" w:eastAsia="zh-CN"/>
              </w:rPr>
              <w:t>项合同金额不低于2000万元（含）的电力工程施工业绩</w:t>
            </w:r>
            <w:r>
              <w:rPr>
                <w:rFonts w:hint="eastAsia" w:ascii="Times New Roman" w:hAnsi="Times New Roman" w:eastAsia="宋体" w:cs="Times New Roman"/>
                <w:color w:val="auto"/>
                <w:kern w:val="28"/>
                <w:sz w:val="21"/>
                <w:szCs w:val="21"/>
                <w:highlight w:val="none"/>
              </w:rPr>
              <w:t>加</w:t>
            </w:r>
            <w:r>
              <w:rPr>
                <w:rFonts w:hint="eastAsia" w:ascii="Times New Roman" w:hAnsi="Times New Roman" w:eastAsia="宋体" w:cs="Times New Roman"/>
                <w:color w:val="auto"/>
                <w:kern w:val="28"/>
                <w:sz w:val="21"/>
                <w:szCs w:val="21"/>
                <w:highlight w:val="none"/>
                <w:lang w:val="en-US" w:eastAsia="zh-CN"/>
              </w:rPr>
              <w:t>6</w:t>
            </w:r>
            <w:r>
              <w:rPr>
                <w:rFonts w:hint="eastAsia" w:ascii="Times New Roman" w:hAnsi="Times New Roman" w:eastAsia="宋体" w:cs="Times New Roman"/>
                <w:color w:val="auto"/>
                <w:kern w:val="28"/>
                <w:sz w:val="21"/>
                <w:szCs w:val="21"/>
                <w:highlight w:val="none"/>
              </w:rPr>
              <w:t>分</w:t>
            </w:r>
            <w:r>
              <w:rPr>
                <w:rFonts w:hint="eastAsia" w:ascii="Times New Roman" w:hAnsi="Times New Roman" w:eastAsia="宋体" w:cs="Times New Roman"/>
                <w:color w:val="auto"/>
                <w:kern w:val="28"/>
                <w:sz w:val="21"/>
                <w:szCs w:val="21"/>
                <w:highlight w:val="none"/>
                <w:lang w:eastAsia="zh-CN"/>
              </w:rPr>
              <w:t>，</w:t>
            </w:r>
            <w:r>
              <w:rPr>
                <w:rFonts w:hint="eastAsia" w:ascii="Times New Roman" w:hAnsi="Times New Roman" w:eastAsia="宋体" w:cs="Times New Roman"/>
                <w:color w:val="auto"/>
                <w:kern w:val="28"/>
                <w:sz w:val="21"/>
                <w:szCs w:val="21"/>
                <w:highlight w:val="none"/>
                <w:lang w:val="en-US" w:eastAsia="zh-CN"/>
              </w:rPr>
              <w:t>最多加12分；</w:t>
            </w:r>
          </w:p>
          <w:p w14:paraId="442E6474">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每增加</w:t>
            </w:r>
            <w:r>
              <w:rPr>
                <w:rFonts w:hint="eastAsia" w:ascii="Times New Roman" w:hAnsi="Times New Roman" w:eastAsia="宋体" w:cs="Times New Roman"/>
                <w:color w:val="auto"/>
                <w:kern w:val="28"/>
                <w:sz w:val="21"/>
                <w:szCs w:val="21"/>
                <w:highlight w:val="none"/>
                <w:lang w:val="en-US" w:eastAsia="zh-CN"/>
              </w:rPr>
              <w:t>1项合同金额不低于4000万元（含）的电力工程施工业绩加12分。本项</w:t>
            </w:r>
            <w:r>
              <w:rPr>
                <w:rFonts w:hint="eastAsia" w:ascii="Times New Roman" w:hAnsi="Times New Roman" w:eastAsia="宋体" w:cs="Times New Roman"/>
                <w:color w:val="auto"/>
                <w:kern w:val="28"/>
                <w:sz w:val="21"/>
                <w:szCs w:val="21"/>
                <w:highlight w:val="none"/>
              </w:rPr>
              <w:t>最多加</w:t>
            </w:r>
            <w:r>
              <w:rPr>
                <w:rFonts w:hint="eastAsia" w:ascii="Times New Roman" w:hAnsi="Times New Roman" w:eastAsia="宋体" w:cs="Times New Roman"/>
                <w:color w:val="auto"/>
                <w:kern w:val="28"/>
                <w:sz w:val="21"/>
                <w:szCs w:val="21"/>
                <w:highlight w:val="none"/>
                <w:lang w:val="en-US" w:eastAsia="zh-CN"/>
              </w:rPr>
              <w:t>12</w:t>
            </w:r>
            <w:r>
              <w:rPr>
                <w:rFonts w:hint="eastAsia" w:ascii="Times New Roman" w:hAnsi="Times New Roman" w:eastAsia="宋体" w:cs="Times New Roman"/>
                <w:color w:val="auto"/>
                <w:kern w:val="28"/>
                <w:sz w:val="21"/>
                <w:szCs w:val="21"/>
                <w:highlight w:val="none"/>
              </w:rPr>
              <w:t>分。</w:t>
            </w:r>
          </w:p>
        </w:tc>
        <w:tc>
          <w:tcPr>
            <w:tcW w:w="1255" w:type="dxa"/>
            <w:tcBorders>
              <w:top w:val="single" w:color="auto" w:sz="4" w:space="0"/>
              <w:left w:val="single" w:color="auto" w:sz="4" w:space="0"/>
              <w:bottom w:val="single" w:color="auto" w:sz="4" w:space="0"/>
              <w:right w:val="single" w:color="auto" w:sz="4" w:space="0"/>
            </w:tcBorders>
            <w:vAlign w:val="center"/>
          </w:tcPr>
          <w:p w14:paraId="40E70FEC">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3</w:t>
            </w:r>
            <w:r>
              <w:rPr>
                <w:rFonts w:hint="eastAsia" w:ascii="Times New Roman" w:hAnsi="Times New Roman" w:eastAsia="宋体" w:cs="Times New Roman"/>
                <w:color w:val="auto"/>
                <w:kern w:val="28"/>
                <w:sz w:val="21"/>
                <w:szCs w:val="21"/>
                <w:highlight w:val="none"/>
              </w:rPr>
              <w:t>0分</w:t>
            </w:r>
          </w:p>
        </w:tc>
      </w:tr>
      <w:tr w14:paraId="0A5413A2">
        <w:tblPrEx>
          <w:tblCellMar>
            <w:top w:w="0" w:type="dxa"/>
            <w:left w:w="108" w:type="dxa"/>
            <w:bottom w:w="0" w:type="dxa"/>
            <w:right w:w="108" w:type="dxa"/>
          </w:tblCellMar>
        </w:tblPrEx>
        <w:trPr>
          <w:trHeight w:val="1081" w:hRule="atLeast"/>
          <w:jc w:val="center"/>
        </w:trPr>
        <w:tc>
          <w:tcPr>
            <w:tcW w:w="10205" w:type="dxa"/>
            <w:gridSpan w:val="6"/>
            <w:tcBorders>
              <w:top w:val="single" w:color="auto" w:sz="4" w:space="0"/>
              <w:left w:val="single" w:color="auto" w:sz="4" w:space="0"/>
              <w:bottom w:val="single" w:color="auto" w:sz="4" w:space="0"/>
              <w:right w:val="single" w:color="auto" w:sz="4" w:space="0"/>
            </w:tcBorders>
            <w:vAlign w:val="center"/>
          </w:tcPr>
          <w:p w14:paraId="50BB1C17">
            <w:pPr>
              <w:widowControl w:val="0"/>
              <w:autoSpaceDE w:val="0"/>
              <w:autoSpaceDN w:val="0"/>
              <w:jc w:val="left"/>
              <w:rPr>
                <w:rFonts w:hint="eastAsia" w:ascii="宋体" w:hAnsi="宋体" w:eastAsia="宋体" w:cs="宋体"/>
                <w:color w:val="auto"/>
                <w:spacing w:val="-2"/>
                <w:kern w:val="0"/>
                <w:sz w:val="21"/>
                <w:szCs w:val="22"/>
                <w:highlight w:val="none"/>
                <w:lang w:val="zh-CN" w:eastAsia="zh-CN" w:bidi="zh-CN"/>
              </w:rPr>
            </w:pPr>
            <w:r>
              <w:rPr>
                <w:rFonts w:hint="eastAsia" w:ascii="宋体" w:hAnsi="宋体" w:eastAsia="宋体" w:cs="宋体"/>
                <w:color w:val="auto"/>
                <w:spacing w:val="-2"/>
                <w:kern w:val="0"/>
                <w:sz w:val="21"/>
                <w:szCs w:val="22"/>
                <w:highlight w:val="none"/>
                <w:lang w:val="zh-CN" w:eastAsia="zh-CN" w:bidi="zh-CN"/>
              </w:rPr>
              <w:t>注：1、</w:t>
            </w:r>
            <w:r>
              <w:rPr>
                <w:rFonts w:ascii="宋体" w:hAnsi="宋体" w:eastAsia="宋体" w:cs="宋体"/>
                <w:color w:val="auto"/>
                <w:kern w:val="0"/>
                <w:sz w:val="21"/>
                <w:szCs w:val="21"/>
                <w:highlight w:val="none"/>
                <w:lang w:val="zh-CN" w:eastAsia="zh-CN" w:bidi="zh-CN"/>
              </w:rPr>
              <w:t>施工组织设计</w:t>
            </w:r>
            <w:r>
              <w:rPr>
                <w:rFonts w:hint="eastAsia" w:ascii="宋体" w:hAnsi="宋体" w:eastAsia="宋体" w:cs="宋体"/>
                <w:color w:val="auto"/>
                <w:spacing w:val="-2"/>
                <w:kern w:val="0"/>
                <w:sz w:val="21"/>
                <w:szCs w:val="22"/>
                <w:highlight w:val="none"/>
                <w:lang w:val="zh-CN" w:eastAsia="zh-CN" w:bidi="zh-CN"/>
              </w:rPr>
              <w:t>评</w:t>
            </w:r>
            <w:r>
              <w:rPr>
                <w:rFonts w:hint="eastAsia" w:ascii="宋体" w:hAnsi="宋体" w:eastAsia="宋体" w:cs="宋体"/>
                <w:color w:val="auto"/>
                <w:spacing w:val="-2"/>
                <w:kern w:val="0"/>
                <w:sz w:val="21"/>
                <w:szCs w:val="22"/>
                <w:highlight w:val="none"/>
                <w:lang w:val="en-US" w:eastAsia="zh-CN" w:bidi="zh-CN"/>
              </w:rPr>
              <w:t>分因素细项</w:t>
            </w:r>
            <w:r>
              <w:rPr>
                <w:rFonts w:hint="eastAsia" w:ascii="宋体" w:hAnsi="宋体" w:eastAsia="宋体" w:cs="宋体"/>
                <w:color w:val="auto"/>
                <w:spacing w:val="-2"/>
                <w:kern w:val="0"/>
                <w:sz w:val="21"/>
                <w:szCs w:val="22"/>
                <w:highlight w:val="none"/>
                <w:lang w:val="zh-CN" w:eastAsia="zh-CN" w:bidi="zh-CN"/>
              </w:rPr>
              <w:t>缺项，</w:t>
            </w:r>
            <w:r>
              <w:rPr>
                <w:rFonts w:hint="eastAsia" w:ascii="宋体" w:hAnsi="宋体" w:eastAsia="宋体" w:cs="宋体"/>
                <w:color w:val="auto"/>
                <w:spacing w:val="-2"/>
                <w:kern w:val="0"/>
                <w:sz w:val="21"/>
                <w:szCs w:val="22"/>
                <w:highlight w:val="none"/>
                <w:lang w:val="en-US" w:eastAsia="zh-CN" w:bidi="zh-CN"/>
              </w:rPr>
              <w:t>则该项</w:t>
            </w:r>
            <w:r>
              <w:rPr>
                <w:rFonts w:hint="eastAsia" w:ascii="宋体" w:hAnsi="宋体" w:eastAsia="宋体" w:cs="宋体"/>
                <w:color w:val="auto"/>
                <w:spacing w:val="-2"/>
                <w:kern w:val="0"/>
                <w:sz w:val="21"/>
                <w:szCs w:val="22"/>
                <w:highlight w:val="none"/>
                <w:lang w:val="zh-CN" w:eastAsia="zh-CN" w:bidi="zh-CN"/>
              </w:rPr>
              <w:t>得</w:t>
            </w:r>
            <w:r>
              <w:rPr>
                <w:rFonts w:ascii="宋体" w:hAnsi="宋体" w:eastAsia="宋体" w:cs="宋体"/>
                <w:color w:val="auto"/>
                <w:spacing w:val="-2"/>
                <w:kern w:val="0"/>
                <w:sz w:val="21"/>
                <w:szCs w:val="22"/>
                <w:highlight w:val="none"/>
                <w:lang w:val="zh-CN" w:eastAsia="zh-CN" w:bidi="zh-CN"/>
              </w:rPr>
              <w:t>0</w:t>
            </w:r>
            <w:r>
              <w:rPr>
                <w:rFonts w:hint="eastAsia" w:ascii="宋体" w:hAnsi="宋体" w:eastAsia="宋体" w:cs="宋体"/>
                <w:color w:val="auto"/>
                <w:spacing w:val="-2"/>
                <w:kern w:val="0"/>
                <w:sz w:val="21"/>
                <w:szCs w:val="22"/>
                <w:highlight w:val="none"/>
                <w:lang w:val="zh-CN" w:eastAsia="zh-CN" w:bidi="zh-CN"/>
              </w:rPr>
              <w:t>分。</w:t>
            </w:r>
          </w:p>
          <w:p w14:paraId="3707E34F">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spacing w:val="-2"/>
                <w:kern w:val="28"/>
                <w:sz w:val="21"/>
                <w:szCs w:val="20"/>
                <w:highlight w:val="none"/>
              </w:rPr>
              <w:t>2、评委打分保留小数点后1位小数，</w:t>
            </w:r>
            <w:r>
              <w:rPr>
                <w:rFonts w:hint="eastAsia" w:ascii="Times New Roman" w:hAnsi="Times New Roman" w:eastAsia="宋体" w:cs="Times New Roman"/>
                <w:color w:val="auto"/>
                <w:kern w:val="28"/>
                <w:sz w:val="21"/>
                <w:szCs w:val="21"/>
                <w:highlight w:val="none"/>
              </w:rPr>
              <w:t>投标人总得分为各评委得分的算术平均值（四舍五入保留两位小数）。</w:t>
            </w:r>
          </w:p>
        </w:tc>
      </w:tr>
    </w:tbl>
    <w:p w14:paraId="0D4110A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570B37"/>
    <w:multiLevelType w:val="singleLevel"/>
    <w:tmpl w:val="CE570B37"/>
    <w:lvl w:ilvl="0" w:tentative="0">
      <w:start w:val="3"/>
      <w:numFmt w:val="chineseCounting"/>
      <w:suff w:val="nothing"/>
      <w:lvlText w:val="%1、"/>
      <w:lvlJc w:val="left"/>
      <w:rPr>
        <w:rFonts w:hint="eastAsia"/>
      </w:rPr>
    </w:lvl>
  </w:abstractNum>
  <w:abstractNum w:abstractNumId="1">
    <w:nsid w:val="725A4E50"/>
    <w:multiLevelType w:val="singleLevel"/>
    <w:tmpl w:val="725A4E50"/>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kMjFjMTdmNjM4YWZhY2QyMTVhZjBlOTFkOGFhODgifQ=="/>
  </w:docVars>
  <w:rsids>
    <w:rsidRoot w:val="17BE1301"/>
    <w:rsid w:val="17BE1301"/>
    <w:rsid w:val="3FCB55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7388</Words>
  <Characters>8180</Characters>
  <Lines>0</Lines>
  <Paragraphs>0</Paragraphs>
  <TotalTime>0</TotalTime>
  <ScaleCrop>false</ScaleCrop>
  <LinksUpToDate>false</LinksUpToDate>
  <CharactersWithSpaces>8253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2026-09-28T03:14:00Z</dcterms:created>
  <dc:creator>Administrator</dc:creator>
  <cp:lastModifiedBy>冯士峰</cp:lastModifiedBy>
  <dcterms:modified xsi:type="dcterms:W3CDTF">2026-09-28T10:23:36Z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155EB352AEB44849AEC9B80BB12A4E56_11</vt:lpwstr>
  </property>
  <property fmtid="{D5CDD505-2E9C-101B-9397-08002B2CF9AE}" pid="4" name="KSOTemplateDocerSaveRecord">
    <vt:lpwstr>eyJoZGlkIjoiMjNhMGNiNzBmYzRmYmU1YWU1ZDVjYzI3MTI0YTIzZjQiLCJ1c2VySWQiOiIxNjg3ODQzOTczIn0=</vt:lpwstr>
  </property>
</Properties>
</file>