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9584F">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0" w:name="_Toc131956854"/>
      <w:r>
        <w:rPr>
          <w:rFonts w:hint="eastAsia" w:cs="Times New Roman" w:asciiTheme="minorEastAsia" w:hAnsiTheme="minorEastAsia" w:eastAsiaTheme="minorEastAsia"/>
          <w:color w:val="auto"/>
          <w:spacing w:val="-2"/>
          <w:sz w:val="24"/>
          <w:szCs w:val="24"/>
          <w:highlight w:val="none"/>
        </w:rPr>
        <w:t>附件1：资格审查条件</w:t>
      </w:r>
      <w:bookmarkEnd w:id="0"/>
    </w:p>
    <w:p w14:paraId="55ED9A60">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1" w:name="_Toc131956855"/>
      <w:r>
        <w:rPr>
          <w:rFonts w:hint="eastAsia" w:cs="Times New Roman" w:asciiTheme="minorEastAsia" w:hAnsiTheme="minorEastAsia" w:eastAsiaTheme="minorEastAsia"/>
          <w:color w:val="auto"/>
          <w:spacing w:val="-2"/>
          <w:sz w:val="24"/>
          <w:szCs w:val="24"/>
          <w:highlight w:val="none"/>
        </w:rPr>
        <w:t>附录1  资格审查条件(资质最低</w:t>
      </w:r>
      <w:r>
        <w:rPr>
          <w:rFonts w:hint="eastAsia" w:cs="Times New Roman" w:asciiTheme="minorEastAsia" w:hAnsiTheme="minorEastAsia" w:eastAsiaTheme="minorEastAsia"/>
          <w:color w:val="auto"/>
          <w:spacing w:val="-2"/>
          <w:sz w:val="24"/>
          <w:szCs w:val="24"/>
          <w:highlight w:val="none"/>
          <w:lang w:eastAsia="zh-CN"/>
        </w:rPr>
        <w:t>要求</w:t>
      </w:r>
      <w:r>
        <w:rPr>
          <w:rFonts w:hint="eastAsia" w:cs="Times New Roman" w:asciiTheme="minorEastAsia" w:hAnsiTheme="minorEastAsia" w:eastAsiaTheme="minorEastAsia"/>
          <w:color w:val="auto"/>
          <w:spacing w:val="-2"/>
          <w:sz w:val="24"/>
          <w:szCs w:val="24"/>
          <w:highlight w:val="none"/>
        </w:rPr>
        <w:t>)</w:t>
      </w:r>
      <w:bookmarkEnd w:id="1"/>
    </w:p>
    <w:tbl>
      <w:tblPr>
        <w:tblStyle w:val="6"/>
        <w:tblW w:w="84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84"/>
        <w:gridCol w:w="7514"/>
      </w:tblGrid>
      <w:tr w14:paraId="47AB6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92" w:hRule="atLeast"/>
          <w:jc w:val="center"/>
        </w:trPr>
        <w:tc>
          <w:tcPr>
            <w:tcW w:w="984" w:type="dxa"/>
            <w:tcBorders>
              <w:top w:val="single" w:color="000000" w:sz="2" w:space="0"/>
              <w:left w:val="single" w:color="auto" w:sz="4" w:space="0"/>
              <w:bottom w:val="single" w:color="000000" w:sz="4" w:space="0"/>
              <w:right w:val="single" w:color="auto" w:sz="4" w:space="0"/>
            </w:tcBorders>
            <w:vAlign w:val="center"/>
          </w:tcPr>
          <w:p w14:paraId="49D595E4">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标段号</w:t>
            </w:r>
          </w:p>
        </w:tc>
        <w:tc>
          <w:tcPr>
            <w:tcW w:w="7514" w:type="dxa"/>
            <w:tcBorders>
              <w:top w:val="single" w:color="000000" w:sz="2" w:space="0"/>
              <w:left w:val="single" w:color="auto" w:sz="4" w:space="0"/>
              <w:bottom w:val="single" w:color="000000" w:sz="4" w:space="0"/>
              <w:right w:val="single" w:color="000000" w:sz="2" w:space="0"/>
            </w:tcBorders>
            <w:vAlign w:val="center"/>
          </w:tcPr>
          <w:p w14:paraId="21E41FFA">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资质要求</w:t>
            </w:r>
          </w:p>
        </w:tc>
      </w:tr>
      <w:tr w14:paraId="791FB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9" w:hRule="atLeast"/>
          <w:jc w:val="center"/>
        </w:trPr>
        <w:tc>
          <w:tcPr>
            <w:tcW w:w="984" w:type="dxa"/>
            <w:vMerge w:val="restart"/>
            <w:tcBorders>
              <w:top w:val="single" w:color="000000" w:sz="2" w:space="0"/>
              <w:left w:val="single" w:color="auto" w:sz="4" w:space="0"/>
              <w:right w:val="single" w:color="auto" w:sz="4" w:space="0"/>
            </w:tcBorders>
            <w:vAlign w:val="center"/>
          </w:tcPr>
          <w:p w14:paraId="5258C087">
            <w:pPr>
              <w:pStyle w:val="2"/>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rPr>
            </w:pPr>
            <w:r>
              <w:rPr>
                <w:rFonts w:hint="eastAsia" w:cs="Times New Roman" w:asciiTheme="minorEastAsia" w:hAnsiTheme="minorEastAsia" w:eastAsiaTheme="minorEastAsia"/>
                <w:color w:val="auto"/>
                <w:spacing w:val="-2"/>
                <w:sz w:val="21"/>
                <w:szCs w:val="21"/>
                <w:highlight w:val="none"/>
              </w:rPr>
              <w:t>JL0</w:t>
            </w:r>
          </w:p>
        </w:tc>
        <w:tc>
          <w:tcPr>
            <w:tcW w:w="7514" w:type="dxa"/>
            <w:vMerge w:val="restart"/>
            <w:tcBorders>
              <w:top w:val="single" w:color="000000" w:sz="2" w:space="0"/>
              <w:left w:val="single" w:color="auto" w:sz="4" w:space="0"/>
              <w:right w:val="single" w:color="000000" w:sz="2" w:space="0"/>
            </w:tcBorders>
            <w:vAlign w:val="center"/>
          </w:tcPr>
          <w:p w14:paraId="17D6D579">
            <w:pPr>
              <w:pStyle w:val="2"/>
              <w:numPr>
                <w:ilvl w:val="0"/>
                <w:numId w:val="0"/>
              </w:numPr>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rPr>
            </w:pPr>
            <w:bookmarkStart w:id="2" w:name="OLE_LINK6"/>
            <w:r>
              <w:rPr>
                <w:rFonts w:hint="eastAsia" w:cs="Times New Roman" w:asciiTheme="minorEastAsia" w:hAnsiTheme="minorEastAsia" w:eastAsiaTheme="minorEastAsia"/>
                <w:b/>
                <w:bCs/>
                <w:color w:val="auto"/>
                <w:spacing w:val="-2"/>
                <w:kern w:val="2"/>
                <w:sz w:val="21"/>
                <w:szCs w:val="21"/>
                <w:highlight w:val="none"/>
                <w:lang w:val="en-US" w:eastAsia="zh-CN" w:bidi="ar-SA"/>
              </w:rPr>
              <w:t>1.</w:t>
            </w:r>
            <w:r>
              <w:rPr>
                <w:rFonts w:hint="eastAsia" w:cs="Times New Roman" w:asciiTheme="minorEastAsia" w:hAnsiTheme="minorEastAsia" w:eastAsiaTheme="minorEastAsia"/>
                <w:color w:val="auto"/>
                <w:spacing w:val="-2"/>
                <w:sz w:val="21"/>
                <w:szCs w:val="21"/>
                <w:highlight w:val="none"/>
              </w:rPr>
              <w:t>具有独立企业法人资格，持有有效的企业法人营业执照；</w:t>
            </w:r>
          </w:p>
          <w:p w14:paraId="501A8B6C">
            <w:pPr>
              <w:pStyle w:val="2"/>
              <w:numPr>
                <w:ilvl w:val="0"/>
                <w:numId w:val="0"/>
              </w:numPr>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rPr>
            </w:pPr>
            <w:r>
              <w:rPr>
                <w:rFonts w:hint="eastAsia" w:cs="Times New Roman" w:asciiTheme="minorEastAsia" w:hAnsiTheme="minorEastAsia" w:eastAsiaTheme="minorEastAsia"/>
                <w:b/>
                <w:bCs/>
                <w:color w:val="auto"/>
                <w:spacing w:val="-2"/>
                <w:kern w:val="2"/>
                <w:sz w:val="21"/>
                <w:szCs w:val="21"/>
                <w:highlight w:val="none"/>
                <w:lang w:val="en-US" w:eastAsia="zh-CN" w:bidi="ar-SA"/>
              </w:rPr>
              <w:t>2.</w:t>
            </w:r>
            <w:r>
              <w:rPr>
                <w:rFonts w:hint="eastAsia" w:cs="Times New Roman" w:asciiTheme="minorEastAsia" w:hAnsiTheme="minorEastAsia" w:eastAsiaTheme="minorEastAsia"/>
                <w:color w:val="auto"/>
                <w:spacing w:val="-2"/>
                <w:sz w:val="21"/>
                <w:szCs w:val="21"/>
                <w:highlight w:val="none"/>
              </w:rPr>
              <w:t>具备交通运输部颁发的公路工程监理甲级资质</w:t>
            </w:r>
            <w:bookmarkEnd w:id="2"/>
            <w:r>
              <w:rPr>
                <w:rFonts w:hint="eastAsia" w:cs="Times New Roman" w:asciiTheme="minorEastAsia" w:hAnsiTheme="minorEastAsia" w:eastAsiaTheme="minorEastAsia"/>
                <w:color w:val="auto"/>
                <w:spacing w:val="-2"/>
                <w:sz w:val="21"/>
                <w:szCs w:val="21"/>
                <w:highlight w:val="none"/>
              </w:rPr>
              <w:t>。</w:t>
            </w:r>
          </w:p>
          <w:p w14:paraId="25639A35">
            <w:pPr>
              <w:pStyle w:val="2"/>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lang w:eastAsia="zh-CN"/>
              </w:rPr>
            </w:pPr>
            <w:r>
              <w:rPr>
                <w:rFonts w:hint="eastAsia" w:cs="Times New Roman" w:asciiTheme="minorEastAsia" w:hAnsiTheme="minorEastAsia" w:eastAsiaTheme="minorEastAsia"/>
                <w:color w:val="auto"/>
                <w:spacing w:val="-2"/>
                <w:sz w:val="21"/>
                <w:szCs w:val="21"/>
                <w:highlight w:val="none"/>
              </w:rPr>
              <w:t>3.具备交通运输部颁发的公路机电工程专项监理资质</w:t>
            </w:r>
            <w:r>
              <w:rPr>
                <w:rFonts w:hint="eastAsia" w:cs="Times New Roman" w:asciiTheme="minorEastAsia" w:hAnsiTheme="minorEastAsia" w:eastAsiaTheme="minorEastAsia"/>
                <w:color w:val="auto"/>
                <w:spacing w:val="-2"/>
                <w:sz w:val="21"/>
                <w:szCs w:val="21"/>
                <w:highlight w:val="none"/>
                <w:lang w:eastAsia="zh-CN"/>
              </w:rPr>
              <w:t>。</w:t>
            </w:r>
          </w:p>
        </w:tc>
      </w:tr>
      <w:tr w14:paraId="414A8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45" w:hRule="atLeast"/>
          <w:jc w:val="center"/>
        </w:trPr>
        <w:tc>
          <w:tcPr>
            <w:tcW w:w="984" w:type="dxa"/>
            <w:vMerge w:val="continue"/>
            <w:tcBorders>
              <w:left w:val="single" w:color="auto" w:sz="4" w:space="0"/>
              <w:bottom w:val="single" w:color="auto" w:sz="4" w:space="0"/>
              <w:right w:val="single" w:color="auto" w:sz="4" w:space="0"/>
            </w:tcBorders>
            <w:vAlign w:val="center"/>
          </w:tcPr>
          <w:p w14:paraId="7D3A8D1D">
            <w:pPr>
              <w:pStyle w:val="2"/>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rPr>
            </w:pPr>
          </w:p>
        </w:tc>
        <w:tc>
          <w:tcPr>
            <w:tcW w:w="7514" w:type="dxa"/>
            <w:vMerge w:val="continue"/>
            <w:tcBorders>
              <w:left w:val="single" w:color="auto" w:sz="4" w:space="0"/>
              <w:bottom w:val="single" w:color="auto" w:sz="4" w:space="0"/>
              <w:right w:val="single" w:color="000000" w:sz="2" w:space="0"/>
            </w:tcBorders>
            <w:vAlign w:val="center"/>
          </w:tcPr>
          <w:p w14:paraId="4A448260">
            <w:pPr>
              <w:pStyle w:val="2"/>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rPr>
            </w:pPr>
          </w:p>
        </w:tc>
      </w:tr>
      <w:tr w14:paraId="774E7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42" w:hRule="atLeast"/>
          <w:jc w:val="center"/>
        </w:trPr>
        <w:tc>
          <w:tcPr>
            <w:tcW w:w="984" w:type="dxa"/>
            <w:tcBorders>
              <w:top w:val="single" w:color="auto" w:sz="4" w:space="0"/>
              <w:left w:val="single" w:color="auto" w:sz="4" w:space="0"/>
              <w:right w:val="single" w:color="auto" w:sz="4" w:space="0"/>
            </w:tcBorders>
            <w:vAlign w:val="center"/>
          </w:tcPr>
          <w:p w14:paraId="0E975682">
            <w:pPr>
              <w:pStyle w:val="2"/>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rPr>
            </w:pPr>
            <w:bookmarkStart w:id="3" w:name="OLE_LINK2"/>
            <w:r>
              <w:rPr>
                <w:rFonts w:hint="eastAsia" w:cs="Times New Roman" w:asciiTheme="minorEastAsia" w:hAnsiTheme="minorEastAsia" w:eastAsiaTheme="minorEastAsia"/>
                <w:color w:val="auto"/>
                <w:spacing w:val="-2"/>
                <w:sz w:val="21"/>
                <w:szCs w:val="21"/>
                <w:highlight w:val="none"/>
              </w:rPr>
              <w:t>JL1/JL2</w:t>
            </w:r>
            <w:bookmarkEnd w:id="3"/>
          </w:p>
        </w:tc>
        <w:tc>
          <w:tcPr>
            <w:tcW w:w="7514" w:type="dxa"/>
            <w:tcBorders>
              <w:top w:val="single" w:color="auto" w:sz="4" w:space="0"/>
              <w:left w:val="single" w:color="auto" w:sz="4" w:space="0"/>
              <w:bottom w:val="single" w:color="000000" w:sz="2" w:space="0"/>
              <w:right w:val="single" w:color="000000" w:sz="2" w:space="0"/>
            </w:tcBorders>
            <w:vAlign w:val="center"/>
          </w:tcPr>
          <w:p w14:paraId="5EDE7EC2">
            <w:pPr>
              <w:pStyle w:val="2"/>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rPr>
            </w:pPr>
            <w:r>
              <w:rPr>
                <w:rFonts w:hint="eastAsia" w:cs="Times New Roman" w:asciiTheme="minorEastAsia" w:hAnsiTheme="minorEastAsia" w:eastAsiaTheme="minorEastAsia"/>
                <w:color w:val="auto"/>
                <w:spacing w:val="-2"/>
                <w:sz w:val="21"/>
                <w:szCs w:val="21"/>
                <w:highlight w:val="none"/>
              </w:rPr>
              <w:t>1.具有独立企业法人资格，持有有效的企业法人营业执照；</w:t>
            </w:r>
          </w:p>
          <w:p w14:paraId="18B1C7E6">
            <w:pPr>
              <w:pStyle w:val="2"/>
              <w:adjustRightInd w:val="0"/>
              <w:snapToGrid w:val="0"/>
              <w:spacing w:before="0" w:after="0" w:line="360" w:lineRule="auto"/>
              <w:rPr>
                <w:rFonts w:hint="eastAsia" w:cs="Times New Roman" w:asciiTheme="minorEastAsia" w:hAnsiTheme="minorEastAsia" w:eastAsiaTheme="minorEastAsia"/>
                <w:color w:val="auto"/>
                <w:spacing w:val="-2"/>
                <w:sz w:val="21"/>
                <w:szCs w:val="21"/>
                <w:highlight w:val="none"/>
              </w:rPr>
            </w:pPr>
            <w:r>
              <w:rPr>
                <w:rFonts w:hint="eastAsia" w:cs="Times New Roman" w:asciiTheme="minorEastAsia" w:hAnsiTheme="minorEastAsia" w:eastAsiaTheme="minorEastAsia"/>
                <w:color w:val="auto"/>
                <w:spacing w:val="-2"/>
                <w:sz w:val="21"/>
                <w:szCs w:val="21"/>
                <w:highlight w:val="none"/>
              </w:rPr>
              <w:t>2.具备交通运输部颁发的公路工程监理甲级资质。</w:t>
            </w:r>
          </w:p>
        </w:tc>
      </w:tr>
    </w:tbl>
    <w:p w14:paraId="20C8BED8">
      <w:pPr>
        <w:rPr>
          <w:color w:val="auto"/>
          <w:highlight w:val="none"/>
        </w:rPr>
      </w:pPr>
    </w:p>
    <w:p w14:paraId="504E2E46">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4" w:name="_Toc131956856"/>
      <w:r>
        <w:rPr>
          <w:rFonts w:hint="eastAsia" w:cs="Times New Roman" w:asciiTheme="minorEastAsia" w:hAnsiTheme="minorEastAsia" w:eastAsiaTheme="minorEastAsia"/>
          <w:color w:val="auto"/>
          <w:spacing w:val="-2"/>
          <w:sz w:val="24"/>
          <w:szCs w:val="24"/>
          <w:highlight w:val="none"/>
        </w:rPr>
        <w:t>附录2  资格审查条件(业绩最低要求)</w:t>
      </w:r>
      <w:bookmarkEnd w:id="4"/>
    </w:p>
    <w:tbl>
      <w:tblPr>
        <w:tblStyle w:val="6"/>
        <w:tblW w:w="84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84"/>
        <w:gridCol w:w="7501"/>
      </w:tblGrid>
      <w:tr w14:paraId="7A32E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42" w:hRule="atLeast"/>
          <w:jc w:val="center"/>
        </w:trPr>
        <w:tc>
          <w:tcPr>
            <w:tcW w:w="984" w:type="dxa"/>
            <w:tcBorders>
              <w:top w:val="single" w:color="000000" w:sz="2" w:space="0"/>
              <w:left w:val="single" w:color="auto" w:sz="4" w:space="0"/>
              <w:bottom w:val="single" w:color="000000" w:sz="4" w:space="0"/>
              <w:right w:val="single" w:color="auto" w:sz="4" w:space="0"/>
            </w:tcBorders>
            <w:vAlign w:val="center"/>
          </w:tcPr>
          <w:p w14:paraId="0058474E">
            <w:pPr>
              <w:jc w:val="center"/>
              <w:textAlignment w:val="baseline"/>
              <w:rPr>
                <w:rStyle w:val="8"/>
                <w:rFonts w:hint="eastAsia" w:ascii="宋体" w:hAnsi="宋体" w:cs="宋体"/>
                <w:b/>
                <w:color w:val="auto"/>
                <w:szCs w:val="21"/>
                <w:highlight w:val="none"/>
              </w:rPr>
            </w:pPr>
            <w:r>
              <w:rPr>
                <w:rStyle w:val="8"/>
                <w:rFonts w:hint="eastAsia" w:ascii="宋体" w:hAnsi="宋体"/>
                <w:b/>
                <w:color w:val="auto"/>
                <w:szCs w:val="21"/>
                <w:highlight w:val="none"/>
              </w:rPr>
              <w:t>标段号</w:t>
            </w:r>
          </w:p>
        </w:tc>
        <w:tc>
          <w:tcPr>
            <w:tcW w:w="7501" w:type="dxa"/>
            <w:tcBorders>
              <w:top w:val="single" w:color="000000" w:sz="2" w:space="0"/>
              <w:left w:val="single" w:color="auto" w:sz="4" w:space="0"/>
              <w:bottom w:val="single" w:color="000000" w:sz="4" w:space="0"/>
              <w:right w:val="single" w:color="000000" w:sz="2" w:space="0"/>
            </w:tcBorders>
            <w:vAlign w:val="center"/>
          </w:tcPr>
          <w:p w14:paraId="55B41FC0">
            <w:pPr>
              <w:jc w:val="center"/>
              <w:textAlignment w:val="baseline"/>
              <w:rPr>
                <w:rStyle w:val="8"/>
                <w:rFonts w:hint="eastAsia" w:ascii="宋体" w:hAnsi="宋体" w:cs="宋体"/>
                <w:b/>
                <w:color w:val="auto"/>
                <w:szCs w:val="21"/>
                <w:highlight w:val="none"/>
              </w:rPr>
            </w:pPr>
            <w:r>
              <w:rPr>
                <w:rStyle w:val="8"/>
                <w:rFonts w:hint="eastAsia" w:ascii="宋体" w:hAnsi="宋体" w:cs="宋体"/>
                <w:b/>
                <w:color w:val="auto"/>
                <w:szCs w:val="21"/>
                <w:highlight w:val="none"/>
              </w:rPr>
              <w:t>业绩要求</w:t>
            </w:r>
          </w:p>
        </w:tc>
      </w:tr>
      <w:tr w14:paraId="49DDA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7" w:hRule="atLeast"/>
          <w:jc w:val="center"/>
        </w:trPr>
        <w:tc>
          <w:tcPr>
            <w:tcW w:w="984" w:type="dxa"/>
            <w:tcBorders>
              <w:top w:val="single" w:color="000000" w:sz="2" w:space="0"/>
              <w:left w:val="single" w:color="auto" w:sz="4" w:space="0"/>
              <w:bottom w:val="single" w:color="auto" w:sz="4" w:space="0"/>
              <w:right w:val="single" w:color="auto" w:sz="4" w:space="0"/>
            </w:tcBorders>
            <w:vAlign w:val="center"/>
          </w:tcPr>
          <w:p w14:paraId="07F19414">
            <w:pPr>
              <w:spacing w:line="260" w:lineRule="exact"/>
              <w:ind w:right="-2"/>
              <w:jc w:val="center"/>
              <w:rPr>
                <w:rFonts w:hint="eastAsia" w:ascii="宋体" w:hAnsi="宋体" w:cs="宋体"/>
                <w:color w:val="auto"/>
                <w:kern w:val="0"/>
                <w:szCs w:val="21"/>
                <w:highlight w:val="none"/>
                <w:lang w:bidi="ar"/>
              </w:rPr>
            </w:pPr>
            <w:r>
              <w:rPr>
                <w:rFonts w:hint="eastAsia" w:ascii="宋体" w:hAnsi="宋体"/>
                <w:color w:val="auto"/>
                <w:szCs w:val="21"/>
                <w:highlight w:val="none"/>
              </w:rPr>
              <w:t>JL0</w:t>
            </w:r>
          </w:p>
        </w:tc>
        <w:tc>
          <w:tcPr>
            <w:tcW w:w="7501" w:type="dxa"/>
            <w:tcBorders>
              <w:top w:val="single" w:color="000000" w:sz="2" w:space="0"/>
              <w:left w:val="single" w:color="auto" w:sz="4" w:space="0"/>
              <w:bottom w:val="single" w:color="auto" w:sz="4" w:space="0"/>
              <w:right w:val="single" w:color="000000" w:sz="2" w:space="0"/>
            </w:tcBorders>
            <w:vAlign w:val="center"/>
          </w:tcPr>
          <w:p w14:paraId="2145B15C">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近</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年内（20</w:t>
            </w:r>
            <w:r>
              <w:rPr>
                <w:rFonts w:hint="eastAsia" w:ascii="宋体" w:hAnsi="宋体" w:cs="宋体"/>
                <w:color w:val="auto"/>
                <w:kern w:val="0"/>
                <w:szCs w:val="21"/>
                <w:highlight w:val="none"/>
                <w:lang w:val="en-US" w:eastAsia="zh-CN" w:bidi="ar"/>
              </w:rPr>
              <w:t>21</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bidi="ar"/>
              </w:rPr>
              <w:t>月1日至今，以交工时间为准），至少独立成功地完成过1条（段）新建或改扩建高速公路</w:t>
            </w:r>
            <w:r>
              <w:rPr>
                <w:rFonts w:hint="eastAsia" w:ascii="宋体" w:hAnsi="宋体" w:cs="宋体"/>
                <w:color w:val="auto"/>
                <w:kern w:val="0"/>
                <w:szCs w:val="21"/>
                <w:highlight w:val="none"/>
                <w:lang w:eastAsia="zh-CN" w:bidi="ar"/>
              </w:rPr>
              <w:t>工程（</w:t>
            </w:r>
            <w:r>
              <w:rPr>
                <w:rFonts w:hint="eastAsia" w:ascii="宋体" w:hAnsi="宋体" w:cs="宋体"/>
                <w:color w:val="auto"/>
                <w:kern w:val="0"/>
                <w:szCs w:val="21"/>
                <w:highlight w:val="none"/>
                <w:lang w:bidi="ar"/>
              </w:rPr>
              <w:t>同时包含路基、</w:t>
            </w:r>
            <w:r>
              <w:rPr>
                <w:rFonts w:hint="eastAsia" w:ascii="宋体" w:hAnsi="宋体" w:cs="宋体"/>
                <w:color w:val="auto"/>
                <w:szCs w:val="21"/>
                <w:highlight w:val="none"/>
              </w:rPr>
              <w:t>路面</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桥梁、</w:t>
            </w:r>
            <w:r>
              <w:rPr>
                <w:rFonts w:hint="eastAsia" w:ascii="宋体" w:hAnsi="宋体" w:cs="宋体"/>
                <w:color w:val="auto"/>
                <w:kern w:val="0"/>
                <w:szCs w:val="21"/>
                <w:highlight w:val="none"/>
                <w:lang w:bidi="ar"/>
              </w:rPr>
              <w:t>交通安全设施工程</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总监办</w:t>
            </w:r>
            <w:r>
              <w:rPr>
                <w:rFonts w:hint="eastAsia" w:ascii="宋体" w:hAnsi="宋体" w:cs="宋体"/>
                <w:color w:val="auto"/>
                <w:kern w:val="0"/>
                <w:szCs w:val="21"/>
                <w:highlight w:val="none"/>
                <w:lang w:bidi="ar"/>
              </w:rPr>
              <w:t>施工监理业绩。</w:t>
            </w:r>
          </w:p>
        </w:tc>
      </w:tr>
      <w:tr w14:paraId="1602D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20" w:hRule="atLeast"/>
          <w:jc w:val="center"/>
        </w:trPr>
        <w:tc>
          <w:tcPr>
            <w:tcW w:w="984" w:type="dxa"/>
            <w:tcBorders>
              <w:top w:val="single" w:color="auto" w:sz="4" w:space="0"/>
              <w:left w:val="single" w:color="auto" w:sz="4" w:space="0"/>
              <w:bottom w:val="single" w:color="auto" w:sz="4" w:space="0"/>
              <w:right w:val="single" w:color="auto" w:sz="4" w:space="0"/>
            </w:tcBorders>
            <w:vAlign w:val="center"/>
          </w:tcPr>
          <w:p w14:paraId="118D9CF7">
            <w:pPr>
              <w:spacing w:line="260" w:lineRule="exact"/>
              <w:ind w:right="-2"/>
              <w:jc w:val="center"/>
              <w:rPr>
                <w:rFonts w:hint="eastAsia" w:ascii="宋体" w:hAnsi="宋体" w:cs="宋体"/>
                <w:color w:val="auto"/>
                <w:kern w:val="0"/>
                <w:szCs w:val="21"/>
                <w:highlight w:val="none"/>
                <w:lang w:bidi="ar"/>
              </w:rPr>
            </w:pPr>
            <w:bookmarkStart w:id="5" w:name="_Toc131956857"/>
            <w:r>
              <w:rPr>
                <w:rFonts w:hint="eastAsia" w:ascii="宋体" w:hAnsi="宋体"/>
                <w:color w:val="auto"/>
                <w:szCs w:val="21"/>
                <w:highlight w:val="none"/>
              </w:rPr>
              <w:t>JL1/JL2</w:t>
            </w:r>
          </w:p>
        </w:tc>
        <w:tc>
          <w:tcPr>
            <w:tcW w:w="7501" w:type="dxa"/>
            <w:tcBorders>
              <w:top w:val="single" w:color="auto" w:sz="4" w:space="0"/>
              <w:left w:val="single" w:color="auto" w:sz="4" w:space="0"/>
              <w:bottom w:val="single" w:color="auto" w:sz="4" w:space="0"/>
              <w:right w:val="single" w:color="000000" w:sz="2" w:space="0"/>
            </w:tcBorders>
            <w:vAlign w:val="center"/>
          </w:tcPr>
          <w:p w14:paraId="00CB6588">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近</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年内（20</w:t>
            </w:r>
            <w:r>
              <w:rPr>
                <w:rFonts w:hint="eastAsia" w:ascii="宋体" w:hAnsi="宋体" w:cs="宋体"/>
                <w:color w:val="auto"/>
                <w:kern w:val="0"/>
                <w:szCs w:val="21"/>
                <w:highlight w:val="none"/>
                <w:lang w:val="en-US" w:eastAsia="zh-CN" w:bidi="ar"/>
              </w:rPr>
              <w:t>21</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bidi="ar"/>
              </w:rPr>
              <w:t>月1日至今，以交工时间为准），至少独立成功地完成过1条（段）新建或改扩建高速公路</w:t>
            </w:r>
            <w:r>
              <w:rPr>
                <w:rFonts w:hint="eastAsia" w:ascii="宋体" w:hAnsi="宋体" w:cs="宋体"/>
                <w:color w:val="auto"/>
                <w:szCs w:val="21"/>
                <w:highlight w:val="none"/>
              </w:rPr>
              <w:t>工程</w:t>
            </w:r>
            <w:r>
              <w:rPr>
                <w:rFonts w:hint="eastAsia" w:ascii="宋体" w:hAnsi="宋体" w:cs="宋体"/>
                <w:color w:val="auto"/>
                <w:szCs w:val="21"/>
                <w:highlight w:val="none"/>
                <w:lang w:eastAsia="zh-CN"/>
              </w:rPr>
              <w:t>（同时包含路基、</w:t>
            </w:r>
            <w:r>
              <w:rPr>
                <w:rFonts w:hint="eastAsia" w:ascii="宋体" w:hAnsi="宋体" w:cs="宋体"/>
                <w:color w:val="auto"/>
                <w:szCs w:val="21"/>
                <w:highlight w:val="none"/>
                <w:lang w:val="en-US" w:eastAsia="zh-CN"/>
              </w:rPr>
              <w:t>桥梁工程</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bidi="ar"/>
              </w:rPr>
              <w:t>施工监理业绩。</w:t>
            </w:r>
          </w:p>
        </w:tc>
      </w:tr>
    </w:tbl>
    <w:p w14:paraId="6897B466">
      <w:pPr>
        <w:pStyle w:val="4"/>
        <w:rPr>
          <w:color w:val="auto"/>
          <w:highlight w:val="none"/>
        </w:rPr>
      </w:pPr>
    </w:p>
    <w:p w14:paraId="1EF08A91">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附录3  资格审查条件(信誉最低要求)</w:t>
      </w:r>
      <w:bookmarkEnd w:id="5"/>
    </w:p>
    <w:tbl>
      <w:tblPr>
        <w:tblStyle w:val="6"/>
        <w:tblW w:w="84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20"/>
        <w:gridCol w:w="7463"/>
      </w:tblGrid>
      <w:tr w14:paraId="34E1C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20" w:hRule="atLeast"/>
          <w:jc w:val="center"/>
        </w:trPr>
        <w:tc>
          <w:tcPr>
            <w:tcW w:w="1020" w:type="dxa"/>
            <w:tcBorders>
              <w:top w:val="single" w:color="000000" w:sz="2" w:space="0"/>
              <w:left w:val="single" w:color="auto" w:sz="4" w:space="0"/>
              <w:bottom w:val="single" w:color="000000" w:sz="4" w:space="0"/>
              <w:right w:val="single" w:color="auto" w:sz="4" w:space="0"/>
            </w:tcBorders>
            <w:vAlign w:val="center"/>
          </w:tcPr>
          <w:p w14:paraId="6D9ACC51">
            <w:pPr>
              <w:jc w:val="center"/>
              <w:textAlignment w:val="baseline"/>
              <w:rPr>
                <w:rStyle w:val="8"/>
                <w:rFonts w:hint="eastAsia" w:asciiTheme="minorEastAsia" w:hAnsiTheme="minorEastAsia" w:eastAsiaTheme="minorEastAsia"/>
                <w:b/>
                <w:color w:val="auto"/>
                <w:szCs w:val="21"/>
                <w:highlight w:val="none"/>
              </w:rPr>
            </w:pPr>
            <w:r>
              <w:rPr>
                <w:rStyle w:val="8"/>
                <w:rFonts w:hint="eastAsia" w:ascii="宋体" w:hAnsi="宋体"/>
                <w:b/>
                <w:color w:val="auto"/>
                <w:szCs w:val="21"/>
                <w:highlight w:val="none"/>
              </w:rPr>
              <w:t>标段号</w:t>
            </w:r>
          </w:p>
        </w:tc>
        <w:tc>
          <w:tcPr>
            <w:tcW w:w="7463" w:type="dxa"/>
            <w:tcBorders>
              <w:top w:val="single" w:color="000000" w:sz="2" w:space="0"/>
              <w:left w:val="single" w:color="auto" w:sz="4" w:space="0"/>
              <w:bottom w:val="single" w:color="000000" w:sz="4" w:space="0"/>
              <w:right w:val="single" w:color="000000" w:sz="2" w:space="0"/>
            </w:tcBorders>
            <w:vAlign w:val="center"/>
          </w:tcPr>
          <w:p w14:paraId="669D2002">
            <w:pPr>
              <w:jc w:val="center"/>
              <w:textAlignment w:val="baseline"/>
              <w:rPr>
                <w:rStyle w:val="8"/>
                <w:rFonts w:hint="eastAsia" w:asciiTheme="minorEastAsia" w:hAnsiTheme="minorEastAsia" w:eastAsiaTheme="minorEastAsia"/>
                <w:b/>
                <w:color w:val="auto"/>
                <w:szCs w:val="21"/>
                <w:highlight w:val="none"/>
              </w:rPr>
            </w:pPr>
            <w:r>
              <w:rPr>
                <w:rStyle w:val="8"/>
                <w:rFonts w:hint="eastAsia" w:asciiTheme="minorEastAsia" w:hAnsiTheme="minorEastAsia" w:eastAsiaTheme="minorEastAsia"/>
                <w:b/>
                <w:color w:val="auto"/>
                <w:szCs w:val="21"/>
                <w:highlight w:val="none"/>
              </w:rPr>
              <w:t>信誉要求</w:t>
            </w:r>
          </w:p>
        </w:tc>
      </w:tr>
      <w:tr w14:paraId="2626A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020" w:type="dxa"/>
            <w:vMerge w:val="restart"/>
            <w:tcBorders>
              <w:top w:val="single" w:color="000000" w:sz="2" w:space="0"/>
              <w:left w:val="single" w:color="auto" w:sz="4" w:space="0"/>
              <w:right w:val="single" w:color="auto" w:sz="4" w:space="0"/>
            </w:tcBorders>
            <w:vAlign w:val="center"/>
          </w:tcPr>
          <w:p w14:paraId="2D227612">
            <w:pPr>
              <w:spacing w:line="260" w:lineRule="exact"/>
              <w:ind w:right="-2"/>
              <w:jc w:val="center"/>
              <w:rPr>
                <w:rStyle w:val="8"/>
                <w:rFonts w:hint="eastAsia" w:hAnsi="宋体" w:eastAsia="宋体"/>
                <w:color w:val="auto"/>
                <w:highlight w:val="none"/>
                <w:lang w:val="en-US" w:eastAsia="zh-CN"/>
              </w:rPr>
            </w:pPr>
            <w:r>
              <w:rPr>
                <w:rFonts w:hint="eastAsia" w:ascii="宋体" w:hAnsi="宋体"/>
                <w:color w:val="auto"/>
                <w:szCs w:val="21"/>
                <w:highlight w:val="none"/>
              </w:rPr>
              <w:t>JL</w:t>
            </w:r>
            <w:r>
              <w:rPr>
                <w:rFonts w:hint="eastAsia" w:ascii="宋体" w:hAnsi="宋体"/>
                <w:color w:val="auto"/>
                <w:szCs w:val="21"/>
                <w:highlight w:val="none"/>
                <w:lang w:val="en-US" w:eastAsia="zh-CN"/>
              </w:rPr>
              <w:t>0</w:t>
            </w:r>
          </w:p>
        </w:tc>
        <w:tc>
          <w:tcPr>
            <w:tcW w:w="7463" w:type="dxa"/>
            <w:vMerge w:val="restart"/>
            <w:tcBorders>
              <w:top w:val="single" w:color="000000" w:sz="2" w:space="0"/>
              <w:left w:val="single" w:color="auto" w:sz="4" w:space="0"/>
              <w:right w:val="single" w:color="000000" w:sz="2" w:space="0"/>
            </w:tcBorders>
            <w:vAlign w:val="center"/>
          </w:tcPr>
          <w:p w14:paraId="1E1852A1">
            <w:pPr>
              <w:pStyle w:val="10"/>
              <w:spacing w:line="240" w:lineRule="auto"/>
              <w:jc w:val="both"/>
              <w:rPr>
                <w:rStyle w:val="8"/>
                <w:rFonts w:hint="eastAsia" w:hAnsi="宋体"/>
                <w:color w:val="auto"/>
                <w:kern w:val="2"/>
                <w:szCs w:val="24"/>
                <w:highlight w:val="none"/>
              </w:rPr>
            </w:pPr>
            <w:r>
              <w:rPr>
                <w:rFonts w:hint="eastAsia" w:ascii="宋体" w:hAnsi="宋体" w:eastAsia="宋体" w:cs="宋体"/>
                <w:bCs w:val="0"/>
                <w:color w:val="auto"/>
                <w:kern w:val="0"/>
                <w:sz w:val="21"/>
                <w:szCs w:val="21"/>
                <w:highlight w:val="none"/>
                <w:lang w:val="en-US" w:eastAsia="zh-CN" w:bidi="ar"/>
              </w:rPr>
              <w:t>投标人在近1年内(2025年8月1日至今，以交工时间为准)不曾在新建或改扩建高速公路工程施工监理合同中违约而被驱逐或因投标人自身的原因而使新建或改扩建高速公路工程施工监理合同被解除。</w:t>
            </w:r>
          </w:p>
        </w:tc>
      </w:tr>
      <w:tr w14:paraId="7062D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5" w:hRule="atLeast"/>
          <w:jc w:val="center"/>
        </w:trPr>
        <w:tc>
          <w:tcPr>
            <w:tcW w:w="1020" w:type="dxa"/>
            <w:vMerge w:val="continue"/>
            <w:tcBorders>
              <w:left w:val="single" w:color="auto" w:sz="4" w:space="0"/>
              <w:bottom w:val="single" w:color="auto" w:sz="4" w:space="0"/>
              <w:right w:val="single" w:color="auto" w:sz="4" w:space="0"/>
            </w:tcBorders>
            <w:vAlign w:val="center"/>
          </w:tcPr>
          <w:p w14:paraId="2436C738">
            <w:pPr>
              <w:pStyle w:val="10"/>
              <w:spacing w:line="240" w:lineRule="auto"/>
              <w:jc w:val="left"/>
              <w:rPr>
                <w:rStyle w:val="8"/>
                <w:rFonts w:hint="eastAsia" w:hAnsi="宋体"/>
                <w:color w:val="auto"/>
                <w:kern w:val="2"/>
                <w:szCs w:val="24"/>
                <w:highlight w:val="none"/>
              </w:rPr>
            </w:pPr>
          </w:p>
        </w:tc>
        <w:tc>
          <w:tcPr>
            <w:tcW w:w="7463" w:type="dxa"/>
            <w:vMerge w:val="continue"/>
            <w:tcBorders>
              <w:left w:val="single" w:color="auto" w:sz="4" w:space="0"/>
              <w:right w:val="single" w:color="000000" w:sz="2" w:space="0"/>
            </w:tcBorders>
            <w:vAlign w:val="center"/>
          </w:tcPr>
          <w:p w14:paraId="64857EEA">
            <w:pPr>
              <w:pStyle w:val="10"/>
              <w:spacing w:line="240" w:lineRule="auto"/>
              <w:jc w:val="left"/>
              <w:rPr>
                <w:rStyle w:val="8"/>
                <w:rFonts w:hint="eastAsia" w:hAnsi="宋体"/>
                <w:color w:val="auto"/>
                <w:kern w:val="2"/>
                <w:szCs w:val="24"/>
                <w:highlight w:val="none"/>
              </w:rPr>
            </w:pPr>
          </w:p>
        </w:tc>
      </w:tr>
      <w:tr w14:paraId="6BF2A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020" w:type="dxa"/>
            <w:vMerge w:val="restart"/>
            <w:tcBorders>
              <w:top w:val="single" w:color="auto" w:sz="4" w:space="0"/>
              <w:left w:val="single" w:color="auto" w:sz="4" w:space="0"/>
              <w:right w:val="single" w:color="auto" w:sz="4" w:space="0"/>
            </w:tcBorders>
            <w:vAlign w:val="center"/>
          </w:tcPr>
          <w:p w14:paraId="21DBB5BE">
            <w:pPr>
              <w:spacing w:line="260" w:lineRule="exact"/>
              <w:ind w:right="-2"/>
              <w:jc w:val="center"/>
              <w:rPr>
                <w:rStyle w:val="8"/>
                <w:rFonts w:hint="eastAsia" w:hAnsi="宋体"/>
                <w:color w:val="auto"/>
                <w:highlight w:val="none"/>
              </w:rPr>
            </w:pPr>
            <w:r>
              <w:rPr>
                <w:rFonts w:hint="eastAsia" w:ascii="宋体" w:hAnsi="宋体"/>
                <w:color w:val="auto"/>
                <w:szCs w:val="21"/>
                <w:highlight w:val="none"/>
              </w:rPr>
              <w:t>JL1/JL2</w:t>
            </w:r>
          </w:p>
        </w:tc>
        <w:tc>
          <w:tcPr>
            <w:tcW w:w="7463" w:type="dxa"/>
            <w:vMerge w:val="continue"/>
            <w:tcBorders>
              <w:left w:val="single" w:color="auto" w:sz="4" w:space="0"/>
              <w:right w:val="single" w:color="000000" w:sz="2" w:space="0"/>
            </w:tcBorders>
            <w:vAlign w:val="center"/>
          </w:tcPr>
          <w:p w14:paraId="04D7F585">
            <w:pPr>
              <w:pStyle w:val="10"/>
              <w:spacing w:line="240" w:lineRule="auto"/>
              <w:jc w:val="left"/>
              <w:rPr>
                <w:rStyle w:val="8"/>
                <w:rFonts w:hint="eastAsia" w:hAnsi="宋体"/>
                <w:color w:val="auto"/>
                <w:kern w:val="2"/>
                <w:szCs w:val="24"/>
                <w:highlight w:val="none"/>
              </w:rPr>
            </w:pPr>
          </w:p>
        </w:tc>
      </w:tr>
      <w:tr w14:paraId="1B6AC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0" w:hRule="atLeast"/>
          <w:jc w:val="center"/>
        </w:trPr>
        <w:tc>
          <w:tcPr>
            <w:tcW w:w="1020" w:type="dxa"/>
            <w:vMerge w:val="continue"/>
            <w:tcBorders>
              <w:left w:val="single" w:color="auto" w:sz="4" w:space="0"/>
              <w:right w:val="single" w:color="auto" w:sz="4" w:space="0"/>
            </w:tcBorders>
            <w:vAlign w:val="center"/>
          </w:tcPr>
          <w:p w14:paraId="415664CC">
            <w:pPr>
              <w:pStyle w:val="10"/>
              <w:spacing w:line="240" w:lineRule="auto"/>
              <w:jc w:val="left"/>
              <w:rPr>
                <w:rStyle w:val="8"/>
                <w:rFonts w:hint="eastAsia" w:hAnsi="宋体"/>
                <w:color w:val="auto"/>
                <w:kern w:val="2"/>
                <w:szCs w:val="24"/>
                <w:highlight w:val="none"/>
              </w:rPr>
            </w:pPr>
          </w:p>
        </w:tc>
        <w:tc>
          <w:tcPr>
            <w:tcW w:w="7463" w:type="dxa"/>
            <w:vMerge w:val="continue"/>
            <w:tcBorders>
              <w:left w:val="single" w:color="auto" w:sz="4" w:space="0"/>
              <w:right w:val="single" w:color="000000" w:sz="2" w:space="0"/>
            </w:tcBorders>
            <w:vAlign w:val="center"/>
          </w:tcPr>
          <w:p w14:paraId="2A65B8AF">
            <w:pPr>
              <w:pStyle w:val="10"/>
              <w:spacing w:line="240" w:lineRule="auto"/>
              <w:jc w:val="left"/>
              <w:rPr>
                <w:rStyle w:val="8"/>
                <w:rFonts w:hint="eastAsia" w:hAnsi="宋体"/>
                <w:color w:val="auto"/>
                <w:kern w:val="2"/>
                <w:szCs w:val="24"/>
                <w:highlight w:val="none"/>
              </w:rPr>
            </w:pPr>
          </w:p>
        </w:tc>
      </w:tr>
    </w:tbl>
    <w:p w14:paraId="6B0D8A45">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6" w:name="_Toc131956858"/>
    </w:p>
    <w:p w14:paraId="017E6FAF">
      <w:pPr>
        <w:rPr>
          <w:rFonts w:hint="eastAsia" w:asciiTheme="minorEastAsia" w:hAnsiTheme="minorEastAsia" w:eastAsiaTheme="minorEastAsia"/>
          <w:color w:val="auto"/>
          <w:spacing w:val="-2"/>
          <w:sz w:val="24"/>
          <w:highlight w:val="none"/>
        </w:rPr>
      </w:pPr>
      <w:r>
        <w:rPr>
          <w:rFonts w:hint="eastAsia" w:asciiTheme="minorEastAsia" w:hAnsiTheme="minorEastAsia" w:eastAsiaTheme="minorEastAsia"/>
          <w:color w:val="auto"/>
          <w:spacing w:val="-2"/>
          <w:sz w:val="24"/>
          <w:highlight w:val="none"/>
        </w:rPr>
        <w:br w:type="page"/>
      </w:r>
    </w:p>
    <w:p w14:paraId="6A8F2E5D">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p>
    <w:p w14:paraId="11F2A2EB">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附录4  资格审查条件(总监理工程师</w:t>
      </w:r>
      <w:r>
        <w:rPr>
          <w:rFonts w:hint="eastAsia" w:cs="Times New Roman" w:asciiTheme="minorEastAsia" w:hAnsiTheme="minorEastAsia" w:eastAsiaTheme="minorEastAsia"/>
          <w:color w:val="auto"/>
          <w:spacing w:val="-2"/>
          <w:sz w:val="24"/>
          <w:szCs w:val="24"/>
          <w:highlight w:val="none"/>
          <w:lang w:eastAsia="zh-CN"/>
        </w:rPr>
        <w:t>和驻地监理工程师</w:t>
      </w:r>
      <w:r>
        <w:rPr>
          <w:rFonts w:hint="eastAsia" w:cs="Times New Roman" w:asciiTheme="minorEastAsia" w:hAnsiTheme="minorEastAsia" w:eastAsiaTheme="minorEastAsia"/>
          <w:color w:val="auto"/>
          <w:spacing w:val="-2"/>
          <w:sz w:val="24"/>
          <w:szCs w:val="24"/>
          <w:highlight w:val="none"/>
        </w:rPr>
        <w:t>最低要求)</w:t>
      </w:r>
      <w:bookmarkEnd w:id="6"/>
    </w:p>
    <w:tbl>
      <w:tblPr>
        <w:tblStyle w:val="6"/>
        <w:tblW w:w="84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20"/>
        <w:gridCol w:w="956"/>
        <w:gridCol w:w="819"/>
        <w:gridCol w:w="4019"/>
        <w:gridCol w:w="1594"/>
      </w:tblGrid>
      <w:tr w14:paraId="41750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64" w:hRule="atLeast"/>
          <w:jc w:val="center"/>
        </w:trPr>
        <w:tc>
          <w:tcPr>
            <w:tcW w:w="1020" w:type="dxa"/>
            <w:tcBorders>
              <w:top w:val="single" w:color="000000" w:sz="2" w:space="0"/>
              <w:left w:val="single" w:color="000000" w:sz="2" w:space="0"/>
              <w:bottom w:val="single" w:color="000000" w:sz="4" w:space="0"/>
              <w:right w:val="single" w:color="000000" w:sz="2" w:space="0"/>
            </w:tcBorders>
            <w:vAlign w:val="center"/>
          </w:tcPr>
          <w:p w14:paraId="33188037">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标段号</w:t>
            </w:r>
          </w:p>
        </w:tc>
        <w:tc>
          <w:tcPr>
            <w:tcW w:w="956" w:type="dxa"/>
            <w:tcBorders>
              <w:top w:val="single" w:color="000000" w:sz="2" w:space="0"/>
              <w:left w:val="single" w:color="000000" w:sz="2" w:space="0"/>
              <w:bottom w:val="single" w:color="000000" w:sz="4" w:space="0"/>
              <w:right w:val="single" w:color="000000" w:sz="2" w:space="0"/>
            </w:tcBorders>
            <w:vAlign w:val="center"/>
          </w:tcPr>
          <w:p w14:paraId="4DFB9280">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人员</w:t>
            </w:r>
          </w:p>
        </w:tc>
        <w:tc>
          <w:tcPr>
            <w:tcW w:w="819" w:type="dxa"/>
            <w:tcBorders>
              <w:top w:val="single" w:color="000000" w:sz="2" w:space="0"/>
              <w:left w:val="single" w:color="000000" w:sz="2" w:space="0"/>
              <w:bottom w:val="single" w:color="000000" w:sz="4" w:space="0"/>
              <w:right w:val="single" w:color="auto" w:sz="4" w:space="0"/>
            </w:tcBorders>
            <w:vAlign w:val="center"/>
          </w:tcPr>
          <w:p w14:paraId="47300E25">
            <w:pPr>
              <w:jc w:val="center"/>
              <w:textAlignment w:val="baseline"/>
              <w:rPr>
                <w:rStyle w:val="8"/>
                <w:b/>
                <w:color w:val="auto"/>
                <w:szCs w:val="21"/>
                <w:highlight w:val="none"/>
              </w:rPr>
            </w:pPr>
            <w:r>
              <w:rPr>
                <w:rStyle w:val="8"/>
                <w:rFonts w:hint="eastAsia" w:ascii="宋体" w:hAnsi="宋体"/>
                <w:b/>
                <w:color w:val="auto"/>
                <w:szCs w:val="21"/>
                <w:highlight w:val="none"/>
              </w:rPr>
              <w:t>数量</w:t>
            </w:r>
          </w:p>
        </w:tc>
        <w:tc>
          <w:tcPr>
            <w:tcW w:w="4019" w:type="dxa"/>
            <w:tcBorders>
              <w:top w:val="single" w:color="000000" w:sz="2" w:space="0"/>
              <w:left w:val="single" w:color="auto" w:sz="4" w:space="0"/>
              <w:bottom w:val="single" w:color="000000" w:sz="4" w:space="0"/>
              <w:right w:val="single" w:color="000000" w:sz="2" w:space="0"/>
            </w:tcBorders>
            <w:vAlign w:val="center"/>
          </w:tcPr>
          <w:p w14:paraId="199B6C86">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资质要求</w:t>
            </w:r>
          </w:p>
        </w:tc>
        <w:tc>
          <w:tcPr>
            <w:tcW w:w="1594" w:type="dxa"/>
            <w:tcBorders>
              <w:top w:val="single" w:color="000000" w:sz="2" w:space="0"/>
              <w:left w:val="single" w:color="auto" w:sz="4" w:space="0"/>
              <w:bottom w:val="single" w:color="000000" w:sz="4" w:space="0"/>
              <w:right w:val="single" w:color="000000" w:sz="2" w:space="0"/>
            </w:tcBorders>
            <w:vAlign w:val="center"/>
          </w:tcPr>
          <w:p w14:paraId="7A9F044D">
            <w:pPr>
              <w:jc w:val="center"/>
              <w:textAlignment w:val="baseline"/>
              <w:rPr>
                <w:rStyle w:val="8"/>
                <w:rFonts w:hint="eastAsia" w:ascii="宋体" w:hAnsi="宋体"/>
                <w:b/>
                <w:color w:val="auto"/>
                <w:szCs w:val="21"/>
                <w:highlight w:val="none"/>
              </w:rPr>
            </w:pPr>
            <w:r>
              <w:rPr>
                <w:rFonts w:hint="eastAsia" w:ascii="宋体" w:hAnsi="宋体" w:cs="宋体"/>
                <w:b/>
                <w:bCs/>
                <w:color w:val="auto"/>
                <w:kern w:val="0"/>
                <w:szCs w:val="21"/>
                <w:highlight w:val="none"/>
              </w:rPr>
              <w:t>在岗要求</w:t>
            </w:r>
          </w:p>
        </w:tc>
      </w:tr>
      <w:tr w14:paraId="73AAB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831" w:hRule="atLeast"/>
          <w:jc w:val="center"/>
        </w:trPr>
        <w:tc>
          <w:tcPr>
            <w:tcW w:w="1020" w:type="dxa"/>
            <w:tcBorders>
              <w:top w:val="single" w:color="000000" w:sz="2" w:space="0"/>
              <w:left w:val="single" w:color="000000" w:sz="2" w:space="0"/>
              <w:bottom w:val="single" w:color="auto" w:sz="4" w:space="0"/>
              <w:right w:val="single" w:color="000000" w:sz="2" w:space="0"/>
            </w:tcBorders>
            <w:vAlign w:val="center"/>
          </w:tcPr>
          <w:p w14:paraId="4A1830C9">
            <w:pPr>
              <w:spacing w:line="260" w:lineRule="exact"/>
              <w:ind w:right="-2"/>
              <w:jc w:val="center"/>
              <w:rPr>
                <w:rFonts w:hint="eastAsia" w:ascii="宋体" w:hAnsi="宋体" w:cs="宋体"/>
                <w:bCs/>
                <w:color w:val="auto"/>
                <w:highlight w:val="none"/>
              </w:rPr>
            </w:pPr>
            <w:r>
              <w:rPr>
                <w:rFonts w:hint="eastAsia" w:ascii="宋体" w:hAnsi="宋体"/>
                <w:color w:val="auto"/>
                <w:szCs w:val="21"/>
                <w:highlight w:val="none"/>
              </w:rPr>
              <w:t>JL0</w:t>
            </w:r>
          </w:p>
        </w:tc>
        <w:tc>
          <w:tcPr>
            <w:tcW w:w="956" w:type="dxa"/>
            <w:tcBorders>
              <w:top w:val="single" w:color="000000" w:sz="2" w:space="0"/>
              <w:left w:val="single" w:color="000000" w:sz="2" w:space="0"/>
              <w:bottom w:val="single" w:color="auto" w:sz="4" w:space="0"/>
              <w:right w:val="single" w:color="000000" w:sz="2" w:space="0"/>
            </w:tcBorders>
            <w:vAlign w:val="center"/>
          </w:tcPr>
          <w:p w14:paraId="1D147A18">
            <w:pPr>
              <w:widowControl/>
              <w:jc w:val="center"/>
              <w:textAlignment w:val="baseline"/>
              <w:rPr>
                <w:rFonts w:hint="eastAsia" w:ascii="宋体" w:hAnsi="宋体" w:cs="宋体"/>
                <w:bCs/>
                <w:color w:val="auto"/>
                <w:highlight w:val="none"/>
              </w:rPr>
            </w:pPr>
            <w:r>
              <w:rPr>
                <w:rFonts w:hint="eastAsia" w:ascii="宋体" w:hAnsi="宋体" w:cs="宋体"/>
                <w:bCs/>
                <w:color w:val="auto"/>
                <w:highlight w:val="none"/>
              </w:rPr>
              <w:t>总监理工程师</w:t>
            </w:r>
          </w:p>
        </w:tc>
        <w:tc>
          <w:tcPr>
            <w:tcW w:w="819" w:type="dxa"/>
            <w:tcBorders>
              <w:top w:val="single" w:color="000000" w:sz="2" w:space="0"/>
              <w:left w:val="single" w:color="000000" w:sz="2" w:space="0"/>
              <w:bottom w:val="single" w:color="auto" w:sz="4" w:space="0"/>
              <w:right w:val="single" w:color="auto" w:sz="4" w:space="0"/>
            </w:tcBorders>
            <w:vAlign w:val="center"/>
          </w:tcPr>
          <w:p w14:paraId="359CB3DA">
            <w:pPr>
              <w:pStyle w:val="10"/>
              <w:spacing w:line="240" w:lineRule="auto"/>
              <w:rPr>
                <w:rFonts w:cs="宋体"/>
                <w:color w:val="auto"/>
                <w:highlight w:val="none"/>
              </w:rPr>
            </w:pPr>
            <w:r>
              <w:rPr>
                <w:rFonts w:hint="eastAsia" w:cs="宋体"/>
                <w:color w:val="auto"/>
                <w:highlight w:val="none"/>
              </w:rPr>
              <w:t>1</w:t>
            </w:r>
          </w:p>
        </w:tc>
        <w:tc>
          <w:tcPr>
            <w:tcW w:w="4019" w:type="dxa"/>
            <w:tcBorders>
              <w:top w:val="single" w:color="000000" w:sz="2" w:space="0"/>
              <w:left w:val="single" w:color="auto" w:sz="4" w:space="0"/>
              <w:right w:val="single" w:color="000000" w:sz="2" w:space="0"/>
            </w:tcBorders>
            <w:vAlign w:val="center"/>
          </w:tcPr>
          <w:p w14:paraId="57AC7076">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1、高级工程师，持有交通运输部颁发的监理工程师证书</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公路工程专业</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或人社部颁发的监理工程师</w:t>
            </w:r>
            <w:r>
              <w:rPr>
                <w:rFonts w:hint="eastAsia" w:ascii="宋体" w:hAnsi="宋体" w:cs="宋体"/>
                <w:strike w:val="0"/>
                <w:color w:val="auto"/>
                <w:kern w:val="0"/>
                <w:szCs w:val="21"/>
                <w:highlight w:val="none"/>
                <w:lang w:bidi="ar"/>
              </w:rPr>
              <w:t>资格</w:t>
            </w:r>
            <w:r>
              <w:rPr>
                <w:rFonts w:hint="eastAsia" w:ascii="宋体" w:hAnsi="宋体" w:cs="宋体"/>
                <w:color w:val="auto"/>
                <w:kern w:val="0"/>
                <w:szCs w:val="21"/>
                <w:highlight w:val="none"/>
                <w:lang w:bidi="ar"/>
              </w:rPr>
              <w:t>证书（交通运输工程）且在投标单位进行注册登记。</w:t>
            </w:r>
          </w:p>
          <w:p w14:paraId="114EBB32">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2、近</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年内（20</w:t>
            </w:r>
            <w:r>
              <w:rPr>
                <w:rFonts w:hint="eastAsia" w:ascii="宋体" w:hAnsi="宋体" w:cs="宋体"/>
                <w:color w:val="auto"/>
                <w:kern w:val="0"/>
                <w:szCs w:val="21"/>
                <w:highlight w:val="none"/>
                <w:lang w:val="en-US" w:eastAsia="zh-CN" w:bidi="ar"/>
              </w:rPr>
              <w:t>21</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bidi="ar"/>
              </w:rPr>
              <w:t>月1日至今，以交工时间为准），至少担任过1条（段）新建或改扩建高速公路工程</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同时包含路基、路面</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桥梁、</w:t>
            </w:r>
            <w:r>
              <w:rPr>
                <w:rFonts w:hint="eastAsia" w:ascii="宋体" w:hAnsi="宋体" w:cs="宋体"/>
                <w:color w:val="auto"/>
                <w:kern w:val="0"/>
                <w:szCs w:val="21"/>
                <w:highlight w:val="none"/>
                <w:lang w:bidi="ar"/>
              </w:rPr>
              <w:t>交通安全设施工程</w:t>
            </w:r>
            <w:r>
              <w:rPr>
                <w:rFonts w:hint="eastAsia" w:ascii="宋体" w:hAnsi="宋体" w:cs="宋体"/>
                <w:color w:val="auto"/>
                <w:kern w:val="0"/>
                <w:szCs w:val="21"/>
                <w:highlight w:val="none"/>
                <w:lang w:eastAsia="zh-CN" w:bidi="ar"/>
              </w:rPr>
              <w:t>）总监办</w:t>
            </w:r>
            <w:r>
              <w:rPr>
                <w:rFonts w:hint="eastAsia" w:ascii="宋体" w:hAnsi="宋体" w:cs="宋体"/>
                <w:color w:val="auto"/>
                <w:kern w:val="0"/>
                <w:szCs w:val="21"/>
                <w:highlight w:val="none"/>
                <w:lang w:bidi="ar"/>
              </w:rPr>
              <w:t>施工监理的总监理工程师或副总监理工程师职务。</w:t>
            </w:r>
          </w:p>
        </w:tc>
        <w:tc>
          <w:tcPr>
            <w:tcW w:w="1594" w:type="dxa"/>
            <w:vMerge w:val="restart"/>
            <w:tcBorders>
              <w:top w:val="single" w:color="000000" w:sz="2" w:space="0"/>
              <w:left w:val="single" w:color="auto" w:sz="4" w:space="0"/>
              <w:right w:val="single" w:color="000000" w:sz="2" w:space="0"/>
            </w:tcBorders>
            <w:vAlign w:val="center"/>
          </w:tcPr>
          <w:p w14:paraId="322FED2D">
            <w:pPr>
              <w:widowControl/>
              <w:jc w:val="left"/>
              <w:textAlignment w:val="baseline"/>
              <w:rPr>
                <w:rFonts w:cs="宋体"/>
                <w:color w:val="auto"/>
                <w:highlight w:val="none"/>
              </w:rPr>
            </w:pPr>
            <w:r>
              <w:rPr>
                <w:rFonts w:hint="eastAsia" w:ascii="宋体" w:hAnsi="宋体" w:cs="宋体"/>
                <w:bCs/>
                <w:color w:val="auto"/>
                <w:highlight w:val="none"/>
              </w:rPr>
              <w:t>目前未在其他项目上任职，或虽在其他项目上任职但本项目中标后能够从该项目撤离</w:t>
            </w:r>
          </w:p>
        </w:tc>
      </w:tr>
      <w:tr w14:paraId="70E3E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786" w:hRule="atLeast"/>
          <w:jc w:val="center"/>
        </w:trPr>
        <w:tc>
          <w:tcPr>
            <w:tcW w:w="1020" w:type="dxa"/>
            <w:tcBorders>
              <w:top w:val="single" w:color="auto" w:sz="4" w:space="0"/>
              <w:left w:val="single" w:color="000000" w:sz="2" w:space="0"/>
              <w:bottom w:val="single" w:color="auto" w:sz="4" w:space="0"/>
              <w:right w:val="single" w:color="000000" w:sz="2" w:space="0"/>
            </w:tcBorders>
            <w:vAlign w:val="center"/>
          </w:tcPr>
          <w:p w14:paraId="230E07D8">
            <w:pPr>
              <w:spacing w:line="260" w:lineRule="exact"/>
              <w:ind w:right="-2"/>
              <w:jc w:val="center"/>
              <w:rPr>
                <w:rFonts w:hint="eastAsia" w:ascii="宋体" w:hAnsi="宋体" w:cs="宋体"/>
                <w:bCs/>
                <w:color w:val="auto"/>
                <w:highlight w:val="none"/>
              </w:rPr>
            </w:pPr>
            <w:r>
              <w:rPr>
                <w:rFonts w:hint="eastAsia" w:ascii="宋体" w:hAnsi="宋体"/>
                <w:color w:val="auto"/>
                <w:szCs w:val="21"/>
                <w:highlight w:val="none"/>
              </w:rPr>
              <w:t>JL1</w:t>
            </w:r>
          </w:p>
        </w:tc>
        <w:tc>
          <w:tcPr>
            <w:tcW w:w="956" w:type="dxa"/>
            <w:tcBorders>
              <w:top w:val="single" w:color="auto" w:sz="4" w:space="0"/>
              <w:left w:val="single" w:color="000000" w:sz="2" w:space="0"/>
              <w:bottom w:val="single" w:color="auto" w:sz="4" w:space="0"/>
              <w:right w:val="single" w:color="000000" w:sz="2" w:space="0"/>
            </w:tcBorders>
            <w:vAlign w:val="center"/>
          </w:tcPr>
          <w:p w14:paraId="6C4FAC3A">
            <w:pPr>
              <w:widowControl/>
              <w:jc w:val="center"/>
              <w:textAlignment w:val="baseline"/>
              <w:rPr>
                <w:rFonts w:hint="eastAsia" w:ascii="宋体" w:hAnsi="宋体" w:cs="宋体"/>
                <w:bCs/>
                <w:color w:val="auto"/>
                <w:highlight w:val="none"/>
              </w:rPr>
            </w:pPr>
            <w:r>
              <w:rPr>
                <w:rFonts w:hint="eastAsia" w:ascii="宋体" w:hAnsi="宋体" w:cs="宋体"/>
                <w:bCs/>
                <w:color w:val="auto"/>
                <w:highlight w:val="none"/>
              </w:rPr>
              <w:t>驻地监理工程师</w:t>
            </w:r>
          </w:p>
        </w:tc>
        <w:tc>
          <w:tcPr>
            <w:tcW w:w="819" w:type="dxa"/>
            <w:tcBorders>
              <w:top w:val="single" w:color="auto" w:sz="4" w:space="0"/>
              <w:left w:val="single" w:color="000000" w:sz="2" w:space="0"/>
              <w:bottom w:val="single" w:color="auto" w:sz="4" w:space="0"/>
              <w:right w:val="single" w:color="auto" w:sz="4" w:space="0"/>
            </w:tcBorders>
            <w:vAlign w:val="center"/>
          </w:tcPr>
          <w:p w14:paraId="478F2734">
            <w:pPr>
              <w:pStyle w:val="10"/>
              <w:spacing w:line="240" w:lineRule="auto"/>
              <w:rPr>
                <w:rFonts w:cs="宋体"/>
                <w:color w:val="auto"/>
                <w:highlight w:val="none"/>
              </w:rPr>
            </w:pPr>
            <w:r>
              <w:rPr>
                <w:rFonts w:hint="eastAsia" w:cs="宋体"/>
                <w:color w:val="auto"/>
                <w:highlight w:val="none"/>
              </w:rPr>
              <w:t>1</w:t>
            </w:r>
          </w:p>
        </w:tc>
        <w:tc>
          <w:tcPr>
            <w:tcW w:w="4019" w:type="dxa"/>
            <w:tcBorders>
              <w:left w:val="single" w:color="auto" w:sz="4" w:space="0"/>
              <w:right w:val="single" w:color="000000" w:sz="2" w:space="0"/>
            </w:tcBorders>
            <w:vAlign w:val="center"/>
          </w:tcPr>
          <w:p w14:paraId="7FEFDC2A">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1、高级工程师，持有交通运输部颁发的监理工程师证书</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公路工程专业</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或人社部颁发的监理工程师资格证书（交通运输工程）且在投标单位进行注册登记。</w:t>
            </w:r>
          </w:p>
          <w:p w14:paraId="7EC2FF95">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2、近</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年内（20</w:t>
            </w:r>
            <w:r>
              <w:rPr>
                <w:rFonts w:hint="eastAsia" w:ascii="宋体" w:hAnsi="宋体" w:cs="宋体"/>
                <w:color w:val="auto"/>
                <w:kern w:val="0"/>
                <w:szCs w:val="21"/>
                <w:highlight w:val="none"/>
                <w:lang w:val="en-US" w:eastAsia="zh-CN" w:bidi="ar"/>
              </w:rPr>
              <w:t>21</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bidi="ar"/>
              </w:rPr>
              <w:t>月1日至今，以交工时间为准），至少担任过1条（段）新建或改扩建高速公路工程</w:t>
            </w:r>
            <w:bookmarkStart w:id="7" w:name="OLE_LINK4"/>
            <w:r>
              <w:rPr>
                <w:rFonts w:hint="eastAsia" w:ascii="宋体" w:hAnsi="宋体" w:cs="宋体"/>
                <w:color w:val="auto"/>
                <w:kern w:val="0"/>
                <w:szCs w:val="21"/>
                <w:highlight w:val="none"/>
                <w:lang w:bidi="ar"/>
              </w:rPr>
              <w:t>（同时包含路基</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桥梁工程</w:t>
            </w:r>
            <w:r>
              <w:rPr>
                <w:rFonts w:hint="eastAsia" w:ascii="宋体" w:hAnsi="宋体" w:cs="宋体"/>
                <w:color w:val="auto"/>
                <w:kern w:val="0"/>
                <w:szCs w:val="21"/>
                <w:highlight w:val="none"/>
                <w:lang w:bidi="ar"/>
              </w:rPr>
              <w:t>）</w:t>
            </w:r>
            <w:bookmarkEnd w:id="7"/>
            <w:r>
              <w:rPr>
                <w:rFonts w:hint="eastAsia" w:ascii="宋体" w:hAnsi="宋体" w:cs="宋体"/>
                <w:color w:val="auto"/>
                <w:kern w:val="0"/>
                <w:szCs w:val="21"/>
                <w:highlight w:val="none"/>
                <w:lang w:bidi="ar"/>
              </w:rPr>
              <w:t>施工</w:t>
            </w:r>
            <w:r>
              <w:rPr>
                <w:rFonts w:hint="eastAsia" w:ascii="宋体" w:hAnsi="宋体" w:cs="宋体"/>
                <w:color w:val="auto"/>
                <w:kern w:val="0"/>
                <w:szCs w:val="21"/>
                <w:highlight w:val="none"/>
                <w:lang w:eastAsia="zh-CN" w:bidi="ar"/>
              </w:rPr>
              <w:t>监理的</w:t>
            </w:r>
            <w:r>
              <w:rPr>
                <w:rFonts w:hint="eastAsia" w:ascii="宋体" w:hAnsi="宋体" w:cs="宋体"/>
                <w:color w:val="auto"/>
                <w:kern w:val="0"/>
                <w:szCs w:val="21"/>
                <w:highlight w:val="none"/>
                <w:lang w:bidi="ar"/>
              </w:rPr>
              <w:t>驻地（或副驻地）监理工程师或总监理（或副总监</w:t>
            </w:r>
            <w:r>
              <w:rPr>
                <w:rFonts w:hint="eastAsia" w:ascii="宋体" w:hAnsi="宋体" w:cs="宋体"/>
                <w:color w:val="auto"/>
                <w:kern w:val="0"/>
                <w:szCs w:val="21"/>
                <w:highlight w:val="none"/>
                <w:lang w:eastAsia="zh-CN" w:bidi="ar"/>
              </w:rPr>
              <w:t>理</w:t>
            </w:r>
            <w:r>
              <w:rPr>
                <w:rFonts w:hint="eastAsia" w:ascii="宋体" w:hAnsi="宋体" w:cs="宋体"/>
                <w:color w:val="auto"/>
                <w:kern w:val="0"/>
                <w:szCs w:val="21"/>
                <w:highlight w:val="none"/>
                <w:lang w:bidi="ar"/>
              </w:rPr>
              <w:t>）工程师职务。</w:t>
            </w:r>
          </w:p>
        </w:tc>
        <w:tc>
          <w:tcPr>
            <w:tcW w:w="1594" w:type="dxa"/>
            <w:vMerge w:val="continue"/>
            <w:tcBorders>
              <w:left w:val="single" w:color="auto" w:sz="4" w:space="0"/>
              <w:right w:val="single" w:color="000000" w:sz="2" w:space="0"/>
            </w:tcBorders>
            <w:vAlign w:val="center"/>
          </w:tcPr>
          <w:p w14:paraId="01714154">
            <w:pPr>
              <w:widowControl/>
              <w:jc w:val="left"/>
              <w:textAlignment w:val="baseline"/>
              <w:rPr>
                <w:rFonts w:hint="eastAsia" w:ascii="宋体" w:hAnsi="宋体" w:cs="宋体"/>
                <w:bCs/>
                <w:color w:val="auto"/>
                <w:highlight w:val="none"/>
              </w:rPr>
            </w:pPr>
          </w:p>
        </w:tc>
      </w:tr>
      <w:tr w14:paraId="7C267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786" w:hRule="atLeast"/>
          <w:jc w:val="center"/>
        </w:trPr>
        <w:tc>
          <w:tcPr>
            <w:tcW w:w="1020" w:type="dxa"/>
            <w:tcBorders>
              <w:top w:val="single" w:color="auto" w:sz="4" w:space="0"/>
              <w:left w:val="single" w:color="000000" w:sz="2" w:space="0"/>
              <w:right w:val="single" w:color="000000" w:sz="2" w:space="0"/>
            </w:tcBorders>
            <w:vAlign w:val="center"/>
          </w:tcPr>
          <w:p w14:paraId="587782D0">
            <w:pPr>
              <w:spacing w:line="260" w:lineRule="exact"/>
              <w:ind w:right="-2"/>
              <w:jc w:val="center"/>
              <w:rPr>
                <w:rFonts w:hint="eastAsia" w:ascii="宋体" w:hAnsi="宋体"/>
                <w:color w:val="auto"/>
                <w:szCs w:val="21"/>
                <w:highlight w:val="none"/>
              </w:rPr>
            </w:pPr>
            <w:r>
              <w:rPr>
                <w:rFonts w:hint="eastAsia" w:ascii="宋体" w:hAnsi="宋体"/>
                <w:color w:val="auto"/>
                <w:szCs w:val="21"/>
                <w:highlight w:val="none"/>
              </w:rPr>
              <w:t>JL2</w:t>
            </w:r>
          </w:p>
        </w:tc>
        <w:tc>
          <w:tcPr>
            <w:tcW w:w="956" w:type="dxa"/>
            <w:tcBorders>
              <w:top w:val="single" w:color="auto" w:sz="4" w:space="0"/>
              <w:left w:val="single" w:color="000000" w:sz="2" w:space="0"/>
              <w:right w:val="single" w:color="000000" w:sz="2" w:space="0"/>
            </w:tcBorders>
            <w:vAlign w:val="center"/>
          </w:tcPr>
          <w:p w14:paraId="7BE2440B">
            <w:pPr>
              <w:widowControl/>
              <w:jc w:val="center"/>
              <w:textAlignment w:val="baseline"/>
              <w:rPr>
                <w:rFonts w:hint="eastAsia" w:ascii="宋体" w:hAnsi="宋体" w:cs="宋体"/>
                <w:bCs/>
                <w:color w:val="auto"/>
                <w:highlight w:val="none"/>
              </w:rPr>
            </w:pPr>
            <w:r>
              <w:rPr>
                <w:rFonts w:hint="eastAsia" w:ascii="宋体" w:hAnsi="宋体" w:cs="宋体"/>
                <w:bCs/>
                <w:color w:val="auto"/>
                <w:highlight w:val="none"/>
              </w:rPr>
              <w:t>驻地监理工程师</w:t>
            </w:r>
          </w:p>
        </w:tc>
        <w:tc>
          <w:tcPr>
            <w:tcW w:w="819" w:type="dxa"/>
            <w:tcBorders>
              <w:top w:val="single" w:color="auto" w:sz="4" w:space="0"/>
              <w:left w:val="single" w:color="000000" w:sz="2" w:space="0"/>
              <w:right w:val="single" w:color="auto" w:sz="4" w:space="0"/>
            </w:tcBorders>
            <w:vAlign w:val="center"/>
          </w:tcPr>
          <w:p w14:paraId="32595C13">
            <w:pPr>
              <w:pStyle w:val="10"/>
              <w:spacing w:line="240" w:lineRule="auto"/>
              <w:rPr>
                <w:rFonts w:cs="宋体"/>
                <w:color w:val="auto"/>
                <w:highlight w:val="none"/>
              </w:rPr>
            </w:pPr>
            <w:r>
              <w:rPr>
                <w:rFonts w:hint="eastAsia" w:cs="宋体"/>
                <w:color w:val="auto"/>
                <w:highlight w:val="none"/>
              </w:rPr>
              <w:t>1</w:t>
            </w:r>
          </w:p>
        </w:tc>
        <w:tc>
          <w:tcPr>
            <w:tcW w:w="4019" w:type="dxa"/>
            <w:tcBorders>
              <w:left w:val="single" w:color="auto" w:sz="4" w:space="0"/>
              <w:bottom w:val="single" w:color="000000" w:sz="2" w:space="0"/>
              <w:right w:val="single" w:color="000000" w:sz="2" w:space="0"/>
            </w:tcBorders>
            <w:vAlign w:val="center"/>
          </w:tcPr>
          <w:p w14:paraId="292E04F8">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1、高级工程师，持有交通运输部颁发的监理工程师证书</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公路工程专业</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或人社部颁发的监理工程师资格证书（交通运输工程）且在投标单位进行注册登记。</w:t>
            </w:r>
          </w:p>
          <w:p w14:paraId="0645D368">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2、近</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年内（20</w:t>
            </w:r>
            <w:r>
              <w:rPr>
                <w:rFonts w:hint="eastAsia" w:ascii="宋体" w:hAnsi="宋体" w:cs="宋体"/>
                <w:color w:val="auto"/>
                <w:kern w:val="0"/>
                <w:szCs w:val="21"/>
                <w:highlight w:val="none"/>
                <w:lang w:val="en-US" w:eastAsia="zh-CN" w:bidi="ar"/>
              </w:rPr>
              <w:t>21</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bidi="ar"/>
              </w:rPr>
              <w:t>月1日至今，以交工时间为准），至少担任过1条（段）新建或改扩建高速公路工程（同时包含路基</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桥梁工程</w:t>
            </w:r>
            <w:r>
              <w:rPr>
                <w:rFonts w:hint="eastAsia" w:ascii="宋体" w:hAnsi="宋体" w:cs="宋体"/>
                <w:color w:val="auto"/>
                <w:kern w:val="0"/>
                <w:szCs w:val="21"/>
                <w:highlight w:val="none"/>
                <w:lang w:bidi="ar"/>
              </w:rPr>
              <w:t>）施工</w:t>
            </w:r>
            <w:r>
              <w:rPr>
                <w:rFonts w:hint="eastAsia" w:ascii="宋体" w:hAnsi="宋体" w:cs="宋体"/>
                <w:color w:val="auto"/>
                <w:kern w:val="0"/>
                <w:szCs w:val="21"/>
                <w:highlight w:val="none"/>
                <w:lang w:eastAsia="zh-CN" w:bidi="ar"/>
              </w:rPr>
              <w:t>监理的</w:t>
            </w:r>
            <w:r>
              <w:rPr>
                <w:rFonts w:hint="eastAsia" w:ascii="宋体" w:hAnsi="宋体" w:cs="宋体"/>
                <w:color w:val="auto"/>
                <w:kern w:val="0"/>
                <w:szCs w:val="21"/>
                <w:highlight w:val="none"/>
                <w:lang w:bidi="ar"/>
              </w:rPr>
              <w:t>驻地（或副驻地）监理工程师或总监理（或副总监</w:t>
            </w:r>
            <w:r>
              <w:rPr>
                <w:rFonts w:hint="eastAsia" w:ascii="宋体" w:hAnsi="宋体" w:cs="宋体"/>
                <w:color w:val="auto"/>
                <w:kern w:val="0"/>
                <w:szCs w:val="21"/>
                <w:highlight w:val="none"/>
                <w:lang w:eastAsia="zh-CN" w:bidi="ar"/>
              </w:rPr>
              <w:t>理</w:t>
            </w:r>
            <w:r>
              <w:rPr>
                <w:rFonts w:hint="eastAsia" w:ascii="宋体" w:hAnsi="宋体" w:cs="宋体"/>
                <w:color w:val="auto"/>
                <w:kern w:val="0"/>
                <w:szCs w:val="21"/>
                <w:highlight w:val="none"/>
                <w:lang w:bidi="ar"/>
              </w:rPr>
              <w:t>）工程师职务。</w:t>
            </w:r>
          </w:p>
        </w:tc>
        <w:tc>
          <w:tcPr>
            <w:tcW w:w="1594" w:type="dxa"/>
            <w:vMerge w:val="continue"/>
            <w:tcBorders>
              <w:left w:val="single" w:color="auto" w:sz="4" w:space="0"/>
              <w:right w:val="single" w:color="000000" w:sz="2" w:space="0"/>
            </w:tcBorders>
            <w:vAlign w:val="center"/>
          </w:tcPr>
          <w:p w14:paraId="2EE0ABAB">
            <w:pPr>
              <w:widowControl/>
              <w:jc w:val="left"/>
              <w:textAlignment w:val="baseline"/>
              <w:rPr>
                <w:rFonts w:hint="eastAsia" w:ascii="宋体" w:hAnsi="宋体" w:cs="宋体"/>
                <w:bCs/>
                <w:color w:val="auto"/>
                <w:highlight w:val="none"/>
              </w:rPr>
            </w:pPr>
          </w:p>
        </w:tc>
      </w:tr>
    </w:tbl>
    <w:p w14:paraId="355C0B2A">
      <w:pPr>
        <w:pStyle w:val="2"/>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2725139D">
      <w:pPr>
        <w:pStyle w:val="2"/>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46E4134">
      <w:pPr>
        <w:rPr>
          <w:rFonts w:hint="eastAsia" w:ascii="宋体" w:hAnsi="宋体"/>
          <w:color w:val="auto"/>
          <w:sz w:val="28"/>
          <w:szCs w:val="28"/>
          <w:highlight w:val="none"/>
        </w:rPr>
      </w:pPr>
      <w:r>
        <w:rPr>
          <w:rFonts w:hint="eastAsia" w:ascii="宋体" w:hAnsi="宋体"/>
          <w:color w:val="auto"/>
          <w:sz w:val="28"/>
          <w:szCs w:val="28"/>
          <w:highlight w:val="none"/>
        </w:rPr>
        <w:br w:type="page"/>
      </w:r>
    </w:p>
    <w:p w14:paraId="24C8598F">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8" w:name="_Toc131956860"/>
      <w:r>
        <w:rPr>
          <w:rFonts w:hint="eastAsia" w:cs="Times New Roman" w:asciiTheme="minorEastAsia" w:hAnsiTheme="minorEastAsia" w:eastAsiaTheme="minorEastAsia"/>
          <w:color w:val="auto"/>
          <w:spacing w:val="-2"/>
          <w:sz w:val="24"/>
          <w:szCs w:val="24"/>
          <w:highlight w:val="none"/>
        </w:rPr>
        <w:t>附件2：评标办法</w:t>
      </w:r>
      <w:bookmarkEnd w:id="8"/>
    </w:p>
    <w:p w14:paraId="35208B7B">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评标办法前附表</w:t>
      </w:r>
    </w:p>
    <w:tbl>
      <w:tblPr>
        <w:tblStyle w:val="6"/>
        <w:tblW w:w="9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230"/>
        <w:gridCol w:w="7011"/>
      </w:tblGrid>
      <w:tr w14:paraId="1227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425" w:type="dxa"/>
            <w:tcBorders>
              <w:top w:val="single" w:color="auto" w:sz="4" w:space="0"/>
              <w:left w:val="single" w:color="auto" w:sz="4" w:space="0"/>
              <w:bottom w:val="single" w:color="auto" w:sz="4" w:space="0"/>
              <w:right w:val="single" w:color="auto" w:sz="4" w:space="0"/>
            </w:tcBorders>
            <w:vAlign w:val="center"/>
          </w:tcPr>
          <w:p w14:paraId="3C93C0EE">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1230" w:type="dxa"/>
            <w:tcBorders>
              <w:top w:val="single" w:color="auto" w:sz="4" w:space="0"/>
              <w:left w:val="single" w:color="auto" w:sz="4" w:space="0"/>
              <w:bottom w:val="single" w:color="auto" w:sz="4" w:space="0"/>
              <w:right w:val="single" w:color="auto" w:sz="4" w:space="0"/>
            </w:tcBorders>
            <w:vAlign w:val="center"/>
          </w:tcPr>
          <w:p w14:paraId="0B5D3CBC">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vAlign w:val="center"/>
          </w:tcPr>
          <w:p w14:paraId="12EFBCB6">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评审因素与评审标准</w:t>
            </w:r>
          </w:p>
        </w:tc>
      </w:tr>
      <w:tr w14:paraId="438D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425" w:type="dxa"/>
            <w:tcBorders>
              <w:top w:val="single" w:color="auto" w:sz="4" w:space="0"/>
              <w:left w:val="single" w:color="auto" w:sz="4" w:space="0"/>
              <w:bottom w:val="single" w:color="auto" w:sz="4" w:space="0"/>
              <w:right w:val="single" w:color="auto" w:sz="4" w:space="0"/>
            </w:tcBorders>
            <w:vAlign w:val="center"/>
          </w:tcPr>
          <w:p w14:paraId="06B714A1">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w:t>
            </w:r>
          </w:p>
        </w:tc>
        <w:tc>
          <w:tcPr>
            <w:tcW w:w="1230" w:type="dxa"/>
            <w:tcBorders>
              <w:top w:val="single" w:color="auto" w:sz="4" w:space="0"/>
              <w:left w:val="single" w:color="auto" w:sz="4" w:space="0"/>
              <w:bottom w:val="single" w:color="auto" w:sz="4" w:space="0"/>
              <w:right w:val="single" w:color="auto" w:sz="4" w:space="0"/>
            </w:tcBorders>
            <w:vAlign w:val="center"/>
          </w:tcPr>
          <w:p w14:paraId="389F144B">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vAlign w:val="center"/>
          </w:tcPr>
          <w:p w14:paraId="49DA56BD">
            <w:pPr>
              <w:snapToGrid w:val="0"/>
              <w:spacing w:line="320" w:lineRule="exact"/>
              <w:ind w:firstLine="420" w:firstLineChars="200"/>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583E742A">
            <w:pPr>
              <w:snapToGrid w:val="0"/>
              <w:spacing w:line="320" w:lineRule="exact"/>
              <w:ind w:left="205" w:leftChars="97"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6EFB517C">
            <w:pPr>
              <w:snapToGrid w:val="0"/>
              <w:spacing w:line="320" w:lineRule="exact"/>
              <w:ind w:left="205" w:leftChars="97"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3A720745">
            <w:pPr>
              <w:snapToGrid w:val="0"/>
              <w:spacing w:line="320" w:lineRule="exact"/>
              <w:ind w:firstLine="210" w:firstLineChars="100"/>
              <w:jc w:val="left"/>
              <w:textAlignment w:val="baseline"/>
              <w:rPr>
                <w:rFonts w:hint="eastAsia" w:ascii="宋体" w:hAnsi="宋体" w:cs="宋体"/>
                <w:color w:val="auto"/>
                <w:spacing w:val="-4"/>
                <w:szCs w:val="21"/>
                <w:highlight w:val="none"/>
              </w:rPr>
            </w:pPr>
            <w:r>
              <w:rPr>
                <w:rFonts w:hint="eastAsia" w:ascii="宋体" w:hAnsi="宋体" w:cs="宋体"/>
                <w:color w:val="auto"/>
                <w:szCs w:val="21"/>
                <w:highlight w:val="none"/>
              </w:rPr>
              <w:t>（3）投标人满足资格审查条件(业绩最低条件)要求的业绩累计金额高的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优先</w:t>
            </w:r>
            <w:r>
              <w:rPr>
                <w:rFonts w:hint="eastAsia" w:ascii="宋体" w:hAnsi="宋体" w:cs="宋体"/>
                <w:color w:val="auto"/>
                <w:spacing w:val="-4"/>
                <w:szCs w:val="21"/>
                <w:highlight w:val="none"/>
              </w:rPr>
              <w:t>。</w:t>
            </w:r>
          </w:p>
        </w:tc>
      </w:tr>
      <w:tr w14:paraId="71E3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425" w:type="dxa"/>
            <w:tcBorders>
              <w:top w:val="single" w:color="auto" w:sz="4" w:space="0"/>
              <w:left w:val="single" w:color="auto" w:sz="4" w:space="0"/>
              <w:bottom w:val="single" w:color="auto" w:sz="4" w:space="0"/>
              <w:right w:val="single" w:color="auto" w:sz="4" w:space="0"/>
            </w:tcBorders>
            <w:vAlign w:val="center"/>
          </w:tcPr>
          <w:p w14:paraId="2F35078A">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2.1.1</w:t>
            </w:r>
          </w:p>
          <w:p w14:paraId="206F1838">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2.1.3</w:t>
            </w:r>
          </w:p>
        </w:tc>
        <w:tc>
          <w:tcPr>
            <w:tcW w:w="1230" w:type="dxa"/>
            <w:tcBorders>
              <w:top w:val="single" w:color="auto" w:sz="4" w:space="0"/>
              <w:left w:val="single" w:color="auto" w:sz="4" w:space="0"/>
              <w:bottom w:val="single" w:color="auto" w:sz="4" w:space="0"/>
              <w:right w:val="single" w:color="auto" w:sz="4" w:space="0"/>
            </w:tcBorders>
            <w:vAlign w:val="center"/>
          </w:tcPr>
          <w:p w14:paraId="6100E313">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7011" w:type="dxa"/>
            <w:tcBorders>
              <w:top w:val="single" w:color="auto" w:sz="4" w:space="0"/>
              <w:left w:val="single" w:color="auto" w:sz="4" w:space="0"/>
              <w:bottom w:val="single" w:color="auto" w:sz="4" w:space="0"/>
              <w:right w:val="single" w:color="auto" w:sz="4" w:space="0"/>
            </w:tcBorders>
          </w:tcPr>
          <w:p w14:paraId="7A143BB9">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第一个信封（商务文件）评审标准：</w:t>
            </w:r>
          </w:p>
          <w:p w14:paraId="754410A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投标文件按照招标文件规定的格式、内容填写，字迹清晰可辨。</w:t>
            </w:r>
          </w:p>
          <w:p w14:paraId="4F3FDEF6">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a．投标函按招标文件规定填报了项目名称、标段号、补遗书编号（如有）、质量要求、安全目标、监理服务期限、总监理工程师</w:t>
            </w:r>
            <w:r>
              <w:rPr>
                <w:rFonts w:hint="eastAsia" w:ascii="宋体" w:hAnsi="宋体" w:cs="宋体"/>
                <w:color w:val="auto"/>
                <w:szCs w:val="21"/>
                <w:highlight w:val="none"/>
                <w:lang w:eastAsia="zh-CN"/>
              </w:rPr>
              <w:t>或驻地监理工程师</w:t>
            </w:r>
            <w:r>
              <w:rPr>
                <w:rFonts w:hint="eastAsia" w:ascii="宋体" w:hAnsi="宋体" w:cs="宋体"/>
                <w:color w:val="auto"/>
                <w:szCs w:val="21"/>
                <w:highlight w:val="none"/>
              </w:rPr>
              <w:t>相关信息；</w:t>
            </w:r>
          </w:p>
          <w:p w14:paraId="60596CC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b．投标文件组成齐全完整，内容均按规定填写。</w:t>
            </w:r>
          </w:p>
          <w:p w14:paraId="61AF710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228FE5BF">
            <w:pPr>
              <w:pStyle w:val="4"/>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（3）投标人按照招标文件的规定提供了投标保证金，并符合投标人须知前附表3.4.1项的相关规定。</w:t>
            </w:r>
          </w:p>
          <w:p w14:paraId="056D9FD1">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（4）投标人法定代表人授权委托代理人签署投标文件的，须提交授权委托书</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rPr>
              <w:t>授权委托书</w:t>
            </w:r>
            <w:r>
              <w:rPr>
                <w:rFonts w:hint="eastAsia" w:ascii="宋体" w:hAnsi="宋体" w:cs="宋体"/>
                <w:color w:val="auto"/>
                <w:szCs w:val="21"/>
                <w:highlight w:val="none"/>
              </w:rPr>
              <w:t>符合招标文件规定。</w:t>
            </w:r>
          </w:p>
          <w:p w14:paraId="5998B6B8">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（5）投标人法定代表人若亲自签署投标文件的，提供了法定代表人身份证明</w:t>
            </w:r>
            <w:r>
              <w:rPr>
                <w:rFonts w:hint="eastAsia" w:ascii="宋体" w:hAnsi="宋体" w:cs="宋体"/>
                <w:color w:val="auto"/>
                <w:szCs w:val="21"/>
                <w:highlight w:val="none"/>
                <w:lang w:eastAsia="zh-CN"/>
              </w:rPr>
              <w:t>，</w:t>
            </w:r>
            <w:r>
              <w:rPr>
                <w:rFonts w:hint="eastAsia" w:ascii="宋体" w:hAnsi="宋体" w:cs="宋体"/>
                <w:color w:val="auto"/>
                <w:szCs w:val="21"/>
                <w:highlight w:val="none"/>
              </w:rPr>
              <w:t>法定代表人身份证明符合招标文件规定。</w:t>
            </w:r>
          </w:p>
          <w:p w14:paraId="52A6879C">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投标人未以联合体形式投标</w:t>
            </w:r>
            <w:r>
              <w:rPr>
                <w:rFonts w:hint="eastAsia" w:ascii="宋体" w:hAnsi="宋体" w:cs="宋体"/>
                <w:color w:val="auto"/>
                <w:kern w:val="0"/>
                <w:szCs w:val="21"/>
                <w:highlight w:val="none"/>
              </w:rPr>
              <w:t>。</w:t>
            </w:r>
          </w:p>
          <w:p w14:paraId="59AD528C">
            <w:pPr>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szCs w:val="21"/>
                <w:highlight w:val="none"/>
              </w:rPr>
              <w:t>投标人</w:t>
            </w:r>
            <w:r>
              <w:rPr>
                <w:rFonts w:hint="eastAsia" w:ascii="宋体" w:hAnsi="宋体" w:cs="宋体"/>
                <w:color w:val="auto"/>
                <w:kern w:val="0"/>
                <w:szCs w:val="21"/>
                <w:highlight w:val="none"/>
              </w:rPr>
              <w:t>未对本项目提出分包计划。</w:t>
            </w:r>
          </w:p>
          <w:p w14:paraId="6944ADC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（8）同一投标人未提交两个以上不同的投标文件。</w:t>
            </w:r>
          </w:p>
          <w:p w14:paraId="0ACAD0B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（9）投标文件中未出现有关投标报价的内容。</w:t>
            </w:r>
          </w:p>
          <w:p w14:paraId="21B57271">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（10）投标文件载明的招标项目完成期限符合招标文件规定。</w:t>
            </w:r>
          </w:p>
          <w:p w14:paraId="48F425D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（11）投标文件对招标文件的实质性要求和条件作出响应。</w:t>
            </w:r>
          </w:p>
          <w:p w14:paraId="595CFD0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（12）权利义务符合招标文件规定：</w:t>
            </w:r>
          </w:p>
          <w:p w14:paraId="5F62DCE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a.投标人应接受招标文件规定的风险划分原则，未提出新的风险划分办法；</w:t>
            </w:r>
          </w:p>
          <w:p w14:paraId="6EC1D6C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b.投标人未增加委托人的责任范围，或减少投标人义务；</w:t>
            </w:r>
          </w:p>
          <w:p w14:paraId="1D5934A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c.投标人未提出不同的支付办法；</w:t>
            </w:r>
          </w:p>
          <w:p w14:paraId="02450871">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d.投标人对合同纠纷、事故处理办法未提出异议；</w:t>
            </w:r>
          </w:p>
          <w:p w14:paraId="2D61858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e.投标人在投标活动中无欺诈行为；</w:t>
            </w:r>
          </w:p>
          <w:p w14:paraId="114B976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f.投标人未对合同条款有重要保留。</w:t>
            </w:r>
          </w:p>
          <w:p w14:paraId="1BFB5C3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（13）投标人未对多个</w:t>
            </w:r>
            <w:r>
              <w:rPr>
                <w:rFonts w:hint="eastAsia" w:ascii="宋体" w:hAnsi="宋体" w:cs="宋体"/>
                <w:color w:val="auto"/>
                <w:kern w:val="0"/>
                <w:szCs w:val="21"/>
                <w:highlight w:val="none"/>
                <w:lang w:eastAsia="zh-CN"/>
              </w:rPr>
              <w:t>标段</w:t>
            </w:r>
            <w:r>
              <w:rPr>
                <w:rFonts w:hint="eastAsia" w:ascii="宋体" w:hAnsi="宋体" w:cs="宋体"/>
                <w:color w:val="auto"/>
                <w:kern w:val="0"/>
                <w:szCs w:val="21"/>
                <w:highlight w:val="none"/>
              </w:rPr>
              <w:t>投标，递交的投标文件与所参加的</w:t>
            </w:r>
            <w:r>
              <w:rPr>
                <w:rFonts w:hint="eastAsia" w:ascii="宋体" w:hAnsi="宋体" w:cs="宋体"/>
                <w:color w:val="auto"/>
                <w:kern w:val="0"/>
                <w:szCs w:val="21"/>
                <w:highlight w:val="none"/>
                <w:lang w:eastAsia="zh-CN"/>
              </w:rPr>
              <w:t>标段</w:t>
            </w:r>
            <w:r>
              <w:rPr>
                <w:rFonts w:hint="eastAsia" w:ascii="宋体" w:hAnsi="宋体" w:cs="宋体"/>
                <w:color w:val="auto"/>
                <w:kern w:val="0"/>
                <w:szCs w:val="21"/>
                <w:highlight w:val="none"/>
              </w:rPr>
              <w:t>一致。</w:t>
            </w:r>
          </w:p>
          <w:p w14:paraId="150CE2F4">
            <w:pPr>
              <w:widowControl/>
              <w:jc w:val="left"/>
              <w:rPr>
                <w:color w:val="auto"/>
                <w:highlight w:val="none"/>
              </w:rPr>
            </w:pPr>
            <w:r>
              <w:rPr>
                <w:rFonts w:hint="eastAsia" w:ascii="宋体" w:hAnsi="宋体" w:cs="宋体"/>
                <w:b/>
                <w:bCs/>
                <w:color w:val="auto"/>
                <w:kern w:val="0"/>
                <w:szCs w:val="21"/>
                <w:highlight w:val="none"/>
                <w:lang w:bidi="ar"/>
              </w:rPr>
              <w:t>第一个信封（技术文件）评审标准：</w:t>
            </w:r>
            <w:r>
              <w:rPr>
                <w:rFonts w:hint="eastAsia" w:ascii="宋体" w:hAnsi="宋体" w:cs="宋体"/>
                <w:b/>
                <w:bCs/>
                <w:color w:val="auto"/>
                <w:kern w:val="0"/>
                <w:sz w:val="19"/>
                <w:szCs w:val="19"/>
                <w:highlight w:val="none"/>
                <w:lang w:bidi="ar"/>
              </w:rPr>
              <w:t xml:space="preserve"> </w:t>
            </w:r>
          </w:p>
          <w:p w14:paraId="2A6B56A0">
            <w:pPr>
              <w:widowControl/>
              <w:jc w:val="left"/>
              <w:rPr>
                <w:color w:val="auto"/>
                <w:highlight w:val="none"/>
              </w:rPr>
            </w:pPr>
            <w:r>
              <w:rPr>
                <w:rFonts w:hint="eastAsia" w:ascii="宋体" w:hAnsi="宋体" w:cs="宋体"/>
                <w:color w:val="auto"/>
                <w:kern w:val="0"/>
                <w:szCs w:val="21"/>
                <w:highlight w:val="none"/>
                <w:lang w:bidi="ar"/>
              </w:rPr>
              <w:t>技术建议书（暗标）编制符合招标文件第二章“投标人须知”第 10.4 款的规定。</w:t>
            </w:r>
          </w:p>
          <w:p w14:paraId="72E70380">
            <w:pPr>
              <w:snapToGrid w:val="0"/>
              <w:spacing w:line="320" w:lineRule="exact"/>
              <w:jc w:val="left"/>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第二个信封（报价文件）评审标准：</w:t>
            </w:r>
          </w:p>
          <w:p w14:paraId="237E3B5D">
            <w:pPr>
              <w:snapToGrid w:val="0"/>
              <w:spacing w:line="320" w:lineRule="exact"/>
              <w:jc w:val="left"/>
              <w:textAlignment w:val="baseline"/>
              <w:rPr>
                <w:rFonts w:hint="eastAsia" w:ascii="宋体" w:hAnsi="宋体" w:cs="宋体"/>
                <w:bCs/>
                <w:color w:val="auto"/>
                <w:szCs w:val="21"/>
                <w:highlight w:val="none"/>
              </w:rPr>
            </w:pPr>
            <w:r>
              <w:rPr>
                <w:rFonts w:hint="eastAsia" w:ascii="宋体" w:hAnsi="宋体" w:cs="宋体"/>
                <w:color w:val="auto"/>
                <w:kern w:val="0"/>
                <w:szCs w:val="21"/>
                <w:highlight w:val="none"/>
              </w:rPr>
              <w:t>（1）</w:t>
            </w:r>
            <w:r>
              <w:rPr>
                <w:rFonts w:hint="eastAsia" w:ascii="宋体" w:hAnsi="宋体" w:cs="宋体"/>
                <w:bCs/>
                <w:color w:val="auto"/>
                <w:szCs w:val="21"/>
                <w:highlight w:val="none"/>
              </w:rPr>
              <w:t>投标文件按照招标文件规定的格式、内容填写，字迹清晰可辨。</w:t>
            </w:r>
          </w:p>
          <w:p w14:paraId="3CB82DFC">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a．投标函按招标文件规定填报了项目名称</w:t>
            </w:r>
            <w:r>
              <w:rPr>
                <w:rFonts w:hint="eastAsia" w:ascii="宋体" w:hAnsi="宋体" w:cs="宋体"/>
                <w:color w:val="auto"/>
                <w:szCs w:val="21"/>
                <w:highlight w:val="none"/>
              </w:rPr>
              <w:t>、标段号、</w:t>
            </w:r>
            <w:r>
              <w:rPr>
                <w:rFonts w:hint="eastAsia" w:ascii="宋体" w:hAnsi="宋体" w:cs="宋体"/>
                <w:bCs/>
                <w:color w:val="auto"/>
                <w:szCs w:val="21"/>
                <w:highlight w:val="none"/>
              </w:rPr>
              <w:t>补遗书编号（如有）</w:t>
            </w:r>
            <w:r>
              <w:rPr>
                <w:rFonts w:hint="eastAsia" w:ascii="宋体" w:hAnsi="宋体" w:cs="宋体"/>
                <w:color w:val="auto"/>
                <w:szCs w:val="21"/>
                <w:highlight w:val="none"/>
              </w:rPr>
              <w:t>、</w:t>
            </w:r>
            <w:r>
              <w:rPr>
                <w:rFonts w:hint="eastAsia" w:ascii="宋体" w:hAnsi="宋体" w:cs="宋体"/>
                <w:bCs/>
                <w:color w:val="auto"/>
                <w:szCs w:val="21"/>
                <w:highlight w:val="none"/>
              </w:rPr>
              <w:t>投标报价（包括大写金额和小写金额）等；</w:t>
            </w:r>
          </w:p>
          <w:p w14:paraId="00C8F62A">
            <w:pPr>
              <w:pStyle w:val="4"/>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b.已标价报价清单说明文字与招标文件一致，未进行实质性修改和删减。</w:t>
            </w:r>
          </w:p>
          <w:p w14:paraId="38986607">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c．投标文件组成齐全完整，内容均按规定填写。</w:t>
            </w:r>
          </w:p>
          <w:p w14:paraId="498ED9E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084B7E6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Cs/>
                <w:color w:val="auto"/>
                <w:szCs w:val="21"/>
                <w:highlight w:val="none"/>
              </w:rPr>
              <w:t>（3）</w:t>
            </w:r>
            <w:r>
              <w:rPr>
                <w:rFonts w:hint="eastAsia" w:ascii="宋体" w:hAnsi="宋体" w:cs="宋体"/>
                <w:color w:val="auto"/>
                <w:kern w:val="0"/>
                <w:szCs w:val="21"/>
                <w:highlight w:val="none"/>
              </w:rPr>
              <w:t>投标报价未超过招标文件设定的最高投标限价。</w:t>
            </w:r>
          </w:p>
          <w:p w14:paraId="533C90A1">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（4）投标报价的大写金额能够确定具体数值。</w:t>
            </w:r>
          </w:p>
          <w:p w14:paraId="5585433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（5）同一投标人未提交两个以上不同的投标报价。</w:t>
            </w:r>
          </w:p>
          <w:p w14:paraId="74703678">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（6）投标报价中缺陷责任期阶段监理服务费报价不低于监理服务总费用的5%。</w:t>
            </w:r>
          </w:p>
          <w:p w14:paraId="0FE6A138">
            <w:pPr>
              <w:snapToGrid w:val="0"/>
              <w:spacing w:line="320" w:lineRule="exact"/>
              <w:jc w:val="left"/>
              <w:textAlignment w:val="baseline"/>
              <w:rPr>
                <w:color w:val="auto"/>
                <w:highlight w:val="none"/>
              </w:rPr>
            </w:pPr>
            <w:r>
              <w:rPr>
                <w:rFonts w:hint="eastAsia" w:ascii="宋体" w:hAnsi="宋体" w:cs="宋体"/>
                <w:color w:val="auto"/>
                <w:kern w:val="0"/>
                <w:szCs w:val="21"/>
                <w:highlight w:val="none"/>
              </w:rPr>
              <w:t>（7）投标人未对多个</w:t>
            </w:r>
            <w:r>
              <w:rPr>
                <w:rFonts w:hint="eastAsia" w:ascii="宋体" w:hAnsi="宋体" w:cs="宋体"/>
                <w:color w:val="auto"/>
                <w:kern w:val="0"/>
                <w:szCs w:val="21"/>
                <w:highlight w:val="none"/>
                <w:lang w:eastAsia="zh-CN"/>
              </w:rPr>
              <w:t>标段</w:t>
            </w:r>
            <w:r>
              <w:rPr>
                <w:rFonts w:hint="eastAsia" w:ascii="宋体" w:hAnsi="宋体" w:cs="宋体"/>
                <w:color w:val="auto"/>
                <w:kern w:val="0"/>
                <w:szCs w:val="21"/>
                <w:highlight w:val="none"/>
              </w:rPr>
              <w:t>投标，递交的投标文件与所参加的</w:t>
            </w:r>
            <w:r>
              <w:rPr>
                <w:rFonts w:hint="eastAsia" w:ascii="宋体" w:hAnsi="宋体" w:cs="宋体"/>
                <w:color w:val="auto"/>
                <w:kern w:val="0"/>
                <w:szCs w:val="21"/>
                <w:highlight w:val="none"/>
                <w:lang w:eastAsia="zh-CN"/>
              </w:rPr>
              <w:t>标段</w:t>
            </w:r>
            <w:r>
              <w:rPr>
                <w:rFonts w:hint="eastAsia" w:ascii="宋体" w:hAnsi="宋体" w:cs="宋体"/>
                <w:color w:val="auto"/>
                <w:kern w:val="0"/>
                <w:szCs w:val="21"/>
                <w:highlight w:val="none"/>
              </w:rPr>
              <w:t>一致。</w:t>
            </w:r>
          </w:p>
          <w:p w14:paraId="1DC38C21">
            <w:pPr>
              <w:snapToGrid w:val="0"/>
              <w:spacing w:line="320" w:lineRule="exact"/>
              <w:jc w:val="left"/>
              <w:textAlignment w:val="baseline"/>
              <w:rPr>
                <w:color w:val="auto"/>
                <w:highlight w:val="none"/>
              </w:rPr>
            </w:pPr>
            <w:r>
              <w:rPr>
                <w:rFonts w:hint="eastAsia"/>
                <w:color w:val="auto"/>
                <w:highlight w:val="none"/>
              </w:rPr>
              <w:t>（8）监理服务费用清单中的投标报价</w:t>
            </w:r>
            <w:r>
              <w:rPr>
                <w:rFonts w:hint="eastAsia"/>
                <w:color w:val="auto"/>
                <w:highlight w:val="none"/>
                <w:lang w:eastAsia="zh-CN"/>
              </w:rPr>
              <w:t>总计</w:t>
            </w:r>
            <w:r>
              <w:rPr>
                <w:rFonts w:hint="eastAsia"/>
                <w:color w:val="auto"/>
                <w:highlight w:val="none"/>
              </w:rPr>
              <w:t>和投标函投标报价大写金额一致。</w:t>
            </w:r>
          </w:p>
        </w:tc>
      </w:tr>
      <w:tr w14:paraId="417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1425" w:type="dxa"/>
            <w:tcBorders>
              <w:top w:val="single" w:color="auto" w:sz="4" w:space="0"/>
              <w:left w:val="single" w:color="auto" w:sz="4" w:space="0"/>
              <w:bottom w:val="single" w:color="auto" w:sz="4" w:space="0"/>
              <w:right w:val="single" w:color="auto" w:sz="4" w:space="0"/>
            </w:tcBorders>
            <w:vAlign w:val="center"/>
          </w:tcPr>
          <w:p w14:paraId="44097471">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2.1.2</w:t>
            </w:r>
          </w:p>
        </w:tc>
        <w:tc>
          <w:tcPr>
            <w:tcW w:w="1230" w:type="dxa"/>
            <w:tcBorders>
              <w:top w:val="single" w:color="auto" w:sz="4" w:space="0"/>
              <w:left w:val="single" w:color="auto" w:sz="4" w:space="0"/>
              <w:bottom w:val="single" w:color="auto" w:sz="4" w:space="0"/>
              <w:right w:val="single" w:color="auto" w:sz="4" w:space="0"/>
            </w:tcBorders>
            <w:vAlign w:val="center"/>
          </w:tcPr>
          <w:p w14:paraId="39C4DC42">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7011" w:type="dxa"/>
            <w:tcBorders>
              <w:top w:val="single" w:color="auto" w:sz="4" w:space="0"/>
              <w:left w:val="single" w:color="auto" w:sz="4" w:space="0"/>
              <w:bottom w:val="single" w:color="auto" w:sz="4" w:space="0"/>
              <w:right w:val="single" w:color="auto" w:sz="4" w:space="0"/>
            </w:tcBorders>
            <w:vAlign w:val="center"/>
          </w:tcPr>
          <w:p w14:paraId="50429536">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（1）投标人具备有效的</w:t>
            </w:r>
            <w:r>
              <w:rPr>
                <w:rFonts w:hint="eastAsia" w:ascii="宋体" w:hAnsi="宋体" w:cs="宋体"/>
                <w:color w:val="auto"/>
                <w:szCs w:val="21"/>
                <w:highlight w:val="none"/>
                <w:lang w:eastAsia="zh-CN"/>
              </w:rPr>
              <w:t>企业</w:t>
            </w:r>
            <w:r>
              <w:rPr>
                <w:rFonts w:hint="eastAsia" w:ascii="宋体" w:hAnsi="宋体" w:cs="宋体"/>
                <w:color w:val="auto"/>
                <w:szCs w:val="21"/>
                <w:highlight w:val="none"/>
              </w:rPr>
              <w:t>营业执照、监理资质证书和基本账户开户许可证（或基本存款账户信息）。</w:t>
            </w:r>
          </w:p>
          <w:p w14:paraId="25630C2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（2）投标人的资质等级符合招标文件规定。</w:t>
            </w:r>
          </w:p>
          <w:p w14:paraId="63D66F0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（3）投标人的类似项目业绩符合招标文件的规定。</w:t>
            </w:r>
          </w:p>
          <w:p w14:paraId="346EACEC">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（4）投标人的信誉符合招标文件规定。</w:t>
            </w:r>
          </w:p>
          <w:p w14:paraId="14ECAEDB">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（5）投标人的总监理工程师</w:t>
            </w:r>
            <w:r>
              <w:rPr>
                <w:rFonts w:hint="eastAsia" w:ascii="宋体" w:hAnsi="宋体" w:cs="宋体"/>
                <w:color w:val="auto"/>
                <w:szCs w:val="21"/>
                <w:highlight w:val="none"/>
                <w:lang w:eastAsia="zh-CN"/>
              </w:rPr>
              <w:t>或驻地监理工程师</w:t>
            </w:r>
            <w:r>
              <w:rPr>
                <w:rFonts w:hint="eastAsia" w:ascii="宋体" w:hAnsi="宋体" w:cs="宋体"/>
                <w:color w:val="auto"/>
                <w:szCs w:val="21"/>
                <w:highlight w:val="none"/>
              </w:rPr>
              <w:t>资格符合招标文件规定。</w:t>
            </w:r>
          </w:p>
          <w:p w14:paraId="56FCC838">
            <w:pPr>
              <w:pStyle w:val="4"/>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（6）投标人不存在第二章“投标人须知”第1.4.3项或1.4.4项规定的任何一种情形。</w:t>
            </w:r>
          </w:p>
          <w:p w14:paraId="3A9A032E">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（7）投标人符合第二章“投标人须知”第1.4.5项规定。</w:t>
            </w:r>
          </w:p>
        </w:tc>
      </w:tr>
      <w:tr w14:paraId="02C8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425" w:type="dxa"/>
            <w:tcBorders>
              <w:top w:val="single" w:color="auto" w:sz="4" w:space="0"/>
              <w:left w:val="single" w:color="auto" w:sz="4" w:space="0"/>
              <w:bottom w:val="single" w:color="auto" w:sz="4" w:space="0"/>
              <w:right w:val="single" w:color="auto" w:sz="4" w:space="0"/>
            </w:tcBorders>
            <w:vAlign w:val="center"/>
          </w:tcPr>
          <w:p w14:paraId="541E0E76">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2.2.1</w:t>
            </w:r>
          </w:p>
        </w:tc>
        <w:tc>
          <w:tcPr>
            <w:tcW w:w="1230" w:type="dxa"/>
            <w:tcBorders>
              <w:top w:val="single" w:color="auto" w:sz="4" w:space="0"/>
              <w:left w:val="single" w:color="auto" w:sz="4" w:space="0"/>
              <w:bottom w:val="single" w:color="auto" w:sz="4" w:space="0"/>
              <w:right w:val="single" w:color="auto" w:sz="4" w:space="0"/>
            </w:tcBorders>
            <w:vAlign w:val="center"/>
          </w:tcPr>
          <w:p w14:paraId="201DB0FE">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分值构成</w:t>
            </w:r>
          </w:p>
        </w:tc>
        <w:tc>
          <w:tcPr>
            <w:tcW w:w="7011" w:type="dxa"/>
            <w:tcBorders>
              <w:top w:val="single" w:color="auto" w:sz="4" w:space="0"/>
              <w:left w:val="single" w:color="auto" w:sz="4" w:space="0"/>
              <w:bottom w:val="single" w:color="auto" w:sz="4" w:space="0"/>
              <w:right w:val="single" w:color="auto" w:sz="4" w:space="0"/>
            </w:tcBorders>
            <w:vAlign w:val="center"/>
          </w:tcPr>
          <w:p w14:paraId="2E1BB7DF">
            <w:pPr>
              <w:snapToGrid w:val="0"/>
              <w:spacing w:line="320" w:lineRule="exact"/>
              <w:ind w:left="107"/>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第一信封（商务及技术文件）评分分值构成：</w:t>
            </w:r>
          </w:p>
          <w:p w14:paraId="7869B74E">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技术建议书：35分</w:t>
            </w:r>
          </w:p>
          <w:p w14:paraId="0AAA2E9D">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主要人员：30分</w:t>
            </w:r>
          </w:p>
          <w:p w14:paraId="3DCAF981">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其他因素：25分</w:t>
            </w:r>
          </w:p>
          <w:p w14:paraId="2ED293BE">
            <w:pPr>
              <w:snapToGrid w:val="0"/>
              <w:spacing w:line="320" w:lineRule="exact"/>
              <w:ind w:left="107"/>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第二信封（报价文件）评分分值构成：</w:t>
            </w:r>
          </w:p>
          <w:p w14:paraId="5F7ABD9B">
            <w:pPr>
              <w:snapToGrid w:val="0"/>
              <w:spacing w:line="320" w:lineRule="exact"/>
              <w:ind w:left="107"/>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评标价：10分</w:t>
            </w:r>
          </w:p>
        </w:tc>
      </w:tr>
      <w:tr w14:paraId="3D8A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425" w:type="dxa"/>
            <w:tcBorders>
              <w:top w:val="single" w:color="auto" w:sz="4" w:space="0"/>
              <w:left w:val="single" w:color="auto" w:sz="4" w:space="0"/>
              <w:bottom w:val="single" w:color="auto" w:sz="4" w:space="0"/>
              <w:right w:val="single" w:color="auto" w:sz="4" w:space="0"/>
            </w:tcBorders>
            <w:vAlign w:val="center"/>
          </w:tcPr>
          <w:p w14:paraId="6F0C52ED">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2.2.2</w:t>
            </w:r>
          </w:p>
        </w:tc>
        <w:tc>
          <w:tcPr>
            <w:tcW w:w="1230" w:type="dxa"/>
            <w:tcBorders>
              <w:top w:val="single" w:color="auto" w:sz="4" w:space="0"/>
              <w:left w:val="single" w:color="auto" w:sz="4" w:space="0"/>
              <w:bottom w:val="single" w:color="auto" w:sz="4" w:space="0"/>
              <w:right w:val="single" w:color="auto" w:sz="4" w:space="0"/>
            </w:tcBorders>
            <w:vAlign w:val="center"/>
          </w:tcPr>
          <w:p w14:paraId="46D62F0F">
            <w:pPr>
              <w:snapToGrid w:val="0"/>
              <w:spacing w:line="320" w:lineRule="exact"/>
              <w:ind w:left="2"/>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7011" w:type="dxa"/>
            <w:tcBorders>
              <w:top w:val="single" w:color="auto" w:sz="4" w:space="0"/>
              <w:left w:val="single" w:color="auto" w:sz="4" w:space="0"/>
              <w:bottom w:val="single" w:color="auto" w:sz="4" w:space="0"/>
              <w:right w:val="single" w:color="auto" w:sz="4" w:space="0"/>
            </w:tcBorders>
            <w:vAlign w:val="center"/>
          </w:tcPr>
          <w:p w14:paraId="48F30C11">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（1）评标价的确定：</w:t>
            </w:r>
          </w:p>
          <w:p w14:paraId="0557CC26">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评标价=投标函文字报价</w:t>
            </w:r>
          </w:p>
          <w:p w14:paraId="40364665">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（2）评标价平均值的计算：</w:t>
            </w:r>
          </w:p>
          <w:p w14:paraId="03AF6BDC">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除按第二章“投标人须知 ”第 5.2.</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 5 家时，则计算评标价平均值时不去掉最高值和最低值）。</w:t>
            </w:r>
          </w:p>
          <w:p w14:paraId="33BBCF07">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（3）评标基准价的确定：</w:t>
            </w:r>
          </w:p>
          <w:p w14:paraId="207AE6E0">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将评标价平均值直接作为评标基准价，保留两位小数。</w:t>
            </w:r>
          </w:p>
          <w:p w14:paraId="033C5B60">
            <w:pPr>
              <w:snapToGrid w:val="0"/>
              <w:spacing w:line="320" w:lineRule="exact"/>
              <w:textAlignment w:val="baseline"/>
              <w:rPr>
                <w:rFonts w:hint="eastAsia" w:ascii="宋体" w:hAnsi="宋体" w:cs="宋体"/>
                <w:color w:val="auto"/>
                <w:szCs w:val="21"/>
                <w:highlight w:val="none"/>
              </w:rPr>
            </w:pPr>
            <w:r>
              <w:rPr>
                <w:rFonts w:hint="eastAsia" w:ascii="宋体" w:hAnsi="宋体" w:eastAsia="宋体"/>
                <w:color w:val="auto"/>
                <w:szCs w:val="21"/>
                <w:highlight w:val="none"/>
              </w:rPr>
              <w:t>在评标过程中，评标委员会应对招标人计算的评标基准价进行复核， 存在计算错误的应予以修正并在评标报告中作出说明。除此之外，评标基准价在整个评标期间保持不变，不随任何因素发生变化。</w:t>
            </w:r>
          </w:p>
        </w:tc>
      </w:tr>
      <w:tr w14:paraId="37DC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425" w:type="dxa"/>
            <w:tcBorders>
              <w:top w:val="single" w:color="auto" w:sz="4" w:space="0"/>
              <w:left w:val="single" w:color="auto" w:sz="4" w:space="0"/>
              <w:bottom w:val="single" w:color="auto" w:sz="4" w:space="0"/>
              <w:right w:val="single" w:color="auto" w:sz="4" w:space="0"/>
            </w:tcBorders>
            <w:vAlign w:val="center"/>
          </w:tcPr>
          <w:p w14:paraId="74D9811F">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2.2.3</w:t>
            </w:r>
          </w:p>
        </w:tc>
        <w:tc>
          <w:tcPr>
            <w:tcW w:w="1230" w:type="dxa"/>
            <w:tcBorders>
              <w:top w:val="single" w:color="auto" w:sz="4" w:space="0"/>
              <w:left w:val="single" w:color="auto" w:sz="4" w:space="0"/>
              <w:bottom w:val="single" w:color="auto" w:sz="4" w:space="0"/>
              <w:right w:val="single" w:color="auto" w:sz="4" w:space="0"/>
            </w:tcBorders>
            <w:vAlign w:val="center"/>
          </w:tcPr>
          <w:p w14:paraId="573B7414">
            <w:pPr>
              <w:snapToGrid w:val="0"/>
              <w:spacing w:line="320" w:lineRule="exact"/>
              <w:ind w:left="-31" w:leftChars="-15"/>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7011" w:type="dxa"/>
            <w:tcBorders>
              <w:top w:val="single" w:color="auto" w:sz="4" w:space="0"/>
              <w:left w:val="single" w:color="auto" w:sz="4" w:space="0"/>
              <w:bottom w:val="single" w:color="auto" w:sz="4" w:space="0"/>
              <w:right w:val="single" w:color="auto" w:sz="4" w:space="0"/>
            </w:tcBorders>
            <w:vAlign w:val="center"/>
          </w:tcPr>
          <w:p w14:paraId="1EE0F9CF">
            <w:pPr>
              <w:snapToGrid w:val="0"/>
              <w:spacing w:line="320" w:lineRule="exact"/>
              <w:ind w:right="113" w:firstLine="426" w:firstLineChars="203"/>
              <w:textAlignment w:val="baseline"/>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1F4C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655" w:type="dxa"/>
            <w:gridSpan w:val="2"/>
            <w:tcBorders>
              <w:top w:val="single" w:color="auto" w:sz="4" w:space="0"/>
              <w:left w:val="single" w:color="auto" w:sz="4" w:space="0"/>
              <w:bottom w:val="single" w:color="auto" w:sz="4" w:space="0"/>
              <w:right w:val="single" w:color="auto" w:sz="4" w:space="0"/>
            </w:tcBorders>
            <w:vAlign w:val="center"/>
          </w:tcPr>
          <w:p w14:paraId="196302E3">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3.5.3</w:t>
            </w:r>
          </w:p>
        </w:tc>
        <w:tc>
          <w:tcPr>
            <w:tcW w:w="7011" w:type="dxa"/>
            <w:tcBorders>
              <w:top w:val="single" w:color="auto" w:sz="4" w:space="0"/>
              <w:left w:val="single" w:color="auto" w:sz="4" w:space="0"/>
              <w:bottom w:val="single" w:color="auto" w:sz="4" w:space="0"/>
              <w:right w:val="single" w:color="auto" w:sz="4" w:space="0"/>
            </w:tcBorders>
            <w:vAlign w:val="center"/>
          </w:tcPr>
          <w:p w14:paraId="06727C36">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本款修改为：</w:t>
            </w:r>
          </w:p>
          <w:p w14:paraId="165B44AB">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评标委员会发现投标人的投标报价低于最高投标限价的</w:t>
            </w:r>
            <w:r>
              <w:rPr>
                <w:rFonts w:hint="eastAsia" w:ascii="宋体" w:hAnsi="宋体" w:cs="宋体"/>
                <w:color w:val="auto"/>
                <w:szCs w:val="21"/>
                <w:highlight w:val="none"/>
                <w:lang w:val="en-US" w:eastAsia="zh-CN"/>
              </w:rPr>
              <w:t xml:space="preserve">80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含</w:t>
            </w:r>
            <w:r>
              <w:rPr>
                <w:rFonts w:hint="eastAsia" w:ascii="宋体" w:hAnsi="宋体" w:cs="宋体"/>
                <w:color w:val="auto"/>
                <w:szCs w:val="21"/>
                <w:highlight w:val="none"/>
                <w:lang w:eastAsia="zh-CN"/>
              </w:rPr>
              <w:t>）</w:t>
            </w:r>
            <w:r>
              <w:rPr>
                <w:rFonts w:hint="eastAsia" w:ascii="宋体" w:hAnsi="宋体" w:cs="宋体"/>
                <w:color w:val="auto"/>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0E0E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425" w:type="dxa"/>
            <w:tcBorders>
              <w:top w:val="single" w:color="auto" w:sz="4" w:space="0"/>
              <w:left w:val="single" w:color="auto" w:sz="4" w:space="0"/>
              <w:bottom w:val="single" w:color="auto" w:sz="4" w:space="0"/>
              <w:right w:val="single" w:color="auto" w:sz="4" w:space="0"/>
            </w:tcBorders>
            <w:vAlign w:val="center"/>
          </w:tcPr>
          <w:p w14:paraId="58E7A93C">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3.6.1</w:t>
            </w:r>
          </w:p>
        </w:tc>
        <w:tc>
          <w:tcPr>
            <w:tcW w:w="1230" w:type="dxa"/>
            <w:tcBorders>
              <w:top w:val="single" w:color="auto" w:sz="4" w:space="0"/>
              <w:left w:val="single" w:color="auto" w:sz="4" w:space="0"/>
              <w:bottom w:val="single" w:color="auto" w:sz="4" w:space="0"/>
              <w:right w:val="single" w:color="auto" w:sz="4" w:space="0"/>
            </w:tcBorders>
            <w:vAlign w:val="center"/>
          </w:tcPr>
          <w:p w14:paraId="4A544CBF">
            <w:pPr>
              <w:snapToGrid w:val="0"/>
              <w:spacing w:line="320" w:lineRule="exact"/>
              <w:ind w:left="-31" w:leftChars="-15"/>
              <w:textAlignment w:val="baseline"/>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7011" w:type="dxa"/>
            <w:tcBorders>
              <w:top w:val="single" w:color="auto" w:sz="4" w:space="0"/>
              <w:left w:val="single" w:color="auto" w:sz="4" w:space="0"/>
              <w:bottom w:val="single" w:color="auto" w:sz="4" w:space="0"/>
              <w:right w:val="single" w:color="auto" w:sz="4" w:space="0"/>
            </w:tcBorders>
            <w:vAlign w:val="center"/>
          </w:tcPr>
          <w:p w14:paraId="1F110F15">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在评标过程中，评标委员会应对以下信息进行查询：</w:t>
            </w:r>
          </w:p>
          <w:p w14:paraId="6C7C6E58">
            <w:pPr>
              <w:wordWrap w:val="0"/>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（1）投标人名称和资质与“全国公路建设市场监督管理系统（https://hwdms.mot.gov.cn/BMWebSite/）”的复核结果一致，并满足招标文件要求；</w:t>
            </w:r>
          </w:p>
          <w:p w14:paraId="7CA21E60">
            <w:pPr>
              <w:wordWrap w:val="0"/>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（2）投标人的类似项目业绩符合招标文件规定，所附相关项目详细信息网页截图扫描件与“全国公路建设市场监督管理系统（https://hwdms.mot.gov.cn/BMWebSite/）”的复核结果一致，并满足招标文件要求；</w:t>
            </w:r>
          </w:p>
          <w:p w14:paraId="7274452E">
            <w:pPr>
              <w:widowControl/>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（3）所附总监理工程师</w:t>
            </w:r>
            <w:r>
              <w:rPr>
                <w:rFonts w:hint="eastAsia" w:ascii="宋体" w:hAnsi="宋体" w:cs="宋体"/>
                <w:color w:val="auto"/>
                <w:szCs w:val="21"/>
                <w:highlight w:val="none"/>
                <w:lang w:eastAsia="zh-CN"/>
              </w:rPr>
              <w:t>或驻地监理工程师</w:t>
            </w:r>
            <w:r>
              <w:rPr>
                <w:rFonts w:hint="eastAsia" w:ascii="宋体" w:hAnsi="宋体" w:cs="宋体"/>
                <w:color w:val="auto"/>
                <w:szCs w:val="21"/>
                <w:highlight w:val="none"/>
              </w:rPr>
              <w:t>在投标单位</w:t>
            </w:r>
            <w:r>
              <w:rPr>
                <w:rFonts w:hint="eastAsia" w:ascii="宋体" w:hAnsi="宋体" w:cs="宋体"/>
                <w:color w:val="auto"/>
                <w:kern w:val="0"/>
                <w:szCs w:val="21"/>
                <w:highlight w:val="none"/>
                <w:lang w:bidi="ar"/>
              </w:rPr>
              <w:t>岗位登记信息（执业资格、履历信息等）和业绩</w:t>
            </w:r>
            <w:r>
              <w:rPr>
                <w:rFonts w:hint="eastAsia" w:ascii="宋体" w:hAnsi="宋体" w:cs="宋体"/>
                <w:color w:val="auto"/>
                <w:szCs w:val="21"/>
                <w:highlight w:val="none"/>
              </w:rPr>
              <w:t>的网页截图扫描件与“全国公路建设市场监督管理系统（https://hwdms.mot.gov.cn/BMWebSite/）”的复核结果一致，并满足招标文件要求；</w:t>
            </w:r>
          </w:p>
          <w:p w14:paraId="6A7E81D9">
            <w:pPr>
              <w:snapToGrid w:val="0"/>
              <w:spacing w:line="320" w:lineRule="exact"/>
              <w:ind w:right="113"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注：前述（1）、（2）、（3）项如投标人未提供相关网页截图或所附截图与复核结果不符，使得投标人的资格条件不符合招标文件规定的，评标委员会应否决其投标。</w:t>
            </w:r>
          </w:p>
          <w:p w14:paraId="26CB379C">
            <w:pPr>
              <w:numPr>
                <w:ilvl w:val="0"/>
                <w:numId w:val="0"/>
              </w:numPr>
              <w:autoSpaceDE w:val="0"/>
              <w:autoSpaceDN w:val="0"/>
              <w:snapToGrid w:val="0"/>
              <w:spacing w:line="320" w:lineRule="exact"/>
              <w:ind w:firstLine="420" w:firstLineChars="200"/>
              <w:jc w:val="lef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评标委员会在评标过程中</w:t>
            </w:r>
            <w:r>
              <w:rPr>
                <w:rFonts w:hint="eastAsia" w:ascii="宋体" w:hAnsi="宋体" w:eastAsia="宋体" w:cs="宋体"/>
                <w:color w:val="auto"/>
                <w:kern w:val="0"/>
                <w:sz w:val="21"/>
                <w:szCs w:val="21"/>
                <w:highlight w:val="none"/>
                <w:lang w:val="en-US" w:eastAsia="zh-CN"/>
              </w:rPr>
              <w:t>将对投标人的信誉情况进行查询。如投标人存在下列情形之一的，</w:t>
            </w:r>
            <w:r>
              <w:rPr>
                <w:rFonts w:hint="eastAsia" w:ascii="宋体" w:hAnsi="宋体" w:eastAsia="宋体" w:cs="宋体"/>
                <w:color w:val="auto"/>
                <w:kern w:val="0"/>
                <w:sz w:val="21"/>
                <w:szCs w:val="21"/>
                <w:highlight w:val="none"/>
                <w:lang w:eastAsia="zh-CN"/>
              </w:rPr>
              <w:t>评标委员会应否决其投标。</w:t>
            </w:r>
          </w:p>
          <w:p w14:paraId="6F5B8C41">
            <w:pPr>
              <w:numPr>
                <w:ilvl w:val="0"/>
                <w:numId w:val="0"/>
              </w:numPr>
              <w:autoSpaceDE w:val="0"/>
              <w:autoSpaceDN w:val="0"/>
              <w:snapToGrid w:val="0"/>
              <w:spacing w:line="320" w:lineRule="exact"/>
              <w:ind w:firstLine="420" w:firstLineChars="200"/>
              <w:jc w:val="left"/>
              <w:rPr>
                <w:rFonts w:ascii="宋体" w:hAnsi="宋体" w:eastAsia="宋体" w:cs="宋体"/>
                <w:color w:val="auto"/>
                <w:kern w:val="0"/>
                <w:sz w:val="21"/>
                <w:szCs w:val="21"/>
                <w:highlight w:val="none"/>
                <w:lang w:eastAsia="zh-CN"/>
              </w:rPr>
            </w:pPr>
            <w:r>
              <w:rPr>
                <w:rFonts w:hint="default" w:ascii="Calibri" w:hAnsi="Calibri" w:eastAsia="宋体" w:cs="Calibri"/>
                <w:color w:val="auto"/>
                <w:kern w:val="0"/>
                <w:sz w:val="21"/>
                <w:szCs w:val="21"/>
                <w:highlight w:val="none"/>
                <w:lang w:val="en-US" w:eastAsia="zh-CN"/>
              </w:rPr>
              <w:t>①</w:t>
            </w:r>
            <w:r>
              <w:rPr>
                <w:rFonts w:hint="eastAsia" w:ascii="宋体" w:hAnsi="宋体" w:eastAsia="宋体" w:cs="宋体"/>
                <w:color w:val="auto"/>
                <w:kern w:val="0"/>
                <w:sz w:val="21"/>
                <w:szCs w:val="21"/>
                <w:highlight w:val="none"/>
                <w:lang w:eastAsia="zh-CN"/>
              </w:rPr>
              <w:t>在国家企业信用信息公示系统（https://www.gsxt.gov.cn/）中被列入严重违法失信名单（黑名单）（不含分公司）；</w:t>
            </w:r>
          </w:p>
          <w:p w14:paraId="7B6D8AB0">
            <w:pPr>
              <w:numPr>
                <w:ilvl w:val="0"/>
                <w:numId w:val="0"/>
              </w:numPr>
              <w:autoSpaceDE w:val="0"/>
              <w:autoSpaceDN w:val="0"/>
              <w:snapToGrid w:val="0"/>
              <w:spacing w:line="320" w:lineRule="exact"/>
              <w:ind w:firstLine="420" w:firstLineChars="200"/>
              <w:jc w:val="left"/>
              <w:rPr>
                <w:rFonts w:ascii="宋体" w:hAnsi="宋体" w:eastAsia="宋体" w:cs="宋体"/>
                <w:color w:val="auto"/>
                <w:kern w:val="0"/>
                <w:sz w:val="21"/>
                <w:szCs w:val="21"/>
                <w:highlight w:val="none"/>
                <w:lang w:eastAsia="zh-CN"/>
              </w:rPr>
            </w:pPr>
            <w:r>
              <w:rPr>
                <w:rFonts w:hint="default" w:ascii="Calibri" w:hAnsi="Calibri" w:eastAsia="宋体" w:cs="Calibri"/>
                <w:color w:val="auto"/>
                <w:kern w:val="0"/>
                <w:sz w:val="21"/>
                <w:szCs w:val="21"/>
                <w:highlight w:val="none"/>
                <w:lang w:val="en-US" w:eastAsia="zh-CN"/>
              </w:rPr>
              <w:t>②</w:t>
            </w:r>
            <w:r>
              <w:rPr>
                <w:rFonts w:hint="eastAsia" w:ascii="宋体" w:hAnsi="宋体" w:eastAsia="宋体" w:cs="宋体"/>
                <w:color w:val="auto"/>
                <w:kern w:val="0"/>
                <w:sz w:val="21"/>
                <w:szCs w:val="21"/>
                <w:highlight w:val="none"/>
                <w:lang w:eastAsia="zh-CN"/>
              </w:rPr>
              <w:t>在“信用中国”网站（http://www.creditchina.gov.cn/）中被列入经营（活动）异常名录、重大税收违法失信主体名单</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eastAsia="zh-CN"/>
              </w:rPr>
              <w:t>政府采购严重违法失信行为记录名单、安全生产严重失信主体名单（均不含分公司）；</w:t>
            </w:r>
          </w:p>
          <w:p w14:paraId="0543E46D">
            <w:pPr>
              <w:numPr>
                <w:ilvl w:val="0"/>
                <w:numId w:val="0"/>
              </w:numPr>
              <w:autoSpaceDE w:val="0"/>
              <w:autoSpaceDN w:val="0"/>
              <w:snapToGrid w:val="0"/>
              <w:spacing w:line="320" w:lineRule="exact"/>
              <w:ind w:firstLine="420" w:firstLineChars="200"/>
              <w:jc w:val="left"/>
              <w:rPr>
                <w:rFonts w:ascii="宋体" w:hAnsi="宋体" w:eastAsia="宋体" w:cs="宋体"/>
                <w:color w:val="auto"/>
                <w:kern w:val="0"/>
                <w:sz w:val="21"/>
                <w:szCs w:val="21"/>
                <w:highlight w:val="none"/>
                <w:lang w:eastAsia="zh-CN"/>
              </w:rPr>
            </w:pPr>
            <w:r>
              <w:rPr>
                <w:rFonts w:hint="default" w:ascii="Calibri" w:hAnsi="Calibri" w:eastAsia="宋体" w:cs="Calibri"/>
                <w:color w:val="auto"/>
                <w:kern w:val="0"/>
                <w:sz w:val="21"/>
                <w:szCs w:val="21"/>
                <w:highlight w:val="none"/>
                <w:lang w:val="en-US" w:eastAsia="zh-CN"/>
              </w:rPr>
              <w:t>③</w:t>
            </w:r>
            <w:r>
              <w:rPr>
                <w:rFonts w:hint="eastAsia" w:ascii="宋体" w:hAnsi="宋体" w:eastAsia="宋体" w:cs="宋体"/>
                <w:color w:val="auto"/>
                <w:kern w:val="0"/>
                <w:sz w:val="21"/>
                <w:szCs w:val="21"/>
                <w:highlight w:val="none"/>
                <w:lang w:eastAsia="zh-CN"/>
              </w:rPr>
              <w:t>在中国执行信息公开网（zxgk.court.gov.cn）中被列入失信被执行人（不含分公司）。</w:t>
            </w:r>
          </w:p>
          <w:p w14:paraId="3BB446D9">
            <w:pPr>
              <w:snapToGrid w:val="0"/>
              <w:spacing w:line="320" w:lineRule="exact"/>
              <w:ind w:right="113" w:firstLine="420" w:firstLineChars="200"/>
              <w:textAlignment w:val="baseline"/>
              <w:rPr>
                <w:color w:val="auto"/>
                <w:highlight w:val="none"/>
              </w:rPr>
            </w:pPr>
            <w:r>
              <w:rPr>
                <w:rFonts w:hint="eastAsia" w:ascii="宋体" w:hAnsi="宋体" w:cs="宋体"/>
                <w:color w:val="auto"/>
                <w:szCs w:val="21"/>
                <w:highlight w:val="none"/>
              </w:rPr>
              <w:t>投标人应当及时核查并更新相应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tc>
      </w:tr>
      <w:tr w14:paraId="6BD3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425" w:type="dxa"/>
            <w:tcBorders>
              <w:top w:val="single" w:color="auto" w:sz="4" w:space="0"/>
              <w:left w:val="single" w:color="auto" w:sz="4" w:space="0"/>
              <w:bottom w:val="single" w:color="auto" w:sz="4" w:space="0"/>
              <w:right w:val="single" w:color="auto" w:sz="4" w:space="0"/>
            </w:tcBorders>
            <w:vAlign w:val="center"/>
          </w:tcPr>
          <w:p w14:paraId="68F4201C">
            <w:pPr>
              <w:snapToGrid w:val="0"/>
              <w:spacing w:line="320" w:lineRule="exact"/>
              <w:ind w:right="113"/>
              <w:textAlignment w:val="baseline"/>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3.6.3</w:t>
            </w:r>
          </w:p>
        </w:tc>
        <w:tc>
          <w:tcPr>
            <w:tcW w:w="1230" w:type="dxa"/>
            <w:tcBorders>
              <w:top w:val="single" w:color="auto" w:sz="4" w:space="0"/>
              <w:left w:val="single" w:color="auto" w:sz="4" w:space="0"/>
              <w:bottom w:val="single" w:color="auto" w:sz="4" w:space="0"/>
              <w:right w:val="single" w:color="auto" w:sz="4" w:space="0"/>
            </w:tcBorders>
            <w:vAlign w:val="center"/>
          </w:tcPr>
          <w:p w14:paraId="7880C4F5">
            <w:pPr>
              <w:snapToGrid w:val="0"/>
              <w:spacing w:line="320" w:lineRule="exact"/>
              <w:ind w:right="113"/>
              <w:textAlignment w:val="baseline"/>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投标人其他异常投标情形</w:t>
            </w:r>
          </w:p>
        </w:tc>
        <w:tc>
          <w:tcPr>
            <w:tcW w:w="7011" w:type="dxa"/>
            <w:tcBorders>
              <w:top w:val="single" w:color="auto" w:sz="4" w:space="0"/>
              <w:left w:val="single" w:color="auto" w:sz="4" w:space="0"/>
              <w:bottom w:val="single" w:color="auto" w:sz="4" w:space="0"/>
              <w:right w:val="single" w:color="auto" w:sz="4" w:space="0"/>
            </w:tcBorders>
            <w:vAlign w:val="center"/>
          </w:tcPr>
          <w:p w14:paraId="33C73FC4">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本款增加：</w:t>
            </w:r>
          </w:p>
          <w:p w14:paraId="542F7F96">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3.6.3投标人其他异常投标情形</w:t>
            </w:r>
          </w:p>
          <w:p w14:paraId="124DC403">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评标委员会在评标过程中发现存在投标文件异常一致或投标活动异常关联等异常投标情形的，应当要求投标人</w:t>
            </w:r>
            <w:r>
              <w:rPr>
                <w:rFonts w:hint="eastAsia" w:ascii="宋体" w:hAnsi="宋体" w:cs="宋体"/>
                <w:color w:val="auto"/>
                <w:szCs w:val="21"/>
                <w:highlight w:val="none"/>
              </w:rPr>
              <w:t>作出书面说明并提供相应的证明材料。投标人不能合理说明或者不能提供相应证明材料的，</w:t>
            </w:r>
            <w:r>
              <w:rPr>
                <w:rFonts w:hint="eastAsia" w:ascii="宋体" w:hAnsi="宋体"/>
                <w:color w:val="auto"/>
                <w:sz w:val="21"/>
                <w:szCs w:val="21"/>
                <w:highlight w:val="none"/>
                <w:lang w:val="en-US" w:eastAsia="zh-CN"/>
              </w:rPr>
              <w:t>评标委员会应当认定该投标人存在串通投标等违法行为的，并否决其投标。</w:t>
            </w:r>
          </w:p>
          <w:p w14:paraId="78F673E7">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有下列情形之一的，属于投标文件异常一致或投标活动异常关联等异常投标情形：</w:t>
            </w:r>
          </w:p>
          <w:p w14:paraId="795E5631">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（1）投标人投标文件制作机器码雷同；</w:t>
            </w:r>
          </w:p>
          <w:p w14:paraId="415992C1">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（2）投标文件创建标识码雷同；</w:t>
            </w:r>
          </w:p>
          <w:p w14:paraId="19018F42">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（3）投标文件制作计算机MAC地址雷同；</w:t>
            </w:r>
          </w:p>
          <w:p w14:paraId="56A28921">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（4）投标文件制作计算机硬盘序列号雷同；</w:t>
            </w:r>
          </w:p>
          <w:p w14:paraId="16202B1F">
            <w:pPr>
              <w:keepNext w:val="0"/>
              <w:keepLines w:val="0"/>
              <w:suppressLineNumbers w:val="0"/>
              <w:spacing w:before="0" w:beforeAutospacing="0" w:after="0" w:afterAutospacing="0" w:line="276" w:lineRule="auto"/>
              <w:ind w:left="0" w:right="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（5）投标文件上传IP地址雷同；</w:t>
            </w:r>
          </w:p>
          <w:p w14:paraId="32DE4BD3">
            <w:pPr>
              <w:snapToGrid w:val="0"/>
              <w:spacing w:line="320" w:lineRule="exact"/>
              <w:ind w:right="113"/>
              <w:textAlignment w:val="baseline"/>
              <w:rPr>
                <w:rFonts w:hint="eastAsia" w:asciiTheme="minorEastAsia" w:hAnsiTheme="minorEastAsia" w:eastAsiaTheme="minorEastAsia"/>
                <w:color w:val="auto"/>
                <w:szCs w:val="21"/>
                <w:highlight w:val="none"/>
              </w:rPr>
            </w:pPr>
            <w:r>
              <w:rPr>
                <w:rFonts w:hint="eastAsia" w:ascii="宋体" w:hAnsi="宋体"/>
                <w:color w:val="auto"/>
                <w:sz w:val="21"/>
                <w:szCs w:val="21"/>
                <w:highlight w:val="none"/>
                <w:lang w:val="en-US" w:eastAsia="zh-CN"/>
              </w:rPr>
              <w:t>（6）投标文件解密IP地址雷同。</w:t>
            </w:r>
          </w:p>
        </w:tc>
      </w:tr>
    </w:tbl>
    <w:p w14:paraId="1DF761C9">
      <w:pPr>
        <w:pStyle w:val="4"/>
        <w:rPr>
          <w:color w:val="auto"/>
          <w:highlight w:val="none"/>
        </w:rPr>
      </w:pPr>
    </w:p>
    <w:p w14:paraId="366F29DF">
      <w:pPr>
        <w:pStyle w:val="4"/>
        <w:rPr>
          <w:color w:val="auto"/>
          <w:highlight w:val="none"/>
        </w:rPr>
      </w:pPr>
      <w:r>
        <w:rPr>
          <w:color w:val="auto"/>
          <w:highlight w:val="none"/>
        </w:rPr>
        <w:br w:type="page"/>
      </w:r>
    </w:p>
    <w:p w14:paraId="61A61F49">
      <w:pPr>
        <w:pStyle w:val="5"/>
        <w:spacing w:line="360" w:lineRule="auto"/>
        <w:rPr>
          <w:rFonts w:hint="eastAsia" w:hAnsi="宋体"/>
          <w:b/>
          <w:color w:val="auto"/>
          <w:highlight w:val="none"/>
        </w:rPr>
      </w:pPr>
      <w:r>
        <w:rPr>
          <w:rFonts w:hint="eastAsia" w:hAnsi="宋体"/>
          <w:color w:val="auto"/>
          <w:sz w:val="24"/>
          <w:highlight w:val="none"/>
        </w:rPr>
        <w:t>具体评分标准如下：</w:t>
      </w:r>
    </w:p>
    <w:tbl>
      <w:tblPr>
        <w:tblStyle w:val="6"/>
        <w:tblW w:w="9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36"/>
        <w:gridCol w:w="732"/>
        <w:gridCol w:w="677"/>
        <w:gridCol w:w="678"/>
        <w:gridCol w:w="708"/>
        <w:gridCol w:w="1276"/>
        <w:gridCol w:w="4477"/>
      </w:tblGrid>
      <w:tr w14:paraId="74C4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4133" w:type="dxa"/>
            <w:gridSpan w:val="6"/>
            <w:tcBorders>
              <w:top w:val="single" w:color="auto" w:sz="4" w:space="0"/>
              <w:left w:val="single" w:color="auto" w:sz="4" w:space="0"/>
              <w:bottom w:val="single" w:color="auto" w:sz="4" w:space="0"/>
              <w:right w:val="single" w:color="auto" w:sz="4" w:space="0"/>
            </w:tcBorders>
            <w:vAlign w:val="center"/>
          </w:tcPr>
          <w:p w14:paraId="3D0B141A">
            <w:pPr>
              <w:pStyle w:val="5"/>
              <w:spacing w:line="160" w:lineRule="atLeast"/>
              <w:jc w:val="center"/>
              <w:textAlignment w:val="baseline"/>
              <w:rPr>
                <w:rFonts w:hint="eastAsia" w:hAnsi="宋体"/>
                <w:color w:val="auto"/>
                <w:szCs w:val="20"/>
                <w:highlight w:val="none"/>
              </w:rPr>
            </w:pPr>
            <w:r>
              <w:rPr>
                <w:rFonts w:hint="eastAsia" w:hAnsi="宋体"/>
                <w:color w:val="auto"/>
                <w:highlight w:val="none"/>
              </w:rPr>
              <w:t>评分因素与权重分值</w:t>
            </w:r>
          </w:p>
        </w:tc>
        <w:tc>
          <w:tcPr>
            <w:tcW w:w="5753" w:type="dxa"/>
            <w:gridSpan w:val="2"/>
            <w:vMerge w:val="restart"/>
            <w:tcBorders>
              <w:top w:val="single" w:color="auto" w:sz="4" w:space="0"/>
              <w:left w:val="single" w:color="auto" w:sz="4" w:space="0"/>
              <w:bottom w:val="single" w:color="auto" w:sz="4" w:space="0"/>
              <w:right w:val="single" w:color="auto" w:sz="4" w:space="0"/>
            </w:tcBorders>
            <w:vAlign w:val="center"/>
          </w:tcPr>
          <w:p w14:paraId="6D0F0874">
            <w:pPr>
              <w:pStyle w:val="5"/>
              <w:spacing w:line="160" w:lineRule="atLeast"/>
              <w:jc w:val="center"/>
              <w:textAlignment w:val="baseline"/>
              <w:rPr>
                <w:rFonts w:hint="eastAsia" w:hAnsi="宋体"/>
                <w:color w:val="auto"/>
                <w:highlight w:val="none"/>
              </w:rPr>
            </w:pPr>
            <w:r>
              <w:rPr>
                <w:rFonts w:hint="eastAsia" w:hAnsi="宋体"/>
                <w:color w:val="auto"/>
                <w:highlight w:val="none"/>
              </w:rPr>
              <w:t>评分标准</w:t>
            </w:r>
          </w:p>
        </w:tc>
      </w:tr>
      <w:tr w14:paraId="7F27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2" w:type="dxa"/>
            <w:tcBorders>
              <w:top w:val="single" w:color="auto" w:sz="4" w:space="0"/>
              <w:left w:val="single" w:color="auto" w:sz="4" w:space="0"/>
              <w:bottom w:val="single" w:color="auto" w:sz="4" w:space="0"/>
              <w:right w:val="single" w:color="auto" w:sz="4" w:space="0"/>
            </w:tcBorders>
            <w:vAlign w:val="center"/>
          </w:tcPr>
          <w:p w14:paraId="257C90B9">
            <w:pPr>
              <w:pStyle w:val="5"/>
              <w:spacing w:line="160" w:lineRule="atLeast"/>
              <w:jc w:val="center"/>
              <w:textAlignment w:val="baseline"/>
              <w:rPr>
                <w:rFonts w:hint="eastAsia" w:hAnsi="宋体"/>
                <w:color w:val="auto"/>
                <w:highlight w:val="none"/>
              </w:rPr>
            </w:pPr>
            <w:r>
              <w:rPr>
                <w:rFonts w:hint="eastAsia" w:hAnsi="宋体"/>
                <w:color w:val="auto"/>
                <w:highlight w:val="none"/>
              </w:rPr>
              <w:t>条款号</w:t>
            </w:r>
          </w:p>
        </w:tc>
        <w:tc>
          <w:tcPr>
            <w:tcW w:w="636" w:type="dxa"/>
            <w:tcBorders>
              <w:top w:val="single" w:color="auto" w:sz="4" w:space="0"/>
              <w:left w:val="single" w:color="auto" w:sz="4" w:space="0"/>
              <w:bottom w:val="single" w:color="auto" w:sz="4" w:space="0"/>
              <w:right w:val="single" w:color="auto" w:sz="4" w:space="0"/>
            </w:tcBorders>
            <w:vAlign w:val="center"/>
          </w:tcPr>
          <w:p w14:paraId="36C8D1F7">
            <w:pPr>
              <w:pStyle w:val="5"/>
              <w:spacing w:line="160" w:lineRule="atLeast"/>
              <w:jc w:val="center"/>
              <w:textAlignment w:val="baseline"/>
              <w:rPr>
                <w:rFonts w:hint="eastAsia" w:hAnsi="宋体"/>
                <w:color w:val="auto"/>
                <w:highlight w:val="none"/>
              </w:rPr>
            </w:pPr>
            <w:r>
              <w:rPr>
                <w:rFonts w:hint="eastAsia" w:hAnsi="宋体"/>
                <w:color w:val="auto"/>
                <w:highlight w:val="none"/>
              </w:rPr>
              <w:t>评分因素</w:t>
            </w:r>
          </w:p>
        </w:tc>
        <w:tc>
          <w:tcPr>
            <w:tcW w:w="732" w:type="dxa"/>
            <w:tcBorders>
              <w:top w:val="single" w:color="auto" w:sz="4" w:space="0"/>
              <w:left w:val="single" w:color="auto" w:sz="4" w:space="0"/>
              <w:bottom w:val="single" w:color="auto" w:sz="4" w:space="0"/>
              <w:right w:val="single" w:color="auto" w:sz="4" w:space="0"/>
            </w:tcBorders>
            <w:vAlign w:val="center"/>
          </w:tcPr>
          <w:p w14:paraId="512BB284">
            <w:pPr>
              <w:pStyle w:val="5"/>
              <w:spacing w:line="160" w:lineRule="atLeast"/>
              <w:ind w:left="-40" w:leftChars="-19" w:firstLine="1"/>
              <w:jc w:val="center"/>
              <w:textAlignment w:val="baseline"/>
              <w:rPr>
                <w:rFonts w:hint="eastAsia" w:hAnsi="宋体"/>
                <w:color w:val="auto"/>
                <w:highlight w:val="none"/>
              </w:rPr>
            </w:pPr>
            <w:r>
              <w:rPr>
                <w:rFonts w:hint="eastAsia" w:hAnsi="宋体"/>
                <w:color w:val="auto"/>
                <w:highlight w:val="none"/>
              </w:rPr>
              <w:t>评分因素权重分值</w:t>
            </w:r>
          </w:p>
        </w:tc>
        <w:tc>
          <w:tcPr>
            <w:tcW w:w="1355" w:type="dxa"/>
            <w:gridSpan w:val="2"/>
            <w:tcBorders>
              <w:top w:val="single" w:color="auto" w:sz="4" w:space="0"/>
              <w:left w:val="single" w:color="auto" w:sz="4" w:space="0"/>
              <w:bottom w:val="single" w:color="auto" w:sz="4" w:space="0"/>
              <w:right w:val="single" w:color="auto" w:sz="4" w:space="0"/>
            </w:tcBorders>
            <w:vAlign w:val="center"/>
          </w:tcPr>
          <w:p w14:paraId="146C5E3A">
            <w:pPr>
              <w:pStyle w:val="5"/>
              <w:spacing w:line="160" w:lineRule="atLeast"/>
              <w:jc w:val="center"/>
              <w:textAlignment w:val="baseline"/>
              <w:rPr>
                <w:rFonts w:hint="eastAsia" w:hAnsi="宋体"/>
                <w:color w:val="auto"/>
                <w:highlight w:val="none"/>
              </w:rPr>
            </w:pPr>
            <w:r>
              <w:rPr>
                <w:rStyle w:val="11"/>
                <w:rFonts w:hint="default"/>
                <w:color w:val="auto"/>
                <w:highlight w:val="none"/>
              </w:rPr>
              <w:t>各评分因素细分项</w:t>
            </w:r>
          </w:p>
        </w:tc>
        <w:tc>
          <w:tcPr>
            <w:tcW w:w="708" w:type="dxa"/>
            <w:tcBorders>
              <w:top w:val="single" w:color="auto" w:sz="4" w:space="0"/>
              <w:left w:val="single" w:color="auto" w:sz="4" w:space="0"/>
              <w:bottom w:val="single" w:color="auto" w:sz="4" w:space="0"/>
              <w:right w:val="single" w:color="auto" w:sz="4" w:space="0"/>
            </w:tcBorders>
            <w:vAlign w:val="center"/>
          </w:tcPr>
          <w:p w14:paraId="1C679C9B">
            <w:pPr>
              <w:pStyle w:val="5"/>
              <w:spacing w:line="160" w:lineRule="atLeast"/>
              <w:jc w:val="center"/>
              <w:textAlignment w:val="baseline"/>
              <w:rPr>
                <w:rFonts w:hint="eastAsia" w:hAnsi="宋体"/>
                <w:color w:val="auto"/>
                <w:highlight w:val="none"/>
              </w:rPr>
            </w:pPr>
            <w:r>
              <w:rPr>
                <w:rFonts w:hint="eastAsia" w:hAnsi="宋体"/>
                <w:color w:val="auto"/>
                <w:highlight w:val="none"/>
              </w:rPr>
              <w:t>分值</w:t>
            </w:r>
          </w:p>
        </w:tc>
        <w:tc>
          <w:tcPr>
            <w:tcW w:w="5753" w:type="dxa"/>
            <w:gridSpan w:val="2"/>
            <w:vMerge w:val="continue"/>
            <w:tcBorders>
              <w:top w:val="single" w:color="auto" w:sz="4" w:space="0"/>
              <w:left w:val="single" w:color="auto" w:sz="4" w:space="0"/>
              <w:bottom w:val="single" w:color="auto" w:sz="4" w:space="0"/>
              <w:right w:val="single" w:color="auto" w:sz="4" w:space="0"/>
            </w:tcBorders>
            <w:vAlign w:val="center"/>
          </w:tcPr>
          <w:p w14:paraId="4DEFAF5D">
            <w:pPr>
              <w:widowControl/>
              <w:jc w:val="left"/>
              <w:rPr>
                <w:rFonts w:hint="eastAsia" w:ascii="宋体" w:hAnsi="宋体" w:cs="Courier New" w:eastAsiaTheme="minorEastAsia"/>
                <w:color w:val="auto"/>
                <w:szCs w:val="21"/>
                <w:highlight w:val="none"/>
              </w:rPr>
            </w:pPr>
          </w:p>
        </w:tc>
      </w:tr>
      <w:tr w14:paraId="0F61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702" w:type="dxa"/>
            <w:vMerge w:val="restart"/>
            <w:tcBorders>
              <w:top w:val="single" w:color="auto" w:sz="4" w:space="0"/>
              <w:left w:val="single" w:color="auto" w:sz="4" w:space="0"/>
              <w:right w:val="single" w:color="auto" w:sz="4" w:space="0"/>
            </w:tcBorders>
            <w:vAlign w:val="center"/>
          </w:tcPr>
          <w:p w14:paraId="24ABD134">
            <w:pPr>
              <w:pStyle w:val="5"/>
              <w:spacing w:line="160" w:lineRule="atLeast"/>
              <w:jc w:val="center"/>
              <w:textAlignment w:val="baseline"/>
              <w:rPr>
                <w:rFonts w:hint="eastAsia" w:hAnsi="宋体"/>
                <w:color w:val="auto"/>
                <w:highlight w:val="none"/>
              </w:rPr>
            </w:pPr>
            <w:r>
              <w:rPr>
                <w:rFonts w:hint="eastAsia" w:hAnsi="宋体"/>
                <w:color w:val="auto"/>
                <w:highlight w:val="none"/>
              </w:rPr>
              <w:t>2.2.4（1）</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6E857EFF">
            <w:pPr>
              <w:pStyle w:val="5"/>
              <w:spacing w:line="160" w:lineRule="atLeast"/>
              <w:jc w:val="center"/>
              <w:textAlignment w:val="baseline"/>
              <w:rPr>
                <w:rFonts w:hint="eastAsia" w:hAnsi="宋体"/>
                <w:color w:val="auto"/>
                <w:highlight w:val="none"/>
              </w:rPr>
            </w:pPr>
            <w:r>
              <w:rPr>
                <w:rFonts w:hint="eastAsia" w:hAnsi="宋体"/>
                <w:color w:val="auto"/>
                <w:highlight w:val="none"/>
              </w:rPr>
              <w:t>技术建议书</w:t>
            </w:r>
          </w:p>
        </w:tc>
        <w:tc>
          <w:tcPr>
            <w:tcW w:w="732" w:type="dxa"/>
            <w:vMerge w:val="restart"/>
            <w:tcBorders>
              <w:top w:val="single" w:color="auto" w:sz="4" w:space="0"/>
              <w:left w:val="single" w:color="auto" w:sz="4" w:space="0"/>
              <w:bottom w:val="single" w:color="auto" w:sz="4" w:space="0"/>
              <w:right w:val="single" w:color="auto" w:sz="4" w:space="0"/>
            </w:tcBorders>
            <w:vAlign w:val="center"/>
          </w:tcPr>
          <w:p w14:paraId="1265E4F1">
            <w:pPr>
              <w:pStyle w:val="5"/>
              <w:spacing w:line="160" w:lineRule="atLeast"/>
              <w:jc w:val="center"/>
              <w:textAlignment w:val="baseline"/>
              <w:rPr>
                <w:rFonts w:hint="eastAsia" w:hAnsi="宋体"/>
                <w:color w:val="auto"/>
                <w:highlight w:val="none"/>
              </w:rPr>
            </w:pPr>
            <w:r>
              <w:rPr>
                <w:rFonts w:hint="eastAsia" w:hAnsi="宋体"/>
                <w:color w:val="auto"/>
                <w:highlight w:val="none"/>
              </w:rPr>
              <w:t>35分</w:t>
            </w:r>
          </w:p>
        </w:tc>
        <w:tc>
          <w:tcPr>
            <w:tcW w:w="1355" w:type="dxa"/>
            <w:gridSpan w:val="2"/>
            <w:vMerge w:val="restart"/>
            <w:tcBorders>
              <w:top w:val="single" w:color="auto" w:sz="4" w:space="0"/>
              <w:left w:val="single" w:color="auto" w:sz="4" w:space="0"/>
              <w:bottom w:val="single" w:color="auto" w:sz="4" w:space="0"/>
              <w:right w:val="single" w:color="auto" w:sz="4" w:space="0"/>
            </w:tcBorders>
            <w:vAlign w:val="center"/>
          </w:tcPr>
          <w:p w14:paraId="6A0C9F08">
            <w:pPr>
              <w:pStyle w:val="5"/>
              <w:spacing w:line="160" w:lineRule="atLeast"/>
              <w:jc w:val="center"/>
              <w:textAlignment w:val="baseline"/>
              <w:rPr>
                <w:rFonts w:hint="eastAsia" w:hAnsi="宋体"/>
                <w:color w:val="auto"/>
                <w:highlight w:val="none"/>
              </w:rPr>
            </w:pPr>
            <w:r>
              <w:rPr>
                <w:rFonts w:hint="eastAsia" w:hAnsi="宋体"/>
                <w:color w:val="auto"/>
                <w:highlight w:val="none"/>
              </w:rPr>
              <w:t>监理大纲和措施</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013DD991">
            <w:pPr>
              <w:pStyle w:val="5"/>
              <w:spacing w:line="160" w:lineRule="atLeast"/>
              <w:ind w:left="33" w:leftChars="-48" w:hanging="134" w:hangingChars="64"/>
              <w:jc w:val="center"/>
              <w:textAlignment w:val="baseline"/>
              <w:rPr>
                <w:rFonts w:hint="eastAsia" w:hAnsi="宋体"/>
                <w:color w:val="auto"/>
                <w:highlight w:val="none"/>
              </w:rPr>
            </w:pPr>
            <w:r>
              <w:rPr>
                <w:rFonts w:hAnsi="宋体"/>
                <w:color w:val="auto"/>
                <w:highlight w:val="none"/>
              </w:rPr>
              <w:t>25</w:t>
            </w:r>
            <w:r>
              <w:rPr>
                <w:rFonts w:hint="eastAsia" w:hAnsi="宋体"/>
                <w:color w:val="auto"/>
                <w:highlight w:val="none"/>
              </w:rPr>
              <w:t>分</w:t>
            </w:r>
          </w:p>
        </w:tc>
        <w:tc>
          <w:tcPr>
            <w:tcW w:w="1276" w:type="dxa"/>
            <w:tcBorders>
              <w:top w:val="single" w:color="auto" w:sz="4" w:space="0"/>
              <w:left w:val="single" w:color="auto" w:sz="4" w:space="0"/>
              <w:bottom w:val="single" w:color="auto" w:sz="4" w:space="0"/>
              <w:right w:val="single" w:color="auto" w:sz="4" w:space="0"/>
            </w:tcBorders>
            <w:vAlign w:val="center"/>
          </w:tcPr>
          <w:p w14:paraId="3CD0331E">
            <w:pPr>
              <w:pStyle w:val="5"/>
              <w:spacing w:line="160" w:lineRule="atLeast"/>
              <w:jc w:val="center"/>
              <w:textAlignment w:val="baseline"/>
              <w:rPr>
                <w:rFonts w:hint="eastAsia" w:hAnsi="宋体"/>
                <w:color w:val="auto"/>
                <w:highlight w:val="none"/>
              </w:rPr>
            </w:pPr>
            <w:r>
              <w:rPr>
                <w:rFonts w:hint="eastAsia" w:hAnsi="宋体"/>
                <w:color w:val="auto"/>
                <w:highlight w:val="none"/>
              </w:rPr>
              <w:t>对本招标项目监理工作范围和任务理解(5分)</w:t>
            </w:r>
          </w:p>
        </w:tc>
        <w:tc>
          <w:tcPr>
            <w:tcW w:w="4477" w:type="dxa"/>
            <w:tcBorders>
              <w:top w:val="single" w:color="auto" w:sz="4" w:space="0"/>
              <w:left w:val="single" w:color="auto" w:sz="4" w:space="0"/>
              <w:bottom w:val="single" w:color="auto" w:sz="4" w:space="0"/>
              <w:right w:val="single" w:color="auto" w:sz="4" w:space="0"/>
            </w:tcBorders>
            <w:vAlign w:val="center"/>
          </w:tcPr>
          <w:p w14:paraId="232195C3">
            <w:pPr>
              <w:pStyle w:val="3"/>
              <w:rPr>
                <w:color w:val="auto"/>
                <w:highlight w:val="none"/>
              </w:rPr>
            </w:pPr>
            <w:r>
              <w:rPr>
                <w:color w:val="auto"/>
                <w:highlight w:val="none"/>
              </w:rPr>
              <w:t>清晰阐述招标项目监理工作范围（全周期监理服务）及任务（施工准备、施工、交工验收、缺陷责任期、竣工验收等阶段，JL0总监办统筹管理职责），</w:t>
            </w:r>
          </w:p>
          <w:p w14:paraId="2B4856B9">
            <w:pPr>
              <w:pStyle w:val="3"/>
              <w:rPr>
                <w:color w:val="auto"/>
                <w:highlight w:val="none"/>
              </w:rPr>
            </w:pPr>
            <w:r>
              <w:rPr>
                <w:color w:val="auto"/>
                <w:highlight w:val="none"/>
              </w:rPr>
              <w:t>理解准确，思路清晰，全面、合理，符合项目要求，得</w:t>
            </w:r>
            <w:r>
              <w:rPr>
                <w:rFonts w:hint="eastAsia"/>
                <w:color w:val="auto"/>
                <w:highlight w:val="none"/>
                <w:lang w:val="en-US" w:eastAsia="zh-CN"/>
              </w:rPr>
              <w:t>4.0-</w:t>
            </w:r>
            <w:r>
              <w:rPr>
                <w:color w:val="auto"/>
                <w:highlight w:val="none"/>
              </w:rPr>
              <w:t>5</w:t>
            </w:r>
            <w:r>
              <w:rPr>
                <w:rFonts w:hint="eastAsia"/>
                <w:color w:val="auto"/>
                <w:highlight w:val="none"/>
                <w:lang w:val="en-US" w:eastAsia="zh-CN"/>
              </w:rPr>
              <w:t>.0</w:t>
            </w:r>
            <w:r>
              <w:rPr>
                <w:color w:val="auto"/>
                <w:highlight w:val="none"/>
              </w:rPr>
              <w:t>分；</w:t>
            </w:r>
          </w:p>
          <w:p w14:paraId="2B472F1A">
            <w:pPr>
              <w:pStyle w:val="3"/>
              <w:rPr>
                <w:color w:val="auto"/>
                <w:highlight w:val="none"/>
              </w:rPr>
            </w:pPr>
            <w:r>
              <w:rPr>
                <w:color w:val="auto"/>
                <w:highlight w:val="none"/>
              </w:rPr>
              <w:t>理解较准确，思路较清晰，得3</w:t>
            </w:r>
            <w:r>
              <w:rPr>
                <w:rFonts w:hint="eastAsia"/>
                <w:color w:val="auto"/>
                <w:highlight w:val="none"/>
                <w:lang w:val="en-US" w:eastAsia="zh-CN"/>
              </w:rPr>
              <w:t>.0</w:t>
            </w:r>
            <w:r>
              <w:rPr>
                <w:color w:val="auto"/>
                <w:highlight w:val="none"/>
              </w:rPr>
              <w:t xml:space="preserve"> - 4</w:t>
            </w:r>
            <w:r>
              <w:rPr>
                <w:rFonts w:hint="eastAsia"/>
                <w:color w:val="auto"/>
                <w:highlight w:val="none"/>
                <w:lang w:val="en-US" w:eastAsia="zh-CN"/>
              </w:rPr>
              <w:t>.0</w:t>
            </w:r>
            <w:r>
              <w:rPr>
                <w:color w:val="auto"/>
                <w:highlight w:val="none"/>
              </w:rPr>
              <w:t>分；</w:t>
            </w:r>
          </w:p>
          <w:p w14:paraId="0C7AA722">
            <w:pPr>
              <w:pStyle w:val="3"/>
              <w:rPr>
                <w:rFonts w:hint="eastAsia"/>
                <w:color w:val="auto"/>
                <w:highlight w:val="none"/>
                <w:lang w:eastAsia="zh-CN"/>
              </w:rPr>
            </w:pPr>
            <w:r>
              <w:rPr>
                <w:color w:val="auto"/>
                <w:highlight w:val="none"/>
              </w:rPr>
              <w:t>理解</w:t>
            </w:r>
            <w:r>
              <w:rPr>
                <w:rFonts w:hint="eastAsia"/>
                <w:color w:val="auto"/>
                <w:highlight w:val="none"/>
                <w:lang w:eastAsia="zh-CN"/>
              </w:rPr>
              <w:t>基本准确，</w:t>
            </w:r>
            <w:r>
              <w:rPr>
                <w:color w:val="auto"/>
                <w:highlight w:val="none"/>
              </w:rPr>
              <w:t>得</w:t>
            </w:r>
            <w:r>
              <w:rPr>
                <w:rFonts w:hint="eastAsia"/>
                <w:color w:val="auto"/>
                <w:highlight w:val="none"/>
                <w:lang w:val="en-US" w:eastAsia="zh-CN"/>
              </w:rPr>
              <w:t>3.0</w:t>
            </w:r>
            <w:r>
              <w:rPr>
                <w:color w:val="auto"/>
                <w:highlight w:val="none"/>
              </w:rPr>
              <w:t>分</w:t>
            </w:r>
            <w:r>
              <w:rPr>
                <w:rFonts w:hint="eastAsia"/>
                <w:color w:val="auto"/>
                <w:highlight w:val="none"/>
                <w:lang w:eastAsia="zh-CN"/>
              </w:rPr>
              <w:t>；</w:t>
            </w:r>
          </w:p>
          <w:p w14:paraId="27C6C42F">
            <w:pPr>
              <w:pStyle w:val="3"/>
              <w:rPr>
                <w:rFonts w:hint="eastAsia" w:hAnsi="宋体"/>
                <w:color w:val="auto"/>
                <w:highlight w:val="none"/>
              </w:rPr>
            </w:pPr>
            <w:r>
              <w:rPr>
                <w:rFonts w:hint="eastAsia"/>
                <w:color w:val="auto"/>
                <w:highlight w:val="none"/>
                <w:lang w:val="en-US" w:eastAsia="zh-CN"/>
              </w:rPr>
              <w:t>缺项得0分</w:t>
            </w:r>
            <w:r>
              <w:rPr>
                <w:color w:val="auto"/>
                <w:highlight w:val="none"/>
              </w:rPr>
              <w:t>。</w:t>
            </w:r>
          </w:p>
        </w:tc>
      </w:tr>
      <w:tr w14:paraId="6796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702" w:type="dxa"/>
            <w:vMerge w:val="continue"/>
            <w:tcBorders>
              <w:left w:val="single" w:color="auto" w:sz="4" w:space="0"/>
              <w:right w:val="single" w:color="auto" w:sz="4" w:space="0"/>
            </w:tcBorders>
            <w:vAlign w:val="center"/>
          </w:tcPr>
          <w:p w14:paraId="1A1CC528">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CC45D75">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744227BE">
            <w:pPr>
              <w:widowControl/>
              <w:jc w:val="left"/>
              <w:rPr>
                <w:rFonts w:hint="eastAsia" w:ascii="宋体" w:hAnsi="宋体" w:cs="Courier New" w:eastAsiaTheme="minorEastAsia"/>
                <w:color w:val="auto"/>
                <w:szCs w:val="21"/>
                <w:highlight w:val="none"/>
              </w:rPr>
            </w:pPr>
          </w:p>
        </w:tc>
        <w:tc>
          <w:tcPr>
            <w:tcW w:w="1355" w:type="dxa"/>
            <w:gridSpan w:val="2"/>
            <w:vMerge w:val="continue"/>
            <w:tcBorders>
              <w:top w:val="single" w:color="auto" w:sz="4" w:space="0"/>
              <w:left w:val="single" w:color="auto" w:sz="4" w:space="0"/>
              <w:bottom w:val="single" w:color="auto" w:sz="4" w:space="0"/>
              <w:right w:val="single" w:color="auto" w:sz="4" w:space="0"/>
            </w:tcBorders>
            <w:vAlign w:val="center"/>
          </w:tcPr>
          <w:p w14:paraId="28FBA6DA">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593CB25D">
            <w:pPr>
              <w:widowControl/>
              <w:jc w:val="left"/>
              <w:rPr>
                <w:rFonts w:hint="eastAsia" w:ascii="宋体" w:hAnsi="宋体" w:cs="Courier New" w:eastAsiaTheme="minorEastAsia"/>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8938A55">
            <w:pPr>
              <w:pStyle w:val="5"/>
              <w:spacing w:line="160" w:lineRule="atLeast"/>
              <w:jc w:val="center"/>
              <w:textAlignment w:val="baseline"/>
              <w:rPr>
                <w:rFonts w:hint="eastAsia" w:hAnsi="宋体"/>
                <w:color w:val="auto"/>
                <w:highlight w:val="none"/>
              </w:rPr>
            </w:pPr>
            <w:r>
              <w:rPr>
                <w:rFonts w:hint="eastAsia" w:hAnsi="宋体"/>
                <w:color w:val="auto"/>
                <w:highlight w:val="none"/>
              </w:rPr>
              <w:t>监理方案及措施</w:t>
            </w:r>
          </w:p>
          <w:p w14:paraId="1F2E8B9D">
            <w:pPr>
              <w:pStyle w:val="5"/>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4477" w:type="dxa"/>
            <w:tcBorders>
              <w:top w:val="single" w:color="auto" w:sz="4" w:space="0"/>
              <w:left w:val="single" w:color="auto" w:sz="4" w:space="0"/>
              <w:bottom w:val="single" w:color="auto" w:sz="4" w:space="0"/>
              <w:right w:val="single" w:color="auto" w:sz="4" w:space="0"/>
            </w:tcBorders>
            <w:vAlign w:val="center"/>
          </w:tcPr>
          <w:p w14:paraId="5427C034">
            <w:pPr>
              <w:pStyle w:val="5"/>
              <w:spacing w:line="160" w:lineRule="atLeast"/>
              <w:jc w:val="left"/>
              <w:textAlignment w:val="baseline"/>
              <w:rPr>
                <w:rFonts w:hint="eastAsia"/>
                <w:color w:val="auto"/>
                <w:highlight w:val="none"/>
                <w:lang w:eastAsia="zh-CN"/>
              </w:rPr>
            </w:pPr>
            <w:r>
              <w:rPr>
                <w:color w:val="auto"/>
                <w:highlight w:val="none"/>
              </w:rPr>
              <w:t>针对项目工程技术难度（如JL1龙河大桥、永定河特大桥特殊结构）、施工内容（路基、路面、桥涵、机电等）、监理权责及统筹管理需求，制定合理可行的监理方案（含监理规划、细则编制思路）；监理措施（质量、安全、进度、环保等管控措施）</w:t>
            </w:r>
            <w:r>
              <w:rPr>
                <w:rFonts w:hint="eastAsia"/>
                <w:color w:val="auto"/>
                <w:highlight w:val="none"/>
                <w:lang w:eastAsia="zh-CN"/>
              </w:rPr>
              <w:t>，</w:t>
            </w:r>
          </w:p>
          <w:p w14:paraId="204C132B">
            <w:pPr>
              <w:pStyle w:val="5"/>
              <w:spacing w:line="160" w:lineRule="atLeast"/>
              <w:jc w:val="left"/>
              <w:textAlignment w:val="baseline"/>
              <w:rPr>
                <w:color w:val="auto"/>
                <w:highlight w:val="none"/>
              </w:rPr>
            </w:pPr>
            <w:r>
              <w:rPr>
                <w:color w:val="auto"/>
                <w:highlight w:val="none"/>
              </w:rPr>
              <w:t>方案详尽，措施具体全面合理，针对性强、可操作性好</w:t>
            </w:r>
            <w:r>
              <w:rPr>
                <w:rFonts w:hint="eastAsia"/>
                <w:color w:val="auto"/>
                <w:highlight w:val="none"/>
                <w:lang w:eastAsia="zh-CN"/>
              </w:rPr>
              <w:t>，</w:t>
            </w:r>
            <w:r>
              <w:rPr>
                <w:color w:val="auto"/>
                <w:highlight w:val="none"/>
              </w:rPr>
              <w:t>得</w:t>
            </w:r>
            <w:r>
              <w:rPr>
                <w:rFonts w:hint="eastAsia"/>
                <w:color w:val="auto"/>
                <w:highlight w:val="none"/>
                <w:lang w:val="en-US" w:eastAsia="zh-CN"/>
              </w:rPr>
              <w:t>8.0-10</w:t>
            </w:r>
            <w:r>
              <w:rPr>
                <w:color w:val="auto"/>
                <w:highlight w:val="none"/>
              </w:rPr>
              <w:t>分；</w:t>
            </w:r>
          </w:p>
          <w:p w14:paraId="07E9D4D1">
            <w:pPr>
              <w:pStyle w:val="5"/>
              <w:spacing w:line="160" w:lineRule="atLeast"/>
              <w:jc w:val="left"/>
              <w:textAlignment w:val="baseline"/>
              <w:rPr>
                <w:color w:val="auto"/>
                <w:highlight w:val="none"/>
              </w:rPr>
            </w:pPr>
            <w:r>
              <w:rPr>
                <w:color w:val="auto"/>
                <w:highlight w:val="none"/>
              </w:rPr>
              <w:t>方案较详尽，措施合理，可行性较好，得</w:t>
            </w:r>
            <w:r>
              <w:rPr>
                <w:rFonts w:hint="eastAsia"/>
                <w:color w:val="auto"/>
                <w:highlight w:val="none"/>
                <w:lang w:val="en-US" w:eastAsia="zh-CN"/>
              </w:rPr>
              <w:t>6.0</w:t>
            </w:r>
            <w:r>
              <w:rPr>
                <w:color w:val="auto"/>
                <w:highlight w:val="none"/>
              </w:rPr>
              <w:t xml:space="preserve"> - </w:t>
            </w:r>
            <w:r>
              <w:rPr>
                <w:rFonts w:hint="eastAsia"/>
                <w:color w:val="auto"/>
                <w:highlight w:val="none"/>
                <w:lang w:val="en-US" w:eastAsia="zh-CN"/>
              </w:rPr>
              <w:t>8.0</w:t>
            </w:r>
            <w:r>
              <w:rPr>
                <w:color w:val="auto"/>
                <w:highlight w:val="none"/>
              </w:rPr>
              <w:t>分；</w:t>
            </w:r>
          </w:p>
          <w:p w14:paraId="0AC0BD52">
            <w:pPr>
              <w:pStyle w:val="5"/>
              <w:spacing w:line="160" w:lineRule="atLeast"/>
              <w:jc w:val="left"/>
              <w:textAlignment w:val="baseline"/>
              <w:rPr>
                <w:rFonts w:hint="eastAsia"/>
                <w:color w:val="auto"/>
                <w:highlight w:val="none"/>
                <w:lang w:eastAsia="zh-CN"/>
              </w:rPr>
            </w:pPr>
            <w:r>
              <w:rPr>
                <w:color w:val="auto"/>
                <w:highlight w:val="none"/>
              </w:rPr>
              <w:t>方案一般，措施基本全面，可行性一般，得6</w:t>
            </w:r>
            <w:r>
              <w:rPr>
                <w:rFonts w:hint="eastAsia"/>
                <w:color w:val="auto"/>
                <w:highlight w:val="none"/>
                <w:lang w:val="en-US" w:eastAsia="zh-CN"/>
              </w:rPr>
              <w:t>.0</w:t>
            </w:r>
            <w:r>
              <w:rPr>
                <w:color w:val="auto"/>
                <w:highlight w:val="none"/>
              </w:rPr>
              <w:t>分</w:t>
            </w:r>
            <w:r>
              <w:rPr>
                <w:rFonts w:hint="eastAsia"/>
                <w:color w:val="auto"/>
                <w:highlight w:val="none"/>
                <w:lang w:eastAsia="zh-CN"/>
              </w:rPr>
              <w:t>；</w:t>
            </w:r>
          </w:p>
          <w:p w14:paraId="57AECA5E">
            <w:pPr>
              <w:pStyle w:val="5"/>
              <w:spacing w:line="160" w:lineRule="atLeast"/>
              <w:jc w:val="left"/>
              <w:textAlignment w:val="baseline"/>
              <w:rPr>
                <w:rFonts w:hint="eastAsia" w:hAnsi="宋体"/>
                <w:color w:val="auto"/>
                <w:highlight w:val="none"/>
              </w:rPr>
            </w:pPr>
            <w:r>
              <w:rPr>
                <w:rFonts w:hint="eastAsia"/>
                <w:color w:val="auto"/>
                <w:highlight w:val="none"/>
                <w:lang w:val="en-US" w:eastAsia="zh-CN"/>
              </w:rPr>
              <w:t>缺项得0分</w:t>
            </w:r>
            <w:r>
              <w:rPr>
                <w:color w:val="auto"/>
                <w:highlight w:val="none"/>
              </w:rPr>
              <w:t>。</w:t>
            </w:r>
          </w:p>
        </w:tc>
      </w:tr>
      <w:tr w14:paraId="05BA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vMerge w:val="continue"/>
            <w:tcBorders>
              <w:left w:val="single" w:color="auto" w:sz="4" w:space="0"/>
              <w:right w:val="single" w:color="auto" w:sz="4" w:space="0"/>
            </w:tcBorders>
            <w:vAlign w:val="center"/>
          </w:tcPr>
          <w:p w14:paraId="1099FD22">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E90B0C7">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0FDAC1AD">
            <w:pPr>
              <w:widowControl/>
              <w:jc w:val="left"/>
              <w:rPr>
                <w:rFonts w:hint="eastAsia" w:ascii="宋体" w:hAnsi="宋体" w:cs="Courier New" w:eastAsiaTheme="minorEastAsia"/>
                <w:color w:val="auto"/>
                <w:szCs w:val="21"/>
                <w:highlight w:val="none"/>
              </w:rPr>
            </w:pPr>
          </w:p>
        </w:tc>
        <w:tc>
          <w:tcPr>
            <w:tcW w:w="1355" w:type="dxa"/>
            <w:gridSpan w:val="2"/>
            <w:vMerge w:val="continue"/>
            <w:tcBorders>
              <w:top w:val="single" w:color="auto" w:sz="4" w:space="0"/>
              <w:left w:val="single" w:color="auto" w:sz="4" w:space="0"/>
              <w:bottom w:val="single" w:color="auto" w:sz="4" w:space="0"/>
              <w:right w:val="single" w:color="auto" w:sz="4" w:space="0"/>
            </w:tcBorders>
            <w:vAlign w:val="center"/>
          </w:tcPr>
          <w:p w14:paraId="5644B53B">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24E978CB">
            <w:pPr>
              <w:widowControl/>
              <w:jc w:val="left"/>
              <w:rPr>
                <w:rFonts w:hint="eastAsia" w:ascii="宋体" w:hAnsi="宋体" w:cs="Courier New" w:eastAsiaTheme="minorEastAsia"/>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BCBCDDA">
            <w:pPr>
              <w:pStyle w:val="5"/>
              <w:spacing w:line="160" w:lineRule="atLeast"/>
              <w:jc w:val="center"/>
              <w:textAlignment w:val="baseline"/>
              <w:rPr>
                <w:rFonts w:hint="eastAsia" w:hAnsi="宋体"/>
                <w:color w:val="auto"/>
                <w:highlight w:val="none"/>
              </w:rPr>
            </w:pPr>
            <w:r>
              <w:rPr>
                <w:rFonts w:hint="eastAsia" w:hAnsi="宋体"/>
                <w:color w:val="auto"/>
                <w:highlight w:val="none"/>
              </w:rPr>
              <w:t>监理工</w:t>
            </w:r>
          </w:p>
          <w:p w14:paraId="44A4F053">
            <w:pPr>
              <w:pStyle w:val="5"/>
              <w:spacing w:line="160" w:lineRule="atLeast"/>
              <w:jc w:val="center"/>
              <w:textAlignment w:val="baseline"/>
              <w:rPr>
                <w:rFonts w:hint="eastAsia" w:hAnsi="宋体"/>
                <w:color w:val="auto"/>
                <w:highlight w:val="none"/>
              </w:rPr>
            </w:pPr>
            <w:r>
              <w:rPr>
                <w:rFonts w:hint="eastAsia" w:hAnsi="宋体"/>
                <w:color w:val="auto"/>
                <w:highlight w:val="none"/>
              </w:rPr>
              <w:t>作程序</w:t>
            </w:r>
          </w:p>
          <w:p w14:paraId="06A4689D">
            <w:pPr>
              <w:pStyle w:val="5"/>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4477" w:type="dxa"/>
            <w:tcBorders>
              <w:top w:val="single" w:color="auto" w:sz="4" w:space="0"/>
              <w:left w:val="single" w:color="auto" w:sz="4" w:space="0"/>
              <w:bottom w:val="single" w:color="auto" w:sz="4" w:space="0"/>
              <w:right w:val="single" w:color="auto" w:sz="4" w:space="0"/>
            </w:tcBorders>
            <w:vAlign w:val="center"/>
          </w:tcPr>
          <w:p w14:paraId="5F9DAAF3">
            <w:pPr>
              <w:pStyle w:val="5"/>
              <w:spacing w:line="160" w:lineRule="atLeast"/>
              <w:jc w:val="left"/>
              <w:textAlignment w:val="baseline"/>
              <w:rPr>
                <w:color w:val="auto"/>
                <w:highlight w:val="none"/>
              </w:rPr>
            </w:pPr>
            <w:r>
              <w:rPr>
                <w:color w:val="auto"/>
                <w:highlight w:val="none"/>
              </w:rPr>
              <w:t>明确施工准备阶段（监理交底、审查施工方案等）、施工阶段（巡视、旁站、平行检验、指令签发等）、交工验收与缺陷责任期阶段（验收组织、缺陷整改监督等）、竣工验收阶段（资料审核、预验收等）的监理工作程序，</w:t>
            </w:r>
          </w:p>
          <w:p w14:paraId="41B97131">
            <w:pPr>
              <w:pStyle w:val="5"/>
              <w:spacing w:line="160" w:lineRule="atLeast"/>
              <w:jc w:val="left"/>
              <w:textAlignment w:val="baseline"/>
              <w:rPr>
                <w:color w:val="auto"/>
                <w:highlight w:val="none"/>
              </w:rPr>
            </w:pPr>
            <w:r>
              <w:rPr>
                <w:color w:val="auto"/>
                <w:highlight w:val="none"/>
              </w:rPr>
              <w:t>内容齐全，阶段划分合理、正确，可实施性强，得</w:t>
            </w:r>
            <w:r>
              <w:rPr>
                <w:rFonts w:hint="eastAsia"/>
                <w:color w:val="auto"/>
                <w:highlight w:val="none"/>
                <w:lang w:val="en-US" w:eastAsia="zh-CN"/>
              </w:rPr>
              <w:t>8.0-10.0</w:t>
            </w:r>
            <w:r>
              <w:rPr>
                <w:color w:val="auto"/>
                <w:highlight w:val="none"/>
              </w:rPr>
              <w:t>分；</w:t>
            </w:r>
          </w:p>
          <w:p w14:paraId="131C58C5">
            <w:pPr>
              <w:pStyle w:val="5"/>
              <w:spacing w:line="160" w:lineRule="atLeast"/>
              <w:jc w:val="left"/>
              <w:textAlignment w:val="baseline"/>
              <w:rPr>
                <w:color w:val="auto"/>
                <w:highlight w:val="none"/>
              </w:rPr>
            </w:pPr>
            <w:r>
              <w:rPr>
                <w:color w:val="auto"/>
                <w:highlight w:val="none"/>
              </w:rPr>
              <w:t>内容较齐全，阶段划分较合理，可实施性较好，得</w:t>
            </w:r>
            <w:r>
              <w:rPr>
                <w:rFonts w:hint="eastAsia"/>
                <w:color w:val="auto"/>
                <w:highlight w:val="none"/>
                <w:lang w:val="en-US" w:eastAsia="zh-CN"/>
              </w:rPr>
              <w:t>6.0</w:t>
            </w:r>
            <w:r>
              <w:rPr>
                <w:color w:val="auto"/>
                <w:highlight w:val="none"/>
              </w:rPr>
              <w:t xml:space="preserve"> - </w:t>
            </w:r>
            <w:r>
              <w:rPr>
                <w:rFonts w:hint="eastAsia"/>
                <w:color w:val="auto"/>
                <w:highlight w:val="none"/>
                <w:lang w:val="en-US" w:eastAsia="zh-CN"/>
              </w:rPr>
              <w:t>8.0</w:t>
            </w:r>
            <w:r>
              <w:rPr>
                <w:color w:val="auto"/>
                <w:highlight w:val="none"/>
              </w:rPr>
              <w:t>分；</w:t>
            </w:r>
          </w:p>
          <w:p w14:paraId="340A417F">
            <w:pPr>
              <w:pStyle w:val="5"/>
              <w:spacing w:line="160" w:lineRule="atLeast"/>
              <w:jc w:val="left"/>
              <w:textAlignment w:val="baseline"/>
              <w:rPr>
                <w:rFonts w:hint="eastAsia"/>
                <w:color w:val="auto"/>
                <w:highlight w:val="none"/>
                <w:lang w:eastAsia="zh-CN"/>
              </w:rPr>
            </w:pPr>
            <w:r>
              <w:rPr>
                <w:color w:val="auto"/>
                <w:highlight w:val="none"/>
              </w:rPr>
              <w:t>内容基本齐全，阶段划分基本合理，可实施性一般，得6</w:t>
            </w:r>
            <w:r>
              <w:rPr>
                <w:rFonts w:hint="eastAsia"/>
                <w:color w:val="auto"/>
                <w:highlight w:val="none"/>
                <w:lang w:val="en-US" w:eastAsia="zh-CN"/>
              </w:rPr>
              <w:t>.0</w:t>
            </w:r>
            <w:r>
              <w:rPr>
                <w:color w:val="auto"/>
                <w:highlight w:val="none"/>
              </w:rPr>
              <w:t>分</w:t>
            </w:r>
            <w:r>
              <w:rPr>
                <w:rFonts w:hint="eastAsia"/>
                <w:color w:val="auto"/>
                <w:highlight w:val="none"/>
                <w:lang w:eastAsia="zh-CN"/>
              </w:rPr>
              <w:t>；</w:t>
            </w:r>
          </w:p>
          <w:p w14:paraId="6C4DF4F2">
            <w:pPr>
              <w:pStyle w:val="5"/>
              <w:spacing w:line="160" w:lineRule="atLeast"/>
              <w:jc w:val="left"/>
              <w:textAlignment w:val="baseline"/>
              <w:rPr>
                <w:rFonts w:hint="eastAsia" w:hAnsi="宋体" w:eastAsiaTheme="minorEastAsia"/>
                <w:color w:val="auto"/>
                <w:highlight w:val="none"/>
                <w:lang w:eastAsia="zh-CN"/>
              </w:rPr>
            </w:pPr>
            <w:r>
              <w:rPr>
                <w:rFonts w:hint="eastAsia"/>
                <w:color w:val="auto"/>
                <w:highlight w:val="none"/>
                <w:lang w:val="en-US" w:eastAsia="zh-CN"/>
              </w:rPr>
              <w:t>缺项得0分</w:t>
            </w:r>
            <w:r>
              <w:rPr>
                <w:color w:val="auto"/>
                <w:highlight w:val="none"/>
              </w:rPr>
              <w:t>。</w:t>
            </w:r>
          </w:p>
        </w:tc>
      </w:tr>
      <w:tr w14:paraId="5B2A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702" w:type="dxa"/>
            <w:vMerge w:val="continue"/>
            <w:tcBorders>
              <w:left w:val="single" w:color="auto" w:sz="4" w:space="0"/>
              <w:right w:val="single" w:color="auto" w:sz="4" w:space="0"/>
            </w:tcBorders>
            <w:vAlign w:val="center"/>
          </w:tcPr>
          <w:p w14:paraId="6DE35E97">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46B0CB54">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077534C1">
            <w:pPr>
              <w:widowControl/>
              <w:jc w:val="left"/>
              <w:rPr>
                <w:rFonts w:hint="eastAsia" w:ascii="宋体" w:hAnsi="宋体" w:cs="Courier New" w:eastAsiaTheme="minorEastAsia"/>
                <w:color w:val="auto"/>
                <w:szCs w:val="21"/>
                <w:highlight w:val="none"/>
              </w:rPr>
            </w:pPr>
          </w:p>
        </w:tc>
        <w:tc>
          <w:tcPr>
            <w:tcW w:w="1355" w:type="dxa"/>
            <w:gridSpan w:val="2"/>
            <w:tcBorders>
              <w:top w:val="single" w:color="auto" w:sz="4" w:space="0"/>
              <w:left w:val="single" w:color="auto" w:sz="4" w:space="0"/>
              <w:bottom w:val="single" w:color="auto" w:sz="4" w:space="0"/>
              <w:right w:val="single" w:color="auto" w:sz="4" w:space="0"/>
            </w:tcBorders>
            <w:vAlign w:val="center"/>
          </w:tcPr>
          <w:p w14:paraId="36757E6B">
            <w:pPr>
              <w:pStyle w:val="5"/>
              <w:spacing w:line="160" w:lineRule="atLeast"/>
              <w:jc w:val="center"/>
              <w:textAlignment w:val="baseline"/>
              <w:rPr>
                <w:rFonts w:hint="eastAsia" w:hAnsi="宋体"/>
                <w:color w:val="auto"/>
                <w:highlight w:val="none"/>
              </w:rPr>
            </w:pPr>
            <w:r>
              <w:rPr>
                <w:rFonts w:hint="eastAsia" w:hAnsi="宋体"/>
                <w:color w:val="auto"/>
                <w:highlight w:val="none"/>
              </w:rPr>
              <w:t>本工程监理工作的重点与难点分析</w:t>
            </w:r>
          </w:p>
        </w:tc>
        <w:tc>
          <w:tcPr>
            <w:tcW w:w="708" w:type="dxa"/>
            <w:tcBorders>
              <w:top w:val="single" w:color="auto" w:sz="4" w:space="0"/>
              <w:left w:val="single" w:color="auto" w:sz="4" w:space="0"/>
              <w:bottom w:val="single" w:color="auto" w:sz="4" w:space="0"/>
              <w:right w:val="single" w:color="auto" w:sz="4" w:space="0"/>
            </w:tcBorders>
            <w:vAlign w:val="center"/>
          </w:tcPr>
          <w:p w14:paraId="547FB273">
            <w:pPr>
              <w:pStyle w:val="5"/>
              <w:spacing w:line="160" w:lineRule="atLeast"/>
              <w:ind w:left="33" w:leftChars="-48" w:hanging="134" w:hangingChars="64"/>
              <w:jc w:val="center"/>
              <w:textAlignment w:val="baseline"/>
              <w:rPr>
                <w:rFonts w:hint="eastAsia" w:hAnsi="宋体"/>
                <w:color w:val="auto"/>
                <w:highlight w:val="none"/>
              </w:rPr>
            </w:pPr>
            <w:r>
              <w:rPr>
                <w:rFonts w:hint="eastAsia" w:hAnsi="宋体"/>
                <w:color w:val="auto"/>
                <w:highlight w:val="none"/>
              </w:rPr>
              <w:t>5分</w:t>
            </w:r>
          </w:p>
        </w:tc>
        <w:tc>
          <w:tcPr>
            <w:tcW w:w="5753" w:type="dxa"/>
            <w:gridSpan w:val="2"/>
            <w:tcBorders>
              <w:top w:val="single" w:color="auto" w:sz="4" w:space="0"/>
              <w:left w:val="single" w:color="auto" w:sz="4" w:space="0"/>
              <w:bottom w:val="single" w:color="auto" w:sz="4" w:space="0"/>
              <w:right w:val="single" w:color="auto" w:sz="4" w:space="0"/>
            </w:tcBorders>
            <w:vAlign w:val="center"/>
          </w:tcPr>
          <w:p w14:paraId="1566FCA4">
            <w:pPr>
              <w:pStyle w:val="5"/>
              <w:spacing w:line="160" w:lineRule="atLeast"/>
              <w:jc w:val="left"/>
              <w:textAlignment w:val="baseline"/>
              <w:rPr>
                <w:rFonts w:hint="eastAsia" w:hAnsi="宋体" w:eastAsiaTheme="minorEastAsia"/>
                <w:color w:val="auto"/>
                <w:highlight w:val="none"/>
                <w:lang w:val="en-US" w:eastAsia="zh-CN"/>
              </w:rPr>
            </w:pPr>
            <w:r>
              <w:rPr>
                <w:rFonts w:hint="eastAsia" w:hAnsi="宋体"/>
                <w:color w:val="auto"/>
                <w:highlight w:val="none"/>
              </w:rPr>
              <w:t>准确识别本工程监理重点（如JL1大跨特殊桥梁、永定河特大桥施工质量与安全，JL0总监办统筹管理；JL2枢纽互通、固安东互通施工质量与进度等）；精准分析难点（如多标段协同监理、特殊结构桥梁监理技术难点、缺陷责任期环保监理衔接等）</w:t>
            </w:r>
          </w:p>
          <w:p w14:paraId="79DACE12">
            <w:pPr>
              <w:pStyle w:val="5"/>
              <w:spacing w:line="160" w:lineRule="atLeast"/>
              <w:jc w:val="left"/>
              <w:textAlignment w:val="baseline"/>
              <w:rPr>
                <w:rFonts w:hint="eastAsia" w:hAnsi="宋体"/>
                <w:color w:val="auto"/>
                <w:highlight w:val="none"/>
              </w:rPr>
            </w:pPr>
            <w:r>
              <w:rPr>
                <w:color w:val="auto"/>
                <w:highlight w:val="none"/>
              </w:rPr>
              <w:t>分析透彻，对难点、重点把握准确；处理措施科学合理，有效可行，</w:t>
            </w:r>
            <w:r>
              <w:rPr>
                <w:rFonts w:hint="eastAsia" w:hAnsi="宋体"/>
                <w:color w:val="auto"/>
                <w:highlight w:val="none"/>
              </w:rPr>
              <w:t>得</w:t>
            </w:r>
            <w:r>
              <w:rPr>
                <w:rFonts w:hint="eastAsia" w:hAnsi="宋体"/>
                <w:color w:val="auto"/>
                <w:highlight w:val="none"/>
                <w:lang w:val="en-US" w:eastAsia="zh-CN"/>
              </w:rPr>
              <w:t>4.0-</w:t>
            </w:r>
            <w:r>
              <w:rPr>
                <w:rFonts w:hint="eastAsia" w:hAnsi="宋体"/>
                <w:color w:val="auto"/>
                <w:highlight w:val="none"/>
              </w:rPr>
              <w:t>5</w:t>
            </w:r>
            <w:r>
              <w:rPr>
                <w:rFonts w:hint="eastAsia" w:hAnsi="宋体"/>
                <w:color w:val="auto"/>
                <w:highlight w:val="none"/>
                <w:lang w:val="en-US" w:eastAsia="zh-CN"/>
              </w:rPr>
              <w:t>.0</w:t>
            </w:r>
            <w:r>
              <w:rPr>
                <w:rFonts w:hint="eastAsia" w:hAnsi="宋体"/>
                <w:color w:val="auto"/>
                <w:highlight w:val="none"/>
              </w:rPr>
              <w:t>分；</w:t>
            </w:r>
          </w:p>
          <w:p w14:paraId="079B2763">
            <w:pPr>
              <w:pStyle w:val="5"/>
              <w:spacing w:line="160" w:lineRule="atLeast"/>
              <w:jc w:val="left"/>
              <w:textAlignment w:val="baseline"/>
              <w:rPr>
                <w:rFonts w:hint="eastAsia" w:hAnsi="宋体"/>
                <w:color w:val="auto"/>
                <w:highlight w:val="none"/>
              </w:rPr>
            </w:pPr>
            <w:r>
              <w:rPr>
                <w:color w:val="auto"/>
                <w:highlight w:val="none"/>
              </w:rPr>
              <w:t>分析较透彻，对难点、重点把握较准确；处理措施合理，可行，</w:t>
            </w:r>
            <w:r>
              <w:rPr>
                <w:rFonts w:hint="eastAsia" w:hAnsi="宋体"/>
                <w:color w:val="auto"/>
                <w:highlight w:val="none"/>
              </w:rPr>
              <w:t>得3</w:t>
            </w:r>
            <w:r>
              <w:rPr>
                <w:rFonts w:hint="eastAsia" w:hAnsi="宋体"/>
                <w:color w:val="auto"/>
                <w:highlight w:val="none"/>
                <w:lang w:val="en-US" w:eastAsia="zh-CN"/>
              </w:rPr>
              <w:t>.0</w:t>
            </w:r>
            <w:r>
              <w:rPr>
                <w:rFonts w:hint="eastAsia" w:hAnsi="宋体"/>
                <w:color w:val="auto"/>
                <w:highlight w:val="none"/>
              </w:rPr>
              <w:t xml:space="preserve"> - 4</w:t>
            </w:r>
            <w:r>
              <w:rPr>
                <w:rFonts w:hint="eastAsia" w:hAnsi="宋体"/>
                <w:color w:val="auto"/>
                <w:highlight w:val="none"/>
                <w:lang w:val="en-US" w:eastAsia="zh-CN"/>
              </w:rPr>
              <w:t>.0</w:t>
            </w:r>
            <w:r>
              <w:rPr>
                <w:rFonts w:hint="eastAsia" w:hAnsi="宋体"/>
                <w:color w:val="auto"/>
                <w:highlight w:val="none"/>
              </w:rPr>
              <w:t>分；</w:t>
            </w:r>
          </w:p>
          <w:p w14:paraId="5401700B">
            <w:pPr>
              <w:pStyle w:val="5"/>
              <w:spacing w:line="160" w:lineRule="atLeast"/>
              <w:jc w:val="left"/>
              <w:textAlignment w:val="baseline"/>
              <w:rPr>
                <w:rFonts w:hint="eastAsia" w:hAnsi="宋体"/>
                <w:color w:val="auto"/>
                <w:highlight w:val="none"/>
                <w:lang w:eastAsia="zh-CN"/>
              </w:rPr>
            </w:pPr>
            <w:r>
              <w:rPr>
                <w:color w:val="auto"/>
                <w:highlight w:val="none"/>
              </w:rPr>
              <w:t>分析一般，对难点、重点把握一般；处理措施基本合理，基本可行，</w:t>
            </w:r>
            <w:r>
              <w:rPr>
                <w:rFonts w:hint="eastAsia" w:hAnsi="宋体"/>
                <w:color w:val="auto"/>
                <w:highlight w:val="none"/>
              </w:rPr>
              <w:t>得</w:t>
            </w:r>
            <w:r>
              <w:rPr>
                <w:rFonts w:hint="eastAsia" w:hAnsi="宋体"/>
                <w:color w:val="auto"/>
                <w:highlight w:val="none"/>
                <w:lang w:val="en-US" w:eastAsia="zh-CN"/>
              </w:rPr>
              <w:t>3.0</w:t>
            </w:r>
            <w:r>
              <w:rPr>
                <w:rFonts w:hint="eastAsia" w:hAnsi="宋体"/>
                <w:color w:val="auto"/>
                <w:highlight w:val="none"/>
              </w:rPr>
              <w:t>分</w:t>
            </w:r>
            <w:r>
              <w:rPr>
                <w:rFonts w:hint="eastAsia" w:hAnsi="宋体"/>
                <w:color w:val="auto"/>
                <w:highlight w:val="none"/>
                <w:lang w:eastAsia="zh-CN"/>
              </w:rPr>
              <w:t>；</w:t>
            </w:r>
          </w:p>
          <w:p w14:paraId="41EDCEFA">
            <w:pPr>
              <w:pStyle w:val="5"/>
              <w:spacing w:line="160" w:lineRule="atLeast"/>
              <w:jc w:val="left"/>
              <w:textAlignment w:val="baseline"/>
              <w:rPr>
                <w:rFonts w:hint="eastAsia" w:hAnsi="宋体"/>
                <w:color w:val="auto"/>
                <w:highlight w:val="none"/>
              </w:rPr>
            </w:pPr>
            <w:r>
              <w:rPr>
                <w:rFonts w:hint="eastAsia" w:hAnsi="宋体"/>
                <w:color w:val="auto"/>
                <w:highlight w:val="none"/>
                <w:lang w:val="en-US" w:eastAsia="zh-CN"/>
              </w:rPr>
              <w:t>缺项得0分</w:t>
            </w:r>
            <w:r>
              <w:rPr>
                <w:rFonts w:hint="eastAsia" w:hAnsi="宋体"/>
                <w:color w:val="auto"/>
                <w:highlight w:val="none"/>
              </w:rPr>
              <w:t>。</w:t>
            </w:r>
          </w:p>
        </w:tc>
      </w:tr>
      <w:tr w14:paraId="4730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702" w:type="dxa"/>
            <w:vMerge w:val="continue"/>
            <w:tcBorders>
              <w:left w:val="single" w:color="auto" w:sz="4" w:space="0"/>
              <w:right w:val="single" w:color="auto" w:sz="4" w:space="0"/>
            </w:tcBorders>
            <w:vAlign w:val="center"/>
          </w:tcPr>
          <w:p w14:paraId="7B3C7183">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8DBA341">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7D12C768">
            <w:pPr>
              <w:widowControl/>
              <w:jc w:val="left"/>
              <w:rPr>
                <w:rFonts w:hint="eastAsia" w:ascii="宋体" w:hAnsi="宋体" w:cs="Courier New" w:eastAsiaTheme="minorEastAsia"/>
                <w:color w:val="auto"/>
                <w:szCs w:val="21"/>
                <w:highlight w:val="none"/>
              </w:rPr>
            </w:pPr>
          </w:p>
        </w:tc>
        <w:tc>
          <w:tcPr>
            <w:tcW w:w="1355" w:type="dxa"/>
            <w:gridSpan w:val="2"/>
            <w:tcBorders>
              <w:top w:val="single" w:color="auto" w:sz="4" w:space="0"/>
              <w:left w:val="single" w:color="auto" w:sz="4" w:space="0"/>
              <w:bottom w:val="single" w:color="auto" w:sz="4" w:space="0"/>
              <w:right w:val="single" w:color="auto" w:sz="4" w:space="0"/>
            </w:tcBorders>
            <w:vAlign w:val="center"/>
          </w:tcPr>
          <w:p w14:paraId="5478D5F8">
            <w:pPr>
              <w:pStyle w:val="5"/>
              <w:spacing w:line="160" w:lineRule="atLeast"/>
              <w:jc w:val="center"/>
              <w:textAlignment w:val="baseline"/>
              <w:rPr>
                <w:rFonts w:hint="eastAsia" w:hAnsi="宋体"/>
                <w:color w:val="auto"/>
                <w:highlight w:val="none"/>
              </w:rPr>
            </w:pPr>
            <w:r>
              <w:rPr>
                <w:rFonts w:hint="eastAsia" w:hAnsi="宋体"/>
                <w:color w:val="auto"/>
                <w:highlight w:val="none"/>
              </w:rPr>
              <w:t>对本工程的建议</w:t>
            </w:r>
          </w:p>
        </w:tc>
        <w:tc>
          <w:tcPr>
            <w:tcW w:w="708" w:type="dxa"/>
            <w:tcBorders>
              <w:top w:val="single" w:color="auto" w:sz="4" w:space="0"/>
              <w:left w:val="single" w:color="auto" w:sz="4" w:space="0"/>
              <w:bottom w:val="single" w:color="auto" w:sz="4" w:space="0"/>
              <w:right w:val="single" w:color="auto" w:sz="4" w:space="0"/>
            </w:tcBorders>
            <w:vAlign w:val="center"/>
          </w:tcPr>
          <w:p w14:paraId="3AB5683B">
            <w:pPr>
              <w:pStyle w:val="5"/>
              <w:spacing w:line="160" w:lineRule="atLeast"/>
              <w:jc w:val="center"/>
              <w:textAlignment w:val="baseline"/>
              <w:rPr>
                <w:rFonts w:hint="eastAsia" w:hAnsi="宋体"/>
                <w:color w:val="auto"/>
                <w:highlight w:val="none"/>
              </w:rPr>
            </w:pPr>
            <w:r>
              <w:rPr>
                <w:rFonts w:hAnsi="宋体"/>
                <w:color w:val="auto"/>
                <w:highlight w:val="none"/>
              </w:rPr>
              <w:t>5</w:t>
            </w:r>
            <w:r>
              <w:rPr>
                <w:rFonts w:hint="eastAsia" w:hAnsi="宋体"/>
                <w:color w:val="auto"/>
                <w:highlight w:val="none"/>
              </w:rPr>
              <w:t>分</w:t>
            </w:r>
          </w:p>
        </w:tc>
        <w:tc>
          <w:tcPr>
            <w:tcW w:w="5753" w:type="dxa"/>
            <w:gridSpan w:val="2"/>
            <w:tcBorders>
              <w:top w:val="single" w:color="auto" w:sz="4" w:space="0"/>
              <w:left w:val="single" w:color="auto" w:sz="4" w:space="0"/>
              <w:bottom w:val="single" w:color="auto" w:sz="4" w:space="0"/>
              <w:right w:val="single" w:color="auto" w:sz="4" w:space="0"/>
            </w:tcBorders>
            <w:vAlign w:val="center"/>
          </w:tcPr>
          <w:p w14:paraId="1E28EF45">
            <w:pPr>
              <w:pStyle w:val="5"/>
              <w:spacing w:line="160" w:lineRule="atLeast"/>
              <w:jc w:val="left"/>
              <w:textAlignment w:val="baseline"/>
              <w:rPr>
                <w:rFonts w:hint="eastAsia" w:hAnsi="宋体"/>
                <w:color w:val="auto"/>
                <w:highlight w:val="none"/>
              </w:rPr>
            </w:pPr>
            <w:r>
              <w:rPr>
                <w:rFonts w:hint="eastAsia" w:hAnsi="宋体"/>
                <w:color w:val="auto"/>
                <w:highlight w:val="none"/>
              </w:rPr>
              <w:t>结合项目特点（特殊结构桥梁、多阶段监理等），提出具有针对性、建设性的建议（如优化监理资源配置、加强标段间协同机制、特殊结构桥梁监理技术创新、环保监理强化措施等）</w:t>
            </w:r>
          </w:p>
          <w:p w14:paraId="7612A39C">
            <w:pPr>
              <w:pStyle w:val="5"/>
              <w:spacing w:line="160" w:lineRule="atLeast"/>
              <w:jc w:val="left"/>
              <w:textAlignment w:val="baseline"/>
              <w:rPr>
                <w:rFonts w:hint="eastAsia" w:hAnsi="宋体"/>
                <w:color w:val="auto"/>
                <w:highlight w:val="none"/>
              </w:rPr>
            </w:pPr>
            <w:r>
              <w:rPr>
                <w:color w:val="auto"/>
                <w:highlight w:val="none"/>
              </w:rPr>
              <w:t>建议措施具体全面、可靠、合理，可实施性强，</w:t>
            </w:r>
            <w:r>
              <w:rPr>
                <w:rFonts w:hint="eastAsia" w:hAnsi="宋体"/>
                <w:color w:val="auto"/>
                <w:highlight w:val="none"/>
              </w:rPr>
              <w:t>得</w:t>
            </w:r>
            <w:r>
              <w:rPr>
                <w:rFonts w:hint="eastAsia" w:hAnsi="宋体"/>
                <w:color w:val="auto"/>
                <w:highlight w:val="none"/>
                <w:lang w:val="en-US" w:eastAsia="zh-CN"/>
              </w:rPr>
              <w:t>4.0-5.0</w:t>
            </w:r>
            <w:r>
              <w:rPr>
                <w:rFonts w:hint="eastAsia" w:hAnsi="宋体"/>
                <w:color w:val="auto"/>
                <w:highlight w:val="none"/>
              </w:rPr>
              <w:t>分；</w:t>
            </w:r>
          </w:p>
          <w:p w14:paraId="38CE6076">
            <w:pPr>
              <w:pStyle w:val="5"/>
              <w:spacing w:line="160" w:lineRule="atLeast"/>
              <w:jc w:val="left"/>
              <w:textAlignment w:val="baseline"/>
              <w:rPr>
                <w:rFonts w:hint="eastAsia" w:hAnsi="宋体"/>
                <w:color w:val="auto"/>
                <w:highlight w:val="none"/>
              </w:rPr>
            </w:pPr>
            <w:r>
              <w:rPr>
                <w:color w:val="auto"/>
                <w:highlight w:val="none"/>
              </w:rPr>
              <w:t>建议措施全面、合理，可实施性较好，</w:t>
            </w:r>
            <w:r>
              <w:rPr>
                <w:rFonts w:hint="eastAsia" w:hAnsi="宋体"/>
                <w:color w:val="auto"/>
                <w:highlight w:val="none"/>
              </w:rPr>
              <w:t>得3</w:t>
            </w:r>
            <w:r>
              <w:rPr>
                <w:rFonts w:hint="eastAsia" w:hAnsi="宋体"/>
                <w:color w:val="auto"/>
                <w:highlight w:val="none"/>
                <w:lang w:val="en-US" w:eastAsia="zh-CN"/>
              </w:rPr>
              <w:t>.0</w:t>
            </w:r>
            <w:r>
              <w:rPr>
                <w:rFonts w:hint="eastAsia" w:hAnsi="宋体"/>
                <w:color w:val="auto"/>
                <w:highlight w:val="none"/>
              </w:rPr>
              <w:t xml:space="preserve"> - 4</w:t>
            </w:r>
            <w:r>
              <w:rPr>
                <w:rFonts w:hint="eastAsia" w:hAnsi="宋体"/>
                <w:color w:val="auto"/>
                <w:highlight w:val="none"/>
                <w:lang w:val="en-US" w:eastAsia="zh-CN"/>
              </w:rPr>
              <w:t>.0</w:t>
            </w:r>
            <w:r>
              <w:rPr>
                <w:rFonts w:hint="eastAsia" w:hAnsi="宋体"/>
                <w:color w:val="auto"/>
                <w:highlight w:val="none"/>
              </w:rPr>
              <w:t>分；</w:t>
            </w:r>
          </w:p>
          <w:p w14:paraId="62B7A2F1">
            <w:pPr>
              <w:pStyle w:val="5"/>
              <w:spacing w:line="160" w:lineRule="atLeast"/>
              <w:jc w:val="left"/>
              <w:textAlignment w:val="baseline"/>
              <w:rPr>
                <w:rFonts w:hint="eastAsia" w:hAnsi="宋体"/>
                <w:color w:val="auto"/>
                <w:highlight w:val="none"/>
                <w:lang w:eastAsia="zh-CN"/>
              </w:rPr>
            </w:pPr>
            <w:r>
              <w:rPr>
                <w:color w:val="auto"/>
                <w:highlight w:val="none"/>
              </w:rPr>
              <w:t>建议措施基本全面、合理，可实施性一般，</w:t>
            </w:r>
            <w:r>
              <w:rPr>
                <w:rFonts w:hint="eastAsia" w:hAnsi="宋体"/>
                <w:color w:val="auto"/>
                <w:highlight w:val="none"/>
              </w:rPr>
              <w:t>得</w:t>
            </w:r>
            <w:r>
              <w:rPr>
                <w:rFonts w:hint="eastAsia" w:hAnsi="宋体"/>
                <w:color w:val="auto"/>
                <w:highlight w:val="none"/>
                <w:lang w:val="en-US" w:eastAsia="zh-CN"/>
              </w:rPr>
              <w:t>3.0</w:t>
            </w:r>
            <w:r>
              <w:rPr>
                <w:rFonts w:hint="eastAsia" w:hAnsi="宋体"/>
                <w:color w:val="auto"/>
                <w:highlight w:val="none"/>
              </w:rPr>
              <w:t>分</w:t>
            </w:r>
            <w:r>
              <w:rPr>
                <w:rFonts w:hint="eastAsia" w:hAnsi="宋体"/>
                <w:color w:val="auto"/>
                <w:highlight w:val="none"/>
                <w:lang w:eastAsia="zh-CN"/>
              </w:rPr>
              <w:t>；</w:t>
            </w:r>
          </w:p>
          <w:p w14:paraId="177AB135">
            <w:pPr>
              <w:pStyle w:val="5"/>
              <w:spacing w:line="160" w:lineRule="atLeast"/>
              <w:jc w:val="left"/>
              <w:textAlignment w:val="baseline"/>
              <w:rPr>
                <w:rFonts w:hint="eastAsia" w:hAnsi="宋体"/>
                <w:color w:val="auto"/>
                <w:highlight w:val="none"/>
              </w:rPr>
            </w:pPr>
            <w:r>
              <w:rPr>
                <w:rFonts w:hint="eastAsia" w:hAnsi="宋体"/>
                <w:color w:val="auto"/>
                <w:highlight w:val="none"/>
                <w:lang w:val="en-US" w:eastAsia="zh-CN"/>
              </w:rPr>
              <w:t>缺项得0分</w:t>
            </w:r>
            <w:r>
              <w:rPr>
                <w:rFonts w:hint="eastAsia" w:hAnsi="宋体"/>
                <w:color w:val="auto"/>
                <w:highlight w:val="none"/>
              </w:rPr>
              <w:t>。</w:t>
            </w:r>
          </w:p>
        </w:tc>
      </w:tr>
      <w:tr w14:paraId="76EA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702" w:type="dxa"/>
            <w:vMerge w:val="restart"/>
            <w:tcBorders>
              <w:top w:val="nil"/>
              <w:left w:val="single" w:color="auto" w:sz="4" w:space="0"/>
              <w:right w:val="single" w:color="auto" w:sz="4" w:space="0"/>
            </w:tcBorders>
            <w:vAlign w:val="center"/>
          </w:tcPr>
          <w:p w14:paraId="28ADB531">
            <w:pPr>
              <w:pStyle w:val="5"/>
              <w:spacing w:line="160" w:lineRule="atLeast"/>
              <w:jc w:val="center"/>
              <w:textAlignment w:val="baseline"/>
              <w:rPr>
                <w:rFonts w:hint="eastAsia" w:hAnsi="宋体"/>
                <w:color w:val="auto"/>
                <w:highlight w:val="none"/>
              </w:rPr>
            </w:pPr>
            <w:r>
              <w:rPr>
                <w:rFonts w:hint="eastAsia" w:hAnsi="宋体"/>
                <w:color w:val="auto"/>
                <w:highlight w:val="none"/>
              </w:rPr>
              <w:t>2.2.4（2）</w:t>
            </w:r>
          </w:p>
        </w:tc>
        <w:tc>
          <w:tcPr>
            <w:tcW w:w="636" w:type="dxa"/>
            <w:vMerge w:val="restart"/>
            <w:tcBorders>
              <w:top w:val="nil"/>
              <w:left w:val="single" w:color="auto" w:sz="4" w:space="0"/>
              <w:right w:val="single" w:color="auto" w:sz="4" w:space="0"/>
            </w:tcBorders>
            <w:vAlign w:val="center"/>
          </w:tcPr>
          <w:p w14:paraId="2B0CE30E">
            <w:pPr>
              <w:pStyle w:val="5"/>
              <w:spacing w:line="160" w:lineRule="atLeast"/>
              <w:jc w:val="center"/>
              <w:textAlignment w:val="baseline"/>
              <w:rPr>
                <w:rFonts w:hint="eastAsia" w:hAnsi="宋体"/>
                <w:color w:val="auto"/>
                <w:highlight w:val="none"/>
              </w:rPr>
            </w:pPr>
            <w:r>
              <w:rPr>
                <w:rFonts w:hint="eastAsia" w:hAnsi="宋体"/>
                <w:color w:val="auto"/>
                <w:highlight w:val="none"/>
              </w:rPr>
              <w:t>主要人员</w:t>
            </w:r>
          </w:p>
        </w:tc>
        <w:tc>
          <w:tcPr>
            <w:tcW w:w="732" w:type="dxa"/>
            <w:vMerge w:val="restart"/>
            <w:tcBorders>
              <w:top w:val="nil"/>
              <w:left w:val="single" w:color="auto" w:sz="4" w:space="0"/>
              <w:right w:val="single" w:color="auto" w:sz="4" w:space="0"/>
            </w:tcBorders>
            <w:vAlign w:val="center"/>
          </w:tcPr>
          <w:p w14:paraId="286F6A27">
            <w:pPr>
              <w:pStyle w:val="5"/>
              <w:spacing w:line="160" w:lineRule="atLeast"/>
              <w:jc w:val="center"/>
              <w:textAlignment w:val="baseline"/>
              <w:rPr>
                <w:rFonts w:hint="eastAsia" w:hAnsi="宋体"/>
                <w:color w:val="auto"/>
                <w:highlight w:val="none"/>
              </w:rPr>
            </w:pPr>
            <w:r>
              <w:rPr>
                <w:rFonts w:hint="eastAsia" w:hAnsi="宋体"/>
                <w:color w:val="auto"/>
                <w:highlight w:val="none"/>
              </w:rPr>
              <w:t>30分</w:t>
            </w:r>
          </w:p>
        </w:tc>
        <w:tc>
          <w:tcPr>
            <w:tcW w:w="1355" w:type="dxa"/>
            <w:gridSpan w:val="2"/>
            <w:vMerge w:val="restart"/>
            <w:tcBorders>
              <w:top w:val="single" w:color="auto" w:sz="4" w:space="0"/>
              <w:left w:val="single" w:color="auto" w:sz="4" w:space="0"/>
              <w:right w:val="single" w:color="auto" w:sz="4" w:space="0"/>
            </w:tcBorders>
            <w:vAlign w:val="center"/>
          </w:tcPr>
          <w:p w14:paraId="55481A61">
            <w:pPr>
              <w:pStyle w:val="5"/>
              <w:spacing w:line="160" w:lineRule="atLeast"/>
              <w:jc w:val="center"/>
              <w:textAlignment w:val="baseline"/>
              <w:rPr>
                <w:rFonts w:hint="eastAsia" w:hAnsi="宋体"/>
                <w:color w:val="auto"/>
                <w:highlight w:val="none"/>
              </w:rPr>
            </w:pPr>
            <w:r>
              <w:rPr>
                <w:rFonts w:hint="eastAsia" w:hAnsi="宋体" w:cs="宋体"/>
                <w:color w:val="auto"/>
                <w:szCs w:val="24"/>
                <w:highlight w:val="none"/>
              </w:rPr>
              <w:t>总监理工程师（JL0标段）</w:t>
            </w:r>
          </w:p>
        </w:tc>
        <w:tc>
          <w:tcPr>
            <w:tcW w:w="6461" w:type="dxa"/>
            <w:gridSpan w:val="3"/>
            <w:tcBorders>
              <w:top w:val="single" w:color="auto" w:sz="4" w:space="0"/>
              <w:left w:val="single" w:color="auto" w:sz="4" w:space="0"/>
              <w:bottom w:val="single" w:color="auto" w:sz="4" w:space="0"/>
              <w:right w:val="single" w:color="auto" w:sz="4" w:space="0"/>
            </w:tcBorders>
            <w:vAlign w:val="center"/>
          </w:tcPr>
          <w:p w14:paraId="78426B74">
            <w:pPr>
              <w:pStyle w:val="5"/>
              <w:spacing w:line="160" w:lineRule="atLeast"/>
              <w:jc w:val="left"/>
              <w:textAlignment w:val="baseline"/>
              <w:rPr>
                <w:rFonts w:hint="eastAsia" w:hAnsi="宋体"/>
                <w:color w:val="auto"/>
                <w:highlight w:val="none"/>
              </w:rPr>
            </w:pPr>
            <w:r>
              <w:rPr>
                <w:rFonts w:hint="eastAsia" w:hAnsi="宋体"/>
                <w:color w:val="auto"/>
                <w:highlight w:val="none"/>
              </w:rPr>
              <w:t>满足附录4资格审查条件（总监理工程师</w:t>
            </w:r>
            <w:r>
              <w:rPr>
                <w:rFonts w:hint="eastAsia" w:hAnsi="宋体"/>
                <w:color w:val="auto"/>
                <w:highlight w:val="none"/>
                <w:lang w:eastAsia="zh-CN"/>
              </w:rPr>
              <w:t>和驻地监理工程师</w:t>
            </w:r>
            <w:r>
              <w:rPr>
                <w:rFonts w:hint="eastAsia" w:hAnsi="宋体"/>
                <w:color w:val="auto"/>
                <w:highlight w:val="none"/>
              </w:rPr>
              <w:t>最低要求）</w:t>
            </w:r>
            <w:r>
              <w:rPr>
                <w:rFonts w:hint="eastAsia" w:hAnsi="宋体"/>
                <w:color w:val="auto"/>
                <w:highlight w:val="none"/>
                <w:lang w:eastAsia="zh-CN"/>
              </w:rPr>
              <w:t>中总监理工程师最低要求，</w:t>
            </w:r>
            <w:r>
              <w:rPr>
                <w:rFonts w:hint="eastAsia" w:hAnsi="宋体"/>
                <w:color w:val="auto"/>
                <w:highlight w:val="none"/>
              </w:rPr>
              <w:t>得</w:t>
            </w:r>
            <w:r>
              <w:rPr>
                <w:rFonts w:hint="eastAsia"/>
                <w:color w:val="auto"/>
                <w:highlight w:val="none"/>
                <w:lang w:val="en-US" w:eastAsia="zh-CN"/>
              </w:rPr>
              <w:t>30</w:t>
            </w:r>
            <w:r>
              <w:rPr>
                <w:rFonts w:hint="eastAsia" w:hAnsi="宋体"/>
                <w:color w:val="auto"/>
                <w:highlight w:val="none"/>
              </w:rPr>
              <w:t>分；</w:t>
            </w:r>
          </w:p>
        </w:tc>
      </w:tr>
      <w:tr w14:paraId="52ED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702" w:type="dxa"/>
            <w:vMerge w:val="continue"/>
            <w:tcBorders>
              <w:top w:val="nil"/>
              <w:left w:val="single" w:color="auto" w:sz="4" w:space="0"/>
              <w:bottom w:val="single" w:color="auto" w:sz="4" w:space="0"/>
              <w:right w:val="single" w:color="auto" w:sz="4" w:space="0"/>
            </w:tcBorders>
            <w:vAlign w:val="center"/>
          </w:tcPr>
          <w:p w14:paraId="0BFEFB4B">
            <w:pPr>
              <w:widowControl/>
              <w:jc w:val="left"/>
              <w:rPr>
                <w:rFonts w:hint="eastAsia" w:ascii="宋体" w:hAnsi="宋体" w:cs="Courier New" w:eastAsiaTheme="minorEastAsia"/>
                <w:color w:val="auto"/>
                <w:szCs w:val="21"/>
                <w:highlight w:val="none"/>
              </w:rPr>
            </w:pPr>
          </w:p>
        </w:tc>
        <w:tc>
          <w:tcPr>
            <w:tcW w:w="636" w:type="dxa"/>
            <w:vMerge w:val="continue"/>
            <w:tcBorders>
              <w:top w:val="nil"/>
              <w:left w:val="single" w:color="auto" w:sz="4" w:space="0"/>
              <w:bottom w:val="single" w:color="auto" w:sz="4" w:space="0"/>
              <w:right w:val="single" w:color="auto" w:sz="4" w:space="0"/>
            </w:tcBorders>
            <w:vAlign w:val="center"/>
          </w:tcPr>
          <w:p w14:paraId="4FFB195A">
            <w:pPr>
              <w:widowControl/>
              <w:jc w:val="left"/>
              <w:rPr>
                <w:rFonts w:hint="eastAsia" w:ascii="宋体" w:hAnsi="宋体" w:cs="Courier New" w:eastAsiaTheme="minorEastAsia"/>
                <w:color w:val="auto"/>
                <w:szCs w:val="21"/>
                <w:highlight w:val="none"/>
              </w:rPr>
            </w:pPr>
          </w:p>
        </w:tc>
        <w:tc>
          <w:tcPr>
            <w:tcW w:w="732" w:type="dxa"/>
            <w:vMerge w:val="continue"/>
            <w:tcBorders>
              <w:top w:val="nil"/>
              <w:left w:val="single" w:color="auto" w:sz="4" w:space="0"/>
              <w:bottom w:val="single" w:color="auto" w:sz="4" w:space="0"/>
              <w:right w:val="single" w:color="auto" w:sz="4" w:space="0"/>
            </w:tcBorders>
            <w:vAlign w:val="center"/>
          </w:tcPr>
          <w:p w14:paraId="6F0878DE">
            <w:pPr>
              <w:widowControl/>
              <w:jc w:val="left"/>
              <w:rPr>
                <w:rFonts w:hint="eastAsia" w:ascii="宋体" w:hAnsi="宋体" w:cs="Courier New" w:eastAsiaTheme="minorEastAsia"/>
                <w:color w:val="auto"/>
                <w:szCs w:val="21"/>
                <w:highlight w:val="none"/>
              </w:rPr>
            </w:pPr>
          </w:p>
        </w:tc>
        <w:tc>
          <w:tcPr>
            <w:tcW w:w="1355" w:type="dxa"/>
            <w:gridSpan w:val="2"/>
            <w:tcBorders>
              <w:left w:val="single" w:color="auto" w:sz="4" w:space="0"/>
              <w:right w:val="single" w:color="auto" w:sz="4" w:space="0"/>
            </w:tcBorders>
            <w:vAlign w:val="center"/>
          </w:tcPr>
          <w:p w14:paraId="3311E16C">
            <w:pPr>
              <w:widowControl/>
              <w:jc w:val="center"/>
              <w:rPr>
                <w:rFonts w:hint="eastAsia" w:ascii="宋体" w:hAnsi="宋体" w:cs="Courier New" w:eastAsiaTheme="minorEastAsia"/>
                <w:color w:val="auto"/>
                <w:szCs w:val="21"/>
                <w:highlight w:val="none"/>
              </w:rPr>
            </w:pPr>
            <w:r>
              <w:rPr>
                <w:rFonts w:hint="eastAsia" w:ascii="宋体" w:hAnsi="宋体" w:cs="宋体" w:eastAsiaTheme="minorEastAsia"/>
                <w:color w:val="auto"/>
                <w:highlight w:val="none"/>
              </w:rPr>
              <w:t>驻地监理工程师（JL1\JL2标段）</w:t>
            </w:r>
          </w:p>
        </w:tc>
        <w:tc>
          <w:tcPr>
            <w:tcW w:w="6461" w:type="dxa"/>
            <w:gridSpan w:val="3"/>
            <w:tcBorders>
              <w:top w:val="single" w:color="auto" w:sz="4" w:space="0"/>
              <w:left w:val="single" w:color="auto" w:sz="4" w:space="0"/>
              <w:bottom w:val="single" w:color="auto" w:sz="4" w:space="0"/>
              <w:right w:val="single" w:color="auto" w:sz="4" w:space="0"/>
            </w:tcBorders>
            <w:vAlign w:val="center"/>
          </w:tcPr>
          <w:p w14:paraId="011F17A8">
            <w:pPr>
              <w:pStyle w:val="5"/>
              <w:spacing w:line="160" w:lineRule="atLeast"/>
              <w:jc w:val="left"/>
              <w:textAlignment w:val="baseline"/>
              <w:rPr>
                <w:rFonts w:hint="eastAsia" w:hAnsi="宋体"/>
                <w:color w:val="auto"/>
                <w:highlight w:val="none"/>
              </w:rPr>
            </w:pPr>
            <w:r>
              <w:rPr>
                <w:rFonts w:hint="eastAsia"/>
                <w:color w:val="auto"/>
                <w:highlight w:val="none"/>
              </w:rPr>
              <w:t>满足附录4资格审查条件</w:t>
            </w:r>
            <w:r>
              <w:rPr>
                <w:rFonts w:hint="eastAsia" w:hAnsi="宋体"/>
                <w:color w:val="auto"/>
                <w:highlight w:val="none"/>
              </w:rPr>
              <w:t>（总监理工程师</w:t>
            </w:r>
            <w:r>
              <w:rPr>
                <w:rFonts w:hint="eastAsia" w:hAnsi="宋体"/>
                <w:color w:val="auto"/>
                <w:highlight w:val="none"/>
                <w:lang w:eastAsia="zh-CN"/>
              </w:rPr>
              <w:t>和驻地监理工程师</w:t>
            </w:r>
            <w:r>
              <w:rPr>
                <w:rFonts w:hint="eastAsia" w:hAnsi="宋体"/>
                <w:color w:val="auto"/>
                <w:highlight w:val="none"/>
              </w:rPr>
              <w:t>最低要求）</w:t>
            </w:r>
            <w:r>
              <w:rPr>
                <w:rFonts w:hint="eastAsia" w:hAnsi="宋体"/>
                <w:color w:val="auto"/>
                <w:highlight w:val="none"/>
                <w:lang w:eastAsia="zh-CN"/>
              </w:rPr>
              <w:t>中驻地监理工程师最低要求，</w:t>
            </w:r>
            <w:r>
              <w:rPr>
                <w:rFonts w:hint="eastAsia"/>
                <w:color w:val="auto"/>
                <w:highlight w:val="none"/>
              </w:rPr>
              <w:t>得</w:t>
            </w:r>
            <w:r>
              <w:rPr>
                <w:rFonts w:hint="eastAsia"/>
                <w:color w:val="auto"/>
                <w:highlight w:val="none"/>
                <w:lang w:val="en-US" w:eastAsia="zh-CN"/>
              </w:rPr>
              <w:t>30</w:t>
            </w:r>
            <w:r>
              <w:rPr>
                <w:rFonts w:hint="eastAsia"/>
                <w:color w:val="auto"/>
                <w:highlight w:val="none"/>
              </w:rPr>
              <w:t>分；</w:t>
            </w:r>
          </w:p>
        </w:tc>
      </w:tr>
      <w:tr w14:paraId="79A1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02" w:type="dxa"/>
            <w:tcBorders>
              <w:top w:val="nil"/>
              <w:left w:val="single" w:color="auto" w:sz="4" w:space="0"/>
              <w:bottom w:val="single" w:color="auto" w:sz="4" w:space="0"/>
              <w:right w:val="single" w:color="auto" w:sz="4" w:space="0"/>
            </w:tcBorders>
            <w:vAlign w:val="center"/>
          </w:tcPr>
          <w:p w14:paraId="74B67180">
            <w:pPr>
              <w:pStyle w:val="5"/>
              <w:spacing w:line="160" w:lineRule="atLeast"/>
              <w:jc w:val="center"/>
              <w:textAlignment w:val="baseline"/>
              <w:rPr>
                <w:rFonts w:hint="eastAsia" w:hAnsi="宋体"/>
                <w:color w:val="auto"/>
                <w:highlight w:val="none"/>
              </w:rPr>
            </w:pPr>
            <w:r>
              <w:rPr>
                <w:rFonts w:hint="eastAsia" w:hAnsi="宋体"/>
                <w:color w:val="auto"/>
                <w:highlight w:val="none"/>
              </w:rPr>
              <w:t>2.2.4（3）</w:t>
            </w:r>
          </w:p>
        </w:tc>
        <w:tc>
          <w:tcPr>
            <w:tcW w:w="636" w:type="dxa"/>
            <w:tcBorders>
              <w:top w:val="nil"/>
              <w:left w:val="single" w:color="auto" w:sz="4" w:space="0"/>
              <w:bottom w:val="single" w:color="auto" w:sz="4" w:space="0"/>
              <w:right w:val="single" w:color="auto" w:sz="4" w:space="0"/>
            </w:tcBorders>
            <w:vAlign w:val="center"/>
          </w:tcPr>
          <w:p w14:paraId="162D3C3B">
            <w:pPr>
              <w:pStyle w:val="5"/>
              <w:spacing w:line="160" w:lineRule="atLeast"/>
              <w:jc w:val="center"/>
              <w:textAlignment w:val="baseline"/>
              <w:rPr>
                <w:rFonts w:hint="eastAsia" w:hAnsi="宋体"/>
                <w:color w:val="auto"/>
                <w:highlight w:val="none"/>
              </w:rPr>
            </w:pPr>
            <w:r>
              <w:rPr>
                <w:rFonts w:hint="eastAsia" w:hAnsi="宋体"/>
                <w:color w:val="auto"/>
                <w:highlight w:val="none"/>
              </w:rPr>
              <w:t>评标价</w:t>
            </w:r>
          </w:p>
        </w:tc>
        <w:tc>
          <w:tcPr>
            <w:tcW w:w="732" w:type="dxa"/>
            <w:tcBorders>
              <w:top w:val="nil"/>
              <w:left w:val="single" w:color="auto" w:sz="4" w:space="0"/>
              <w:bottom w:val="single" w:color="auto" w:sz="4" w:space="0"/>
              <w:right w:val="single" w:color="auto" w:sz="4" w:space="0"/>
            </w:tcBorders>
            <w:vAlign w:val="center"/>
          </w:tcPr>
          <w:p w14:paraId="606C594E">
            <w:pPr>
              <w:pStyle w:val="5"/>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7816" w:type="dxa"/>
            <w:gridSpan w:val="5"/>
            <w:tcBorders>
              <w:top w:val="single" w:color="auto" w:sz="4" w:space="0"/>
              <w:left w:val="single" w:color="auto" w:sz="4" w:space="0"/>
              <w:bottom w:val="single" w:color="auto" w:sz="4" w:space="0"/>
              <w:right w:val="single" w:color="auto" w:sz="4" w:space="0"/>
            </w:tcBorders>
            <w:vAlign w:val="center"/>
          </w:tcPr>
          <w:p w14:paraId="37AAF62E">
            <w:pPr>
              <w:pStyle w:val="5"/>
              <w:spacing w:line="160" w:lineRule="atLeast"/>
              <w:jc w:val="left"/>
              <w:textAlignment w:val="baseline"/>
              <w:rPr>
                <w:rFonts w:hint="eastAsia" w:hAnsi="宋体"/>
                <w:color w:val="auto"/>
                <w:highlight w:val="none"/>
              </w:rPr>
            </w:pPr>
            <w:r>
              <w:rPr>
                <w:rFonts w:hint="eastAsia" w:hAnsi="宋体"/>
                <w:color w:val="auto"/>
                <w:highlight w:val="none"/>
              </w:rPr>
              <w:t>评标价得分计算公式示例：</w:t>
            </w:r>
          </w:p>
          <w:p w14:paraId="34B30B51">
            <w:pPr>
              <w:pStyle w:val="5"/>
              <w:spacing w:line="160" w:lineRule="atLeast"/>
              <w:jc w:val="left"/>
              <w:textAlignment w:val="baseline"/>
              <w:rPr>
                <w:rFonts w:hint="eastAsia" w:hAnsi="宋体"/>
                <w:color w:val="auto"/>
                <w:highlight w:val="none"/>
              </w:rPr>
            </w:pPr>
            <w:r>
              <w:rPr>
                <w:rFonts w:hint="eastAsia" w:hAnsi="宋体"/>
                <w:color w:val="auto"/>
                <w:highlight w:val="none"/>
              </w:rPr>
              <w:t>（1）如果投标人的评标价＞评标基准价，则评标价得分=F-（投标人评标价-评标基准价）/评标基准价×100×E1；</w:t>
            </w:r>
          </w:p>
          <w:p w14:paraId="53C5FCA3">
            <w:pPr>
              <w:pStyle w:val="5"/>
              <w:spacing w:line="160" w:lineRule="atLeast"/>
              <w:jc w:val="left"/>
              <w:textAlignment w:val="baseline"/>
              <w:rPr>
                <w:rFonts w:hint="eastAsia" w:hAnsi="宋体"/>
                <w:color w:val="auto"/>
                <w:highlight w:val="none"/>
              </w:rPr>
            </w:pPr>
            <w:r>
              <w:rPr>
                <w:rFonts w:hint="eastAsia" w:hAnsi="宋体"/>
                <w:color w:val="auto"/>
                <w:highlight w:val="none"/>
              </w:rPr>
              <w:t>（2）如果投标人的评标价≤评标基准价，则评标价得分=F+(投标人评标价-评标基准价)/评标基准价×100×E2。</w:t>
            </w:r>
          </w:p>
          <w:p w14:paraId="6D79EDBA">
            <w:pPr>
              <w:pStyle w:val="5"/>
              <w:spacing w:line="160" w:lineRule="atLeast"/>
              <w:jc w:val="left"/>
              <w:textAlignment w:val="baseline"/>
              <w:rPr>
                <w:rFonts w:hint="eastAsia" w:hAnsi="宋体"/>
                <w:color w:val="auto"/>
                <w:highlight w:val="none"/>
              </w:rPr>
            </w:pPr>
            <w:r>
              <w:rPr>
                <w:rFonts w:hint="eastAsia" w:hAnsi="宋体"/>
                <w:color w:val="auto"/>
                <w:highlight w:val="none"/>
              </w:rPr>
              <w:t>其中，F=10；E1=0.2；E2=0.1；评标价最低得分为0分</w:t>
            </w:r>
            <w:r>
              <w:rPr>
                <w:rFonts w:hint="eastAsia" w:ascii="宋体" w:hAnsi="宋体"/>
                <w:color w:val="auto"/>
                <w:highlight w:val="none"/>
                <w:lang w:eastAsia="zh-CN"/>
              </w:rPr>
              <w:t>。</w:t>
            </w:r>
            <w:r>
              <w:rPr>
                <w:rFonts w:hint="eastAsia" w:ascii="宋体" w:hAnsi="宋体"/>
                <w:color w:val="auto"/>
                <w:sz w:val="21"/>
                <w:szCs w:val="21"/>
                <w:highlight w:val="none"/>
              </w:rPr>
              <w:t>评标价得分保留两位小数，第三位四舍五入。</w:t>
            </w:r>
          </w:p>
        </w:tc>
      </w:tr>
      <w:tr w14:paraId="60E1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02" w:type="dxa"/>
            <w:vMerge w:val="restart"/>
            <w:tcBorders>
              <w:top w:val="single" w:color="auto" w:sz="4" w:space="0"/>
              <w:left w:val="single" w:color="auto" w:sz="4" w:space="0"/>
              <w:right w:val="single" w:color="auto" w:sz="4" w:space="0"/>
            </w:tcBorders>
            <w:vAlign w:val="center"/>
          </w:tcPr>
          <w:p w14:paraId="52A9DA17">
            <w:pPr>
              <w:pStyle w:val="5"/>
              <w:spacing w:line="160" w:lineRule="atLeast"/>
              <w:jc w:val="center"/>
              <w:textAlignment w:val="baseline"/>
              <w:rPr>
                <w:rFonts w:hint="eastAsia" w:hAnsi="宋体"/>
                <w:color w:val="auto"/>
                <w:highlight w:val="none"/>
              </w:rPr>
            </w:pPr>
            <w:r>
              <w:rPr>
                <w:rFonts w:hint="eastAsia" w:hAnsi="宋体"/>
                <w:color w:val="auto"/>
                <w:highlight w:val="none"/>
              </w:rPr>
              <w:t>2.2.4（4）</w:t>
            </w:r>
          </w:p>
        </w:tc>
        <w:tc>
          <w:tcPr>
            <w:tcW w:w="636" w:type="dxa"/>
            <w:vMerge w:val="restart"/>
            <w:tcBorders>
              <w:top w:val="single" w:color="auto" w:sz="4" w:space="0"/>
              <w:left w:val="single" w:color="auto" w:sz="4" w:space="0"/>
              <w:right w:val="single" w:color="auto" w:sz="4" w:space="0"/>
            </w:tcBorders>
            <w:vAlign w:val="center"/>
          </w:tcPr>
          <w:p w14:paraId="592092E0">
            <w:pPr>
              <w:pStyle w:val="5"/>
              <w:spacing w:line="160" w:lineRule="atLeast"/>
              <w:jc w:val="center"/>
              <w:textAlignment w:val="baseline"/>
              <w:rPr>
                <w:rFonts w:hint="eastAsia" w:hAnsi="宋体"/>
                <w:color w:val="auto"/>
                <w:highlight w:val="none"/>
              </w:rPr>
            </w:pPr>
            <w:r>
              <w:rPr>
                <w:rFonts w:hint="eastAsia" w:hAnsi="宋体"/>
                <w:color w:val="auto"/>
                <w:highlight w:val="none"/>
              </w:rPr>
              <w:t>其他因素</w:t>
            </w:r>
          </w:p>
        </w:tc>
        <w:tc>
          <w:tcPr>
            <w:tcW w:w="732" w:type="dxa"/>
            <w:vMerge w:val="restart"/>
            <w:tcBorders>
              <w:top w:val="single" w:color="auto" w:sz="4" w:space="0"/>
              <w:left w:val="single" w:color="auto" w:sz="4" w:space="0"/>
              <w:right w:val="single" w:color="auto" w:sz="4" w:space="0"/>
            </w:tcBorders>
            <w:vAlign w:val="center"/>
          </w:tcPr>
          <w:p w14:paraId="51AF7224">
            <w:pPr>
              <w:pStyle w:val="5"/>
              <w:spacing w:line="160" w:lineRule="atLeast"/>
              <w:jc w:val="center"/>
              <w:textAlignment w:val="baseline"/>
              <w:rPr>
                <w:rFonts w:hint="eastAsia" w:hAnsi="宋体"/>
                <w:color w:val="auto"/>
                <w:highlight w:val="none"/>
              </w:rPr>
            </w:pPr>
            <w:r>
              <w:rPr>
                <w:rFonts w:hAnsi="宋体"/>
                <w:color w:val="auto"/>
                <w:highlight w:val="none"/>
              </w:rPr>
              <w:t>25</w:t>
            </w:r>
            <w:r>
              <w:rPr>
                <w:rFonts w:hint="eastAsia" w:hAnsi="宋体"/>
                <w:color w:val="auto"/>
                <w:highlight w:val="none"/>
              </w:rPr>
              <w:t>分</w:t>
            </w:r>
          </w:p>
        </w:tc>
        <w:tc>
          <w:tcPr>
            <w:tcW w:w="677" w:type="dxa"/>
            <w:vMerge w:val="restart"/>
            <w:tcBorders>
              <w:top w:val="single" w:color="auto" w:sz="4" w:space="0"/>
              <w:left w:val="single" w:color="auto" w:sz="4" w:space="0"/>
              <w:right w:val="single" w:color="auto" w:sz="4" w:space="0"/>
            </w:tcBorders>
            <w:vAlign w:val="center"/>
          </w:tcPr>
          <w:p w14:paraId="52BAB5F4">
            <w:pPr>
              <w:pStyle w:val="10"/>
              <w:spacing w:line="264" w:lineRule="auto"/>
              <w:ind w:firstLine="23" w:firstLineChars="11"/>
              <w:rPr>
                <w:rFonts w:hint="eastAsia" w:hAnsi="宋体"/>
                <w:color w:val="auto"/>
                <w:highlight w:val="none"/>
              </w:rPr>
            </w:pPr>
            <w:r>
              <w:rPr>
                <w:rFonts w:hint="eastAsia" w:hAnsi="宋体"/>
                <w:color w:val="auto"/>
                <w:highlight w:val="none"/>
              </w:rPr>
              <w:t>企业业绩</w:t>
            </w:r>
          </w:p>
        </w:tc>
        <w:tc>
          <w:tcPr>
            <w:tcW w:w="678" w:type="dxa"/>
            <w:vMerge w:val="restart"/>
            <w:tcBorders>
              <w:top w:val="single" w:color="auto" w:sz="4" w:space="0"/>
              <w:left w:val="single" w:color="auto" w:sz="4" w:space="0"/>
              <w:right w:val="single" w:color="auto" w:sz="4" w:space="0"/>
            </w:tcBorders>
            <w:vAlign w:val="center"/>
          </w:tcPr>
          <w:p w14:paraId="5FE33A8A">
            <w:pPr>
              <w:pStyle w:val="10"/>
              <w:spacing w:line="264" w:lineRule="auto"/>
              <w:ind w:firstLine="23" w:firstLineChars="11"/>
              <w:rPr>
                <w:rFonts w:hint="eastAsia" w:hAnsi="宋体"/>
                <w:color w:val="auto"/>
                <w:highlight w:val="none"/>
              </w:rPr>
            </w:pPr>
            <w:r>
              <w:rPr>
                <w:rFonts w:hint="eastAsia" w:hAnsi="宋体"/>
                <w:color w:val="auto"/>
                <w:highlight w:val="none"/>
              </w:rPr>
              <w:t>JL0</w:t>
            </w:r>
          </w:p>
        </w:tc>
        <w:tc>
          <w:tcPr>
            <w:tcW w:w="708" w:type="dxa"/>
            <w:tcBorders>
              <w:top w:val="single" w:color="auto" w:sz="4" w:space="0"/>
              <w:left w:val="single" w:color="auto" w:sz="4" w:space="0"/>
              <w:bottom w:val="single" w:color="auto" w:sz="4" w:space="0"/>
              <w:right w:val="single" w:color="auto" w:sz="4" w:space="0"/>
            </w:tcBorders>
            <w:vAlign w:val="center"/>
          </w:tcPr>
          <w:p w14:paraId="2B49A55D">
            <w:pPr>
              <w:pStyle w:val="5"/>
              <w:spacing w:line="160" w:lineRule="atLeast"/>
              <w:ind w:right="-71" w:rightChars="-34"/>
              <w:jc w:val="center"/>
              <w:textAlignment w:val="baseline"/>
              <w:rPr>
                <w:rFonts w:hint="eastAsia" w:hAnsi="宋体"/>
                <w:color w:val="auto"/>
                <w:highlight w:val="none"/>
              </w:rPr>
            </w:pPr>
            <w:r>
              <w:rPr>
                <w:rFonts w:hAnsi="宋体"/>
                <w:color w:val="auto"/>
                <w:highlight w:val="none"/>
              </w:rPr>
              <w:t>15</w:t>
            </w:r>
            <w:r>
              <w:rPr>
                <w:rFonts w:hint="eastAsia" w:hAnsi="宋体"/>
                <w:color w:val="auto"/>
                <w:highlight w:val="none"/>
              </w:rPr>
              <w:t>分</w:t>
            </w:r>
          </w:p>
        </w:tc>
        <w:tc>
          <w:tcPr>
            <w:tcW w:w="5753" w:type="dxa"/>
            <w:gridSpan w:val="2"/>
            <w:tcBorders>
              <w:top w:val="single" w:color="auto" w:sz="4" w:space="0"/>
              <w:left w:val="single" w:color="auto" w:sz="4" w:space="0"/>
              <w:right w:val="single" w:color="auto" w:sz="4" w:space="0"/>
            </w:tcBorders>
            <w:vAlign w:val="center"/>
          </w:tcPr>
          <w:p w14:paraId="4359A379">
            <w:pPr>
              <w:pStyle w:val="5"/>
              <w:spacing w:line="160" w:lineRule="atLeast"/>
              <w:jc w:val="left"/>
              <w:textAlignment w:val="baseline"/>
              <w:rPr>
                <w:rFonts w:hint="eastAsia" w:hAnsi="宋体"/>
                <w:color w:val="auto"/>
                <w:highlight w:val="none"/>
              </w:rPr>
            </w:pPr>
            <w:r>
              <w:rPr>
                <w:rFonts w:hint="eastAsia" w:hAnsi="宋体"/>
                <w:color w:val="auto"/>
                <w:highlight w:val="none"/>
              </w:rPr>
              <w:t>满足附录2资格审查条件（业绩最低要求）的，得15分；</w:t>
            </w:r>
          </w:p>
        </w:tc>
      </w:tr>
      <w:tr w14:paraId="2C4F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02" w:type="dxa"/>
            <w:vMerge w:val="continue"/>
            <w:tcBorders>
              <w:left w:val="single" w:color="auto" w:sz="4" w:space="0"/>
              <w:right w:val="single" w:color="auto" w:sz="4" w:space="0"/>
            </w:tcBorders>
            <w:vAlign w:val="center"/>
          </w:tcPr>
          <w:p w14:paraId="38726449">
            <w:pPr>
              <w:pStyle w:val="5"/>
              <w:spacing w:line="160" w:lineRule="atLeast"/>
              <w:ind w:right="-71" w:rightChars="-34"/>
              <w:jc w:val="center"/>
              <w:textAlignment w:val="baseline"/>
              <w:rPr>
                <w:color w:val="auto"/>
                <w:highlight w:val="none"/>
              </w:rPr>
            </w:pPr>
            <w:bookmarkStart w:id="9" w:name="_Hlk233993462"/>
          </w:p>
        </w:tc>
        <w:tc>
          <w:tcPr>
            <w:tcW w:w="636" w:type="dxa"/>
            <w:vMerge w:val="continue"/>
            <w:tcBorders>
              <w:left w:val="single" w:color="auto" w:sz="4" w:space="0"/>
              <w:right w:val="single" w:color="auto" w:sz="4" w:space="0"/>
            </w:tcBorders>
            <w:vAlign w:val="center"/>
          </w:tcPr>
          <w:p w14:paraId="177E1213">
            <w:pPr>
              <w:pStyle w:val="5"/>
              <w:spacing w:line="160" w:lineRule="atLeast"/>
              <w:ind w:right="-71" w:rightChars="-34"/>
              <w:jc w:val="center"/>
              <w:textAlignment w:val="baseline"/>
              <w:rPr>
                <w:color w:val="auto"/>
                <w:highlight w:val="none"/>
              </w:rPr>
            </w:pPr>
          </w:p>
        </w:tc>
        <w:tc>
          <w:tcPr>
            <w:tcW w:w="732" w:type="dxa"/>
            <w:vMerge w:val="continue"/>
            <w:tcBorders>
              <w:left w:val="single" w:color="auto" w:sz="4" w:space="0"/>
              <w:right w:val="single" w:color="auto" w:sz="4" w:space="0"/>
            </w:tcBorders>
            <w:vAlign w:val="center"/>
          </w:tcPr>
          <w:p w14:paraId="5A88164D">
            <w:pPr>
              <w:pStyle w:val="5"/>
              <w:spacing w:line="160" w:lineRule="atLeast"/>
              <w:ind w:right="-71" w:rightChars="-34"/>
              <w:jc w:val="center"/>
              <w:textAlignment w:val="baseline"/>
              <w:rPr>
                <w:color w:val="auto"/>
                <w:highlight w:val="none"/>
              </w:rPr>
            </w:pPr>
          </w:p>
        </w:tc>
        <w:tc>
          <w:tcPr>
            <w:tcW w:w="677" w:type="dxa"/>
            <w:vMerge w:val="continue"/>
            <w:tcBorders>
              <w:left w:val="single" w:color="auto" w:sz="4" w:space="0"/>
              <w:right w:val="single" w:color="auto" w:sz="4" w:space="0"/>
            </w:tcBorders>
            <w:vAlign w:val="center"/>
          </w:tcPr>
          <w:p w14:paraId="31CC790A">
            <w:pPr>
              <w:pStyle w:val="5"/>
              <w:spacing w:line="160" w:lineRule="atLeast"/>
              <w:ind w:right="-71" w:rightChars="-34"/>
              <w:jc w:val="center"/>
              <w:textAlignment w:val="baseline"/>
              <w:rPr>
                <w:color w:val="auto"/>
                <w:highlight w:val="none"/>
              </w:rPr>
            </w:pPr>
          </w:p>
        </w:tc>
        <w:tc>
          <w:tcPr>
            <w:tcW w:w="678" w:type="dxa"/>
            <w:vMerge w:val="continue"/>
            <w:tcBorders>
              <w:left w:val="single" w:color="auto" w:sz="4" w:space="0"/>
              <w:right w:val="single" w:color="auto" w:sz="4" w:space="0"/>
            </w:tcBorders>
            <w:vAlign w:val="center"/>
          </w:tcPr>
          <w:p w14:paraId="0C4C5226">
            <w:pPr>
              <w:pStyle w:val="5"/>
              <w:spacing w:line="160" w:lineRule="atLeast"/>
              <w:ind w:right="-71" w:rightChars="-34"/>
              <w:jc w:val="center"/>
              <w:textAlignment w:val="baseline"/>
              <w:rPr>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66F8234A">
            <w:pPr>
              <w:pStyle w:val="5"/>
              <w:spacing w:line="160" w:lineRule="atLeast"/>
              <w:ind w:right="-71" w:rightChars="-34"/>
              <w:jc w:val="center"/>
              <w:textAlignment w:val="baseline"/>
              <w:rPr>
                <w:rFonts w:hint="eastAsia" w:hAnsi="宋体"/>
                <w:color w:val="auto"/>
                <w:highlight w:val="none"/>
              </w:rPr>
            </w:pPr>
            <w:r>
              <w:rPr>
                <w:rFonts w:hint="eastAsia" w:hAnsi="宋体"/>
                <w:color w:val="auto"/>
                <w:highlight w:val="none"/>
              </w:rPr>
              <w:t>10分</w:t>
            </w:r>
          </w:p>
        </w:tc>
        <w:tc>
          <w:tcPr>
            <w:tcW w:w="5753" w:type="dxa"/>
            <w:gridSpan w:val="2"/>
            <w:tcBorders>
              <w:left w:val="single" w:color="auto" w:sz="4" w:space="0"/>
              <w:bottom w:val="single" w:color="auto" w:sz="4" w:space="0"/>
              <w:right w:val="single" w:color="auto" w:sz="4" w:space="0"/>
            </w:tcBorders>
            <w:vAlign w:val="center"/>
          </w:tcPr>
          <w:p w14:paraId="09EBD887">
            <w:pPr>
              <w:pStyle w:val="5"/>
              <w:spacing w:line="160" w:lineRule="atLeast"/>
              <w:ind w:right="-71" w:rightChars="-34"/>
              <w:jc w:val="left"/>
              <w:textAlignment w:val="baseline"/>
              <w:rPr>
                <w:rFonts w:hint="default" w:hAnsi="宋体" w:eastAsiaTheme="minorEastAsia"/>
                <w:color w:val="auto"/>
                <w:highlight w:val="none"/>
                <w:lang w:val="en-US" w:eastAsia="zh-CN"/>
              </w:rPr>
            </w:pPr>
            <w:r>
              <w:rPr>
                <w:rFonts w:hint="eastAsia" w:hAnsi="宋体"/>
                <w:color w:val="auto"/>
                <w:highlight w:val="none"/>
              </w:rPr>
              <w:t>每增加一项满足附录2资格审查条件（业绩最低要求）</w:t>
            </w:r>
            <w:r>
              <w:rPr>
                <w:rFonts w:hint="eastAsia" w:hAnsi="宋体"/>
                <w:color w:val="auto"/>
                <w:highlight w:val="none"/>
                <w:lang w:val="en-US" w:eastAsia="zh-CN"/>
              </w:rPr>
              <w:t>的</w:t>
            </w:r>
            <w:r>
              <w:rPr>
                <w:rFonts w:hint="eastAsia" w:hAnsi="宋体"/>
                <w:color w:val="auto"/>
                <w:highlight w:val="none"/>
              </w:rPr>
              <w:t>业绩加</w:t>
            </w:r>
            <w:r>
              <w:rPr>
                <w:rFonts w:hint="eastAsia" w:hAnsi="宋体"/>
                <w:color w:val="auto"/>
                <w:highlight w:val="none"/>
                <w:lang w:val="en-US" w:eastAsia="zh-CN"/>
              </w:rPr>
              <w:t>5</w:t>
            </w:r>
            <w:r>
              <w:rPr>
                <w:rFonts w:hint="eastAsia" w:hAnsi="宋体"/>
                <w:color w:val="auto"/>
                <w:highlight w:val="none"/>
              </w:rPr>
              <w:t>分，</w:t>
            </w:r>
            <w:r>
              <w:rPr>
                <w:rFonts w:hint="eastAsia" w:hAnsi="宋体"/>
                <w:color w:val="auto"/>
                <w:highlight w:val="none"/>
                <w:lang w:eastAsia="zh-CN"/>
              </w:rPr>
              <w:t>本项最多加</w:t>
            </w:r>
            <w:r>
              <w:rPr>
                <w:rFonts w:hint="eastAsia" w:hAnsi="宋体"/>
                <w:color w:val="auto"/>
                <w:highlight w:val="none"/>
                <w:lang w:val="en-US" w:eastAsia="zh-CN"/>
              </w:rPr>
              <w:t>10分。</w:t>
            </w:r>
          </w:p>
        </w:tc>
      </w:tr>
      <w:bookmarkEnd w:id="9"/>
      <w:tr w14:paraId="37F8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02" w:type="dxa"/>
            <w:vMerge w:val="continue"/>
            <w:tcBorders>
              <w:left w:val="single" w:color="auto" w:sz="4" w:space="0"/>
              <w:right w:val="single" w:color="auto" w:sz="4" w:space="0"/>
            </w:tcBorders>
            <w:vAlign w:val="center"/>
          </w:tcPr>
          <w:p w14:paraId="069C4791">
            <w:pPr>
              <w:widowControl/>
              <w:jc w:val="left"/>
              <w:rPr>
                <w:rFonts w:hint="eastAsia" w:ascii="宋体" w:hAnsi="宋体" w:cs="Courier New" w:eastAsiaTheme="minorEastAsia"/>
                <w:color w:val="auto"/>
                <w:szCs w:val="21"/>
                <w:highlight w:val="none"/>
              </w:rPr>
            </w:pPr>
          </w:p>
        </w:tc>
        <w:tc>
          <w:tcPr>
            <w:tcW w:w="636" w:type="dxa"/>
            <w:vMerge w:val="continue"/>
            <w:tcBorders>
              <w:left w:val="single" w:color="auto" w:sz="4" w:space="0"/>
              <w:right w:val="single" w:color="auto" w:sz="4" w:space="0"/>
            </w:tcBorders>
            <w:vAlign w:val="center"/>
          </w:tcPr>
          <w:p w14:paraId="34724571">
            <w:pPr>
              <w:widowControl/>
              <w:jc w:val="left"/>
              <w:rPr>
                <w:rFonts w:hint="eastAsia" w:ascii="宋体" w:hAnsi="宋体" w:cs="Courier New" w:eastAsiaTheme="minorEastAsia"/>
                <w:color w:val="auto"/>
                <w:szCs w:val="21"/>
                <w:highlight w:val="none"/>
              </w:rPr>
            </w:pPr>
          </w:p>
        </w:tc>
        <w:tc>
          <w:tcPr>
            <w:tcW w:w="732" w:type="dxa"/>
            <w:vMerge w:val="continue"/>
            <w:tcBorders>
              <w:left w:val="single" w:color="auto" w:sz="4" w:space="0"/>
              <w:right w:val="single" w:color="auto" w:sz="4" w:space="0"/>
            </w:tcBorders>
            <w:vAlign w:val="center"/>
          </w:tcPr>
          <w:p w14:paraId="1EDEC9A2">
            <w:pPr>
              <w:widowControl/>
              <w:jc w:val="left"/>
              <w:rPr>
                <w:rFonts w:hint="eastAsia" w:ascii="宋体" w:hAnsi="宋体" w:cs="Courier New" w:eastAsiaTheme="minorEastAsia"/>
                <w:color w:val="auto"/>
                <w:szCs w:val="21"/>
                <w:highlight w:val="none"/>
              </w:rPr>
            </w:pPr>
          </w:p>
        </w:tc>
        <w:tc>
          <w:tcPr>
            <w:tcW w:w="677" w:type="dxa"/>
            <w:vMerge w:val="continue"/>
            <w:tcBorders>
              <w:left w:val="single" w:color="auto" w:sz="4" w:space="0"/>
              <w:bottom w:val="single" w:color="auto" w:sz="4" w:space="0"/>
              <w:right w:val="single" w:color="auto" w:sz="4" w:space="0"/>
            </w:tcBorders>
            <w:vAlign w:val="center"/>
          </w:tcPr>
          <w:p w14:paraId="63EA0D90">
            <w:pPr>
              <w:pStyle w:val="10"/>
              <w:spacing w:line="264" w:lineRule="auto"/>
              <w:ind w:firstLine="23" w:firstLineChars="11"/>
              <w:rPr>
                <w:rFonts w:hint="eastAsia" w:hAnsi="宋体"/>
                <w:color w:val="auto"/>
                <w:highlight w:val="none"/>
              </w:rPr>
            </w:pPr>
          </w:p>
        </w:tc>
        <w:tc>
          <w:tcPr>
            <w:tcW w:w="678" w:type="dxa"/>
            <w:vMerge w:val="restart"/>
            <w:tcBorders>
              <w:left w:val="single" w:color="auto" w:sz="4" w:space="0"/>
              <w:right w:val="single" w:color="auto" w:sz="4" w:space="0"/>
            </w:tcBorders>
            <w:vAlign w:val="center"/>
          </w:tcPr>
          <w:p w14:paraId="2517329E">
            <w:pPr>
              <w:pStyle w:val="10"/>
              <w:spacing w:line="264" w:lineRule="auto"/>
              <w:ind w:firstLine="23" w:firstLineChars="11"/>
              <w:rPr>
                <w:rFonts w:hint="eastAsia" w:hAnsi="宋体"/>
                <w:color w:val="auto"/>
                <w:highlight w:val="none"/>
              </w:rPr>
            </w:pPr>
            <w:r>
              <w:rPr>
                <w:rFonts w:hint="eastAsia" w:hAnsi="宋体"/>
                <w:color w:val="auto"/>
                <w:highlight w:val="none"/>
              </w:rPr>
              <w:t>JL1\JL2</w:t>
            </w:r>
          </w:p>
        </w:tc>
        <w:tc>
          <w:tcPr>
            <w:tcW w:w="708" w:type="dxa"/>
            <w:tcBorders>
              <w:top w:val="single" w:color="auto" w:sz="4" w:space="0"/>
              <w:left w:val="single" w:color="auto" w:sz="4" w:space="0"/>
              <w:bottom w:val="single" w:color="auto" w:sz="4" w:space="0"/>
              <w:right w:val="single" w:color="auto" w:sz="4" w:space="0"/>
            </w:tcBorders>
            <w:vAlign w:val="center"/>
          </w:tcPr>
          <w:p w14:paraId="05FDA10F">
            <w:pPr>
              <w:pStyle w:val="5"/>
              <w:spacing w:line="160" w:lineRule="atLeast"/>
              <w:ind w:right="-71" w:rightChars="-34"/>
              <w:jc w:val="center"/>
              <w:textAlignment w:val="baseline"/>
              <w:rPr>
                <w:rFonts w:hint="eastAsia" w:hAnsi="宋体"/>
                <w:color w:val="auto"/>
                <w:highlight w:val="none"/>
              </w:rPr>
            </w:pPr>
            <w:r>
              <w:rPr>
                <w:rFonts w:hint="eastAsia" w:hAnsi="宋体"/>
                <w:color w:val="auto"/>
                <w:highlight w:val="none"/>
              </w:rPr>
              <w:t>15分</w:t>
            </w:r>
          </w:p>
        </w:tc>
        <w:tc>
          <w:tcPr>
            <w:tcW w:w="5753" w:type="dxa"/>
            <w:gridSpan w:val="2"/>
            <w:tcBorders>
              <w:top w:val="single" w:color="auto" w:sz="4" w:space="0"/>
              <w:left w:val="single" w:color="auto" w:sz="4" w:space="0"/>
              <w:right w:val="single" w:color="auto" w:sz="4" w:space="0"/>
            </w:tcBorders>
            <w:vAlign w:val="center"/>
          </w:tcPr>
          <w:p w14:paraId="6E185EC4">
            <w:pPr>
              <w:pStyle w:val="5"/>
              <w:spacing w:line="160" w:lineRule="atLeast"/>
              <w:jc w:val="left"/>
              <w:textAlignment w:val="baseline"/>
              <w:rPr>
                <w:rFonts w:hint="eastAsia" w:hAnsi="宋体"/>
                <w:color w:val="auto"/>
                <w:highlight w:val="none"/>
              </w:rPr>
            </w:pPr>
            <w:r>
              <w:rPr>
                <w:rFonts w:hint="eastAsia" w:hAnsi="宋体"/>
                <w:color w:val="auto"/>
                <w:highlight w:val="none"/>
              </w:rPr>
              <w:t>满足附录2资格审查条件（业绩最低要求）的，得15分；</w:t>
            </w:r>
          </w:p>
        </w:tc>
      </w:tr>
      <w:tr w14:paraId="3683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02" w:type="dxa"/>
            <w:vMerge w:val="continue"/>
            <w:tcBorders>
              <w:left w:val="single" w:color="auto" w:sz="4" w:space="0"/>
              <w:right w:val="single" w:color="auto" w:sz="4" w:space="0"/>
            </w:tcBorders>
            <w:vAlign w:val="center"/>
          </w:tcPr>
          <w:p w14:paraId="4F7CAE11">
            <w:pPr>
              <w:pStyle w:val="5"/>
              <w:spacing w:line="160" w:lineRule="atLeast"/>
              <w:ind w:right="-71" w:rightChars="-34"/>
              <w:jc w:val="center"/>
              <w:textAlignment w:val="baseline"/>
              <w:rPr>
                <w:color w:val="auto"/>
                <w:highlight w:val="none"/>
              </w:rPr>
            </w:pPr>
          </w:p>
        </w:tc>
        <w:tc>
          <w:tcPr>
            <w:tcW w:w="636" w:type="dxa"/>
            <w:vMerge w:val="continue"/>
            <w:tcBorders>
              <w:left w:val="single" w:color="auto" w:sz="4" w:space="0"/>
              <w:right w:val="single" w:color="auto" w:sz="4" w:space="0"/>
            </w:tcBorders>
            <w:vAlign w:val="center"/>
          </w:tcPr>
          <w:p w14:paraId="7D2EB4AA">
            <w:pPr>
              <w:pStyle w:val="5"/>
              <w:spacing w:line="160" w:lineRule="atLeast"/>
              <w:ind w:right="-71" w:rightChars="-34"/>
              <w:jc w:val="center"/>
              <w:textAlignment w:val="baseline"/>
              <w:rPr>
                <w:color w:val="auto"/>
                <w:highlight w:val="none"/>
              </w:rPr>
            </w:pPr>
          </w:p>
        </w:tc>
        <w:tc>
          <w:tcPr>
            <w:tcW w:w="732" w:type="dxa"/>
            <w:vMerge w:val="continue"/>
            <w:tcBorders>
              <w:left w:val="single" w:color="auto" w:sz="4" w:space="0"/>
              <w:right w:val="single" w:color="auto" w:sz="4" w:space="0"/>
            </w:tcBorders>
            <w:vAlign w:val="center"/>
          </w:tcPr>
          <w:p w14:paraId="03D5CC95">
            <w:pPr>
              <w:pStyle w:val="5"/>
              <w:spacing w:line="160" w:lineRule="atLeast"/>
              <w:ind w:right="-71" w:rightChars="-34"/>
              <w:jc w:val="center"/>
              <w:textAlignment w:val="baseline"/>
              <w:rPr>
                <w:color w:val="auto"/>
                <w:highlight w:val="none"/>
              </w:rPr>
            </w:pPr>
          </w:p>
        </w:tc>
        <w:tc>
          <w:tcPr>
            <w:tcW w:w="677" w:type="dxa"/>
            <w:vMerge w:val="continue"/>
            <w:tcBorders>
              <w:left w:val="single" w:color="auto" w:sz="4" w:space="0"/>
              <w:bottom w:val="single" w:color="auto" w:sz="4" w:space="0"/>
              <w:right w:val="single" w:color="auto" w:sz="4" w:space="0"/>
            </w:tcBorders>
            <w:vAlign w:val="center"/>
          </w:tcPr>
          <w:p w14:paraId="3C16161E">
            <w:pPr>
              <w:pStyle w:val="5"/>
              <w:spacing w:line="160" w:lineRule="atLeast"/>
              <w:ind w:right="-71" w:rightChars="-34"/>
              <w:jc w:val="center"/>
              <w:textAlignment w:val="baseline"/>
              <w:rPr>
                <w:color w:val="auto"/>
                <w:highlight w:val="none"/>
              </w:rPr>
            </w:pPr>
          </w:p>
        </w:tc>
        <w:tc>
          <w:tcPr>
            <w:tcW w:w="678" w:type="dxa"/>
            <w:vMerge w:val="continue"/>
            <w:tcBorders>
              <w:left w:val="single" w:color="auto" w:sz="4" w:space="0"/>
              <w:bottom w:val="single" w:color="auto" w:sz="4" w:space="0"/>
              <w:right w:val="single" w:color="auto" w:sz="4" w:space="0"/>
            </w:tcBorders>
            <w:vAlign w:val="center"/>
          </w:tcPr>
          <w:p w14:paraId="365B5A43">
            <w:pPr>
              <w:pStyle w:val="5"/>
              <w:spacing w:line="160" w:lineRule="atLeast"/>
              <w:ind w:right="-71" w:rightChars="-34"/>
              <w:jc w:val="center"/>
              <w:textAlignment w:val="baseline"/>
              <w:rPr>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69A27C40">
            <w:pPr>
              <w:pStyle w:val="5"/>
              <w:spacing w:line="160" w:lineRule="atLeast"/>
              <w:ind w:right="-71" w:rightChars="-34"/>
              <w:jc w:val="center"/>
              <w:textAlignment w:val="baseline"/>
              <w:rPr>
                <w:rFonts w:hint="eastAsia" w:hAnsi="宋体"/>
                <w:color w:val="auto"/>
                <w:highlight w:val="none"/>
              </w:rPr>
            </w:pPr>
            <w:r>
              <w:rPr>
                <w:rFonts w:hint="eastAsia" w:hAnsi="宋体"/>
                <w:color w:val="auto"/>
                <w:highlight w:val="none"/>
              </w:rPr>
              <w:t>10分</w:t>
            </w:r>
          </w:p>
        </w:tc>
        <w:tc>
          <w:tcPr>
            <w:tcW w:w="5753" w:type="dxa"/>
            <w:gridSpan w:val="2"/>
            <w:tcBorders>
              <w:left w:val="single" w:color="auto" w:sz="4" w:space="0"/>
              <w:bottom w:val="single" w:color="auto" w:sz="4" w:space="0"/>
              <w:right w:val="single" w:color="auto" w:sz="4" w:space="0"/>
            </w:tcBorders>
            <w:vAlign w:val="center"/>
          </w:tcPr>
          <w:p w14:paraId="1985A122">
            <w:pPr>
              <w:pStyle w:val="5"/>
              <w:spacing w:line="160" w:lineRule="atLeast"/>
              <w:ind w:right="-71" w:rightChars="-34"/>
              <w:jc w:val="left"/>
              <w:textAlignment w:val="baseline"/>
              <w:rPr>
                <w:rFonts w:hint="eastAsia" w:hAnsi="宋体"/>
                <w:color w:val="auto"/>
                <w:highlight w:val="none"/>
              </w:rPr>
            </w:pPr>
            <w:r>
              <w:rPr>
                <w:rFonts w:hint="eastAsia" w:hAnsi="宋体"/>
                <w:color w:val="auto"/>
                <w:highlight w:val="none"/>
              </w:rPr>
              <w:t>每增加一项满足附录2资格审查条件（业绩最低要求）的业绩加5分，本项最多加10分。</w:t>
            </w:r>
          </w:p>
        </w:tc>
      </w:tr>
    </w:tbl>
    <w:p w14:paraId="6673B457">
      <w:pPr>
        <w:pStyle w:val="5"/>
        <w:textAlignment w:val="baseline"/>
        <w:rPr>
          <w:rFonts w:hint="eastAsia"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34E562CA">
      <w:r>
        <w:rPr>
          <w:rFonts w:hint="eastAsia" w:hAnsi="宋体"/>
          <w:color w:val="auto"/>
          <w:highlight w:val="none"/>
        </w:rPr>
        <w:t>2、第2.2.4（1）项评标委员会成员对某一项评分因素的评分低于权重分值 60%的，应在评标报告中作出说明。</w:t>
      </w:r>
      <w:bookmarkStart w:id="10" w:name="_GoBack"/>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B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7C5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annotation text"/>
    <w:basedOn w:val="1"/>
    <w:unhideWhenUsed/>
    <w:qFormat/>
    <w:uiPriority w:val="0"/>
    <w:pPr>
      <w:jc w:val="left"/>
    </w:pPr>
  </w:style>
  <w:style w:type="paragraph" w:styleId="4">
    <w:name w:val="Body Text"/>
    <w:basedOn w:val="1"/>
    <w:next w:val="1"/>
    <w:qFormat/>
    <w:uiPriority w:val="99"/>
    <w:pPr>
      <w:spacing w:after="120"/>
    </w:pPr>
  </w:style>
  <w:style w:type="paragraph" w:styleId="5">
    <w:name w:val="Plain Text"/>
    <w:basedOn w:val="1"/>
    <w:unhideWhenUsed/>
    <w:qFormat/>
    <w:uiPriority w:val="0"/>
    <w:rPr>
      <w:rFonts w:ascii="宋体" w:cs="Courier New" w:hAnsiTheme="minorHAnsi" w:eastAsiaTheme="minorEastAsia"/>
      <w:szCs w:val="21"/>
    </w:rPr>
  </w:style>
  <w:style w:type="character" w:customStyle="1" w:styleId="8">
    <w:name w:val="NormalCharacter"/>
    <w:link w:val="9"/>
    <w:qFormat/>
    <w:uiPriority w:val="0"/>
    <w:rPr>
      <w:kern w:val="0"/>
      <w:sz w:val="20"/>
      <w:szCs w:val="20"/>
    </w:rPr>
  </w:style>
  <w:style w:type="paragraph" w:customStyle="1" w:styleId="9">
    <w:name w:val="UserStyle_24"/>
    <w:basedOn w:val="1"/>
    <w:link w:val="8"/>
    <w:qFormat/>
    <w:uiPriority w:val="0"/>
    <w:pPr>
      <w:widowControl/>
      <w:spacing w:line="360" w:lineRule="auto"/>
      <w:ind w:firstLine="200" w:firstLineChars="200"/>
      <w:jc w:val="left"/>
    </w:pPr>
    <w:rPr>
      <w:kern w:val="0"/>
      <w:sz w:val="20"/>
      <w:szCs w:val="20"/>
    </w:rPr>
  </w:style>
  <w:style w:type="paragraph" w:customStyle="1" w:styleId="10">
    <w:name w:val="UserStyle_340"/>
    <w:basedOn w:val="1"/>
    <w:qFormat/>
    <w:uiPriority w:val="0"/>
    <w:pPr>
      <w:widowControl/>
      <w:spacing w:line="340" w:lineRule="exact"/>
      <w:jc w:val="center"/>
    </w:pPr>
    <w:rPr>
      <w:rFonts w:ascii="宋体" w:hAnsi="Calibri"/>
      <w:bCs/>
      <w:color w:val="000000"/>
      <w:kern w:val="0"/>
      <w:szCs w:val="21"/>
    </w:rPr>
  </w:style>
  <w:style w:type="character" w:customStyle="1" w:styleId="11">
    <w:name w:val="正文文本 (2) + 10.5 pt"/>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2026-08-28T07:52:34Z</dcterms:created>
  <dc:creator>Administrator</dc:creator>
  <cp:lastModifiedBy>李娜</cp:lastModifiedBy>
  <dcterms:modified xsi:type="dcterms:W3CDTF">2026-08-28T07:52:47Z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15AB33BAD7474CD2AFDFCB3DFFD0843C_12</vt:lpwstr>
  </property>
</Properties>
</file>