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125F1">
      <w:pPr>
        <w:spacing w:before="78" w:line="219" w:lineRule="auto"/>
        <w:ind w:left="126"/>
        <w:outlineLvl w:val="3"/>
        <w:rPr>
          <w:rFonts w:ascii="宋体" w:hAnsi="宋体" w:eastAsia="宋体" w:cs="宋体"/>
          <w:sz w:val="24"/>
          <w:szCs w:val="24"/>
        </w:rPr>
      </w:pPr>
      <w:bookmarkStart w:id="0" w:name="_GoBack"/>
      <w:bookmarkEnd w:id="0"/>
      <w:r>
        <w:rPr>
          <w:rFonts w:ascii="宋体" w:hAnsi="宋体" w:eastAsia="宋体" w:cs="宋体"/>
          <w:b/>
          <w:bCs/>
          <w:spacing w:val="-10"/>
          <w:sz w:val="24"/>
          <w:szCs w:val="24"/>
        </w:rPr>
        <w:t>附件</w:t>
      </w:r>
      <w:r>
        <w:rPr>
          <w:rFonts w:ascii="宋体" w:hAnsi="宋体" w:eastAsia="宋体" w:cs="宋体"/>
          <w:spacing w:val="-37"/>
          <w:sz w:val="24"/>
          <w:szCs w:val="24"/>
        </w:rPr>
        <w:t xml:space="preserve"> </w:t>
      </w:r>
      <w:r>
        <w:rPr>
          <w:rFonts w:ascii="Times New Roman" w:hAnsi="Times New Roman" w:eastAsia="Times New Roman" w:cs="Times New Roman"/>
          <w:b/>
          <w:bCs/>
          <w:spacing w:val="-10"/>
          <w:sz w:val="24"/>
          <w:szCs w:val="24"/>
        </w:rPr>
        <w:t>1</w:t>
      </w:r>
      <w:r>
        <w:rPr>
          <w:rFonts w:ascii="Times New Roman" w:hAnsi="Times New Roman" w:eastAsia="Times New Roman" w:cs="Times New Roman"/>
          <w:b/>
          <w:bCs/>
          <w:spacing w:val="-30"/>
          <w:sz w:val="24"/>
          <w:szCs w:val="24"/>
        </w:rPr>
        <w:t xml:space="preserve"> </w:t>
      </w:r>
      <w:r>
        <w:rPr>
          <w:rFonts w:ascii="宋体" w:hAnsi="宋体" w:eastAsia="宋体" w:cs="宋体"/>
          <w:b/>
          <w:bCs/>
          <w:spacing w:val="-10"/>
          <w:sz w:val="24"/>
          <w:szCs w:val="24"/>
        </w:rPr>
        <w:t>：资格审查条件</w:t>
      </w:r>
    </w:p>
    <w:p w14:paraId="1C0FE309">
      <w:pPr>
        <w:pStyle w:val="2"/>
        <w:spacing w:line="278" w:lineRule="auto"/>
      </w:pPr>
    </w:p>
    <w:p w14:paraId="6F029D6C">
      <w:pPr>
        <w:spacing w:before="65" w:line="227" w:lineRule="auto"/>
        <w:ind w:left="2995"/>
        <w:rPr>
          <w:rFonts w:ascii="宋体" w:hAnsi="宋体" w:eastAsia="宋体" w:cs="宋体"/>
          <w:sz w:val="20"/>
          <w:szCs w:val="20"/>
        </w:rPr>
      </w:pPr>
      <w:r>
        <w:rPr>
          <w:rFonts w:ascii="宋体" w:hAnsi="宋体" w:eastAsia="宋体" w:cs="宋体"/>
          <w:b/>
          <w:bCs/>
          <w:spacing w:val="4"/>
          <w:sz w:val="20"/>
          <w:szCs w:val="20"/>
        </w:rPr>
        <w:t>附录</w:t>
      </w:r>
      <w:r>
        <w:rPr>
          <w:rFonts w:ascii="宋体" w:hAnsi="宋体" w:eastAsia="宋体" w:cs="宋体"/>
          <w:spacing w:val="-9"/>
          <w:sz w:val="20"/>
          <w:szCs w:val="20"/>
        </w:rPr>
        <w:t xml:space="preserve"> </w:t>
      </w:r>
      <w:r>
        <w:rPr>
          <w:rFonts w:ascii="宋体" w:hAnsi="宋体" w:eastAsia="宋体" w:cs="宋体"/>
          <w:b/>
          <w:bCs/>
          <w:spacing w:val="4"/>
          <w:sz w:val="20"/>
          <w:szCs w:val="20"/>
        </w:rPr>
        <w:t>1</w:t>
      </w:r>
      <w:r>
        <w:rPr>
          <w:rFonts w:ascii="宋体" w:hAnsi="宋体" w:eastAsia="宋体" w:cs="宋体"/>
          <w:spacing w:val="4"/>
          <w:sz w:val="20"/>
          <w:szCs w:val="20"/>
        </w:rPr>
        <w:t xml:space="preserve">  </w:t>
      </w:r>
      <w:r>
        <w:rPr>
          <w:rFonts w:ascii="宋体" w:hAnsi="宋体" w:eastAsia="宋体" w:cs="宋体"/>
          <w:b/>
          <w:bCs/>
          <w:spacing w:val="4"/>
          <w:sz w:val="20"/>
          <w:szCs w:val="20"/>
        </w:rPr>
        <w:t>资格审查条件（资质最低条件）</w:t>
      </w:r>
    </w:p>
    <w:p w14:paraId="712DD31C">
      <w:pPr>
        <w:spacing w:before="12"/>
      </w:pPr>
    </w:p>
    <w:tbl>
      <w:tblPr>
        <w:tblStyle w:val="6"/>
        <w:tblW w:w="9324" w:type="dxa"/>
        <w:tblInd w:w="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9"/>
        <w:gridCol w:w="8295"/>
      </w:tblGrid>
      <w:tr w14:paraId="1D6C6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324" w:type="dxa"/>
            <w:gridSpan w:val="2"/>
            <w:vAlign w:val="top"/>
          </w:tcPr>
          <w:p w14:paraId="64D58F7A">
            <w:pPr>
              <w:pStyle w:val="5"/>
              <w:spacing w:before="105" w:line="228" w:lineRule="auto"/>
              <w:ind w:left="4252"/>
            </w:pPr>
            <w:r>
              <w:rPr>
                <w:b/>
                <w:bCs/>
                <w:spacing w:val="4"/>
              </w:rPr>
              <w:t>资质要求</w:t>
            </w:r>
          </w:p>
        </w:tc>
      </w:tr>
      <w:tr w14:paraId="02A5C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1" w:hRule="atLeast"/>
        </w:trPr>
        <w:tc>
          <w:tcPr>
            <w:tcW w:w="1029" w:type="dxa"/>
            <w:vAlign w:val="top"/>
          </w:tcPr>
          <w:p w14:paraId="474E4D93">
            <w:pPr>
              <w:spacing w:line="331" w:lineRule="auto"/>
              <w:rPr>
                <w:rFonts w:ascii="Arial"/>
                <w:sz w:val="21"/>
              </w:rPr>
            </w:pPr>
          </w:p>
          <w:p w14:paraId="733E2D8F">
            <w:pPr>
              <w:pStyle w:val="5"/>
              <w:spacing w:before="65" w:line="228" w:lineRule="auto"/>
              <w:ind w:left="140"/>
            </w:pPr>
            <w:r>
              <w:rPr>
                <w:spacing w:val="6"/>
              </w:rPr>
              <w:t>制造商</w:t>
            </w:r>
          </w:p>
        </w:tc>
        <w:tc>
          <w:tcPr>
            <w:tcW w:w="8295" w:type="dxa"/>
            <w:vAlign w:val="top"/>
          </w:tcPr>
          <w:p w14:paraId="2FF52153">
            <w:pPr>
              <w:pStyle w:val="5"/>
              <w:spacing w:before="260" w:line="228" w:lineRule="auto"/>
              <w:ind w:left="152"/>
            </w:pPr>
            <w:r>
              <w:rPr>
                <w:spacing w:val="8"/>
              </w:rPr>
              <w:t>中华人民共和国境内的法人或其他组织，持有有效的营业执照；</w:t>
            </w:r>
          </w:p>
          <w:p w14:paraId="2FA09BF4">
            <w:pPr>
              <w:pStyle w:val="5"/>
              <w:spacing w:before="24" w:line="227" w:lineRule="auto"/>
              <w:jc w:val="right"/>
            </w:pPr>
            <w:r>
              <w:rPr>
                <w:spacing w:val="9"/>
              </w:rPr>
              <w:t>可以是国产沥青制造商（含制造商的国内销售公司）或进口沥青制造商</w:t>
            </w:r>
            <w:r>
              <w:rPr>
                <w:spacing w:val="8"/>
              </w:rPr>
              <w:t>的中国销售公司。</w:t>
            </w:r>
          </w:p>
        </w:tc>
      </w:tr>
      <w:tr w14:paraId="5415E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0" w:hRule="atLeast"/>
        </w:trPr>
        <w:tc>
          <w:tcPr>
            <w:tcW w:w="1029" w:type="dxa"/>
            <w:tcBorders>
              <w:bottom w:val="single" w:color="000000" w:sz="2" w:space="0"/>
            </w:tcBorders>
            <w:vAlign w:val="top"/>
          </w:tcPr>
          <w:p w14:paraId="2ED014E4">
            <w:pPr>
              <w:spacing w:line="420" w:lineRule="auto"/>
              <w:rPr>
                <w:rFonts w:ascii="Arial"/>
                <w:sz w:val="21"/>
              </w:rPr>
            </w:pPr>
          </w:p>
          <w:p w14:paraId="5387C74B">
            <w:pPr>
              <w:pStyle w:val="5"/>
              <w:spacing w:before="65" w:line="228" w:lineRule="auto"/>
              <w:ind w:left="138"/>
            </w:pPr>
            <w:r>
              <w:rPr>
                <w:spacing w:val="7"/>
              </w:rPr>
              <w:t>代理商</w:t>
            </w:r>
          </w:p>
        </w:tc>
        <w:tc>
          <w:tcPr>
            <w:tcW w:w="8295" w:type="dxa"/>
            <w:tcBorders>
              <w:bottom w:val="single" w:color="000000" w:sz="2" w:space="0"/>
            </w:tcBorders>
            <w:vAlign w:val="top"/>
          </w:tcPr>
          <w:p w14:paraId="2D799CE5">
            <w:pPr>
              <w:spacing w:line="284" w:lineRule="auto"/>
              <w:rPr>
                <w:rFonts w:ascii="Arial"/>
                <w:sz w:val="21"/>
              </w:rPr>
            </w:pPr>
          </w:p>
          <w:p w14:paraId="234B7255">
            <w:pPr>
              <w:pStyle w:val="5"/>
              <w:spacing w:before="65" w:line="254" w:lineRule="auto"/>
              <w:ind w:left="133" w:right="26" w:firstLine="18"/>
            </w:pPr>
            <w:r>
              <w:rPr>
                <w:spacing w:val="8"/>
              </w:rPr>
              <w:t>中华人民共和国境内的法人或其他组织，持有有效的营业执照；具有制</w:t>
            </w:r>
            <w:r>
              <w:rPr>
                <w:spacing w:val="7"/>
              </w:rPr>
              <w:t>造商出具的针对本</w:t>
            </w:r>
            <w:r>
              <w:rPr>
                <w:spacing w:val="9"/>
              </w:rPr>
              <w:t>招标项目的唯一授权，且其代理的制造商必须满足对上述投标人为制造商的资格要求。</w:t>
            </w:r>
          </w:p>
        </w:tc>
      </w:tr>
    </w:tbl>
    <w:p w14:paraId="26B8D428">
      <w:pPr>
        <w:pStyle w:val="2"/>
        <w:spacing w:line="254" w:lineRule="auto"/>
      </w:pPr>
    </w:p>
    <w:p w14:paraId="21851685">
      <w:pPr>
        <w:pStyle w:val="2"/>
        <w:spacing w:line="254" w:lineRule="auto"/>
      </w:pPr>
    </w:p>
    <w:p w14:paraId="1970F8CC">
      <w:pPr>
        <w:spacing w:before="65" w:line="223" w:lineRule="auto"/>
        <w:ind w:left="2892"/>
        <w:rPr>
          <w:rFonts w:ascii="宋体" w:hAnsi="宋体" w:eastAsia="宋体" w:cs="宋体"/>
          <w:sz w:val="20"/>
          <w:szCs w:val="20"/>
        </w:rPr>
      </w:pPr>
      <w:r>
        <w:rPr>
          <w:rFonts w:ascii="宋体" w:hAnsi="宋体" w:eastAsia="宋体" w:cs="宋体"/>
          <w:b/>
          <w:bCs/>
          <w:spacing w:val="5"/>
          <w:sz w:val="20"/>
          <w:szCs w:val="20"/>
        </w:rPr>
        <w:t>附录</w:t>
      </w:r>
      <w:r>
        <w:rPr>
          <w:rFonts w:ascii="宋体" w:hAnsi="宋体" w:eastAsia="宋体" w:cs="宋体"/>
          <w:spacing w:val="-26"/>
          <w:sz w:val="20"/>
          <w:szCs w:val="20"/>
        </w:rPr>
        <w:t xml:space="preserve"> </w:t>
      </w:r>
      <w:r>
        <w:rPr>
          <w:rFonts w:ascii="宋体" w:hAnsi="宋体" w:eastAsia="宋体" w:cs="宋体"/>
          <w:b/>
          <w:bCs/>
          <w:spacing w:val="5"/>
          <w:sz w:val="20"/>
          <w:szCs w:val="20"/>
        </w:rPr>
        <w:t>2</w:t>
      </w:r>
      <w:r>
        <w:rPr>
          <w:rFonts w:ascii="宋体" w:hAnsi="宋体" w:eastAsia="宋体" w:cs="宋体"/>
          <w:spacing w:val="5"/>
          <w:sz w:val="20"/>
          <w:szCs w:val="20"/>
        </w:rPr>
        <w:t xml:space="preserve">  </w:t>
      </w:r>
      <w:r>
        <w:rPr>
          <w:rFonts w:ascii="宋体" w:hAnsi="宋体" w:eastAsia="宋体" w:cs="宋体"/>
          <w:b/>
          <w:bCs/>
          <w:spacing w:val="5"/>
          <w:sz w:val="20"/>
          <w:szCs w:val="20"/>
        </w:rPr>
        <w:t>资格审查条件（财务最低要求）</w:t>
      </w:r>
    </w:p>
    <w:tbl>
      <w:tblPr>
        <w:tblStyle w:val="6"/>
        <w:tblW w:w="94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17"/>
      </w:tblGrid>
      <w:tr w14:paraId="28384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417" w:type="dxa"/>
            <w:vAlign w:val="top"/>
          </w:tcPr>
          <w:p w14:paraId="632A3C22">
            <w:pPr>
              <w:pStyle w:val="5"/>
              <w:spacing w:before="177" w:line="228" w:lineRule="auto"/>
              <w:ind w:left="4398"/>
            </w:pPr>
            <w:r>
              <w:rPr>
                <w:b/>
                <w:bCs/>
                <w:spacing w:val="6"/>
              </w:rPr>
              <w:t>财务要求</w:t>
            </w:r>
          </w:p>
        </w:tc>
      </w:tr>
      <w:tr w14:paraId="32CEF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9417" w:type="dxa"/>
            <w:vAlign w:val="top"/>
          </w:tcPr>
          <w:p w14:paraId="31E1BEC2">
            <w:pPr>
              <w:pStyle w:val="5"/>
              <w:spacing w:before="201" w:line="227" w:lineRule="auto"/>
              <w:ind w:right="5"/>
              <w:jc w:val="right"/>
              <w:outlineLvl w:val="0"/>
            </w:pPr>
            <w:r>
              <w:rPr>
                <w:spacing w:val="7"/>
              </w:rPr>
              <w:t>投标人承诺为本合同所提供的营运资金（以经会计师事务所或审计机构</w:t>
            </w:r>
            <w:r>
              <w:rPr>
                <w:spacing w:val="6"/>
              </w:rPr>
              <w:t>审计的财务报表(2025</w:t>
            </w:r>
            <w:r>
              <w:rPr>
                <w:spacing w:val="-37"/>
              </w:rPr>
              <w:t xml:space="preserve"> </w:t>
            </w:r>
            <w:r>
              <w:rPr>
                <w:spacing w:val="6"/>
              </w:rPr>
              <w:t>年度)</w:t>
            </w:r>
          </w:p>
          <w:p w14:paraId="743D17E1">
            <w:pPr>
              <w:pStyle w:val="5"/>
              <w:spacing w:before="25" w:line="252" w:lineRule="auto"/>
              <w:ind w:left="13" w:right="6" w:firstLine="18"/>
            </w:pPr>
            <w:r>
              <w:rPr>
                <w:spacing w:val="8"/>
              </w:rPr>
              <w:t>中：营运资金=流动资产-流动负债，以年末数计算）以及为本项目而专门开具的银行信贷证明总和不得</w:t>
            </w:r>
            <w:r>
              <w:rPr>
                <w:spacing w:val="1"/>
              </w:rPr>
              <w:t>少于</w:t>
            </w:r>
            <w:r>
              <w:rPr>
                <w:spacing w:val="-21"/>
              </w:rPr>
              <w:t xml:space="preserve"> </w:t>
            </w:r>
            <w:r>
              <w:rPr>
                <w:spacing w:val="1"/>
              </w:rPr>
              <w:t>1500</w:t>
            </w:r>
            <w:r>
              <w:rPr>
                <w:spacing w:val="-35"/>
              </w:rPr>
              <w:t xml:space="preserve"> </w:t>
            </w:r>
            <w:r>
              <w:rPr>
                <w:spacing w:val="1"/>
              </w:rPr>
              <w:t>万元。</w:t>
            </w:r>
          </w:p>
        </w:tc>
      </w:tr>
    </w:tbl>
    <w:p w14:paraId="3B8C6A2F">
      <w:pPr>
        <w:pStyle w:val="2"/>
        <w:spacing w:line="253" w:lineRule="auto"/>
      </w:pPr>
    </w:p>
    <w:p w14:paraId="4A7392B2">
      <w:pPr>
        <w:pStyle w:val="2"/>
        <w:spacing w:line="253" w:lineRule="auto"/>
      </w:pPr>
    </w:p>
    <w:p w14:paraId="2A7DD611">
      <w:pPr>
        <w:spacing w:before="65" w:line="224" w:lineRule="auto"/>
        <w:ind w:left="2892"/>
        <w:rPr>
          <w:rFonts w:ascii="宋体" w:hAnsi="宋体" w:eastAsia="宋体" w:cs="宋体"/>
          <w:sz w:val="20"/>
          <w:szCs w:val="20"/>
        </w:rPr>
      </w:pPr>
      <w:r>
        <w:rPr>
          <w:rFonts w:ascii="宋体" w:hAnsi="宋体" w:eastAsia="宋体" w:cs="宋体"/>
          <w:b/>
          <w:bCs/>
          <w:spacing w:val="5"/>
          <w:sz w:val="20"/>
          <w:szCs w:val="20"/>
        </w:rPr>
        <w:t>附录</w:t>
      </w:r>
      <w:r>
        <w:rPr>
          <w:rFonts w:ascii="宋体" w:hAnsi="宋体" w:eastAsia="宋体" w:cs="宋体"/>
          <w:spacing w:val="-29"/>
          <w:sz w:val="20"/>
          <w:szCs w:val="20"/>
        </w:rPr>
        <w:t xml:space="preserve"> </w:t>
      </w:r>
      <w:r>
        <w:rPr>
          <w:rFonts w:ascii="宋体" w:hAnsi="宋体" w:eastAsia="宋体" w:cs="宋体"/>
          <w:b/>
          <w:bCs/>
          <w:spacing w:val="5"/>
          <w:sz w:val="20"/>
          <w:szCs w:val="20"/>
        </w:rPr>
        <w:t>3</w:t>
      </w:r>
      <w:r>
        <w:rPr>
          <w:rFonts w:ascii="宋体" w:hAnsi="宋体" w:eastAsia="宋体" w:cs="宋体"/>
          <w:spacing w:val="5"/>
          <w:sz w:val="20"/>
          <w:szCs w:val="20"/>
        </w:rPr>
        <w:t xml:space="preserve">  </w:t>
      </w:r>
      <w:r>
        <w:rPr>
          <w:rFonts w:ascii="宋体" w:hAnsi="宋体" w:eastAsia="宋体" w:cs="宋体"/>
          <w:b/>
          <w:bCs/>
          <w:spacing w:val="5"/>
          <w:sz w:val="20"/>
          <w:szCs w:val="20"/>
        </w:rPr>
        <w:t>资格审查条件（业绩最低要求）</w:t>
      </w:r>
    </w:p>
    <w:tbl>
      <w:tblPr>
        <w:tblStyle w:val="6"/>
        <w:tblW w:w="94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17"/>
      </w:tblGrid>
      <w:tr w14:paraId="621F55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417" w:type="dxa"/>
            <w:vAlign w:val="top"/>
          </w:tcPr>
          <w:p w14:paraId="5415BE3E">
            <w:pPr>
              <w:pStyle w:val="5"/>
              <w:spacing w:before="177" w:line="228" w:lineRule="auto"/>
              <w:ind w:left="4396"/>
            </w:pPr>
            <w:r>
              <w:rPr>
                <w:b/>
                <w:bCs/>
                <w:spacing w:val="6"/>
              </w:rPr>
              <w:t>业绩要求</w:t>
            </w:r>
          </w:p>
        </w:tc>
      </w:tr>
      <w:tr w14:paraId="18BC9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5" w:hRule="atLeast"/>
        </w:trPr>
        <w:tc>
          <w:tcPr>
            <w:tcW w:w="9417" w:type="dxa"/>
            <w:vAlign w:val="top"/>
          </w:tcPr>
          <w:p w14:paraId="5A1BC9D7">
            <w:pPr>
              <w:spacing w:line="283" w:lineRule="auto"/>
              <w:rPr>
                <w:rFonts w:ascii="Arial"/>
                <w:sz w:val="21"/>
              </w:rPr>
            </w:pPr>
          </w:p>
          <w:p w14:paraId="0FB5E38F">
            <w:pPr>
              <w:pStyle w:val="5"/>
              <w:spacing w:before="65" w:line="227" w:lineRule="auto"/>
              <w:ind w:right="4"/>
              <w:jc w:val="right"/>
              <w:outlineLvl w:val="0"/>
            </w:pPr>
            <w:r>
              <w:rPr>
                <w:spacing w:val="5"/>
              </w:rPr>
              <w:t>投标人近</w:t>
            </w:r>
            <w:r>
              <w:rPr>
                <w:spacing w:val="-35"/>
              </w:rPr>
              <w:t xml:space="preserve"> </w:t>
            </w:r>
            <w:r>
              <w:rPr>
                <w:spacing w:val="5"/>
              </w:rPr>
              <w:t>3</w:t>
            </w:r>
            <w:r>
              <w:rPr>
                <w:spacing w:val="-37"/>
              </w:rPr>
              <w:t xml:space="preserve"> </w:t>
            </w:r>
            <w:r>
              <w:rPr>
                <w:spacing w:val="5"/>
              </w:rPr>
              <w:t>年（2023</w:t>
            </w:r>
            <w:r>
              <w:rPr>
                <w:spacing w:val="-37"/>
              </w:rPr>
              <w:t xml:space="preserve"> </w:t>
            </w:r>
            <w:r>
              <w:rPr>
                <w:spacing w:val="5"/>
              </w:rPr>
              <w:t>年8</w:t>
            </w:r>
            <w:r>
              <w:rPr>
                <w:spacing w:val="-33"/>
              </w:rPr>
              <w:t xml:space="preserve"> </w:t>
            </w:r>
            <w:r>
              <w:rPr>
                <w:spacing w:val="5"/>
              </w:rPr>
              <w:t>月</w:t>
            </w:r>
            <w:r>
              <w:rPr>
                <w:spacing w:val="-24"/>
              </w:rPr>
              <w:t xml:space="preserve"> </w:t>
            </w:r>
            <w:r>
              <w:rPr>
                <w:spacing w:val="5"/>
              </w:rPr>
              <w:t>1 日至今，以</w:t>
            </w:r>
            <w:r>
              <w:rPr>
                <w:spacing w:val="4"/>
              </w:rPr>
              <w:t>合同签订时间为准）累计完成过不少于</w:t>
            </w:r>
            <w:r>
              <w:rPr>
                <w:spacing w:val="-36"/>
              </w:rPr>
              <w:t xml:space="preserve"> </w:t>
            </w:r>
            <w:r>
              <w:rPr>
                <w:spacing w:val="4"/>
              </w:rPr>
              <w:t>2.5</w:t>
            </w:r>
            <w:r>
              <w:rPr>
                <w:spacing w:val="-36"/>
              </w:rPr>
              <w:t xml:space="preserve"> </w:t>
            </w:r>
            <w:r>
              <w:rPr>
                <w:spacing w:val="4"/>
              </w:rPr>
              <w:t>万吨沥青（供</w:t>
            </w:r>
          </w:p>
          <w:p w14:paraId="023F1DB8">
            <w:pPr>
              <w:pStyle w:val="5"/>
              <w:spacing w:before="25" w:line="227" w:lineRule="auto"/>
              <w:ind w:left="17"/>
            </w:pPr>
            <w:r>
              <w:rPr>
                <w:spacing w:val="9"/>
              </w:rPr>
              <w:t>货数量以投标人所提供发票中载明数量的累计总和为准）供货业绩。</w:t>
            </w:r>
          </w:p>
        </w:tc>
      </w:tr>
    </w:tbl>
    <w:p w14:paraId="443CF9BC">
      <w:pPr>
        <w:pStyle w:val="2"/>
        <w:spacing w:line="253" w:lineRule="auto"/>
      </w:pPr>
    </w:p>
    <w:p w14:paraId="74370321">
      <w:pPr>
        <w:pStyle w:val="2"/>
        <w:spacing w:line="254" w:lineRule="auto"/>
      </w:pPr>
    </w:p>
    <w:p w14:paraId="04A82344">
      <w:pPr>
        <w:spacing w:before="66" w:line="223" w:lineRule="auto"/>
        <w:ind w:left="2892"/>
        <w:outlineLvl w:val="1"/>
        <w:rPr>
          <w:rFonts w:ascii="宋体" w:hAnsi="宋体" w:eastAsia="宋体" w:cs="宋体"/>
          <w:sz w:val="20"/>
          <w:szCs w:val="20"/>
        </w:rPr>
      </w:pPr>
      <w:r>
        <w:rPr>
          <w:rFonts w:ascii="宋体" w:hAnsi="宋体" w:eastAsia="宋体" w:cs="宋体"/>
          <w:b/>
          <w:bCs/>
          <w:spacing w:val="8"/>
          <w:sz w:val="20"/>
          <w:szCs w:val="20"/>
        </w:rPr>
        <w:t>附录4</w:t>
      </w:r>
      <w:r>
        <w:rPr>
          <w:rFonts w:ascii="宋体" w:hAnsi="宋体" w:eastAsia="宋体" w:cs="宋体"/>
          <w:spacing w:val="8"/>
          <w:sz w:val="20"/>
          <w:szCs w:val="20"/>
        </w:rPr>
        <w:t xml:space="preserve">  </w:t>
      </w:r>
      <w:r>
        <w:rPr>
          <w:rFonts w:ascii="宋体" w:hAnsi="宋体" w:eastAsia="宋体" w:cs="宋体"/>
          <w:b/>
          <w:bCs/>
          <w:spacing w:val="8"/>
          <w:sz w:val="20"/>
          <w:szCs w:val="20"/>
        </w:rPr>
        <w:t>资格审查条件（信誉最低要求）</w:t>
      </w:r>
    </w:p>
    <w:tbl>
      <w:tblPr>
        <w:tblStyle w:val="6"/>
        <w:tblW w:w="9386" w:type="dxa"/>
        <w:tblInd w:w="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86"/>
      </w:tblGrid>
      <w:tr w14:paraId="0CF29B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6" w:hRule="atLeast"/>
        </w:trPr>
        <w:tc>
          <w:tcPr>
            <w:tcW w:w="9386" w:type="dxa"/>
            <w:vAlign w:val="top"/>
          </w:tcPr>
          <w:p w14:paraId="09708D63">
            <w:pPr>
              <w:pStyle w:val="5"/>
              <w:spacing w:before="177" w:line="227" w:lineRule="auto"/>
              <w:ind w:left="4330"/>
            </w:pPr>
            <w:r>
              <w:rPr>
                <w:b/>
                <w:bCs/>
                <w:spacing w:val="6"/>
              </w:rPr>
              <w:t>信誉要求</w:t>
            </w:r>
          </w:p>
        </w:tc>
      </w:tr>
      <w:tr w14:paraId="6C9F3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1" w:hRule="atLeast"/>
        </w:trPr>
        <w:tc>
          <w:tcPr>
            <w:tcW w:w="9386" w:type="dxa"/>
            <w:vAlign w:val="top"/>
          </w:tcPr>
          <w:p w14:paraId="08A004AD">
            <w:pPr>
              <w:pStyle w:val="5"/>
              <w:spacing w:before="124" w:line="378" w:lineRule="auto"/>
              <w:ind w:left="124" w:right="6" w:firstLine="416"/>
            </w:pPr>
            <w:r>
              <w:rPr>
                <w:spacing w:val="6"/>
              </w:rPr>
              <w:t>投标人在过去</w:t>
            </w:r>
            <w:r>
              <w:rPr>
                <w:spacing w:val="-7"/>
              </w:rPr>
              <w:t xml:space="preserve"> </w:t>
            </w:r>
            <w:r>
              <w:rPr>
                <w:spacing w:val="6"/>
              </w:rPr>
              <w:t>1</w:t>
            </w:r>
            <w:r>
              <w:rPr>
                <w:spacing w:val="-37"/>
              </w:rPr>
              <w:t xml:space="preserve"> </w:t>
            </w:r>
            <w:r>
              <w:rPr>
                <w:spacing w:val="6"/>
              </w:rPr>
              <w:t>年中（2025</w:t>
            </w:r>
            <w:r>
              <w:rPr>
                <w:spacing w:val="-37"/>
              </w:rPr>
              <w:t xml:space="preserve"> </w:t>
            </w:r>
            <w:r>
              <w:rPr>
                <w:spacing w:val="6"/>
              </w:rPr>
              <w:t>年8</w:t>
            </w:r>
            <w:r>
              <w:rPr>
                <w:spacing w:val="-33"/>
              </w:rPr>
              <w:t xml:space="preserve"> </w:t>
            </w:r>
            <w:r>
              <w:rPr>
                <w:spacing w:val="6"/>
              </w:rPr>
              <w:t>月</w:t>
            </w:r>
            <w:r>
              <w:rPr>
                <w:spacing w:val="-24"/>
              </w:rPr>
              <w:t xml:space="preserve"> </w:t>
            </w:r>
            <w:r>
              <w:rPr>
                <w:spacing w:val="6"/>
              </w:rPr>
              <w:t>1 日至今）不曾在沥青供货合同中违约而被驱逐或因投标人自</w:t>
            </w:r>
            <w:r>
              <w:rPr>
                <w:spacing w:val="8"/>
              </w:rPr>
              <w:t>身的原因而使沥青供货合同被解除。</w:t>
            </w:r>
          </w:p>
        </w:tc>
      </w:tr>
    </w:tbl>
    <w:p w14:paraId="3DF0C534">
      <w:pPr>
        <w:pStyle w:val="2"/>
      </w:pPr>
    </w:p>
    <w:p w14:paraId="0FB8A846">
      <w:pPr>
        <w:sectPr>
          <w:headerReference r:id="rId5" w:type="default"/>
          <w:footerReference r:id="rId6" w:type="default"/>
          <w:pgSz w:w="11907" w:h="16840"/>
          <w:pgMar w:top="400" w:right="1164" w:bottom="1014" w:left="1320" w:header="0" w:footer="852" w:gutter="0"/>
          <w:cols w:space="720" w:num="1"/>
        </w:sectPr>
      </w:pPr>
    </w:p>
    <w:p w14:paraId="36F55D89">
      <w:pPr>
        <w:pStyle w:val="2"/>
        <w:spacing w:line="281" w:lineRule="auto"/>
      </w:pPr>
    </w:p>
    <w:p w14:paraId="08D6AE58">
      <w:pPr>
        <w:spacing w:before="78" w:line="218" w:lineRule="auto"/>
        <w:ind w:left="20"/>
        <w:rPr>
          <w:rFonts w:ascii="宋体" w:hAnsi="宋体" w:eastAsia="宋体" w:cs="宋体"/>
          <w:sz w:val="24"/>
          <w:szCs w:val="24"/>
        </w:rPr>
      </w:pPr>
      <w:r>
        <w:rPr>
          <w:rFonts w:ascii="宋体" w:hAnsi="宋体" w:eastAsia="宋体" w:cs="宋体"/>
          <w:b/>
          <w:bCs/>
          <w:spacing w:val="-4"/>
          <w:sz w:val="24"/>
          <w:szCs w:val="24"/>
        </w:rPr>
        <w:t>附件2：随机确定评标基准价计算方法的规则与程序</w:t>
      </w:r>
    </w:p>
    <w:p w14:paraId="1297A201">
      <w:pPr>
        <w:spacing w:before="177" w:line="226" w:lineRule="auto"/>
        <w:ind w:left="424"/>
        <w:rPr>
          <w:rFonts w:ascii="宋体" w:hAnsi="宋体" w:eastAsia="宋体" w:cs="宋体"/>
          <w:sz w:val="20"/>
          <w:szCs w:val="20"/>
        </w:rPr>
      </w:pPr>
      <w:r>
        <w:rPr>
          <w:rFonts w:ascii="宋体" w:hAnsi="宋体" w:eastAsia="宋体" w:cs="宋体"/>
          <w:b/>
          <w:bCs/>
          <w:spacing w:val="7"/>
          <w:sz w:val="20"/>
          <w:szCs w:val="20"/>
        </w:rPr>
        <w:t>一、随机抽取确定评标基准价计算方法规则</w:t>
      </w:r>
    </w:p>
    <w:p w14:paraId="67FDB1B1">
      <w:pPr>
        <w:spacing w:before="165" w:line="226" w:lineRule="auto"/>
        <w:ind w:left="422"/>
        <w:rPr>
          <w:rFonts w:ascii="宋体" w:hAnsi="宋体" w:eastAsia="宋体" w:cs="宋体"/>
          <w:sz w:val="20"/>
          <w:szCs w:val="20"/>
        </w:rPr>
      </w:pPr>
      <w:r>
        <w:rPr>
          <w:rFonts w:ascii="宋体" w:hAnsi="宋体" w:eastAsia="宋体" w:cs="宋体"/>
          <w:spacing w:val="7"/>
          <w:sz w:val="20"/>
          <w:szCs w:val="20"/>
        </w:rPr>
        <w:t>参与随机确定评标基准价计算方法的各方当事人（以下简称“各方</w:t>
      </w:r>
      <w:r>
        <w:rPr>
          <w:rFonts w:ascii="宋体" w:hAnsi="宋体" w:eastAsia="宋体" w:cs="宋体"/>
          <w:spacing w:val="-61"/>
          <w:sz w:val="20"/>
          <w:szCs w:val="20"/>
        </w:rPr>
        <w:t xml:space="preserve"> </w:t>
      </w:r>
      <w:r>
        <w:rPr>
          <w:rFonts w:ascii="宋体" w:hAnsi="宋体" w:eastAsia="宋体" w:cs="宋体"/>
          <w:spacing w:val="7"/>
          <w:sz w:val="20"/>
          <w:szCs w:val="20"/>
        </w:rPr>
        <w:t>”）应当严格遵守以下规则：</w:t>
      </w:r>
    </w:p>
    <w:p w14:paraId="4A0AF771">
      <w:pPr>
        <w:spacing w:before="162" w:line="228" w:lineRule="auto"/>
        <w:ind w:left="430"/>
        <w:rPr>
          <w:rFonts w:ascii="宋体" w:hAnsi="宋体" w:eastAsia="宋体" w:cs="宋体"/>
          <w:sz w:val="20"/>
          <w:szCs w:val="20"/>
        </w:rPr>
      </w:pPr>
      <w:r>
        <w:rPr>
          <w:rFonts w:ascii="宋体" w:hAnsi="宋体" w:eastAsia="宋体" w:cs="宋体"/>
          <w:spacing w:val="9"/>
          <w:sz w:val="20"/>
          <w:szCs w:val="20"/>
        </w:rPr>
        <w:t>（一）各方必须严格遵守公开、公平、公正和诚实</w:t>
      </w:r>
      <w:r>
        <w:rPr>
          <w:rFonts w:ascii="宋体" w:hAnsi="宋体" w:eastAsia="宋体" w:cs="宋体"/>
          <w:spacing w:val="8"/>
          <w:sz w:val="20"/>
          <w:szCs w:val="20"/>
        </w:rPr>
        <w:t>信用原则；</w:t>
      </w:r>
    </w:p>
    <w:p w14:paraId="1D82CF5B">
      <w:pPr>
        <w:spacing w:before="161" w:line="227" w:lineRule="auto"/>
        <w:ind w:left="430"/>
        <w:rPr>
          <w:rFonts w:ascii="宋体" w:hAnsi="宋体" w:eastAsia="宋体" w:cs="宋体"/>
          <w:sz w:val="20"/>
          <w:szCs w:val="20"/>
        </w:rPr>
      </w:pPr>
      <w:r>
        <w:rPr>
          <w:rFonts w:ascii="宋体" w:hAnsi="宋体" w:eastAsia="宋体" w:cs="宋体"/>
          <w:spacing w:val="9"/>
          <w:sz w:val="20"/>
          <w:szCs w:val="20"/>
        </w:rPr>
        <w:t>（二）随机抽取活动在招标人的主持下进行，招标人做好影像记录，并存档备查；</w:t>
      </w:r>
    </w:p>
    <w:p w14:paraId="385756FD">
      <w:pPr>
        <w:spacing w:before="162" w:line="227" w:lineRule="auto"/>
        <w:ind w:left="430"/>
        <w:rPr>
          <w:rFonts w:ascii="宋体" w:hAnsi="宋体" w:eastAsia="宋体" w:cs="宋体"/>
          <w:sz w:val="20"/>
          <w:szCs w:val="20"/>
        </w:rPr>
      </w:pPr>
      <w:r>
        <w:rPr>
          <w:rFonts w:ascii="宋体" w:hAnsi="宋体" w:eastAsia="宋体" w:cs="宋体"/>
          <w:spacing w:val="8"/>
          <w:sz w:val="20"/>
          <w:szCs w:val="20"/>
        </w:rPr>
        <w:t>（三）用于随机抽取的器具由招标人提供；</w:t>
      </w:r>
    </w:p>
    <w:p w14:paraId="261C03E7">
      <w:pPr>
        <w:spacing w:before="164" w:line="227" w:lineRule="auto"/>
        <w:ind w:left="430"/>
        <w:rPr>
          <w:rFonts w:ascii="宋体" w:hAnsi="宋体" w:eastAsia="宋体" w:cs="宋体"/>
          <w:sz w:val="20"/>
          <w:szCs w:val="20"/>
        </w:rPr>
      </w:pPr>
      <w:r>
        <w:rPr>
          <w:rFonts w:ascii="宋体" w:hAnsi="宋体" w:eastAsia="宋体" w:cs="宋体"/>
          <w:spacing w:val="9"/>
          <w:sz w:val="20"/>
          <w:szCs w:val="20"/>
        </w:rPr>
        <w:t>（四）各方必须严格遵守现场纪律，确保随机抽取活动有序</w:t>
      </w:r>
      <w:r>
        <w:rPr>
          <w:rFonts w:ascii="宋体" w:hAnsi="宋体" w:eastAsia="宋体" w:cs="宋体"/>
          <w:spacing w:val="8"/>
          <w:sz w:val="20"/>
          <w:szCs w:val="20"/>
        </w:rPr>
        <w:t>进行；</w:t>
      </w:r>
    </w:p>
    <w:p w14:paraId="35792EC3">
      <w:pPr>
        <w:spacing w:before="162" w:line="378" w:lineRule="auto"/>
        <w:ind w:left="2" w:right="176" w:firstLine="428"/>
        <w:rPr>
          <w:rFonts w:ascii="宋体" w:hAnsi="宋体" w:eastAsia="宋体" w:cs="宋体"/>
          <w:sz w:val="20"/>
          <w:szCs w:val="20"/>
        </w:rPr>
      </w:pPr>
      <w:r>
        <w:rPr>
          <w:rFonts w:ascii="宋体" w:hAnsi="宋体" w:eastAsia="宋体" w:cs="宋体"/>
          <w:spacing w:val="10"/>
          <w:sz w:val="20"/>
          <w:szCs w:val="20"/>
        </w:rPr>
        <w:t>（五）投标人对随机抽取过程有异议的，在“河北省公共资源交</w:t>
      </w:r>
      <w:r>
        <w:rPr>
          <w:rFonts w:ascii="宋体" w:hAnsi="宋体" w:eastAsia="宋体" w:cs="宋体"/>
          <w:spacing w:val="9"/>
          <w:sz w:val="20"/>
          <w:szCs w:val="20"/>
        </w:rPr>
        <w:t>易平台</w:t>
      </w:r>
      <w:r>
        <w:rPr>
          <w:rFonts w:ascii="宋体" w:hAnsi="宋体" w:eastAsia="宋体" w:cs="宋体"/>
          <w:spacing w:val="-69"/>
          <w:sz w:val="20"/>
          <w:szCs w:val="20"/>
        </w:rPr>
        <w:t xml:space="preserve"> </w:t>
      </w:r>
      <w:r>
        <w:rPr>
          <w:rFonts w:ascii="宋体" w:hAnsi="宋体" w:eastAsia="宋体" w:cs="宋体"/>
          <w:spacing w:val="9"/>
          <w:sz w:val="20"/>
          <w:szCs w:val="20"/>
        </w:rPr>
        <w:t>”的项目流程中点异议按钮在线提出异议，招标人当场作出答复，并做好记录。</w:t>
      </w:r>
    </w:p>
    <w:p w14:paraId="2AD7947B">
      <w:pPr>
        <w:spacing w:line="226" w:lineRule="auto"/>
        <w:ind w:left="424"/>
        <w:rPr>
          <w:rFonts w:ascii="宋体" w:hAnsi="宋体" w:eastAsia="宋体" w:cs="宋体"/>
          <w:sz w:val="20"/>
          <w:szCs w:val="20"/>
        </w:rPr>
      </w:pPr>
      <w:r>
        <w:rPr>
          <w:rFonts w:ascii="宋体" w:hAnsi="宋体" w:eastAsia="宋体" w:cs="宋体"/>
          <w:b/>
          <w:bCs/>
          <w:spacing w:val="8"/>
          <w:sz w:val="20"/>
          <w:szCs w:val="20"/>
        </w:rPr>
        <w:t>二、随机抽取确定评标基准价计算方法的程序</w:t>
      </w:r>
    </w:p>
    <w:p w14:paraId="399562C9">
      <w:pPr>
        <w:spacing w:before="163" w:line="227" w:lineRule="auto"/>
        <w:ind w:left="430"/>
        <w:rPr>
          <w:rFonts w:ascii="宋体" w:hAnsi="宋体" w:eastAsia="宋体" w:cs="宋体"/>
          <w:sz w:val="20"/>
          <w:szCs w:val="20"/>
        </w:rPr>
      </w:pPr>
      <w:r>
        <w:rPr>
          <w:rFonts w:ascii="宋体" w:hAnsi="宋体" w:eastAsia="宋体" w:cs="宋体"/>
          <w:spacing w:val="8"/>
          <w:sz w:val="20"/>
          <w:szCs w:val="20"/>
        </w:rPr>
        <w:t>（一）确定随机抽取代码球</w:t>
      </w:r>
    </w:p>
    <w:p w14:paraId="346BC0AE">
      <w:pPr>
        <w:spacing w:before="163" w:line="226" w:lineRule="auto"/>
        <w:ind w:left="422"/>
        <w:rPr>
          <w:rFonts w:ascii="宋体" w:hAnsi="宋体" w:eastAsia="宋体" w:cs="宋体"/>
          <w:sz w:val="20"/>
          <w:szCs w:val="20"/>
        </w:rPr>
      </w:pPr>
      <w:r>
        <w:rPr>
          <w:rFonts w:ascii="宋体" w:hAnsi="宋体" w:eastAsia="宋体" w:cs="宋体"/>
          <w:spacing w:val="9"/>
          <w:sz w:val="20"/>
          <w:szCs w:val="20"/>
        </w:rPr>
        <w:t>用抽取器具随机确定抽取代码球一套，作为本次随机抽取确定评标基准价计算方法的代码球。</w:t>
      </w:r>
    </w:p>
    <w:p w14:paraId="18732C55">
      <w:pPr>
        <w:spacing w:before="163" w:line="226" w:lineRule="auto"/>
        <w:ind w:left="430"/>
        <w:rPr>
          <w:rFonts w:ascii="宋体" w:hAnsi="宋体" w:eastAsia="宋体" w:cs="宋体"/>
          <w:sz w:val="20"/>
          <w:szCs w:val="20"/>
        </w:rPr>
      </w:pPr>
      <w:r>
        <w:rPr>
          <w:rFonts w:ascii="宋体" w:hAnsi="宋体" w:eastAsia="宋体" w:cs="宋体"/>
          <w:spacing w:val="8"/>
          <w:sz w:val="20"/>
          <w:szCs w:val="20"/>
        </w:rPr>
        <w:t>（二）本次招标共设置三种评标基准价计算方法（详见评标办法）。</w:t>
      </w:r>
    </w:p>
    <w:p w14:paraId="6E12AE39">
      <w:pPr>
        <w:spacing w:before="163" w:line="377" w:lineRule="auto"/>
        <w:ind w:right="176" w:firstLine="420"/>
        <w:rPr>
          <w:rFonts w:ascii="宋体" w:hAnsi="宋体" w:eastAsia="宋体" w:cs="宋体"/>
          <w:sz w:val="20"/>
          <w:szCs w:val="20"/>
        </w:rPr>
      </w:pPr>
      <w:r>
        <w:rPr>
          <w:rFonts w:ascii="宋体" w:hAnsi="宋体" w:eastAsia="宋体" w:cs="宋体"/>
          <w:spacing w:val="8"/>
          <w:sz w:val="20"/>
          <w:szCs w:val="20"/>
        </w:rPr>
        <w:t>确定评标基准价计算方法的编号及代码球，1</w:t>
      </w:r>
      <w:r>
        <w:rPr>
          <w:rFonts w:ascii="宋体" w:hAnsi="宋体" w:eastAsia="宋体" w:cs="宋体"/>
          <w:spacing w:val="-36"/>
          <w:sz w:val="20"/>
          <w:szCs w:val="20"/>
        </w:rPr>
        <w:t xml:space="preserve"> </w:t>
      </w:r>
      <w:r>
        <w:rPr>
          <w:rFonts w:ascii="宋体" w:hAnsi="宋体" w:eastAsia="宋体" w:cs="宋体"/>
          <w:spacing w:val="8"/>
          <w:sz w:val="20"/>
          <w:szCs w:val="20"/>
        </w:rPr>
        <w:t>号球代表评标基准价计算方法</w:t>
      </w:r>
      <w:r>
        <w:rPr>
          <w:rFonts w:ascii="宋体" w:hAnsi="宋体" w:eastAsia="宋体" w:cs="宋体"/>
          <w:spacing w:val="-21"/>
          <w:sz w:val="20"/>
          <w:szCs w:val="20"/>
        </w:rPr>
        <w:t xml:space="preserve"> </w:t>
      </w:r>
      <w:r>
        <w:rPr>
          <w:rFonts w:ascii="宋体" w:hAnsi="宋体" w:eastAsia="宋体" w:cs="宋体"/>
          <w:spacing w:val="8"/>
          <w:sz w:val="20"/>
          <w:szCs w:val="20"/>
        </w:rPr>
        <w:t>1；2</w:t>
      </w:r>
      <w:r>
        <w:rPr>
          <w:rFonts w:ascii="宋体" w:hAnsi="宋体" w:eastAsia="宋体" w:cs="宋体"/>
          <w:spacing w:val="-35"/>
          <w:sz w:val="20"/>
          <w:szCs w:val="20"/>
        </w:rPr>
        <w:t xml:space="preserve"> </w:t>
      </w:r>
      <w:r>
        <w:rPr>
          <w:rFonts w:ascii="宋体" w:hAnsi="宋体" w:eastAsia="宋体" w:cs="宋体"/>
          <w:spacing w:val="7"/>
          <w:sz w:val="20"/>
          <w:szCs w:val="20"/>
        </w:rPr>
        <w:t>号球代表评标基准价计算方法</w:t>
      </w:r>
      <w:r>
        <w:rPr>
          <w:rFonts w:ascii="宋体" w:hAnsi="宋体" w:eastAsia="宋体" w:cs="宋体"/>
          <w:spacing w:val="-36"/>
          <w:sz w:val="20"/>
          <w:szCs w:val="20"/>
        </w:rPr>
        <w:t xml:space="preserve"> </w:t>
      </w:r>
      <w:r>
        <w:rPr>
          <w:rFonts w:ascii="宋体" w:hAnsi="宋体" w:eastAsia="宋体" w:cs="宋体"/>
          <w:spacing w:val="7"/>
          <w:sz w:val="20"/>
          <w:szCs w:val="20"/>
        </w:rPr>
        <w:t>2；3</w:t>
      </w:r>
      <w:r>
        <w:rPr>
          <w:rFonts w:ascii="宋体" w:hAnsi="宋体" w:eastAsia="宋体" w:cs="宋体"/>
          <w:spacing w:val="-33"/>
          <w:sz w:val="20"/>
          <w:szCs w:val="20"/>
        </w:rPr>
        <w:t xml:space="preserve"> </w:t>
      </w:r>
      <w:r>
        <w:rPr>
          <w:rFonts w:ascii="宋体" w:hAnsi="宋体" w:eastAsia="宋体" w:cs="宋体"/>
          <w:spacing w:val="7"/>
          <w:sz w:val="20"/>
          <w:szCs w:val="20"/>
        </w:rPr>
        <w:t>号球代表评标基准价计算方法</w:t>
      </w:r>
      <w:r>
        <w:rPr>
          <w:rFonts w:ascii="宋体" w:hAnsi="宋体" w:eastAsia="宋体" w:cs="宋体"/>
          <w:spacing w:val="-35"/>
          <w:sz w:val="20"/>
          <w:szCs w:val="20"/>
        </w:rPr>
        <w:t xml:space="preserve"> </w:t>
      </w:r>
      <w:r>
        <w:rPr>
          <w:rFonts w:ascii="宋体" w:hAnsi="宋体" w:eastAsia="宋体" w:cs="宋体"/>
          <w:spacing w:val="7"/>
          <w:sz w:val="20"/>
          <w:szCs w:val="20"/>
        </w:rPr>
        <w:t>3。</w:t>
      </w:r>
    </w:p>
    <w:p w14:paraId="3FD3638F">
      <w:pPr>
        <w:spacing w:line="377" w:lineRule="auto"/>
        <w:ind w:right="176" w:firstLine="430"/>
        <w:rPr>
          <w:rFonts w:ascii="宋体" w:hAnsi="宋体" w:eastAsia="宋体" w:cs="宋体"/>
          <w:sz w:val="20"/>
          <w:szCs w:val="20"/>
        </w:rPr>
      </w:pPr>
      <w:r>
        <w:rPr>
          <w:rFonts w:ascii="宋体" w:hAnsi="宋体" w:eastAsia="宋体" w:cs="宋体"/>
          <w:spacing w:val="9"/>
          <w:sz w:val="20"/>
          <w:szCs w:val="20"/>
        </w:rPr>
        <w:t>（三）在投标文件第一信封（商务及技术文件）开标现场，将编号</w:t>
      </w:r>
      <w:r>
        <w:rPr>
          <w:rFonts w:ascii="宋体" w:hAnsi="宋体" w:eastAsia="宋体" w:cs="宋体"/>
          <w:spacing w:val="-12"/>
          <w:sz w:val="20"/>
          <w:szCs w:val="20"/>
        </w:rPr>
        <w:t xml:space="preserve"> </w:t>
      </w:r>
      <w:r>
        <w:rPr>
          <w:rFonts w:ascii="宋体" w:hAnsi="宋体" w:eastAsia="宋体" w:cs="宋体"/>
          <w:spacing w:val="9"/>
          <w:sz w:val="20"/>
          <w:szCs w:val="20"/>
        </w:rPr>
        <w:t>1、2、3</w:t>
      </w:r>
      <w:r>
        <w:rPr>
          <w:rFonts w:ascii="宋体" w:hAnsi="宋体" w:eastAsia="宋体" w:cs="宋体"/>
          <w:spacing w:val="-38"/>
          <w:sz w:val="20"/>
          <w:szCs w:val="20"/>
        </w:rPr>
        <w:t xml:space="preserve"> </w:t>
      </w:r>
      <w:r>
        <w:rPr>
          <w:rFonts w:ascii="宋体" w:hAnsi="宋体" w:eastAsia="宋体" w:cs="宋体"/>
          <w:spacing w:val="9"/>
          <w:sz w:val="20"/>
          <w:szCs w:val="20"/>
        </w:rPr>
        <w:t>代码球全部放入随机抽取器具中，由抽取器具随机抽取产生本次招标评标基准价计算方法。</w:t>
      </w:r>
    </w:p>
    <w:p w14:paraId="5D193F0B">
      <w:pPr>
        <w:spacing w:before="1" w:line="226" w:lineRule="auto"/>
        <w:ind w:left="430"/>
        <w:rPr>
          <w:rFonts w:ascii="宋体" w:hAnsi="宋体" w:eastAsia="宋体" w:cs="宋体"/>
          <w:sz w:val="20"/>
          <w:szCs w:val="20"/>
        </w:rPr>
      </w:pPr>
      <w:r>
        <w:rPr>
          <w:rFonts w:ascii="宋体" w:hAnsi="宋体" w:eastAsia="宋体" w:cs="宋体"/>
          <w:spacing w:val="8"/>
          <w:sz w:val="20"/>
          <w:szCs w:val="20"/>
        </w:rPr>
        <w:t>（四）确定评标基准价计算方法需要的系数（如有）。</w:t>
      </w:r>
    </w:p>
    <w:p w14:paraId="7D7E8886">
      <w:pPr>
        <w:spacing w:before="163" w:line="377" w:lineRule="auto"/>
        <w:ind w:firstLine="436"/>
        <w:rPr>
          <w:rFonts w:ascii="宋体" w:hAnsi="宋体" w:eastAsia="宋体" w:cs="宋体"/>
          <w:sz w:val="20"/>
          <w:szCs w:val="20"/>
        </w:rPr>
      </w:pPr>
      <w:r>
        <w:rPr>
          <w:rFonts w:ascii="宋体" w:hAnsi="宋体" w:eastAsia="宋体" w:cs="宋体"/>
          <w:spacing w:val="4"/>
          <w:sz w:val="20"/>
          <w:szCs w:val="20"/>
        </w:rPr>
        <w:t>1.如果抽取的评标基准价计算方法为方法二，则需要抽取评标基准价系数</w:t>
      </w:r>
      <w:r>
        <w:rPr>
          <w:rFonts w:ascii="宋体" w:hAnsi="宋体" w:eastAsia="宋体" w:cs="宋体"/>
          <w:spacing w:val="-47"/>
          <w:sz w:val="20"/>
          <w:szCs w:val="20"/>
        </w:rPr>
        <w:t xml:space="preserve"> </w:t>
      </w:r>
      <w:r>
        <w:rPr>
          <w:rFonts w:ascii="宋体" w:hAnsi="宋体" w:eastAsia="宋体" w:cs="宋体"/>
          <w:spacing w:val="4"/>
          <w:sz w:val="20"/>
          <w:szCs w:val="20"/>
        </w:rPr>
        <w:t>K。K</w:t>
      </w:r>
      <w:r>
        <w:rPr>
          <w:rFonts w:ascii="宋体" w:hAnsi="宋体" w:eastAsia="宋体" w:cs="宋体"/>
          <w:spacing w:val="-40"/>
          <w:sz w:val="20"/>
          <w:szCs w:val="20"/>
        </w:rPr>
        <w:t xml:space="preserve"> </w:t>
      </w:r>
      <w:r>
        <w:rPr>
          <w:rFonts w:ascii="宋体" w:hAnsi="宋体" w:eastAsia="宋体" w:cs="宋体"/>
          <w:spacing w:val="4"/>
          <w:sz w:val="20"/>
          <w:szCs w:val="20"/>
        </w:rPr>
        <w:t>取值范围为0.97</w:t>
      </w:r>
      <w:r>
        <w:rPr>
          <w:rFonts w:ascii="宋体" w:hAnsi="宋体" w:eastAsia="宋体" w:cs="宋体"/>
          <w:spacing w:val="3"/>
          <w:sz w:val="20"/>
          <w:szCs w:val="20"/>
        </w:rPr>
        <w:t>5、</w:t>
      </w:r>
      <w:r>
        <w:rPr>
          <w:rFonts w:ascii="宋体" w:hAnsi="宋体" w:eastAsia="宋体" w:cs="宋体"/>
          <w:sz w:val="20"/>
          <w:szCs w:val="20"/>
        </w:rPr>
        <w:t xml:space="preserve"> </w:t>
      </w:r>
      <w:r>
        <w:rPr>
          <w:rFonts w:ascii="宋体" w:hAnsi="宋体" w:eastAsia="宋体" w:cs="宋体"/>
          <w:spacing w:val="7"/>
          <w:sz w:val="20"/>
          <w:szCs w:val="20"/>
        </w:rPr>
        <w:t>0.98、0.985、0.99、0.995</w:t>
      </w:r>
      <w:r>
        <w:rPr>
          <w:rFonts w:ascii="宋体" w:hAnsi="宋体" w:eastAsia="宋体" w:cs="宋体"/>
          <w:spacing w:val="-36"/>
          <w:sz w:val="20"/>
          <w:szCs w:val="20"/>
        </w:rPr>
        <w:t xml:space="preserve"> </w:t>
      </w:r>
      <w:r>
        <w:rPr>
          <w:rFonts w:ascii="宋体" w:hAnsi="宋体" w:eastAsia="宋体" w:cs="宋体"/>
          <w:spacing w:val="7"/>
          <w:sz w:val="20"/>
          <w:szCs w:val="20"/>
        </w:rPr>
        <w:t>共</w:t>
      </w:r>
      <w:r>
        <w:rPr>
          <w:rFonts w:ascii="宋体" w:hAnsi="宋体" w:eastAsia="宋体" w:cs="宋体"/>
          <w:spacing w:val="-33"/>
          <w:sz w:val="20"/>
          <w:szCs w:val="20"/>
        </w:rPr>
        <w:t xml:space="preserve"> </w:t>
      </w:r>
      <w:r>
        <w:rPr>
          <w:rFonts w:ascii="宋体" w:hAnsi="宋体" w:eastAsia="宋体" w:cs="宋体"/>
          <w:spacing w:val="7"/>
          <w:sz w:val="20"/>
          <w:szCs w:val="20"/>
        </w:rPr>
        <w:t>5</w:t>
      </w:r>
      <w:r>
        <w:rPr>
          <w:rFonts w:ascii="宋体" w:hAnsi="宋体" w:eastAsia="宋体" w:cs="宋体"/>
          <w:spacing w:val="-35"/>
          <w:sz w:val="20"/>
          <w:szCs w:val="20"/>
        </w:rPr>
        <w:t xml:space="preserve"> </w:t>
      </w:r>
      <w:r>
        <w:rPr>
          <w:rFonts w:ascii="宋体" w:hAnsi="宋体" w:eastAsia="宋体" w:cs="宋体"/>
          <w:spacing w:val="7"/>
          <w:sz w:val="20"/>
          <w:szCs w:val="20"/>
        </w:rPr>
        <w:t>个数值。将编号为</w:t>
      </w:r>
      <w:r>
        <w:rPr>
          <w:rFonts w:ascii="宋体" w:hAnsi="宋体" w:eastAsia="宋体" w:cs="宋体"/>
          <w:spacing w:val="-22"/>
          <w:sz w:val="20"/>
          <w:szCs w:val="20"/>
        </w:rPr>
        <w:t xml:space="preserve"> </w:t>
      </w:r>
      <w:r>
        <w:rPr>
          <w:rFonts w:ascii="宋体" w:hAnsi="宋体" w:eastAsia="宋体" w:cs="宋体"/>
          <w:spacing w:val="7"/>
          <w:sz w:val="20"/>
          <w:szCs w:val="20"/>
        </w:rPr>
        <w:t>1～5</w:t>
      </w:r>
      <w:r>
        <w:rPr>
          <w:rFonts w:ascii="宋体" w:hAnsi="宋体" w:eastAsia="宋体" w:cs="宋体"/>
          <w:spacing w:val="-18"/>
          <w:sz w:val="20"/>
          <w:szCs w:val="20"/>
        </w:rPr>
        <w:t xml:space="preserve"> </w:t>
      </w:r>
      <w:r>
        <w:rPr>
          <w:rFonts w:ascii="宋体" w:hAnsi="宋体" w:eastAsia="宋体" w:cs="宋体"/>
          <w:spacing w:val="7"/>
          <w:sz w:val="20"/>
          <w:szCs w:val="20"/>
        </w:rPr>
        <w:t>的代码球放入抽取器具，</w:t>
      </w:r>
      <w:r>
        <w:rPr>
          <w:rFonts w:ascii="宋体" w:hAnsi="宋体" w:eastAsia="宋体" w:cs="宋体"/>
          <w:spacing w:val="-56"/>
          <w:sz w:val="20"/>
          <w:szCs w:val="20"/>
        </w:rPr>
        <w:t xml:space="preserve"> </w:t>
      </w:r>
      <w:r>
        <w:rPr>
          <w:rFonts w:ascii="宋体" w:hAnsi="宋体" w:eastAsia="宋体" w:cs="宋体"/>
          <w:spacing w:val="7"/>
          <w:sz w:val="20"/>
          <w:szCs w:val="20"/>
        </w:rPr>
        <w:t>由</w:t>
      </w:r>
      <w:r>
        <w:rPr>
          <w:rFonts w:ascii="宋体" w:hAnsi="宋体" w:eastAsia="宋体" w:cs="宋体"/>
          <w:spacing w:val="6"/>
          <w:sz w:val="20"/>
          <w:szCs w:val="20"/>
        </w:rPr>
        <w:t>抽取器具随机</w:t>
      </w:r>
      <w:r>
        <w:rPr>
          <w:rFonts w:ascii="宋体" w:hAnsi="宋体" w:eastAsia="宋体" w:cs="宋体"/>
          <w:spacing w:val="7"/>
          <w:sz w:val="20"/>
          <w:szCs w:val="20"/>
        </w:rPr>
        <w:t>抽取</w:t>
      </w:r>
      <w:r>
        <w:rPr>
          <w:rFonts w:ascii="宋体" w:hAnsi="宋体" w:eastAsia="宋体" w:cs="宋体"/>
          <w:spacing w:val="-19"/>
          <w:sz w:val="20"/>
          <w:szCs w:val="20"/>
        </w:rPr>
        <w:t xml:space="preserve"> </w:t>
      </w:r>
      <w:r>
        <w:rPr>
          <w:rFonts w:ascii="宋体" w:hAnsi="宋体" w:eastAsia="宋体" w:cs="宋体"/>
          <w:spacing w:val="7"/>
          <w:sz w:val="20"/>
          <w:szCs w:val="20"/>
        </w:rPr>
        <w:t>1</w:t>
      </w:r>
      <w:r>
        <w:rPr>
          <w:rFonts w:ascii="宋体" w:hAnsi="宋体" w:eastAsia="宋体" w:cs="宋体"/>
          <w:spacing w:val="-36"/>
          <w:sz w:val="20"/>
          <w:szCs w:val="20"/>
        </w:rPr>
        <w:t xml:space="preserve"> </w:t>
      </w:r>
      <w:r>
        <w:rPr>
          <w:rFonts w:ascii="宋体" w:hAnsi="宋体" w:eastAsia="宋体" w:cs="宋体"/>
          <w:spacing w:val="7"/>
          <w:sz w:val="20"/>
          <w:szCs w:val="20"/>
        </w:rPr>
        <w:t>个代码球。1</w:t>
      </w:r>
      <w:r>
        <w:rPr>
          <w:rFonts w:ascii="宋体" w:hAnsi="宋体" w:eastAsia="宋体" w:cs="宋体"/>
          <w:spacing w:val="-28"/>
          <w:sz w:val="20"/>
          <w:szCs w:val="20"/>
        </w:rPr>
        <w:t xml:space="preserve"> </w:t>
      </w:r>
      <w:r>
        <w:rPr>
          <w:rFonts w:ascii="宋体" w:hAnsi="宋体" w:eastAsia="宋体" w:cs="宋体"/>
          <w:spacing w:val="7"/>
          <w:sz w:val="20"/>
          <w:szCs w:val="20"/>
        </w:rPr>
        <w:t>号球代表</w:t>
      </w:r>
      <w:r>
        <w:rPr>
          <w:rFonts w:ascii="宋体" w:hAnsi="宋体" w:eastAsia="宋体" w:cs="宋体"/>
          <w:spacing w:val="-38"/>
          <w:sz w:val="20"/>
          <w:szCs w:val="20"/>
        </w:rPr>
        <w:t xml:space="preserve"> </w:t>
      </w:r>
      <w:r>
        <w:rPr>
          <w:rFonts w:ascii="宋体" w:hAnsi="宋体" w:eastAsia="宋体" w:cs="宋体"/>
          <w:spacing w:val="7"/>
          <w:sz w:val="20"/>
          <w:szCs w:val="20"/>
        </w:rPr>
        <w:t>K</w:t>
      </w:r>
      <w:r>
        <w:rPr>
          <w:rFonts w:ascii="宋体" w:hAnsi="宋体" w:eastAsia="宋体" w:cs="宋体"/>
          <w:spacing w:val="-35"/>
          <w:sz w:val="20"/>
          <w:szCs w:val="20"/>
        </w:rPr>
        <w:t xml:space="preserve"> </w:t>
      </w:r>
      <w:r>
        <w:rPr>
          <w:rFonts w:ascii="宋体" w:hAnsi="宋体" w:eastAsia="宋体" w:cs="宋体"/>
          <w:spacing w:val="7"/>
          <w:sz w:val="20"/>
          <w:szCs w:val="20"/>
        </w:rPr>
        <w:t>值为</w:t>
      </w:r>
      <w:r>
        <w:rPr>
          <w:rFonts w:ascii="宋体" w:hAnsi="宋体" w:eastAsia="宋体" w:cs="宋体"/>
          <w:spacing w:val="-33"/>
          <w:sz w:val="20"/>
          <w:szCs w:val="20"/>
        </w:rPr>
        <w:t xml:space="preserve"> </w:t>
      </w:r>
      <w:r>
        <w:rPr>
          <w:rFonts w:ascii="宋体" w:hAnsi="宋体" w:eastAsia="宋体" w:cs="宋体"/>
          <w:spacing w:val="7"/>
          <w:sz w:val="20"/>
          <w:szCs w:val="20"/>
        </w:rPr>
        <w:t>0.975；</w:t>
      </w:r>
      <w:r>
        <w:rPr>
          <w:rFonts w:ascii="宋体" w:hAnsi="宋体" w:eastAsia="宋体" w:cs="宋体"/>
          <w:spacing w:val="6"/>
          <w:sz w:val="20"/>
          <w:szCs w:val="20"/>
        </w:rPr>
        <w:t>2</w:t>
      </w:r>
      <w:r>
        <w:rPr>
          <w:rFonts w:ascii="宋体" w:hAnsi="宋体" w:eastAsia="宋体" w:cs="宋体"/>
          <w:spacing w:val="-31"/>
          <w:sz w:val="20"/>
          <w:szCs w:val="20"/>
        </w:rPr>
        <w:t xml:space="preserve"> </w:t>
      </w:r>
      <w:r>
        <w:rPr>
          <w:rFonts w:ascii="宋体" w:hAnsi="宋体" w:eastAsia="宋体" w:cs="宋体"/>
          <w:spacing w:val="6"/>
          <w:sz w:val="20"/>
          <w:szCs w:val="20"/>
        </w:rPr>
        <w:t>号球代表</w:t>
      </w:r>
      <w:r>
        <w:rPr>
          <w:rFonts w:ascii="宋体" w:hAnsi="宋体" w:eastAsia="宋体" w:cs="宋体"/>
          <w:spacing w:val="-37"/>
          <w:sz w:val="20"/>
          <w:szCs w:val="20"/>
        </w:rPr>
        <w:t xml:space="preserve"> </w:t>
      </w:r>
      <w:r>
        <w:rPr>
          <w:rFonts w:ascii="宋体" w:hAnsi="宋体" w:eastAsia="宋体" w:cs="宋体"/>
          <w:spacing w:val="6"/>
          <w:sz w:val="20"/>
          <w:szCs w:val="20"/>
        </w:rPr>
        <w:t>K</w:t>
      </w:r>
      <w:r>
        <w:rPr>
          <w:rFonts w:ascii="宋体" w:hAnsi="宋体" w:eastAsia="宋体" w:cs="宋体"/>
          <w:spacing w:val="-36"/>
          <w:sz w:val="20"/>
          <w:szCs w:val="20"/>
        </w:rPr>
        <w:t xml:space="preserve"> </w:t>
      </w:r>
      <w:r>
        <w:rPr>
          <w:rFonts w:ascii="宋体" w:hAnsi="宋体" w:eastAsia="宋体" w:cs="宋体"/>
          <w:spacing w:val="6"/>
          <w:sz w:val="20"/>
          <w:szCs w:val="20"/>
        </w:rPr>
        <w:t>值为</w:t>
      </w:r>
      <w:r>
        <w:rPr>
          <w:rFonts w:ascii="宋体" w:hAnsi="宋体" w:eastAsia="宋体" w:cs="宋体"/>
          <w:spacing w:val="-33"/>
          <w:sz w:val="20"/>
          <w:szCs w:val="20"/>
        </w:rPr>
        <w:t xml:space="preserve"> </w:t>
      </w:r>
      <w:r>
        <w:rPr>
          <w:rFonts w:ascii="宋体" w:hAnsi="宋体" w:eastAsia="宋体" w:cs="宋体"/>
          <w:spacing w:val="6"/>
          <w:sz w:val="20"/>
          <w:szCs w:val="20"/>
        </w:rPr>
        <w:t>0.98；3</w:t>
      </w:r>
      <w:r>
        <w:rPr>
          <w:rFonts w:ascii="宋体" w:hAnsi="宋体" w:eastAsia="宋体" w:cs="宋体"/>
          <w:spacing w:val="-30"/>
          <w:sz w:val="20"/>
          <w:szCs w:val="20"/>
        </w:rPr>
        <w:t xml:space="preserve"> </w:t>
      </w:r>
      <w:r>
        <w:rPr>
          <w:rFonts w:ascii="宋体" w:hAnsi="宋体" w:eastAsia="宋体" w:cs="宋体"/>
          <w:spacing w:val="6"/>
          <w:sz w:val="20"/>
          <w:szCs w:val="20"/>
        </w:rPr>
        <w:t>号球代表</w:t>
      </w:r>
      <w:r>
        <w:rPr>
          <w:rFonts w:ascii="宋体" w:hAnsi="宋体" w:eastAsia="宋体" w:cs="宋体"/>
          <w:spacing w:val="-36"/>
          <w:sz w:val="20"/>
          <w:szCs w:val="20"/>
        </w:rPr>
        <w:t xml:space="preserve"> </w:t>
      </w:r>
      <w:r>
        <w:rPr>
          <w:rFonts w:ascii="宋体" w:hAnsi="宋体" w:eastAsia="宋体" w:cs="宋体"/>
          <w:spacing w:val="6"/>
          <w:sz w:val="20"/>
          <w:szCs w:val="20"/>
        </w:rPr>
        <w:t>K</w:t>
      </w:r>
      <w:r>
        <w:rPr>
          <w:rFonts w:ascii="宋体" w:hAnsi="宋体" w:eastAsia="宋体" w:cs="宋体"/>
          <w:spacing w:val="-35"/>
          <w:sz w:val="20"/>
          <w:szCs w:val="20"/>
        </w:rPr>
        <w:t xml:space="preserve"> </w:t>
      </w:r>
      <w:r>
        <w:rPr>
          <w:rFonts w:ascii="宋体" w:hAnsi="宋体" w:eastAsia="宋体" w:cs="宋体"/>
          <w:spacing w:val="6"/>
          <w:sz w:val="20"/>
          <w:szCs w:val="20"/>
        </w:rPr>
        <w:t>值为</w:t>
      </w:r>
      <w:r>
        <w:rPr>
          <w:rFonts w:ascii="宋体" w:hAnsi="宋体" w:eastAsia="宋体" w:cs="宋体"/>
          <w:spacing w:val="-33"/>
          <w:sz w:val="20"/>
          <w:szCs w:val="20"/>
        </w:rPr>
        <w:t xml:space="preserve"> </w:t>
      </w:r>
      <w:r>
        <w:rPr>
          <w:rFonts w:ascii="宋体" w:hAnsi="宋体" w:eastAsia="宋体" w:cs="宋体"/>
          <w:spacing w:val="6"/>
          <w:sz w:val="20"/>
          <w:szCs w:val="20"/>
        </w:rPr>
        <w:t>0.985；4</w:t>
      </w:r>
      <w:r>
        <w:rPr>
          <w:rFonts w:ascii="宋体" w:hAnsi="宋体" w:eastAsia="宋体" w:cs="宋体"/>
          <w:spacing w:val="9"/>
          <w:sz w:val="20"/>
          <w:szCs w:val="20"/>
        </w:rPr>
        <w:t>号球代表</w:t>
      </w:r>
      <w:r>
        <w:rPr>
          <w:rFonts w:ascii="宋体" w:hAnsi="宋体" w:eastAsia="宋体" w:cs="宋体"/>
          <w:spacing w:val="-37"/>
          <w:sz w:val="20"/>
          <w:szCs w:val="20"/>
        </w:rPr>
        <w:t xml:space="preserve"> </w:t>
      </w:r>
      <w:r>
        <w:rPr>
          <w:rFonts w:ascii="宋体" w:hAnsi="宋体" w:eastAsia="宋体" w:cs="宋体"/>
          <w:spacing w:val="9"/>
          <w:sz w:val="20"/>
          <w:szCs w:val="20"/>
        </w:rPr>
        <w:t>K</w:t>
      </w:r>
      <w:r>
        <w:rPr>
          <w:rFonts w:ascii="宋体" w:hAnsi="宋体" w:eastAsia="宋体" w:cs="宋体"/>
          <w:spacing w:val="-38"/>
          <w:sz w:val="20"/>
          <w:szCs w:val="20"/>
        </w:rPr>
        <w:t xml:space="preserve"> </w:t>
      </w:r>
      <w:r>
        <w:rPr>
          <w:rFonts w:ascii="宋体" w:hAnsi="宋体" w:eastAsia="宋体" w:cs="宋体"/>
          <w:spacing w:val="9"/>
          <w:sz w:val="20"/>
          <w:szCs w:val="20"/>
        </w:rPr>
        <w:t>值为</w:t>
      </w:r>
      <w:r>
        <w:rPr>
          <w:rFonts w:ascii="宋体" w:hAnsi="宋体" w:eastAsia="宋体" w:cs="宋体"/>
          <w:spacing w:val="-33"/>
          <w:sz w:val="20"/>
          <w:szCs w:val="20"/>
        </w:rPr>
        <w:t xml:space="preserve"> </w:t>
      </w:r>
      <w:r>
        <w:rPr>
          <w:rFonts w:ascii="宋体" w:hAnsi="宋体" w:eastAsia="宋体" w:cs="宋体"/>
          <w:spacing w:val="9"/>
          <w:sz w:val="20"/>
          <w:szCs w:val="20"/>
        </w:rPr>
        <w:t>0.99；5</w:t>
      </w:r>
      <w:r>
        <w:rPr>
          <w:rFonts w:ascii="宋体" w:hAnsi="宋体" w:eastAsia="宋体" w:cs="宋体"/>
          <w:spacing w:val="-31"/>
          <w:sz w:val="20"/>
          <w:szCs w:val="20"/>
        </w:rPr>
        <w:t xml:space="preserve"> </w:t>
      </w:r>
      <w:r>
        <w:rPr>
          <w:rFonts w:ascii="宋体" w:hAnsi="宋体" w:eastAsia="宋体" w:cs="宋体"/>
          <w:spacing w:val="9"/>
          <w:sz w:val="20"/>
          <w:szCs w:val="20"/>
        </w:rPr>
        <w:t>号球代表</w:t>
      </w:r>
      <w:r>
        <w:rPr>
          <w:rFonts w:ascii="宋体" w:hAnsi="宋体" w:eastAsia="宋体" w:cs="宋体"/>
          <w:spacing w:val="-37"/>
          <w:sz w:val="20"/>
          <w:szCs w:val="20"/>
        </w:rPr>
        <w:t xml:space="preserve"> </w:t>
      </w:r>
      <w:r>
        <w:rPr>
          <w:rFonts w:ascii="宋体" w:hAnsi="宋体" w:eastAsia="宋体" w:cs="宋体"/>
          <w:spacing w:val="9"/>
          <w:sz w:val="20"/>
          <w:szCs w:val="20"/>
        </w:rPr>
        <w:t>K</w:t>
      </w:r>
      <w:r>
        <w:rPr>
          <w:rFonts w:ascii="宋体" w:hAnsi="宋体" w:eastAsia="宋体" w:cs="宋体"/>
          <w:spacing w:val="-38"/>
          <w:sz w:val="20"/>
          <w:szCs w:val="20"/>
        </w:rPr>
        <w:t xml:space="preserve"> </w:t>
      </w:r>
      <w:r>
        <w:rPr>
          <w:rFonts w:ascii="宋体" w:hAnsi="宋体" w:eastAsia="宋体" w:cs="宋体"/>
          <w:spacing w:val="9"/>
          <w:sz w:val="20"/>
          <w:szCs w:val="20"/>
        </w:rPr>
        <w:t>值为</w:t>
      </w:r>
      <w:r>
        <w:rPr>
          <w:rFonts w:ascii="宋体" w:hAnsi="宋体" w:eastAsia="宋体" w:cs="宋体"/>
          <w:spacing w:val="-31"/>
          <w:sz w:val="20"/>
          <w:szCs w:val="20"/>
        </w:rPr>
        <w:t xml:space="preserve"> </w:t>
      </w:r>
      <w:r>
        <w:rPr>
          <w:rFonts w:ascii="宋体" w:hAnsi="宋体" w:eastAsia="宋体" w:cs="宋体"/>
          <w:spacing w:val="9"/>
          <w:sz w:val="20"/>
          <w:szCs w:val="20"/>
        </w:rPr>
        <w:t>0.995。在</w:t>
      </w:r>
      <w:r>
        <w:rPr>
          <w:rFonts w:ascii="宋体" w:hAnsi="宋体" w:eastAsia="宋体" w:cs="宋体"/>
          <w:spacing w:val="8"/>
          <w:sz w:val="20"/>
          <w:szCs w:val="20"/>
        </w:rPr>
        <w:t>投标文件第一信封（商务及技术文件）开标现</w:t>
      </w:r>
      <w:r>
        <w:rPr>
          <w:rFonts w:ascii="宋体" w:hAnsi="宋体" w:eastAsia="宋体" w:cs="宋体"/>
          <w:spacing w:val="9"/>
          <w:sz w:val="20"/>
          <w:szCs w:val="20"/>
        </w:rPr>
        <w:t>场通过随机抽取方式确定一个评标基准价系数</w:t>
      </w:r>
      <w:r>
        <w:rPr>
          <w:rFonts w:ascii="宋体" w:hAnsi="宋体" w:eastAsia="宋体" w:cs="宋体"/>
          <w:spacing w:val="-42"/>
          <w:sz w:val="20"/>
          <w:szCs w:val="20"/>
        </w:rPr>
        <w:t xml:space="preserve"> </w:t>
      </w:r>
      <w:r>
        <w:rPr>
          <w:rFonts w:ascii="宋体" w:hAnsi="宋体" w:eastAsia="宋体" w:cs="宋体"/>
          <w:spacing w:val="9"/>
          <w:sz w:val="20"/>
          <w:szCs w:val="20"/>
        </w:rPr>
        <w:t>K，并</w:t>
      </w:r>
      <w:r>
        <w:rPr>
          <w:rFonts w:ascii="宋体" w:hAnsi="宋体" w:eastAsia="宋体" w:cs="宋体"/>
          <w:spacing w:val="8"/>
          <w:sz w:val="20"/>
          <w:szCs w:val="20"/>
        </w:rPr>
        <w:t>当场公布。</w:t>
      </w:r>
    </w:p>
    <w:p w14:paraId="7C87FB7A">
      <w:pPr>
        <w:spacing w:line="226" w:lineRule="auto"/>
        <w:ind w:left="423"/>
        <w:rPr>
          <w:rFonts w:ascii="宋体" w:hAnsi="宋体" w:eastAsia="宋体" w:cs="宋体"/>
          <w:sz w:val="20"/>
          <w:szCs w:val="20"/>
        </w:rPr>
      </w:pPr>
      <w:r>
        <w:rPr>
          <w:rFonts w:ascii="宋体" w:hAnsi="宋体" w:eastAsia="宋体" w:cs="宋体"/>
          <w:spacing w:val="9"/>
          <w:sz w:val="20"/>
          <w:szCs w:val="20"/>
        </w:rPr>
        <w:t>2.如果抽取的评标基准价计算方法为方法一、方法三，则不需要抽取系数。</w:t>
      </w:r>
    </w:p>
    <w:p w14:paraId="08756191">
      <w:pPr>
        <w:spacing w:before="162" w:line="378" w:lineRule="auto"/>
        <w:ind w:left="4" w:right="174" w:firstLine="416"/>
        <w:jc w:val="both"/>
        <w:rPr>
          <w:rFonts w:ascii="宋体" w:hAnsi="宋体" w:eastAsia="宋体" w:cs="宋体"/>
          <w:sz w:val="20"/>
          <w:szCs w:val="20"/>
        </w:rPr>
      </w:pPr>
      <w:r>
        <w:rPr>
          <w:rFonts w:ascii="宋体" w:hAnsi="宋体" w:eastAsia="宋体" w:cs="宋体"/>
          <w:b/>
          <w:bCs/>
          <w:spacing w:val="11"/>
          <w:sz w:val="20"/>
          <w:szCs w:val="20"/>
        </w:rPr>
        <w:t>三、</w:t>
      </w:r>
      <w:r>
        <w:rPr>
          <w:rFonts w:ascii="宋体" w:hAnsi="宋体" w:eastAsia="宋体" w:cs="宋体"/>
          <w:spacing w:val="11"/>
          <w:sz w:val="20"/>
          <w:szCs w:val="20"/>
        </w:rPr>
        <w:t>如果遇到抽取器具发生故障，导致随机确定评标</w:t>
      </w:r>
      <w:r>
        <w:rPr>
          <w:rFonts w:ascii="宋体" w:hAnsi="宋体" w:eastAsia="宋体" w:cs="宋体"/>
          <w:spacing w:val="10"/>
          <w:sz w:val="20"/>
          <w:szCs w:val="20"/>
        </w:rPr>
        <w:t>基准价计算方法过程中断时，招标人应及</w:t>
      </w:r>
      <w:r>
        <w:rPr>
          <w:rFonts w:ascii="宋体" w:hAnsi="宋体" w:eastAsia="宋体" w:cs="宋体"/>
          <w:spacing w:val="11"/>
          <w:sz w:val="20"/>
          <w:szCs w:val="20"/>
        </w:rPr>
        <w:t>时宣布发生故障之前的随机确定评标基准价计算方法结果有</w:t>
      </w:r>
      <w:r>
        <w:rPr>
          <w:rFonts w:ascii="宋体" w:hAnsi="宋体" w:eastAsia="宋体" w:cs="宋体"/>
          <w:spacing w:val="10"/>
          <w:sz w:val="20"/>
          <w:szCs w:val="20"/>
        </w:rPr>
        <w:t>效。宣布前任何人不得随意处理抽取器</w:t>
      </w:r>
      <w:r>
        <w:rPr>
          <w:rFonts w:ascii="宋体" w:hAnsi="宋体" w:eastAsia="宋体" w:cs="宋体"/>
          <w:spacing w:val="11"/>
          <w:sz w:val="20"/>
          <w:szCs w:val="20"/>
        </w:rPr>
        <w:t>具，并请招标人、监督人员对故障发生情况进行书面确认。</w:t>
      </w:r>
      <w:r>
        <w:rPr>
          <w:rFonts w:ascii="宋体" w:hAnsi="宋体" w:eastAsia="宋体" w:cs="宋体"/>
          <w:spacing w:val="10"/>
          <w:sz w:val="20"/>
          <w:szCs w:val="20"/>
        </w:rPr>
        <w:t>故障排除或更换抽取器具后，招标人应</w:t>
      </w:r>
      <w:r>
        <w:rPr>
          <w:rFonts w:ascii="宋体" w:hAnsi="宋体" w:eastAsia="宋体" w:cs="宋体"/>
          <w:spacing w:val="8"/>
          <w:sz w:val="20"/>
          <w:szCs w:val="20"/>
        </w:rPr>
        <w:t>宣布继续后续的抽取程序。</w:t>
      </w:r>
    </w:p>
    <w:p w14:paraId="656C1D20">
      <w:pPr>
        <w:spacing w:line="378" w:lineRule="auto"/>
        <w:rPr>
          <w:rFonts w:ascii="宋体" w:hAnsi="宋体" w:eastAsia="宋体" w:cs="宋体"/>
          <w:sz w:val="20"/>
          <w:szCs w:val="20"/>
        </w:rPr>
        <w:sectPr>
          <w:headerReference r:id="rId7" w:type="default"/>
          <w:footerReference r:id="rId8" w:type="default"/>
          <w:pgSz w:w="11907" w:h="16840"/>
          <w:pgMar w:top="1092" w:right="1244" w:bottom="1002" w:left="1425" w:header="815" w:footer="840" w:gutter="0"/>
          <w:cols w:space="720" w:num="1"/>
        </w:sectPr>
      </w:pPr>
    </w:p>
    <w:p w14:paraId="3AB65B45">
      <w:pPr>
        <w:pStyle w:val="2"/>
        <w:spacing w:line="280" w:lineRule="auto"/>
      </w:pPr>
    </w:p>
    <w:p w14:paraId="34E4A1F2">
      <w:pPr>
        <w:spacing w:before="78" w:line="219" w:lineRule="auto"/>
        <w:ind w:left="28"/>
        <w:outlineLvl w:val="2"/>
        <w:rPr>
          <w:rFonts w:ascii="宋体" w:hAnsi="宋体" w:eastAsia="宋体" w:cs="宋体"/>
          <w:sz w:val="24"/>
          <w:szCs w:val="24"/>
        </w:rPr>
      </w:pPr>
      <w:r>
        <w:rPr>
          <w:rFonts w:ascii="宋体" w:hAnsi="宋体" w:eastAsia="宋体" w:cs="宋体"/>
          <w:b/>
          <w:bCs/>
          <w:spacing w:val="-6"/>
          <w:sz w:val="24"/>
          <w:szCs w:val="24"/>
        </w:rPr>
        <w:t>附件</w:t>
      </w:r>
      <w:r>
        <w:rPr>
          <w:rFonts w:ascii="Times New Roman" w:hAnsi="Times New Roman" w:eastAsia="Times New Roman" w:cs="Times New Roman"/>
          <w:b/>
          <w:bCs/>
          <w:spacing w:val="-6"/>
          <w:sz w:val="24"/>
          <w:szCs w:val="24"/>
        </w:rPr>
        <w:t>3</w:t>
      </w:r>
      <w:r>
        <w:rPr>
          <w:rFonts w:ascii="宋体" w:hAnsi="宋体" w:eastAsia="宋体" w:cs="宋体"/>
          <w:b/>
          <w:bCs/>
          <w:spacing w:val="-6"/>
          <w:sz w:val="24"/>
          <w:szCs w:val="24"/>
        </w:rPr>
        <w:t>：评标办法</w:t>
      </w:r>
    </w:p>
    <w:p w14:paraId="492E7630">
      <w:pPr>
        <w:spacing w:before="147" w:line="219" w:lineRule="auto"/>
        <w:ind w:left="8"/>
        <w:outlineLvl w:val="2"/>
        <w:rPr>
          <w:rFonts w:ascii="宋体" w:hAnsi="宋体" w:eastAsia="宋体" w:cs="宋体"/>
          <w:sz w:val="24"/>
          <w:szCs w:val="24"/>
        </w:rPr>
      </w:pPr>
      <w:r>
        <w:rPr>
          <w:rFonts w:ascii="宋体" w:hAnsi="宋体" w:eastAsia="宋体" w:cs="宋体"/>
          <w:b/>
          <w:bCs/>
          <w:sz w:val="24"/>
          <w:szCs w:val="24"/>
        </w:rPr>
        <w:t>评标办法前附表</w:t>
      </w:r>
    </w:p>
    <w:p w14:paraId="6441F930">
      <w:pPr>
        <w:spacing w:line="146" w:lineRule="exact"/>
      </w:pPr>
    </w:p>
    <w:tbl>
      <w:tblPr>
        <w:tblStyle w:val="6"/>
        <w:tblW w:w="96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1180"/>
        <w:gridCol w:w="1995"/>
        <w:gridCol w:w="5528"/>
      </w:tblGrid>
      <w:tr w14:paraId="5B8F7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130" w:type="dxa"/>
            <w:gridSpan w:val="2"/>
            <w:vAlign w:val="top"/>
          </w:tcPr>
          <w:p w14:paraId="668AA030">
            <w:pPr>
              <w:pStyle w:val="5"/>
              <w:spacing w:before="204" w:line="228" w:lineRule="auto"/>
              <w:ind w:left="451"/>
            </w:pPr>
            <w:r>
              <w:rPr>
                <w:spacing w:val="6"/>
              </w:rPr>
              <w:t>条款号</w:t>
            </w:r>
          </w:p>
        </w:tc>
        <w:tc>
          <w:tcPr>
            <w:tcW w:w="1995" w:type="dxa"/>
            <w:vAlign w:val="top"/>
          </w:tcPr>
          <w:p w14:paraId="19F8A20F">
            <w:pPr>
              <w:pStyle w:val="5"/>
              <w:spacing w:before="204" w:line="228" w:lineRule="auto"/>
              <w:ind w:left="601"/>
            </w:pPr>
            <w:r>
              <w:rPr>
                <w:spacing w:val="7"/>
              </w:rPr>
              <w:t>评审因素</w:t>
            </w:r>
          </w:p>
        </w:tc>
        <w:tc>
          <w:tcPr>
            <w:tcW w:w="5528" w:type="dxa"/>
            <w:vAlign w:val="top"/>
          </w:tcPr>
          <w:p w14:paraId="67D39D6A">
            <w:pPr>
              <w:pStyle w:val="5"/>
              <w:spacing w:before="205" w:line="228" w:lineRule="auto"/>
              <w:ind w:left="1431"/>
            </w:pPr>
            <w:r>
              <w:rPr>
                <w:spacing w:val="7"/>
              </w:rPr>
              <w:t>评审标准</w:t>
            </w:r>
          </w:p>
        </w:tc>
      </w:tr>
      <w:tr w14:paraId="549C5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3" w:hRule="atLeast"/>
        </w:trPr>
        <w:tc>
          <w:tcPr>
            <w:tcW w:w="950" w:type="dxa"/>
            <w:vAlign w:val="top"/>
          </w:tcPr>
          <w:p w14:paraId="67C0740E">
            <w:pPr>
              <w:rPr>
                <w:rFonts w:ascii="Arial"/>
                <w:sz w:val="21"/>
              </w:rPr>
            </w:pPr>
          </w:p>
          <w:p w14:paraId="4D9B2C53">
            <w:pPr>
              <w:rPr>
                <w:rFonts w:ascii="Arial"/>
                <w:sz w:val="21"/>
              </w:rPr>
            </w:pPr>
          </w:p>
          <w:p w14:paraId="6A2D1440">
            <w:pPr>
              <w:rPr>
                <w:rFonts w:ascii="Arial"/>
                <w:sz w:val="21"/>
              </w:rPr>
            </w:pPr>
          </w:p>
          <w:p w14:paraId="320386EE">
            <w:pPr>
              <w:spacing w:line="241" w:lineRule="auto"/>
              <w:rPr>
                <w:rFonts w:ascii="Arial"/>
                <w:sz w:val="21"/>
              </w:rPr>
            </w:pPr>
          </w:p>
          <w:p w14:paraId="2C6BD21F">
            <w:pPr>
              <w:spacing w:line="241" w:lineRule="auto"/>
              <w:rPr>
                <w:rFonts w:ascii="Arial"/>
                <w:sz w:val="21"/>
              </w:rPr>
            </w:pPr>
          </w:p>
          <w:p w14:paraId="5BBA2A83">
            <w:pPr>
              <w:spacing w:line="241" w:lineRule="auto"/>
              <w:rPr>
                <w:rFonts w:ascii="Arial"/>
                <w:sz w:val="21"/>
              </w:rPr>
            </w:pPr>
          </w:p>
          <w:p w14:paraId="0A90AA39">
            <w:pPr>
              <w:pStyle w:val="5"/>
              <w:spacing w:before="65" w:line="271" w:lineRule="exact"/>
              <w:ind w:left="285"/>
            </w:pPr>
            <w:r>
              <w:rPr>
                <w:position w:val="1"/>
              </w:rPr>
              <w:t>1</w:t>
            </w:r>
          </w:p>
        </w:tc>
        <w:tc>
          <w:tcPr>
            <w:tcW w:w="1180" w:type="dxa"/>
            <w:vAlign w:val="top"/>
          </w:tcPr>
          <w:p w14:paraId="4B829581">
            <w:pPr>
              <w:rPr>
                <w:rFonts w:ascii="Arial"/>
                <w:sz w:val="21"/>
              </w:rPr>
            </w:pPr>
          </w:p>
          <w:p w14:paraId="194CE01D">
            <w:pPr>
              <w:rPr>
                <w:rFonts w:ascii="Arial"/>
                <w:sz w:val="21"/>
              </w:rPr>
            </w:pPr>
          </w:p>
          <w:p w14:paraId="0D33F3E0">
            <w:pPr>
              <w:spacing w:line="241" w:lineRule="auto"/>
              <w:rPr>
                <w:rFonts w:ascii="Arial"/>
                <w:sz w:val="21"/>
              </w:rPr>
            </w:pPr>
          </w:p>
          <w:p w14:paraId="56513ADA">
            <w:pPr>
              <w:spacing w:line="241" w:lineRule="auto"/>
              <w:rPr>
                <w:rFonts w:ascii="Arial"/>
                <w:sz w:val="21"/>
              </w:rPr>
            </w:pPr>
          </w:p>
          <w:p w14:paraId="2A4E5FE3">
            <w:pPr>
              <w:spacing w:line="241" w:lineRule="auto"/>
              <w:rPr>
                <w:rFonts w:ascii="Arial"/>
                <w:sz w:val="21"/>
              </w:rPr>
            </w:pPr>
          </w:p>
          <w:p w14:paraId="6EB4E72F">
            <w:pPr>
              <w:spacing w:line="241" w:lineRule="auto"/>
              <w:rPr>
                <w:rFonts w:ascii="Arial"/>
                <w:sz w:val="21"/>
              </w:rPr>
            </w:pPr>
          </w:p>
          <w:p w14:paraId="0F38CFF9">
            <w:pPr>
              <w:pStyle w:val="5"/>
              <w:spacing w:before="65" w:line="228" w:lineRule="auto"/>
              <w:ind w:left="194"/>
            </w:pPr>
            <w:r>
              <w:rPr>
                <w:spacing w:val="7"/>
              </w:rPr>
              <w:t>评标方法</w:t>
            </w:r>
          </w:p>
        </w:tc>
        <w:tc>
          <w:tcPr>
            <w:tcW w:w="1995" w:type="dxa"/>
            <w:vAlign w:val="top"/>
          </w:tcPr>
          <w:p w14:paraId="309AC119">
            <w:pPr>
              <w:rPr>
                <w:rFonts w:ascii="Arial"/>
                <w:sz w:val="21"/>
              </w:rPr>
            </w:pPr>
          </w:p>
          <w:p w14:paraId="679BC1AA">
            <w:pPr>
              <w:rPr>
                <w:rFonts w:ascii="Arial"/>
                <w:sz w:val="21"/>
              </w:rPr>
            </w:pPr>
          </w:p>
          <w:p w14:paraId="2BE512A5">
            <w:pPr>
              <w:rPr>
                <w:rFonts w:ascii="Arial"/>
                <w:sz w:val="21"/>
              </w:rPr>
            </w:pPr>
          </w:p>
          <w:p w14:paraId="19E96ECB">
            <w:pPr>
              <w:spacing w:line="241" w:lineRule="auto"/>
              <w:rPr>
                <w:rFonts w:ascii="Arial"/>
                <w:sz w:val="21"/>
              </w:rPr>
            </w:pPr>
          </w:p>
          <w:p w14:paraId="31026C49">
            <w:pPr>
              <w:spacing w:line="241" w:lineRule="auto"/>
              <w:rPr>
                <w:rFonts w:ascii="Arial"/>
                <w:sz w:val="21"/>
              </w:rPr>
            </w:pPr>
          </w:p>
          <w:p w14:paraId="2006117D">
            <w:pPr>
              <w:spacing w:line="241" w:lineRule="auto"/>
              <w:rPr>
                <w:rFonts w:ascii="Arial"/>
                <w:sz w:val="21"/>
              </w:rPr>
            </w:pPr>
          </w:p>
          <w:p w14:paraId="4CFB3A7F">
            <w:pPr>
              <w:pStyle w:val="5"/>
              <w:spacing w:before="65" w:line="228" w:lineRule="auto"/>
              <w:ind w:left="103"/>
            </w:pPr>
            <w:r>
              <w:rPr>
                <w:spacing w:val="5"/>
              </w:rPr>
              <w:t>中标候选人排序方法</w:t>
            </w:r>
          </w:p>
        </w:tc>
        <w:tc>
          <w:tcPr>
            <w:tcW w:w="5528" w:type="dxa"/>
            <w:vAlign w:val="top"/>
          </w:tcPr>
          <w:p w14:paraId="651874B4">
            <w:pPr>
              <w:pStyle w:val="5"/>
              <w:spacing w:before="77" w:line="227" w:lineRule="auto"/>
              <w:ind w:left="33"/>
            </w:pPr>
            <w:r>
              <w:rPr>
                <w:spacing w:val="5"/>
              </w:rPr>
              <w:t>本条修改为：</w:t>
            </w:r>
          </w:p>
          <w:p w14:paraId="7971158F">
            <w:pPr>
              <w:pStyle w:val="5"/>
              <w:spacing w:before="70" w:line="296" w:lineRule="auto"/>
              <w:ind w:left="10" w:right="4" w:firstLine="421"/>
              <w:jc w:val="both"/>
            </w:pPr>
            <w:r>
              <w:rPr>
                <w:spacing w:val="12"/>
              </w:rPr>
              <w:t>本次评标采用综合评估法。评标委员会对满足招</w:t>
            </w:r>
            <w:r>
              <w:rPr>
                <w:spacing w:val="11"/>
              </w:rPr>
              <w:t>标文件</w:t>
            </w:r>
            <w:r>
              <w:rPr>
                <w:spacing w:val="10"/>
              </w:rPr>
              <w:t>实质性要求的投标文件，按照本评标办法第</w:t>
            </w:r>
            <w:r>
              <w:rPr>
                <w:spacing w:val="-29"/>
              </w:rPr>
              <w:t xml:space="preserve"> </w:t>
            </w:r>
            <w:r>
              <w:rPr>
                <w:spacing w:val="10"/>
              </w:rPr>
              <w:t>2.2</w:t>
            </w:r>
            <w:r>
              <w:rPr>
                <w:spacing w:val="-34"/>
              </w:rPr>
              <w:t xml:space="preserve"> </w:t>
            </w:r>
            <w:r>
              <w:rPr>
                <w:spacing w:val="10"/>
              </w:rPr>
              <w:t>款规定的评</w:t>
            </w:r>
            <w:r>
              <w:rPr>
                <w:spacing w:val="9"/>
              </w:rPr>
              <w:t>分标准进行打分，并按得分由高到低顺序推荐</w:t>
            </w:r>
            <w:r>
              <w:rPr>
                <w:spacing w:val="-3"/>
              </w:rPr>
              <w:t xml:space="preserve"> </w:t>
            </w:r>
            <w:r>
              <w:rPr>
                <w:spacing w:val="9"/>
              </w:rPr>
              <w:t>1-3</w:t>
            </w:r>
            <w:r>
              <w:rPr>
                <w:spacing w:val="-36"/>
              </w:rPr>
              <w:t xml:space="preserve"> </w:t>
            </w:r>
            <w:r>
              <w:rPr>
                <w:spacing w:val="9"/>
              </w:rPr>
              <w:t>名中标候</w:t>
            </w:r>
            <w:r>
              <w:rPr>
                <w:spacing w:val="12"/>
              </w:rPr>
              <w:t>选人。综合评分相等时，评标委员会依次按照</w:t>
            </w:r>
            <w:r>
              <w:rPr>
                <w:spacing w:val="11"/>
              </w:rPr>
              <w:t>以下优先顺序</w:t>
            </w:r>
            <w:r>
              <w:rPr>
                <w:spacing w:val="7"/>
              </w:rPr>
              <w:t>推荐中标候选人：</w:t>
            </w:r>
          </w:p>
          <w:p w14:paraId="6CC151BA">
            <w:pPr>
              <w:pStyle w:val="5"/>
              <w:spacing w:line="226" w:lineRule="auto"/>
              <w:ind w:left="441"/>
            </w:pPr>
            <w:r>
              <w:rPr>
                <w:spacing w:val="7"/>
              </w:rPr>
              <w:t>（1）评标价低的投标人优先；</w:t>
            </w:r>
          </w:p>
          <w:p w14:paraId="6C0B1B16">
            <w:pPr>
              <w:pStyle w:val="5"/>
              <w:spacing w:before="73" w:line="228" w:lineRule="auto"/>
              <w:ind w:left="441"/>
            </w:pPr>
            <w:r>
              <w:rPr>
                <w:spacing w:val="8"/>
              </w:rPr>
              <w:t>（2）技术部分得分较高的投标人优先；</w:t>
            </w:r>
          </w:p>
          <w:p w14:paraId="31EC29C6">
            <w:pPr>
              <w:pStyle w:val="5"/>
              <w:spacing w:before="73" w:line="257" w:lineRule="auto"/>
              <w:ind w:left="32" w:right="7" w:firstLine="430"/>
            </w:pPr>
            <w:r>
              <w:rPr>
                <w:spacing w:val="10"/>
              </w:rPr>
              <w:t>（3）满足资格审查条件附录3（业绩最低要求）要求的</w:t>
            </w:r>
            <w:r>
              <w:rPr>
                <w:spacing w:val="8"/>
              </w:rPr>
              <w:t>沥青累计供货数量多的投标人优先。</w:t>
            </w:r>
          </w:p>
        </w:tc>
      </w:tr>
      <w:tr w14:paraId="21C56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3" w:type="dxa"/>
            <w:gridSpan w:val="4"/>
            <w:vAlign w:val="top"/>
          </w:tcPr>
          <w:p w14:paraId="23FCB4C8">
            <w:pPr>
              <w:pStyle w:val="5"/>
              <w:spacing w:before="203" w:line="228" w:lineRule="auto"/>
              <w:ind w:left="34"/>
            </w:pPr>
            <w:r>
              <w:rPr>
                <w:b/>
                <w:bCs/>
                <w:spacing w:val="8"/>
              </w:rPr>
              <w:t>第一个信封（商务及技术文件）评审标准</w:t>
            </w:r>
          </w:p>
        </w:tc>
      </w:tr>
      <w:tr w14:paraId="42B8F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restart"/>
            <w:tcBorders>
              <w:bottom w:val="nil"/>
            </w:tcBorders>
            <w:vAlign w:val="top"/>
          </w:tcPr>
          <w:p w14:paraId="6EB42FE7">
            <w:pPr>
              <w:spacing w:line="246" w:lineRule="auto"/>
              <w:rPr>
                <w:rFonts w:ascii="Arial"/>
                <w:sz w:val="21"/>
              </w:rPr>
            </w:pPr>
          </w:p>
          <w:p w14:paraId="2EBFFC8A">
            <w:pPr>
              <w:spacing w:line="246" w:lineRule="auto"/>
              <w:rPr>
                <w:rFonts w:ascii="Arial"/>
                <w:sz w:val="21"/>
              </w:rPr>
            </w:pPr>
          </w:p>
          <w:p w14:paraId="420587E3">
            <w:pPr>
              <w:spacing w:line="246" w:lineRule="auto"/>
              <w:rPr>
                <w:rFonts w:ascii="Arial"/>
                <w:sz w:val="21"/>
              </w:rPr>
            </w:pPr>
          </w:p>
          <w:p w14:paraId="0AD14644">
            <w:pPr>
              <w:spacing w:line="246" w:lineRule="auto"/>
              <w:rPr>
                <w:rFonts w:ascii="Arial"/>
                <w:sz w:val="21"/>
              </w:rPr>
            </w:pPr>
          </w:p>
          <w:p w14:paraId="007B960A">
            <w:pPr>
              <w:spacing w:line="246" w:lineRule="auto"/>
              <w:rPr>
                <w:rFonts w:ascii="Arial"/>
                <w:sz w:val="21"/>
              </w:rPr>
            </w:pPr>
          </w:p>
          <w:p w14:paraId="1A5F4C3A">
            <w:pPr>
              <w:spacing w:line="246" w:lineRule="auto"/>
              <w:rPr>
                <w:rFonts w:ascii="Arial"/>
                <w:sz w:val="21"/>
              </w:rPr>
            </w:pPr>
          </w:p>
          <w:p w14:paraId="130516CE">
            <w:pPr>
              <w:spacing w:line="246" w:lineRule="auto"/>
              <w:rPr>
                <w:rFonts w:ascii="Arial"/>
                <w:sz w:val="21"/>
              </w:rPr>
            </w:pPr>
          </w:p>
          <w:p w14:paraId="16A109F7">
            <w:pPr>
              <w:spacing w:line="247" w:lineRule="auto"/>
              <w:rPr>
                <w:rFonts w:ascii="Arial"/>
                <w:sz w:val="21"/>
              </w:rPr>
            </w:pPr>
          </w:p>
          <w:p w14:paraId="16C31FFE">
            <w:pPr>
              <w:spacing w:line="247" w:lineRule="auto"/>
              <w:rPr>
                <w:rFonts w:ascii="Arial"/>
                <w:sz w:val="21"/>
              </w:rPr>
            </w:pPr>
          </w:p>
          <w:p w14:paraId="72ED9438">
            <w:pPr>
              <w:pStyle w:val="5"/>
              <w:spacing w:before="65" w:line="268" w:lineRule="exact"/>
              <w:ind w:left="37"/>
            </w:pPr>
            <w:r>
              <w:rPr>
                <w:spacing w:val="2"/>
                <w:position w:val="1"/>
              </w:rPr>
              <w:t>2.1.1</w:t>
            </w:r>
          </w:p>
        </w:tc>
        <w:tc>
          <w:tcPr>
            <w:tcW w:w="1180" w:type="dxa"/>
            <w:vMerge w:val="restart"/>
            <w:tcBorders>
              <w:bottom w:val="nil"/>
            </w:tcBorders>
            <w:vAlign w:val="top"/>
          </w:tcPr>
          <w:p w14:paraId="2A6F981A">
            <w:pPr>
              <w:spacing w:line="257" w:lineRule="auto"/>
              <w:rPr>
                <w:rFonts w:ascii="Arial"/>
                <w:sz w:val="21"/>
              </w:rPr>
            </w:pPr>
          </w:p>
          <w:p w14:paraId="3970813E">
            <w:pPr>
              <w:spacing w:line="257" w:lineRule="auto"/>
              <w:rPr>
                <w:rFonts w:ascii="Arial"/>
                <w:sz w:val="21"/>
              </w:rPr>
            </w:pPr>
          </w:p>
          <w:p w14:paraId="2E2D0A8E">
            <w:pPr>
              <w:spacing w:line="257" w:lineRule="auto"/>
              <w:rPr>
                <w:rFonts w:ascii="Arial"/>
                <w:sz w:val="21"/>
              </w:rPr>
            </w:pPr>
          </w:p>
          <w:p w14:paraId="4F83754D">
            <w:pPr>
              <w:spacing w:line="257" w:lineRule="auto"/>
              <w:rPr>
                <w:rFonts w:ascii="Arial"/>
                <w:sz w:val="21"/>
              </w:rPr>
            </w:pPr>
          </w:p>
          <w:p w14:paraId="454170A4">
            <w:pPr>
              <w:spacing w:line="257" w:lineRule="auto"/>
              <w:rPr>
                <w:rFonts w:ascii="Arial"/>
                <w:sz w:val="21"/>
              </w:rPr>
            </w:pPr>
          </w:p>
          <w:p w14:paraId="4EE377BF">
            <w:pPr>
              <w:spacing w:line="257" w:lineRule="auto"/>
              <w:rPr>
                <w:rFonts w:ascii="Arial"/>
                <w:sz w:val="21"/>
              </w:rPr>
            </w:pPr>
          </w:p>
          <w:p w14:paraId="4E2F394D">
            <w:pPr>
              <w:spacing w:line="258" w:lineRule="auto"/>
              <w:rPr>
                <w:rFonts w:ascii="Arial"/>
                <w:sz w:val="21"/>
              </w:rPr>
            </w:pPr>
          </w:p>
          <w:p w14:paraId="69B3B0DF">
            <w:pPr>
              <w:spacing w:line="258" w:lineRule="auto"/>
              <w:rPr>
                <w:rFonts w:ascii="Arial"/>
                <w:sz w:val="21"/>
              </w:rPr>
            </w:pPr>
          </w:p>
          <w:p w14:paraId="4BF1D894">
            <w:pPr>
              <w:pStyle w:val="5"/>
              <w:spacing w:before="65" w:line="297" w:lineRule="auto"/>
              <w:ind w:left="239" w:right="65" w:hanging="207"/>
            </w:pPr>
            <w:r>
              <w:rPr>
                <w:spacing w:val="15"/>
              </w:rPr>
              <w:t>形式评审标</w:t>
            </w:r>
            <w:r>
              <w:t>准</w:t>
            </w:r>
          </w:p>
        </w:tc>
        <w:tc>
          <w:tcPr>
            <w:tcW w:w="1995" w:type="dxa"/>
            <w:vAlign w:val="top"/>
          </w:tcPr>
          <w:p w14:paraId="0608A5DC">
            <w:pPr>
              <w:pStyle w:val="5"/>
              <w:spacing w:before="202" w:line="228" w:lineRule="auto"/>
              <w:ind w:left="501"/>
            </w:pPr>
            <w:r>
              <w:rPr>
                <w:spacing w:val="6"/>
              </w:rPr>
              <w:t>投标人名称</w:t>
            </w:r>
          </w:p>
        </w:tc>
        <w:tc>
          <w:tcPr>
            <w:tcW w:w="5528" w:type="dxa"/>
            <w:vAlign w:val="top"/>
          </w:tcPr>
          <w:p w14:paraId="1767D72A">
            <w:pPr>
              <w:pStyle w:val="5"/>
              <w:spacing w:before="202" w:line="228" w:lineRule="auto"/>
              <w:ind w:left="36"/>
            </w:pPr>
            <w:r>
              <w:rPr>
                <w:spacing w:val="6"/>
              </w:rPr>
              <w:t>与营业执照一致</w:t>
            </w:r>
          </w:p>
        </w:tc>
      </w:tr>
      <w:tr w14:paraId="10996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950" w:type="dxa"/>
            <w:vMerge w:val="continue"/>
            <w:tcBorders>
              <w:top w:val="nil"/>
              <w:bottom w:val="nil"/>
            </w:tcBorders>
            <w:vAlign w:val="top"/>
          </w:tcPr>
          <w:p w14:paraId="6374B2C0">
            <w:pPr>
              <w:rPr>
                <w:rFonts w:ascii="Arial"/>
                <w:sz w:val="21"/>
              </w:rPr>
            </w:pPr>
          </w:p>
        </w:tc>
        <w:tc>
          <w:tcPr>
            <w:tcW w:w="1180" w:type="dxa"/>
            <w:vMerge w:val="continue"/>
            <w:tcBorders>
              <w:top w:val="nil"/>
              <w:bottom w:val="nil"/>
            </w:tcBorders>
            <w:vAlign w:val="top"/>
          </w:tcPr>
          <w:p w14:paraId="0EEEAF6D">
            <w:pPr>
              <w:rPr>
                <w:rFonts w:ascii="Arial"/>
                <w:sz w:val="21"/>
              </w:rPr>
            </w:pPr>
          </w:p>
        </w:tc>
        <w:tc>
          <w:tcPr>
            <w:tcW w:w="1995" w:type="dxa"/>
            <w:vAlign w:val="top"/>
          </w:tcPr>
          <w:p w14:paraId="780DB282">
            <w:pPr>
              <w:spacing w:line="245" w:lineRule="auto"/>
              <w:rPr>
                <w:rFonts w:ascii="Arial"/>
                <w:sz w:val="21"/>
              </w:rPr>
            </w:pPr>
          </w:p>
          <w:p w14:paraId="2B817D85">
            <w:pPr>
              <w:spacing w:line="245" w:lineRule="auto"/>
              <w:rPr>
                <w:rFonts w:ascii="Arial"/>
                <w:sz w:val="21"/>
              </w:rPr>
            </w:pPr>
          </w:p>
          <w:p w14:paraId="0D33EBB4">
            <w:pPr>
              <w:pStyle w:val="5"/>
              <w:spacing w:before="65" w:line="227" w:lineRule="auto"/>
              <w:ind w:left="175"/>
            </w:pPr>
            <w:r>
              <w:rPr>
                <w:spacing w:val="8"/>
              </w:rPr>
              <w:t>投标文件签字盖章</w:t>
            </w:r>
          </w:p>
        </w:tc>
        <w:tc>
          <w:tcPr>
            <w:tcW w:w="5528" w:type="dxa"/>
            <w:vAlign w:val="top"/>
          </w:tcPr>
          <w:p w14:paraId="5BF14F63">
            <w:pPr>
              <w:pStyle w:val="5"/>
              <w:spacing w:before="78" w:line="276" w:lineRule="auto"/>
              <w:ind w:left="32" w:right="2"/>
              <w:jc w:val="both"/>
            </w:pPr>
            <w:r>
              <w:rPr>
                <w:spacing w:val="10"/>
              </w:rPr>
              <w:t>第六章“投标文件格式</w:t>
            </w:r>
            <w:r>
              <w:rPr>
                <w:spacing w:val="-73"/>
              </w:rPr>
              <w:t xml:space="preserve"> </w:t>
            </w:r>
            <w:r>
              <w:rPr>
                <w:spacing w:val="10"/>
              </w:rPr>
              <w:t>”中要求盖单位章和（或）法定代表</w:t>
            </w:r>
            <w:r>
              <w:rPr>
                <w:spacing w:val="5"/>
              </w:rPr>
              <w:t>人或其委托代理人签字的地方，投标人均应使用</w:t>
            </w:r>
            <w:r>
              <w:rPr>
                <w:spacing w:val="-43"/>
              </w:rPr>
              <w:t xml:space="preserve"> </w:t>
            </w:r>
            <w:r>
              <w:t>CA</w:t>
            </w:r>
            <w:r>
              <w:rPr>
                <w:spacing w:val="5"/>
              </w:rPr>
              <w:t xml:space="preserve"> 数字证书</w:t>
            </w:r>
            <w:r>
              <w:rPr>
                <w:spacing w:val="11"/>
              </w:rPr>
              <w:t>加盖投标人的单位电子印章和（或）法定代表人或其委托代</w:t>
            </w:r>
            <w:r>
              <w:rPr>
                <w:spacing w:val="7"/>
              </w:rPr>
              <w:t>理人的个人电子印章或电子签名章，无需手签。</w:t>
            </w:r>
          </w:p>
        </w:tc>
      </w:tr>
      <w:tr w14:paraId="58592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4DF865BD">
            <w:pPr>
              <w:rPr>
                <w:rFonts w:ascii="Arial"/>
                <w:sz w:val="21"/>
              </w:rPr>
            </w:pPr>
          </w:p>
        </w:tc>
        <w:tc>
          <w:tcPr>
            <w:tcW w:w="1180" w:type="dxa"/>
            <w:vMerge w:val="continue"/>
            <w:tcBorders>
              <w:top w:val="nil"/>
              <w:bottom w:val="nil"/>
            </w:tcBorders>
            <w:vAlign w:val="top"/>
          </w:tcPr>
          <w:p w14:paraId="47730CA5">
            <w:pPr>
              <w:rPr>
                <w:rFonts w:ascii="Arial"/>
                <w:sz w:val="21"/>
              </w:rPr>
            </w:pPr>
          </w:p>
        </w:tc>
        <w:tc>
          <w:tcPr>
            <w:tcW w:w="1995" w:type="dxa"/>
            <w:vAlign w:val="top"/>
          </w:tcPr>
          <w:p w14:paraId="1977B6DC">
            <w:pPr>
              <w:pStyle w:val="5"/>
              <w:spacing w:before="203" w:line="228" w:lineRule="auto"/>
              <w:ind w:left="398"/>
            </w:pPr>
            <w:r>
              <w:rPr>
                <w:spacing w:val="7"/>
              </w:rPr>
              <w:t>投标文件格式</w:t>
            </w:r>
          </w:p>
        </w:tc>
        <w:tc>
          <w:tcPr>
            <w:tcW w:w="5528" w:type="dxa"/>
            <w:vAlign w:val="top"/>
          </w:tcPr>
          <w:p w14:paraId="379AD386">
            <w:pPr>
              <w:pStyle w:val="5"/>
              <w:spacing w:before="203" w:line="227" w:lineRule="auto"/>
              <w:ind w:left="34"/>
            </w:pPr>
            <w:r>
              <w:rPr>
                <w:spacing w:val="7"/>
              </w:rPr>
              <w:t>符合第六章“投标文件格式”的规定</w:t>
            </w:r>
          </w:p>
        </w:tc>
      </w:tr>
      <w:tr w14:paraId="5B725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950" w:type="dxa"/>
            <w:vMerge w:val="continue"/>
            <w:tcBorders>
              <w:top w:val="nil"/>
              <w:bottom w:val="nil"/>
            </w:tcBorders>
            <w:vAlign w:val="top"/>
          </w:tcPr>
          <w:p w14:paraId="479A66BD">
            <w:pPr>
              <w:rPr>
                <w:rFonts w:ascii="Arial"/>
                <w:sz w:val="21"/>
              </w:rPr>
            </w:pPr>
          </w:p>
        </w:tc>
        <w:tc>
          <w:tcPr>
            <w:tcW w:w="1180" w:type="dxa"/>
            <w:vMerge w:val="continue"/>
            <w:tcBorders>
              <w:top w:val="nil"/>
              <w:bottom w:val="nil"/>
            </w:tcBorders>
            <w:vAlign w:val="top"/>
          </w:tcPr>
          <w:p w14:paraId="402C2D4F">
            <w:pPr>
              <w:rPr>
                <w:rFonts w:ascii="Arial"/>
                <w:sz w:val="21"/>
              </w:rPr>
            </w:pPr>
          </w:p>
        </w:tc>
        <w:tc>
          <w:tcPr>
            <w:tcW w:w="1995" w:type="dxa"/>
            <w:vAlign w:val="top"/>
          </w:tcPr>
          <w:p w14:paraId="34DC60EC">
            <w:pPr>
              <w:pStyle w:val="5"/>
              <w:spacing w:before="79" w:line="256" w:lineRule="auto"/>
              <w:ind w:left="183" w:right="30" w:hanging="104"/>
            </w:pPr>
            <w:r>
              <w:rPr>
                <w:spacing w:val="8"/>
              </w:rPr>
              <w:t>制造商授权书（投标</w:t>
            </w:r>
            <w:r>
              <w:rPr>
                <w:spacing w:val="7"/>
              </w:rPr>
              <w:t>人为代理商适用）</w:t>
            </w:r>
          </w:p>
        </w:tc>
        <w:tc>
          <w:tcPr>
            <w:tcW w:w="5528" w:type="dxa"/>
            <w:vAlign w:val="top"/>
          </w:tcPr>
          <w:p w14:paraId="24B4357D">
            <w:pPr>
              <w:pStyle w:val="5"/>
              <w:spacing w:before="240" w:line="227" w:lineRule="auto"/>
              <w:ind w:left="33"/>
            </w:pPr>
            <w:r>
              <w:rPr>
                <w:spacing w:val="9"/>
              </w:rPr>
              <w:t>提供制造商唯一授权书，符合招标文件要求</w:t>
            </w:r>
          </w:p>
        </w:tc>
      </w:tr>
      <w:tr w14:paraId="62152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30D48896">
            <w:pPr>
              <w:rPr>
                <w:rFonts w:ascii="Arial"/>
                <w:sz w:val="21"/>
              </w:rPr>
            </w:pPr>
          </w:p>
        </w:tc>
        <w:tc>
          <w:tcPr>
            <w:tcW w:w="1180" w:type="dxa"/>
            <w:vMerge w:val="continue"/>
            <w:tcBorders>
              <w:top w:val="nil"/>
              <w:bottom w:val="nil"/>
            </w:tcBorders>
            <w:vAlign w:val="top"/>
          </w:tcPr>
          <w:p w14:paraId="45A72F9A">
            <w:pPr>
              <w:rPr>
                <w:rFonts w:ascii="Arial"/>
                <w:sz w:val="21"/>
              </w:rPr>
            </w:pPr>
          </w:p>
        </w:tc>
        <w:tc>
          <w:tcPr>
            <w:tcW w:w="1995" w:type="dxa"/>
            <w:vAlign w:val="top"/>
          </w:tcPr>
          <w:p w14:paraId="30B86198">
            <w:pPr>
              <w:pStyle w:val="5"/>
              <w:spacing w:before="204" w:line="228" w:lineRule="auto"/>
              <w:ind w:left="384"/>
            </w:pPr>
            <w:r>
              <w:rPr>
                <w:spacing w:val="8"/>
              </w:rPr>
              <w:t>联合体投标人</w:t>
            </w:r>
          </w:p>
        </w:tc>
        <w:tc>
          <w:tcPr>
            <w:tcW w:w="5528" w:type="dxa"/>
            <w:vAlign w:val="top"/>
          </w:tcPr>
          <w:p w14:paraId="452ED1DF">
            <w:pPr>
              <w:pStyle w:val="5"/>
              <w:spacing w:before="204" w:line="228" w:lineRule="auto"/>
              <w:ind w:left="36"/>
            </w:pPr>
            <w:r>
              <w:rPr>
                <w:spacing w:val="8"/>
              </w:rPr>
              <w:t>未以联合体形式投标</w:t>
            </w:r>
          </w:p>
        </w:tc>
      </w:tr>
      <w:tr w14:paraId="7DBFA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69226B2C">
            <w:pPr>
              <w:rPr>
                <w:rFonts w:ascii="Arial"/>
                <w:sz w:val="21"/>
              </w:rPr>
            </w:pPr>
          </w:p>
        </w:tc>
        <w:tc>
          <w:tcPr>
            <w:tcW w:w="1180" w:type="dxa"/>
            <w:vMerge w:val="continue"/>
            <w:tcBorders>
              <w:top w:val="nil"/>
              <w:bottom w:val="nil"/>
            </w:tcBorders>
            <w:vAlign w:val="top"/>
          </w:tcPr>
          <w:p w14:paraId="5A091CD2">
            <w:pPr>
              <w:rPr>
                <w:rFonts w:ascii="Arial"/>
                <w:sz w:val="21"/>
              </w:rPr>
            </w:pPr>
          </w:p>
        </w:tc>
        <w:tc>
          <w:tcPr>
            <w:tcW w:w="1995" w:type="dxa"/>
            <w:vAlign w:val="top"/>
          </w:tcPr>
          <w:p w14:paraId="1D8D1A55">
            <w:pPr>
              <w:pStyle w:val="5"/>
              <w:spacing w:before="205" w:line="228" w:lineRule="auto"/>
              <w:ind w:left="386"/>
            </w:pPr>
            <w:r>
              <w:rPr>
                <w:spacing w:val="7"/>
              </w:rPr>
              <w:t>备选投标方案</w:t>
            </w:r>
          </w:p>
        </w:tc>
        <w:tc>
          <w:tcPr>
            <w:tcW w:w="5528" w:type="dxa"/>
            <w:vAlign w:val="top"/>
          </w:tcPr>
          <w:p w14:paraId="1E0AF348">
            <w:pPr>
              <w:pStyle w:val="5"/>
              <w:spacing w:before="205" w:line="228" w:lineRule="auto"/>
              <w:ind w:left="36"/>
            </w:pPr>
            <w:r>
              <w:rPr>
                <w:spacing w:val="8"/>
              </w:rPr>
              <w:t>未提交备选投标方案</w:t>
            </w:r>
          </w:p>
        </w:tc>
      </w:tr>
      <w:tr w14:paraId="2EC0E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50" w:type="dxa"/>
            <w:vMerge w:val="continue"/>
            <w:tcBorders>
              <w:top w:val="nil"/>
            </w:tcBorders>
            <w:vAlign w:val="top"/>
          </w:tcPr>
          <w:p w14:paraId="3746AB32">
            <w:pPr>
              <w:rPr>
                <w:rFonts w:ascii="Arial"/>
                <w:sz w:val="21"/>
              </w:rPr>
            </w:pPr>
          </w:p>
        </w:tc>
        <w:tc>
          <w:tcPr>
            <w:tcW w:w="1180" w:type="dxa"/>
            <w:vMerge w:val="continue"/>
            <w:tcBorders>
              <w:top w:val="nil"/>
            </w:tcBorders>
            <w:vAlign w:val="top"/>
          </w:tcPr>
          <w:p w14:paraId="0433C992">
            <w:pPr>
              <w:rPr>
                <w:rFonts w:ascii="Arial"/>
                <w:sz w:val="21"/>
              </w:rPr>
            </w:pPr>
          </w:p>
        </w:tc>
        <w:tc>
          <w:tcPr>
            <w:tcW w:w="1995" w:type="dxa"/>
            <w:vAlign w:val="top"/>
          </w:tcPr>
          <w:p w14:paraId="1E0DF0AF">
            <w:pPr>
              <w:pStyle w:val="5"/>
              <w:spacing w:before="173" w:line="228" w:lineRule="auto"/>
              <w:ind w:left="806"/>
            </w:pPr>
            <w:r>
              <w:rPr>
                <w:spacing w:val="3"/>
              </w:rPr>
              <w:t>分包</w:t>
            </w:r>
          </w:p>
        </w:tc>
        <w:tc>
          <w:tcPr>
            <w:tcW w:w="5528" w:type="dxa"/>
            <w:vAlign w:val="top"/>
          </w:tcPr>
          <w:p w14:paraId="74A1E56E">
            <w:pPr>
              <w:pStyle w:val="5"/>
              <w:spacing w:before="173" w:line="227" w:lineRule="auto"/>
              <w:ind w:left="35"/>
            </w:pPr>
            <w:r>
              <w:rPr>
                <w:spacing w:val="9"/>
              </w:rPr>
              <w:t>投标人未对本项目提出分包计划</w:t>
            </w:r>
          </w:p>
        </w:tc>
      </w:tr>
      <w:tr w14:paraId="03876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restart"/>
            <w:tcBorders>
              <w:bottom w:val="nil"/>
            </w:tcBorders>
            <w:vAlign w:val="top"/>
          </w:tcPr>
          <w:p w14:paraId="114F2D0D">
            <w:pPr>
              <w:spacing w:line="264" w:lineRule="auto"/>
              <w:rPr>
                <w:rFonts w:ascii="Arial"/>
                <w:sz w:val="21"/>
              </w:rPr>
            </w:pPr>
          </w:p>
          <w:p w14:paraId="78E37EB1">
            <w:pPr>
              <w:spacing w:line="264" w:lineRule="auto"/>
              <w:rPr>
                <w:rFonts w:ascii="Arial"/>
                <w:sz w:val="21"/>
              </w:rPr>
            </w:pPr>
          </w:p>
          <w:p w14:paraId="4F7F4EFC">
            <w:pPr>
              <w:spacing w:line="264" w:lineRule="auto"/>
              <w:rPr>
                <w:rFonts w:ascii="Arial"/>
                <w:sz w:val="21"/>
              </w:rPr>
            </w:pPr>
          </w:p>
          <w:p w14:paraId="79E3B018">
            <w:pPr>
              <w:spacing w:line="264" w:lineRule="auto"/>
              <w:rPr>
                <w:rFonts w:ascii="Arial"/>
                <w:sz w:val="21"/>
              </w:rPr>
            </w:pPr>
          </w:p>
          <w:p w14:paraId="68D13534">
            <w:pPr>
              <w:spacing w:line="265" w:lineRule="auto"/>
              <w:rPr>
                <w:rFonts w:ascii="Arial"/>
                <w:sz w:val="21"/>
              </w:rPr>
            </w:pPr>
          </w:p>
          <w:p w14:paraId="39E60A87">
            <w:pPr>
              <w:pStyle w:val="5"/>
              <w:spacing w:before="65" w:line="268" w:lineRule="exact"/>
              <w:ind w:left="37"/>
            </w:pPr>
            <w:r>
              <w:rPr>
                <w:spacing w:val="2"/>
                <w:position w:val="1"/>
              </w:rPr>
              <w:t>2.1.2</w:t>
            </w:r>
          </w:p>
        </w:tc>
        <w:tc>
          <w:tcPr>
            <w:tcW w:w="1180" w:type="dxa"/>
            <w:vMerge w:val="restart"/>
            <w:tcBorders>
              <w:bottom w:val="nil"/>
            </w:tcBorders>
            <w:vAlign w:val="top"/>
          </w:tcPr>
          <w:p w14:paraId="230913BE">
            <w:pPr>
              <w:spacing w:line="290" w:lineRule="auto"/>
              <w:rPr>
                <w:rFonts w:ascii="Arial"/>
                <w:sz w:val="21"/>
              </w:rPr>
            </w:pPr>
          </w:p>
          <w:p w14:paraId="7D87D14C">
            <w:pPr>
              <w:spacing w:line="291" w:lineRule="auto"/>
              <w:rPr>
                <w:rFonts w:ascii="Arial"/>
                <w:sz w:val="21"/>
              </w:rPr>
            </w:pPr>
          </w:p>
          <w:p w14:paraId="7D3203FD">
            <w:pPr>
              <w:spacing w:line="291" w:lineRule="auto"/>
              <w:rPr>
                <w:rFonts w:ascii="Arial"/>
                <w:sz w:val="21"/>
              </w:rPr>
            </w:pPr>
          </w:p>
          <w:p w14:paraId="24227FEC">
            <w:pPr>
              <w:spacing w:line="291" w:lineRule="auto"/>
              <w:rPr>
                <w:rFonts w:ascii="Arial"/>
                <w:sz w:val="21"/>
              </w:rPr>
            </w:pPr>
          </w:p>
          <w:p w14:paraId="11166B70">
            <w:pPr>
              <w:pStyle w:val="5"/>
              <w:spacing w:before="65" w:line="297" w:lineRule="auto"/>
              <w:ind w:left="240" w:right="65" w:hanging="201"/>
            </w:pPr>
            <w:r>
              <w:rPr>
                <w:spacing w:val="14"/>
              </w:rPr>
              <w:t>资格评审标</w:t>
            </w:r>
            <w:r>
              <w:t>准</w:t>
            </w:r>
          </w:p>
        </w:tc>
        <w:tc>
          <w:tcPr>
            <w:tcW w:w="1995" w:type="dxa"/>
            <w:vAlign w:val="top"/>
          </w:tcPr>
          <w:p w14:paraId="14AF2856">
            <w:pPr>
              <w:pStyle w:val="5"/>
              <w:spacing w:before="204" w:line="228" w:lineRule="auto"/>
              <w:ind w:left="601"/>
            </w:pPr>
            <w:r>
              <w:rPr>
                <w:spacing w:val="5"/>
              </w:rPr>
              <w:t>资质要求</w:t>
            </w:r>
          </w:p>
        </w:tc>
        <w:tc>
          <w:tcPr>
            <w:tcW w:w="5528" w:type="dxa"/>
            <w:vAlign w:val="top"/>
          </w:tcPr>
          <w:p w14:paraId="2521C9B0">
            <w:pPr>
              <w:pStyle w:val="5"/>
              <w:spacing w:before="204" w:line="227" w:lineRule="auto"/>
              <w:ind w:left="34"/>
            </w:pPr>
            <w:r>
              <w:rPr>
                <w:spacing w:val="4"/>
              </w:rPr>
              <w:t>符合第二章“投标人须知</w:t>
            </w:r>
            <w:r>
              <w:rPr>
                <w:spacing w:val="-57"/>
              </w:rPr>
              <w:t xml:space="preserve"> </w:t>
            </w:r>
            <w:r>
              <w:rPr>
                <w:spacing w:val="4"/>
              </w:rPr>
              <w:t>”第 1.4.1 项规定</w:t>
            </w:r>
          </w:p>
        </w:tc>
      </w:tr>
      <w:tr w14:paraId="16701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6D6DD831">
            <w:pPr>
              <w:rPr>
                <w:rFonts w:ascii="Arial"/>
                <w:sz w:val="21"/>
              </w:rPr>
            </w:pPr>
          </w:p>
        </w:tc>
        <w:tc>
          <w:tcPr>
            <w:tcW w:w="1180" w:type="dxa"/>
            <w:vMerge w:val="continue"/>
            <w:tcBorders>
              <w:top w:val="nil"/>
              <w:bottom w:val="nil"/>
            </w:tcBorders>
            <w:vAlign w:val="top"/>
          </w:tcPr>
          <w:p w14:paraId="12195DE9">
            <w:pPr>
              <w:rPr>
                <w:rFonts w:ascii="Arial"/>
                <w:sz w:val="21"/>
              </w:rPr>
            </w:pPr>
          </w:p>
        </w:tc>
        <w:tc>
          <w:tcPr>
            <w:tcW w:w="1995" w:type="dxa"/>
            <w:vAlign w:val="top"/>
          </w:tcPr>
          <w:p w14:paraId="579EEBBD">
            <w:pPr>
              <w:pStyle w:val="5"/>
              <w:spacing w:before="203" w:line="228" w:lineRule="auto"/>
              <w:ind w:left="593"/>
            </w:pPr>
            <w:r>
              <w:rPr>
                <w:spacing w:val="7"/>
              </w:rPr>
              <w:t>财务要求</w:t>
            </w:r>
          </w:p>
        </w:tc>
        <w:tc>
          <w:tcPr>
            <w:tcW w:w="5528" w:type="dxa"/>
            <w:vAlign w:val="top"/>
          </w:tcPr>
          <w:p w14:paraId="1394DE5D">
            <w:pPr>
              <w:pStyle w:val="5"/>
              <w:spacing w:before="203" w:line="227" w:lineRule="auto"/>
              <w:ind w:left="34"/>
            </w:pPr>
            <w:r>
              <w:rPr>
                <w:spacing w:val="4"/>
              </w:rPr>
              <w:t>符合第二章“投标人须知</w:t>
            </w:r>
            <w:r>
              <w:rPr>
                <w:spacing w:val="-57"/>
              </w:rPr>
              <w:t xml:space="preserve"> </w:t>
            </w:r>
            <w:r>
              <w:rPr>
                <w:spacing w:val="4"/>
              </w:rPr>
              <w:t>”第 1.4.1 项规定</w:t>
            </w:r>
          </w:p>
        </w:tc>
      </w:tr>
      <w:tr w14:paraId="71238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238FCE73">
            <w:pPr>
              <w:rPr>
                <w:rFonts w:ascii="Arial"/>
                <w:sz w:val="21"/>
              </w:rPr>
            </w:pPr>
          </w:p>
        </w:tc>
        <w:tc>
          <w:tcPr>
            <w:tcW w:w="1180" w:type="dxa"/>
            <w:vMerge w:val="continue"/>
            <w:tcBorders>
              <w:top w:val="nil"/>
              <w:bottom w:val="nil"/>
            </w:tcBorders>
            <w:vAlign w:val="top"/>
          </w:tcPr>
          <w:p w14:paraId="6F7CBD54">
            <w:pPr>
              <w:rPr>
                <w:rFonts w:ascii="Arial"/>
                <w:sz w:val="21"/>
              </w:rPr>
            </w:pPr>
          </w:p>
        </w:tc>
        <w:tc>
          <w:tcPr>
            <w:tcW w:w="1995" w:type="dxa"/>
            <w:vAlign w:val="top"/>
          </w:tcPr>
          <w:p w14:paraId="549A7AE4">
            <w:pPr>
              <w:pStyle w:val="5"/>
              <w:spacing w:before="205" w:line="228" w:lineRule="auto"/>
              <w:ind w:left="594"/>
            </w:pPr>
            <w:r>
              <w:rPr>
                <w:spacing w:val="7"/>
              </w:rPr>
              <w:t>业绩要求</w:t>
            </w:r>
          </w:p>
        </w:tc>
        <w:tc>
          <w:tcPr>
            <w:tcW w:w="5528" w:type="dxa"/>
            <w:vAlign w:val="top"/>
          </w:tcPr>
          <w:p w14:paraId="4ACFD277">
            <w:pPr>
              <w:pStyle w:val="5"/>
              <w:spacing w:before="204" w:line="227" w:lineRule="auto"/>
              <w:ind w:left="34"/>
            </w:pPr>
            <w:r>
              <w:rPr>
                <w:spacing w:val="4"/>
              </w:rPr>
              <w:t>符合第二章“投标人须知</w:t>
            </w:r>
            <w:r>
              <w:rPr>
                <w:spacing w:val="-57"/>
              </w:rPr>
              <w:t xml:space="preserve"> </w:t>
            </w:r>
            <w:r>
              <w:rPr>
                <w:spacing w:val="4"/>
              </w:rPr>
              <w:t>”第 1.4.1 项规定</w:t>
            </w:r>
          </w:p>
        </w:tc>
      </w:tr>
      <w:tr w14:paraId="476BD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4A26A157">
            <w:pPr>
              <w:rPr>
                <w:rFonts w:ascii="Arial"/>
                <w:sz w:val="21"/>
              </w:rPr>
            </w:pPr>
          </w:p>
        </w:tc>
        <w:tc>
          <w:tcPr>
            <w:tcW w:w="1180" w:type="dxa"/>
            <w:vMerge w:val="continue"/>
            <w:tcBorders>
              <w:top w:val="nil"/>
              <w:bottom w:val="nil"/>
            </w:tcBorders>
            <w:vAlign w:val="top"/>
          </w:tcPr>
          <w:p w14:paraId="1B47C389">
            <w:pPr>
              <w:rPr>
                <w:rFonts w:ascii="Arial"/>
                <w:sz w:val="21"/>
              </w:rPr>
            </w:pPr>
          </w:p>
        </w:tc>
        <w:tc>
          <w:tcPr>
            <w:tcW w:w="1995" w:type="dxa"/>
            <w:vAlign w:val="top"/>
          </w:tcPr>
          <w:p w14:paraId="2418035A">
            <w:pPr>
              <w:pStyle w:val="5"/>
              <w:spacing w:before="203" w:line="227" w:lineRule="auto"/>
              <w:ind w:left="592"/>
            </w:pPr>
            <w:r>
              <w:rPr>
                <w:spacing w:val="7"/>
              </w:rPr>
              <w:t>信誉要求</w:t>
            </w:r>
          </w:p>
        </w:tc>
        <w:tc>
          <w:tcPr>
            <w:tcW w:w="5528" w:type="dxa"/>
            <w:vAlign w:val="top"/>
          </w:tcPr>
          <w:p w14:paraId="5501F37B">
            <w:pPr>
              <w:pStyle w:val="5"/>
              <w:spacing w:before="203" w:line="227" w:lineRule="auto"/>
              <w:ind w:left="34"/>
            </w:pPr>
            <w:r>
              <w:rPr>
                <w:spacing w:val="4"/>
              </w:rPr>
              <w:t>符合第二章“投标人须知</w:t>
            </w:r>
            <w:r>
              <w:rPr>
                <w:spacing w:val="-57"/>
              </w:rPr>
              <w:t xml:space="preserve"> </w:t>
            </w:r>
            <w:r>
              <w:rPr>
                <w:spacing w:val="4"/>
              </w:rPr>
              <w:t>”第 1.4.1 项规定</w:t>
            </w:r>
          </w:p>
        </w:tc>
      </w:tr>
      <w:tr w14:paraId="345C1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950" w:type="dxa"/>
            <w:vMerge w:val="continue"/>
            <w:tcBorders>
              <w:top w:val="nil"/>
            </w:tcBorders>
            <w:vAlign w:val="top"/>
          </w:tcPr>
          <w:p w14:paraId="04C46CCB">
            <w:pPr>
              <w:rPr>
                <w:rFonts w:ascii="Arial"/>
                <w:sz w:val="21"/>
              </w:rPr>
            </w:pPr>
          </w:p>
        </w:tc>
        <w:tc>
          <w:tcPr>
            <w:tcW w:w="1180" w:type="dxa"/>
            <w:vMerge w:val="continue"/>
            <w:tcBorders>
              <w:top w:val="nil"/>
            </w:tcBorders>
            <w:vAlign w:val="top"/>
          </w:tcPr>
          <w:p w14:paraId="1A93380E">
            <w:pPr>
              <w:rPr>
                <w:rFonts w:ascii="Arial"/>
                <w:sz w:val="21"/>
              </w:rPr>
            </w:pPr>
          </w:p>
        </w:tc>
        <w:tc>
          <w:tcPr>
            <w:tcW w:w="1995" w:type="dxa"/>
            <w:vAlign w:val="top"/>
          </w:tcPr>
          <w:p w14:paraId="37CA66B7">
            <w:pPr>
              <w:pStyle w:val="5"/>
              <w:spacing w:before="80" w:line="228" w:lineRule="auto"/>
              <w:ind w:left="89"/>
            </w:pPr>
            <w:r>
              <w:rPr>
                <w:spacing w:val="7"/>
              </w:rPr>
              <w:t>不存在禁止投标的情</w:t>
            </w:r>
          </w:p>
          <w:p w14:paraId="101FF1A6">
            <w:pPr>
              <w:pStyle w:val="5"/>
              <w:spacing w:before="75" w:line="215" w:lineRule="auto"/>
              <w:ind w:left="921"/>
            </w:pPr>
            <w:r>
              <w:t>形</w:t>
            </w:r>
          </w:p>
        </w:tc>
        <w:tc>
          <w:tcPr>
            <w:tcW w:w="5528" w:type="dxa"/>
            <w:vAlign w:val="top"/>
          </w:tcPr>
          <w:p w14:paraId="358DDBBB">
            <w:pPr>
              <w:pStyle w:val="5"/>
              <w:spacing w:before="241" w:line="227" w:lineRule="auto"/>
              <w:ind w:left="36"/>
            </w:pPr>
            <w:r>
              <w:rPr>
                <w:spacing w:val="4"/>
              </w:rPr>
              <w:t>不存在第二章“投标人须知</w:t>
            </w:r>
            <w:r>
              <w:rPr>
                <w:spacing w:val="-62"/>
              </w:rPr>
              <w:t xml:space="preserve"> </w:t>
            </w:r>
            <w:r>
              <w:rPr>
                <w:spacing w:val="4"/>
              </w:rPr>
              <w:t>”第1.4.3项规定的任何一种情形</w:t>
            </w:r>
          </w:p>
        </w:tc>
      </w:tr>
      <w:tr w14:paraId="26977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950" w:type="dxa"/>
            <w:vAlign w:val="top"/>
          </w:tcPr>
          <w:p w14:paraId="6F173B04">
            <w:pPr>
              <w:pStyle w:val="5"/>
              <w:spacing w:before="229" w:line="268" w:lineRule="exact"/>
              <w:ind w:left="37"/>
            </w:pPr>
            <w:r>
              <w:rPr>
                <w:spacing w:val="2"/>
                <w:position w:val="1"/>
              </w:rPr>
              <w:t>2.1.3</w:t>
            </w:r>
          </w:p>
        </w:tc>
        <w:tc>
          <w:tcPr>
            <w:tcW w:w="1180" w:type="dxa"/>
            <w:vAlign w:val="top"/>
          </w:tcPr>
          <w:p w14:paraId="3E4D63AE">
            <w:pPr>
              <w:pStyle w:val="5"/>
              <w:spacing w:before="230" w:line="228" w:lineRule="auto"/>
              <w:ind w:left="40"/>
            </w:pPr>
            <w:r>
              <w:rPr>
                <w:spacing w:val="13"/>
              </w:rPr>
              <w:t>响应性评审</w:t>
            </w:r>
          </w:p>
        </w:tc>
        <w:tc>
          <w:tcPr>
            <w:tcW w:w="1995" w:type="dxa"/>
            <w:vAlign w:val="top"/>
          </w:tcPr>
          <w:p w14:paraId="6479BB45">
            <w:pPr>
              <w:pStyle w:val="5"/>
              <w:spacing w:before="229" w:line="228" w:lineRule="auto"/>
              <w:ind w:left="587"/>
            </w:pPr>
            <w:r>
              <w:rPr>
                <w:spacing w:val="6"/>
              </w:rPr>
              <w:t>投标内容</w:t>
            </w:r>
          </w:p>
        </w:tc>
        <w:tc>
          <w:tcPr>
            <w:tcW w:w="5528" w:type="dxa"/>
            <w:vAlign w:val="top"/>
          </w:tcPr>
          <w:p w14:paraId="31E1E51C">
            <w:pPr>
              <w:pStyle w:val="5"/>
              <w:spacing w:before="229" w:line="227" w:lineRule="auto"/>
              <w:ind w:left="34"/>
            </w:pPr>
            <w:r>
              <w:rPr>
                <w:spacing w:val="4"/>
              </w:rPr>
              <w:t>符合第二章“投标人须知</w:t>
            </w:r>
            <w:r>
              <w:rPr>
                <w:spacing w:val="-57"/>
              </w:rPr>
              <w:t xml:space="preserve"> </w:t>
            </w:r>
            <w:r>
              <w:rPr>
                <w:spacing w:val="4"/>
              </w:rPr>
              <w:t>”第 1.3.1 项规定</w:t>
            </w:r>
          </w:p>
        </w:tc>
      </w:tr>
    </w:tbl>
    <w:p w14:paraId="7522B74B">
      <w:pPr>
        <w:pStyle w:val="2"/>
      </w:pPr>
    </w:p>
    <w:p w14:paraId="003738CD">
      <w:pPr>
        <w:sectPr>
          <w:headerReference r:id="rId9" w:type="default"/>
          <w:footerReference r:id="rId10" w:type="default"/>
          <w:pgSz w:w="11907" w:h="16840"/>
          <w:pgMar w:top="1092" w:right="830" w:bottom="1002" w:left="1418" w:header="815" w:footer="840" w:gutter="0"/>
          <w:cols w:space="720" w:num="1"/>
        </w:sectPr>
      </w:pPr>
    </w:p>
    <w:p w14:paraId="2244CAA2">
      <w:pPr>
        <w:spacing w:before="84"/>
      </w:pPr>
    </w:p>
    <w:tbl>
      <w:tblPr>
        <w:tblStyle w:val="6"/>
        <w:tblW w:w="96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1180"/>
        <w:gridCol w:w="1995"/>
        <w:gridCol w:w="5528"/>
      </w:tblGrid>
      <w:tr w14:paraId="6496F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50" w:type="dxa"/>
            <w:vMerge w:val="restart"/>
            <w:tcBorders>
              <w:bottom w:val="nil"/>
            </w:tcBorders>
            <w:vAlign w:val="top"/>
          </w:tcPr>
          <w:p w14:paraId="7EB797CC">
            <w:pPr>
              <w:rPr>
                <w:rFonts w:ascii="Arial"/>
                <w:sz w:val="21"/>
              </w:rPr>
            </w:pPr>
          </w:p>
        </w:tc>
        <w:tc>
          <w:tcPr>
            <w:tcW w:w="1180" w:type="dxa"/>
            <w:vMerge w:val="restart"/>
            <w:tcBorders>
              <w:bottom w:val="nil"/>
            </w:tcBorders>
            <w:vAlign w:val="top"/>
          </w:tcPr>
          <w:p w14:paraId="19533917">
            <w:pPr>
              <w:pStyle w:val="5"/>
              <w:spacing w:before="81" w:line="228" w:lineRule="auto"/>
              <w:ind w:left="134"/>
            </w:pPr>
            <w:r>
              <w:rPr>
                <w:spacing w:val="4"/>
              </w:rPr>
              <w:t>标准</w:t>
            </w:r>
          </w:p>
        </w:tc>
        <w:tc>
          <w:tcPr>
            <w:tcW w:w="1995" w:type="dxa"/>
            <w:vAlign w:val="top"/>
          </w:tcPr>
          <w:p w14:paraId="5E523116">
            <w:pPr>
              <w:pStyle w:val="5"/>
              <w:spacing w:before="203" w:line="227" w:lineRule="auto"/>
              <w:ind w:left="692"/>
            </w:pPr>
            <w:r>
              <w:rPr>
                <w:spacing w:val="5"/>
              </w:rPr>
              <w:t>交货期</w:t>
            </w:r>
          </w:p>
        </w:tc>
        <w:tc>
          <w:tcPr>
            <w:tcW w:w="5528" w:type="dxa"/>
            <w:vAlign w:val="top"/>
          </w:tcPr>
          <w:p w14:paraId="0DC2523D">
            <w:pPr>
              <w:pStyle w:val="5"/>
              <w:spacing w:before="203" w:line="227" w:lineRule="auto"/>
              <w:ind w:left="34"/>
            </w:pPr>
            <w:r>
              <w:rPr>
                <w:spacing w:val="4"/>
              </w:rPr>
              <w:t>符合第二章“投标人须知</w:t>
            </w:r>
            <w:r>
              <w:rPr>
                <w:spacing w:val="-57"/>
              </w:rPr>
              <w:t xml:space="preserve"> </w:t>
            </w:r>
            <w:r>
              <w:rPr>
                <w:spacing w:val="4"/>
              </w:rPr>
              <w:t>”第 1.3.2 项规定</w:t>
            </w:r>
          </w:p>
        </w:tc>
      </w:tr>
      <w:tr w14:paraId="5297A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50" w:type="dxa"/>
            <w:vMerge w:val="continue"/>
            <w:tcBorders>
              <w:top w:val="nil"/>
              <w:bottom w:val="nil"/>
            </w:tcBorders>
            <w:vAlign w:val="top"/>
          </w:tcPr>
          <w:p w14:paraId="302105D3">
            <w:pPr>
              <w:rPr>
                <w:rFonts w:ascii="Arial"/>
                <w:sz w:val="21"/>
              </w:rPr>
            </w:pPr>
          </w:p>
        </w:tc>
        <w:tc>
          <w:tcPr>
            <w:tcW w:w="1180" w:type="dxa"/>
            <w:vMerge w:val="continue"/>
            <w:tcBorders>
              <w:top w:val="nil"/>
              <w:bottom w:val="nil"/>
            </w:tcBorders>
            <w:vAlign w:val="top"/>
          </w:tcPr>
          <w:p w14:paraId="18D9ACA3">
            <w:pPr>
              <w:rPr>
                <w:rFonts w:ascii="Arial"/>
                <w:sz w:val="21"/>
              </w:rPr>
            </w:pPr>
          </w:p>
        </w:tc>
        <w:tc>
          <w:tcPr>
            <w:tcW w:w="1995" w:type="dxa"/>
            <w:vAlign w:val="top"/>
          </w:tcPr>
          <w:p w14:paraId="1B063F1C">
            <w:pPr>
              <w:pStyle w:val="5"/>
              <w:spacing w:before="200" w:line="227" w:lineRule="auto"/>
              <w:ind w:left="589"/>
            </w:pPr>
            <w:r>
              <w:rPr>
                <w:spacing w:val="5"/>
              </w:rPr>
              <w:t>交货地点</w:t>
            </w:r>
          </w:p>
        </w:tc>
        <w:tc>
          <w:tcPr>
            <w:tcW w:w="5528" w:type="dxa"/>
            <w:vAlign w:val="top"/>
          </w:tcPr>
          <w:p w14:paraId="04531ECC">
            <w:pPr>
              <w:pStyle w:val="5"/>
              <w:spacing w:before="200" w:line="227" w:lineRule="auto"/>
              <w:ind w:left="34"/>
            </w:pPr>
            <w:r>
              <w:rPr>
                <w:spacing w:val="4"/>
              </w:rPr>
              <w:t>符合第二章“投标人须知</w:t>
            </w:r>
            <w:r>
              <w:rPr>
                <w:spacing w:val="-57"/>
              </w:rPr>
              <w:t xml:space="preserve"> </w:t>
            </w:r>
            <w:r>
              <w:rPr>
                <w:spacing w:val="4"/>
              </w:rPr>
              <w:t>”第 1.3.3 项规定</w:t>
            </w:r>
          </w:p>
        </w:tc>
      </w:tr>
      <w:tr w14:paraId="4CAB77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6BA5F7B4">
            <w:pPr>
              <w:rPr>
                <w:rFonts w:ascii="Arial"/>
                <w:sz w:val="21"/>
              </w:rPr>
            </w:pPr>
          </w:p>
        </w:tc>
        <w:tc>
          <w:tcPr>
            <w:tcW w:w="1180" w:type="dxa"/>
            <w:vMerge w:val="continue"/>
            <w:tcBorders>
              <w:top w:val="nil"/>
              <w:bottom w:val="nil"/>
            </w:tcBorders>
            <w:vAlign w:val="top"/>
          </w:tcPr>
          <w:p w14:paraId="5D927F5A">
            <w:pPr>
              <w:rPr>
                <w:rFonts w:ascii="Arial"/>
                <w:sz w:val="21"/>
              </w:rPr>
            </w:pPr>
          </w:p>
        </w:tc>
        <w:tc>
          <w:tcPr>
            <w:tcW w:w="1995" w:type="dxa"/>
            <w:vAlign w:val="top"/>
          </w:tcPr>
          <w:p w14:paraId="62D1C564">
            <w:pPr>
              <w:pStyle w:val="5"/>
              <w:spacing w:before="201" w:line="228" w:lineRule="auto"/>
              <w:ind w:left="588"/>
            </w:pPr>
            <w:r>
              <w:rPr>
                <w:spacing w:val="6"/>
              </w:rPr>
              <w:t>质量要求</w:t>
            </w:r>
          </w:p>
        </w:tc>
        <w:tc>
          <w:tcPr>
            <w:tcW w:w="5528" w:type="dxa"/>
            <w:vAlign w:val="top"/>
          </w:tcPr>
          <w:p w14:paraId="336DA43E">
            <w:pPr>
              <w:pStyle w:val="5"/>
              <w:spacing w:before="200" w:line="227" w:lineRule="auto"/>
              <w:ind w:left="34"/>
            </w:pPr>
            <w:r>
              <w:rPr>
                <w:spacing w:val="4"/>
              </w:rPr>
              <w:t>符合第二章“投标人须知</w:t>
            </w:r>
            <w:r>
              <w:rPr>
                <w:spacing w:val="-57"/>
              </w:rPr>
              <w:t xml:space="preserve"> </w:t>
            </w:r>
            <w:r>
              <w:rPr>
                <w:spacing w:val="4"/>
              </w:rPr>
              <w:t>”第 1.3.4 项规定</w:t>
            </w:r>
          </w:p>
        </w:tc>
      </w:tr>
      <w:tr w14:paraId="73E91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34CEA264">
            <w:pPr>
              <w:rPr>
                <w:rFonts w:ascii="Arial"/>
                <w:sz w:val="21"/>
              </w:rPr>
            </w:pPr>
          </w:p>
        </w:tc>
        <w:tc>
          <w:tcPr>
            <w:tcW w:w="1180" w:type="dxa"/>
            <w:vMerge w:val="continue"/>
            <w:tcBorders>
              <w:top w:val="nil"/>
              <w:bottom w:val="nil"/>
            </w:tcBorders>
            <w:vAlign w:val="top"/>
          </w:tcPr>
          <w:p w14:paraId="440D1468">
            <w:pPr>
              <w:rPr>
                <w:rFonts w:ascii="Arial"/>
                <w:sz w:val="21"/>
              </w:rPr>
            </w:pPr>
          </w:p>
        </w:tc>
        <w:tc>
          <w:tcPr>
            <w:tcW w:w="1995" w:type="dxa"/>
            <w:vAlign w:val="top"/>
          </w:tcPr>
          <w:p w14:paraId="54F572D0">
            <w:pPr>
              <w:pStyle w:val="5"/>
              <w:spacing w:before="202" w:line="228" w:lineRule="auto"/>
              <w:ind w:left="587"/>
            </w:pPr>
            <w:r>
              <w:rPr>
                <w:spacing w:val="6"/>
              </w:rPr>
              <w:t>安全目标</w:t>
            </w:r>
          </w:p>
        </w:tc>
        <w:tc>
          <w:tcPr>
            <w:tcW w:w="5528" w:type="dxa"/>
            <w:vAlign w:val="top"/>
          </w:tcPr>
          <w:p w14:paraId="0214CD04">
            <w:pPr>
              <w:pStyle w:val="5"/>
              <w:spacing w:before="201" w:line="227" w:lineRule="auto"/>
              <w:ind w:left="34"/>
            </w:pPr>
            <w:r>
              <w:rPr>
                <w:spacing w:val="4"/>
              </w:rPr>
              <w:t>符合第二章“投标人须知</w:t>
            </w:r>
            <w:r>
              <w:rPr>
                <w:spacing w:val="-57"/>
              </w:rPr>
              <w:t xml:space="preserve"> </w:t>
            </w:r>
            <w:r>
              <w:rPr>
                <w:spacing w:val="4"/>
              </w:rPr>
              <w:t>”第 1.3.5 项规定</w:t>
            </w:r>
          </w:p>
        </w:tc>
      </w:tr>
      <w:tr w14:paraId="74196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3689F198">
            <w:pPr>
              <w:rPr>
                <w:rFonts w:ascii="Arial"/>
                <w:sz w:val="21"/>
              </w:rPr>
            </w:pPr>
          </w:p>
        </w:tc>
        <w:tc>
          <w:tcPr>
            <w:tcW w:w="1180" w:type="dxa"/>
            <w:vMerge w:val="continue"/>
            <w:tcBorders>
              <w:top w:val="nil"/>
              <w:bottom w:val="nil"/>
            </w:tcBorders>
            <w:vAlign w:val="top"/>
          </w:tcPr>
          <w:p w14:paraId="4DD5A38F">
            <w:pPr>
              <w:rPr>
                <w:rFonts w:ascii="Arial"/>
                <w:sz w:val="21"/>
              </w:rPr>
            </w:pPr>
          </w:p>
        </w:tc>
        <w:tc>
          <w:tcPr>
            <w:tcW w:w="1995" w:type="dxa"/>
            <w:vAlign w:val="top"/>
          </w:tcPr>
          <w:p w14:paraId="4DE0A7E9">
            <w:pPr>
              <w:pStyle w:val="5"/>
              <w:spacing w:before="201" w:line="228" w:lineRule="auto"/>
              <w:ind w:left="482"/>
            </w:pPr>
            <w:r>
              <w:rPr>
                <w:spacing w:val="6"/>
              </w:rPr>
              <w:t>投标有效期</w:t>
            </w:r>
          </w:p>
        </w:tc>
        <w:tc>
          <w:tcPr>
            <w:tcW w:w="5528" w:type="dxa"/>
            <w:vAlign w:val="top"/>
          </w:tcPr>
          <w:p w14:paraId="708E84E5">
            <w:pPr>
              <w:pStyle w:val="5"/>
              <w:spacing w:before="200" w:line="227" w:lineRule="auto"/>
              <w:ind w:left="34"/>
            </w:pPr>
            <w:r>
              <w:rPr>
                <w:spacing w:val="4"/>
              </w:rPr>
              <w:t>符合第二章“投标人须知</w:t>
            </w:r>
            <w:r>
              <w:rPr>
                <w:spacing w:val="-57"/>
              </w:rPr>
              <w:t xml:space="preserve"> </w:t>
            </w:r>
            <w:r>
              <w:rPr>
                <w:spacing w:val="4"/>
              </w:rPr>
              <w:t>”第 3.3.1 项规定</w:t>
            </w:r>
          </w:p>
        </w:tc>
      </w:tr>
      <w:tr w14:paraId="37FAE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0D8618F5">
            <w:pPr>
              <w:rPr>
                <w:rFonts w:ascii="Arial"/>
                <w:sz w:val="21"/>
              </w:rPr>
            </w:pPr>
          </w:p>
        </w:tc>
        <w:tc>
          <w:tcPr>
            <w:tcW w:w="1180" w:type="dxa"/>
            <w:vMerge w:val="continue"/>
            <w:tcBorders>
              <w:top w:val="nil"/>
              <w:bottom w:val="nil"/>
            </w:tcBorders>
            <w:vAlign w:val="top"/>
          </w:tcPr>
          <w:p w14:paraId="3EC505E5">
            <w:pPr>
              <w:rPr>
                <w:rFonts w:ascii="Arial"/>
                <w:sz w:val="21"/>
              </w:rPr>
            </w:pPr>
          </w:p>
        </w:tc>
        <w:tc>
          <w:tcPr>
            <w:tcW w:w="1995" w:type="dxa"/>
            <w:vAlign w:val="top"/>
          </w:tcPr>
          <w:p w14:paraId="74A46763">
            <w:pPr>
              <w:pStyle w:val="5"/>
              <w:spacing w:before="202" w:line="228" w:lineRule="auto"/>
              <w:ind w:left="482"/>
            </w:pPr>
            <w:r>
              <w:rPr>
                <w:spacing w:val="6"/>
              </w:rPr>
              <w:t>投标保证金</w:t>
            </w:r>
          </w:p>
        </w:tc>
        <w:tc>
          <w:tcPr>
            <w:tcW w:w="5528" w:type="dxa"/>
            <w:vAlign w:val="top"/>
          </w:tcPr>
          <w:p w14:paraId="22DD1B8C">
            <w:pPr>
              <w:pStyle w:val="5"/>
              <w:spacing w:before="202" w:line="227" w:lineRule="auto"/>
              <w:ind w:left="34"/>
            </w:pPr>
            <w:r>
              <w:rPr>
                <w:spacing w:val="4"/>
              </w:rPr>
              <w:t>符合第二章“投标人须知</w:t>
            </w:r>
            <w:r>
              <w:rPr>
                <w:spacing w:val="-57"/>
              </w:rPr>
              <w:t xml:space="preserve"> </w:t>
            </w:r>
            <w:r>
              <w:rPr>
                <w:spacing w:val="4"/>
              </w:rPr>
              <w:t>”第 3.4.1 项规定</w:t>
            </w:r>
          </w:p>
        </w:tc>
      </w:tr>
      <w:tr w14:paraId="34E80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04855C4B">
            <w:pPr>
              <w:rPr>
                <w:rFonts w:ascii="Arial"/>
                <w:sz w:val="21"/>
              </w:rPr>
            </w:pPr>
          </w:p>
        </w:tc>
        <w:tc>
          <w:tcPr>
            <w:tcW w:w="1180" w:type="dxa"/>
            <w:vMerge w:val="continue"/>
            <w:tcBorders>
              <w:top w:val="nil"/>
              <w:bottom w:val="nil"/>
            </w:tcBorders>
            <w:vAlign w:val="top"/>
          </w:tcPr>
          <w:p w14:paraId="3230F238">
            <w:pPr>
              <w:rPr>
                <w:rFonts w:ascii="Arial"/>
                <w:sz w:val="21"/>
              </w:rPr>
            </w:pPr>
          </w:p>
        </w:tc>
        <w:tc>
          <w:tcPr>
            <w:tcW w:w="1995" w:type="dxa"/>
            <w:vAlign w:val="top"/>
          </w:tcPr>
          <w:p w14:paraId="1C6440B5">
            <w:pPr>
              <w:pStyle w:val="5"/>
              <w:spacing w:before="201" w:line="228" w:lineRule="auto"/>
              <w:ind w:left="584"/>
            </w:pPr>
            <w:r>
              <w:rPr>
                <w:spacing w:val="7"/>
              </w:rPr>
              <w:t>权利义务</w:t>
            </w:r>
          </w:p>
        </w:tc>
        <w:tc>
          <w:tcPr>
            <w:tcW w:w="5528" w:type="dxa"/>
            <w:vAlign w:val="top"/>
          </w:tcPr>
          <w:p w14:paraId="1183184B">
            <w:pPr>
              <w:pStyle w:val="5"/>
              <w:spacing w:before="201" w:line="227" w:lineRule="auto"/>
              <w:ind w:left="34"/>
            </w:pPr>
            <w:r>
              <w:rPr>
                <w:spacing w:val="5"/>
              </w:rPr>
              <w:t>符合第二章“投标人须知</w:t>
            </w:r>
            <w:r>
              <w:rPr>
                <w:spacing w:val="-70"/>
              </w:rPr>
              <w:t xml:space="preserve"> </w:t>
            </w:r>
            <w:r>
              <w:rPr>
                <w:spacing w:val="5"/>
              </w:rPr>
              <w:t>”第1.11.1项规定</w:t>
            </w:r>
          </w:p>
        </w:tc>
      </w:tr>
      <w:tr w14:paraId="5B845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50" w:type="dxa"/>
            <w:vMerge w:val="continue"/>
            <w:tcBorders>
              <w:top w:val="nil"/>
              <w:bottom w:val="nil"/>
            </w:tcBorders>
            <w:vAlign w:val="top"/>
          </w:tcPr>
          <w:p w14:paraId="24CC8601">
            <w:pPr>
              <w:rPr>
                <w:rFonts w:ascii="Arial"/>
                <w:sz w:val="21"/>
              </w:rPr>
            </w:pPr>
          </w:p>
        </w:tc>
        <w:tc>
          <w:tcPr>
            <w:tcW w:w="1180" w:type="dxa"/>
            <w:vMerge w:val="continue"/>
            <w:tcBorders>
              <w:top w:val="nil"/>
              <w:bottom w:val="nil"/>
            </w:tcBorders>
            <w:vAlign w:val="top"/>
          </w:tcPr>
          <w:p w14:paraId="4EF077D4">
            <w:pPr>
              <w:rPr>
                <w:rFonts w:ascii="Arial"/>
                <w:sz w:val="21"/>
              </w:rPr>
            </w:pPr>
          </w:p>
        </w:tc>
        <w:tc>
          <w:tcPr>
            <w:tcW w:w="1995" w:type="dxa"/>
            <w:vAlign w:val="top"/>
          </w:tcPr>
          <w:p w14:paraId="7781F7A4">
            <w:pPr>
              <w:pStyle w:val="5"/>
              <w:spacing w:before="200" w:line="227" w:lineRule="auto"/>
              <w:ind w:left="62"/>
            </w:pPr>
            <w:r>
              <w:rPr>
                <w:spacing w:val="8"/>
              </w:rPr>
              <w:t>投标材料及相关服务</w:t>
            </w:r>
          </w:p>
        </w:tc>
        <w:tc>
          <w:tcPr>
            <w:tcW w:w="5528" w:type="dxa"/>
            <w:vAlign w:val="top"/>
          </w:tcPr>
          <w:p w14:paraId="70E29756">
            <w:pPr>
              <w:pStyle w:val="5"/>
              <w:spacing w:before="200" w:line="227" w:lineRule="auto"/>
              <w:ind w:left="34"/>
            </w:pPr>
            <w:r>
              <w:rPr>
                <w:spacing w:val="7"/>
              </w:rPr>
              <w:t>符合第五章“供货要求</w:t>
            </w:r>
            <w:r>
              <w:rPr>
                <w:spacing w:val="-65"/>
              </w:rPr>
              <w:t xml:space="preserve"> </w:t>
            </w:r>
            <w:r>
              <w:rPr>
                <w:spacing w:val="7"/>
              </w:rPr>
              <w:t>”中的实质性要求和条件规定</w:t>
            </w:r>
          </w:p>
        </w:tc>
      </w:tr>
      <w:tr w14:paraId="5C85A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950" w:type="dxa"/>
            <w:vMerge w:val="continue"/>
            <w:tcBorders>
              <w:top w:val="nil"/>
            </w:tcBorders>
            <w:vAlign w:val="top"/>
          </w:tcPr>
          <w:p w14:paraId="2BDC61DF">
            <w:pPr>
              <w:rPr>
                <w:rFonts w:ascii="Arial"/>
                <w:sz w:val="21"/>
              </w:rPr>
            </w:pPr>
          </w:p>
        </w:tc>
        <w:tc>
          <w:tcPr>
            <w:tcW w:w="1180" w:type="dxa"/>
            <w:vMerge w:val="continue"/>
            <w:tcBorders>
              <w:top w:val="nil"/>
            </w:tcBorders>
            <w:vAlign w:val="top"/>
          </w:tcPr>
          <w:p w14:paraId="61B1AD7D">
            <w:pPr>
              <w:rPr>
                <w:rFonts w:ascii="Arial"/>
                <w:sz w:val="21"/>
              </w:rPr>
            </w:pPr>
          </w:p>
        </w:tc>
        <w:tc>
          <w:tcPr>
            <w:tcW w:w="1995" w:type="dxa"/>
            <w:vAlign w:val="top"/>
          </w:tcPr>
          <w:p w14:paraId="32D343E0">
            <w:pPr>
              <w:pStyle w:val="5"/>
              <w:spacing w:before="237" w:line="228" w:lineRule="auto"/>
              <w:ind w:left="377"/>
            </w:pPr>
            <w:r>
              <w:rPr>
                <w:spacing w:val="6"/>
              </w:rPr>
              <w:t>技术支持资料</w:t>
            </w:r>
          </w:p>
        </w:tc>
        <w:tc>
          <w:tcPr>
            <w:tcW w:w="5528" w:type="dxa"/>
            <w:vAlign w:val="top"/>
          </w:tcPr>
          <w:p w14:paraId="4B3639EB">
            <w:pPr>
              <w:pStyle w:val="5"/>
              <w:spacing w:before="237" w:line="227" w:lineRule="auto"/>
              <w:ind w:left="34"/>
            </w:pPr>
            <w:r>
              <w:rPr>
                <w:spacing w:val="4"/>
              </w:rPr>
              <w:t>符合第二章“投标人须知</w:t>
            </w:r>
            <w:r>
              <w:rPr>
                <w:spacing w:val="-67"/>
              </w:rPr>
              <w:t xml:space="preserve"> </w:t>
            </w:r>
            <w:r>
              <w:rPr>
                <w:spacing w:val="4"/>
              </w:rPr>
              <w:t>”第 1.11.3 项规定</w:t>
            </w:r>
          </w:p>
        </w:tc>
      </w:tr>
      <w:tr w14:paraId="357D9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9653" w:type="dxa"/>
            <w:gridSpan w:val="4"/>
            <w:vAlign w:val="top"/>
          </w:tcPr>
          <w:p w14:paraId="429BE0D4">
            <w:pPr>
              <w:pStyle w:val="5"/>
              <w:spacing w:before="210" w:line="228" w:lineRule="auto"/>
              <w:ind w:left="34"/>
            </w:pPr>
            <w:r>
              <w:rPr>
                <w:b/>
                <w:bCs/>
              </w:rPr>
              <w:t>第一个信封暗标部分评审标准：</w:t>
            </w:r>
          </w:p>
          <w:p w14:paraId="3CFD0F95">
            <w:pPr>
              <w:pStyle w:val="5"/>
              <w:spacing w:before="29" w:line="227" w:lineRule="auto"/>
              <w:ind w:left="23"/>
            </w:pPr>
            <w:r>
              <w:rPr>
                <w:spacing w:val="7"/>
              </w:rPr>
              <w:t>（1）暗标部分编制符合招标文件第二章“投标人须知前附表</w:t>
            </w:r>
            <w:r>
              <w:rPr>
                <w:spacing w:val="-70"/>
              </w:rPr>
              <w:t xml:space="preserve"> </w:t>
            </w:r>
            <w:r>
              <w:rPr>
                <w:spacing w:val="7"/>
              </w:rPr>
              <w:t>”第</w:t>
            </w:r>
            <w:r>
              <w:rPr>
                <w:spacing w:val="-24"/>
              </w:rPr>
              <w:t xml:space="preserve"> </w:t>
            </w:r>
            <w:r>
              <w:rPr>
                <w:spacing w:val="7"/>
              </w:rPr>
              <w:t>10.</w:t>
            </w:r>
            <w:r>
              <w:rPr>
                <w:spacing w:val="6"/>
              </w:rPr>
              <w:t>3</w:t>
            </w:r>
            <w:r>
              <w:rPr>
                <w:spacing w:val="-39"/>
              </w:rPr>
              <w:t xml:space="preserve"> </w:t>
            </w:r>
            <w:r>
              <w:rPr>
                <w:spacing w:val="6"/>
              </w:rPr>
              <w:t>款的规定。</w:t>
            </w:r>
          </w:p>
        </w:tc>
      </w:tr>
      <w:tr w14:paraId="5F83E7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653" w:type="dxa"/>
            <w:gridSpan w:val="4"/>
            <w:vAlign w:val="top"/>
          </w:tcPr>
          <w:p w14:paraId="0E8250F4">
            <w:pPr>
              <w:pStyle w:val="5"/>
              <w:spacing w:before="203" w:line="226" w:lineRule="auto"/>
              <w:ind w:left="34"/>
            </w:pPr>
            <w:r>
              <w:rPr>
                <w:b/>
                <w:bCs/>
                <w:spacing w:val="8"/>
              </w:rPr>
              <w:t>第二个信封（报价文件）评审标准</w:t>
            </w:r>
          </w:p>
        </w:tc>
      </w:tr>
      <w:tr w14:paraId="38ED3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50" w:type="dxa"/>
            <w:vMerge w:val="restart"/>
            <w:tcBorders>
              <w:bottom w:val="nil"/>
            </w:tcBorders>
            <w:vAlign w:val="top"/>
          </w:tcPr>
          <w:p w14:paraId="760157DF">
            <w:pPr>
              <w:spacing w:line="267" w:lineRule="auto"/>
              <w:rPr>
                <w:rFonts w:ascii="Arial"/>
                <w:sz w:val="21"/>
              </w:rPr>
            </w:pPr>
          </w:p>
          <w:p w14:paraId="3685A933">
            <w:pPr>
              <w:spacing w:line="268" w:lineRule="auto"/>
              <w:rPr>
                <w:rFonts w:ascii="Arial"/>
                <w:sz w:val="21"/>
              </w:rPr>
            </w:pPr>
          </w:p>
          <w:p w14:paraId="064D55A6">
            <w:pPr>
              <w:spacing w:line="268" w:lineRule="auto"/>
              <w:rPr>
                <w:rFonts w:ascii="Arial"/>
                <w:sz w:val="21"/>
              </w:rPr>
            </w:pPr>
          </w:p>
          <w:p w14:paraId="583C0D33">
            <w:pPr>
              <w:spacing w:line="268" w:lineRule="auto"/>
              <w:rPr>
                <w:rFonts w:ascii="Arial"/>
                <w:sz w:val="21"/>
              </w:rPr>
            </w:pPr>
          </w:p>
          <w:p w14:paraId="0A255B33">
            <w:pPr>
              <w:pStyle w:val="5"/>
              <w:spacing w:before="65" w:line="268" w:lineRule="exact"/>
              <w:ind w:left="231"/>
            </w:pPr>
            <w:r>
              <w:rPr>
                <w:spacing w:val="2"/>
                <w:position w:val="1"/>
              </w:rPr>
              <w:t>2.1.1</w:t>
            </w:r>
          </w:p>
          <w:p w14:paraId="61EE9C1A">
            <w:pPr>
              <w:pStyle w:val="5"/>
              <w:spacing w:before="51" w:line="268" w:lineRule="exact"/>
              <w:ind w:left="245"/>
            </w:pPr>
            <w:r>
              <w:rPr>
                <w:spacing w:val="2"/>
                <w:position w:val="1"/>
              </w:rPr>
              <w:t>2.1.3</w:t>
            </w:r>
          </w:p>
        </w:tc>
        <w:tc>
          <w:tcPr>
            <w:tcW w:w="1180" w:type="dxa"/>
            <w:vMerge w:val="restart"/>
            <w:tcBorders>
              <w:bottom w:val="nil"/>
            </w:tcBorders>
            <w:vAlign w:val="top"/>
          </w:tcPr>
          <w:p w14:paraId="199ACF26">
            <w:pPr>
              <w:spacing w:line="304" w:lineRule="auto"/>
              <w:rPr>
                <w:rFonts w:ascii="Arial"/>
                <w:sz w:val="21"/>
              </w:rPr>
            </w:pPr>
          </w:p>
          <w:p w14:paraId="24D16B02">
            <w:pPr>
              <w:spacing w:line="304" w:lineRule="auto"/>
              <w:rPr>
                <w:rFonts w:ascii="Arial"/>
                <w:sz w:val="21"/>
              </w:rPr>
            </w:pPr>
          </w:p>
          <w:p w14:paraId="5DB78893">
            <w:pPr>
              <w:spacing w:line="304" w:lineRule="auto"/>
              <w:rPr>
                <w:rFonts w:ascii="Arial"/>
                <w:sz w:val="21"/>
              </w:rPr>
            </w:pPr>
          </w:p>
          <w:p w14:paraId="390F27D0">
            <w:pPr>
              <w:pStyle w:val="5"/>
              <w:spacing w:before="65" w:line="228" w:lineRule="auto"/>
              <w:ind w:left="83"/>
            </w:pPr>
            <w:r>
              <w:rPr>
                <w:spacing w:val="7"/>
              </w:rPr>
              <w:t>形式评审与</w:t>
            </w:r>
          </w:p>
          <w:p w14:paraId="7D1D9C8B">
            <w:pPr>
              <w:pStyle w:val="5"/>
              <w:spacing w:before="72" w:line="228" w:lineRule="auto"/>
              <w:ind w:left="91"/>
            </w:pPr>
            <w:r>
              <w:rPr>
                <w:spacing w:val="6"/>
              </w:rPr>
              <w:t>响应性评审</w:t>
            </w:r>
          </w:p>
          <w:p w14:paraId="59B7E841">
            <w:pPr>
              <w:pStyle w:val="5"/>
              <w:spacing w:before="74" w:line="228" w:lineRule="auto"/>
              <w:ind w:left="395"/>
            </w:pPr>
            <w:r>
              <w:rPr>
                <w:spacing w:val="4"/>
              </w:rPr>
              <w:t>标准</w:t>
            </w:r>
          </w:p>
        </w:tc>
        <w:tc>
          <w:tcPr>
            <w:tcW w:w="1995" w:type="dxa"/>
            <w:vAlign w:val="top"/>
          </w:tcPr>
          <w:p w14:paraId="21D2DBE7">
            <w:pPr>
              <w:pStyle w:val="5"/>
              <w:spacing w:before="149" w:line="228" w:lineRule="auto"/>
              <w:ind w:left="489"/>
            </w:pPr>
            <w:r>
              <w:rPr>
                <w:spacing w:val="7"/>
              </w:rPr>
              <w:t>投标人名称</w:t>
            </w:r>
          </w:p>
        </w:tc>
        <w:tc>
          <w:tcPr>
            <w:tcW w:w="5528" w:type="dxa"/>
            <w:vAlign w:val="top"/>
          </w:tcPr>
          <w:p w14:paraId="6AD0F5AD">
            <w:pPr>
              <w:pStyle w:val="5"/>
              <w:spacing w:before="149" w:line="228" w:lineRule="auto"/>
              <w:ind w:left="36"/>
            </w:pPr>
            <w:r>
              <w:rPr>
                <w:spacing w:val="8"/>
              </w:rPr>
              <w:t>与营业执照一致</w:t>
            </w:r>
          </w:p>
        </w:tc>
      </w:tr>
      <w:tr w14:paraId="30082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4" w:hRule="atLeast"/>
        </w:trPr>
        <w:tc>
          <w:tcPr>
            <w:tcW w:w="950" w:type="dxa"/>
            <w:vMerge w:val="continue"/>
            <w:tcBorders>
              <w:top w:val="nil"/>
              <w:bottom w:val="nil"/>
            </w:tcBorders>
            <w:vAlign w:val="top"/>
          </w:tcPr>
          <w:p w14:paraId="6674CD58">
            <w:pPr>
              <w:rPr>
                <w:rFonts w:ascii="Arial"/>
                <w:sz w:val="21"/>
              </w:rPr>
            </w:pPr>
          </w:p>
        </w:tc>
        <w:tc>
          <w:tcPr>
            <w:tcW w:w="1180" w:type="dxa"/>
            <w:vMerge w:val="continue"/>
            <w:tcBorders>
              <w:top w:val="nil"/>
              <w:bottom w:val="nil"/>
            </w:tcBorders>
            <w:vAlign w:val="top"/>
          </w:tcPr>
          <w:p w14:paraId="0FD6717B">
            <w:pPr>
              <w:rPr>
                <w:rFonts w:ascii="Arial"/>
                <w:sz w:val="21"/>
              </w:rPr>
            </w:pPr>
          </w:p>
        </w:tc>
        <w:tc>
          <w:tcPr>
            <w:tcW w:w="1995" w:type="dxa"/>
            <w:vAlign w:val="top"/>
          </w:tcPr>
          <w:p w14:paraId="7A74F018">
            <w:pPr>
              <w:spacing w:line="269" w:lineRule="auto"/>
              <w:rPr>
                <w:rFonts w:ascii="Arial"/>
                <w:sz w:val="21"/>
              </w:rPr>
            </w:pPr>
          </w:p>
          <w:p w14:paraId="000F6A84">
            <w:pPr>
              <w:spacing w:line="269" w:lineRule="auto"/>
              <w:rPr>
                <w:rFonts w:ascii="Arial"/>
                <w:sz w:val="21"/>
              </w:rPr>
            </w:pPr>
          </w:p>
          <w:p w14:paraId="5CF747AC">
            <w:pPr>
              <w:pStyle w:val="5"/>
              <w:spacing w:before="65" w:line="226" w:lineRule="auto"/>
              <w:ind w:left="170"/>
            </w:pPr>
            <w:r>
              <w:rPr>
                <w:spacing w:val="8"/>
              </w:rPr>
              <w:t>报价文件签字盖章</w:t>
            </w:r>
          </w:p>
        </w:tc>
        <w:tc>
          <w:tcPr>
            <w:tcW w:w="5528" w:type="dxa"/>
            <w:vAlign w:val="top"/>
          </w:tcPr>
          <w:p w14:paraId="34CE1518">
            <w:pPr>
              <w:pStyle w:val="5"/>
              <w:spacing w:before="124" w:line="286" w:lineRule="auto"/>
              <w:ind w:left="32" w:right="2"/>
              <w:jc w:val="both"/>
            </w:pPr>
            <w:r>
              <w:rPr>
                <w:spacing w:val="11"/>
              </w:rPr>
              <w:t>要求盖单位章和（或）法定代表人或其委托代理人签字的地</w:t>
            </w:r>
            <w:r>
              <w:rPr>
                <w:spacing w:val="5"/>
              </w:rPr>
              <w:t>方，投标人均应使用</w:t>
            </w:r>
            <w:r>
              <w:rPr>
                <w:spacing w:val="-44"/>
              </w:rPr>
              <w:t xml:space="preserve"> </w:t>
            </w:r>
            <w:r>
              <w:t>CA</w:t>
            </w:r>
            <w:r>
              <w:rPr>
                <w:spacing w:val="5"/>
              </w:rPr>
              <w:t xml:space="preserve"> 数字证书加盖投标人的单位电子印章</w:t>
            </w:r>
            <w:r>
              <w:rPr>
                <w:spacing w:val="11"/>
              </w:rPr>
              <w:t>和（或）法定代表人或其委托代理人的个人电子印章或电子</w:t>
            </w:r>
            <w:r>
              <w:rPr>
                <w:spacing w:val="6"/>
              </w:rPr>
              <w:t>签名章，无需手签。</w:t>
            </w:r>
          </w:p>
        </w:tc>
      </w:tr>
      <w:tr w14:paraId="0B038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50" w:type="dxa"/>
            <w:vMerge w:val="continue"/>
            <w:tcBorders>
              <w:top w:val="nil"/>
              <w:bottom w:val="nil"/>
            </w:tcBorders>
            <w:vAlign w:val="top"/>
          </w:tcPr>
          <w:p w14:paraId="18A2B9A1">
            <w:pPr>
              <w:rPr>
                <w:rFonts w:ascii="Arial"/>
                <w:sz w:val="21"/>
              </w:rPr>
            </w:pPr>
          </w:p>
        </w:tc>
        <w:tc>
          <w:tcPr>
            <w:tcW w:w="1180" w:type="dxa"/>
            <w:vMerge w:val="continue"/>
            <w:tcBorders>
              <w:top w:val="nil"/>
              <w:bottom w:val="nil"/>
            </w:tcBorders>
            <w:vAlign w:val="top"/>
          </w:tcPr>
          <w:p w14:paraId="6135858D">
            <w:pPr>
              <w:rPr>
                <w:rFonts w:ascii="Arial"/>
                <w:sz w:val="21"/>
              </w:rPr>
            </w:pPr>
          </w:p>
        </w:tc>
        <w:tc>
          <w:tcPr>
            <w:tcW w:w="1995" w:type="dxa"/>
            <w:vAlign w:val="top"/>
          </w:tcPr>
          <w:p w14:paraId="5E0E352F">
            <w:pPr>
              <w:pStyle w:val="5"/>
              <w:spacing w:before="148" w:line="228" w:lineRule="auto"/>
              <w:ind w:left="386"/>
            </w:pPr>
            <w:r>
              <w:rPr>
                <w:spacing w:val="7"/>
              </w:rPr>
              <w:t>投标文件格式</w:t>
            </w:r>
          </w:p>
        </w:tc>
        <w:tc>
          <w:tcPr>
            <w:tcW w:w="5528" w:type="dxa"/>
            <w:vAlign w:val="top"/>
          </w:tcPr>
          <w:p w14:paraId="76BF0CD5">
            <w:pPr>
              <w:pStyle w:val="5"/>
              <w:spacing w:before="148" w:line="227" w:lineRule="auto"/>
              <w:ind w:left="34"/>
            </w:pPr>
            <w:r>
              <w:rPr>
                <w:spacing w:val="7"/>
              </w:rPr>
              <w:t>符合第六章“投标文件格式</w:t>
            </w:r>
            <w:r>
              <w:rPr>
                <w:spacing w:val="-53"/>
              </w:rPr>
              <w:t xml:space="preserve"> </w:t>
            </w:r>
            <w:r>
              <w:rPr>
                <w:spacing w:val="7"/>
              </w:rPr>
              <w:t>”的规定，组成齐全完整。</w:t>
            </w:r>
          </w:p>
        </w:tc>
      </w:tr>
      <w:tr w14:paraId="5A098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950" w:type="dxa"/>
            <w:vMerge w:val="continue"/>
            <w:tcBorders>
              <w:top w:val="nil"/>
            </w:tcBorders>
            <w:vAlign w:val="top"/>
          </w:tcPr>
          <w:p w14:paraId="77EDBC36">
            <w:pPr>
              <w:rPr>
                <w:rFonts w:ascii="Arial"/>
                <w:sz w:val="21"/>
              </w:rPr>
            </w:pPr>
          </w:p>
        </w:tc>
        <w:tc>
          <w:tcPr>
            <w:tcW w:w="1180" w:type="dxa"/>
            <w:vMerge w:val="continue"/>
            <w:tcBorders>
              <w:top w:val="nil"/>
            </w:tcBorders>
            <w:vAlign w:val="top"/>
          </w:tcPr>
          <w:p w14:paraId="205ABA60">
            <w:pPr>
              <w:rPr>
                <w:rFonts w:ascii="Arial"/>
                <w:sz w:val="21"/>
              </w:rPr>
            </w:pPr>
          </w:p>
        </w:tc>
        <w:tc>
          <w:tcPr>
            <w:tcW w:w="1995" w:type="dxa"/>
            <w:vAlign w:val="top"/>
          </w:tcPr>
          <w:p w14:paraId="2A1E5A26">
            <w:pPr>
              <w:pStyle w:val="5"/>
              <w:spacing w:before="145" w:line="226" w:lineRule="auto"/>
              <w:ind w:left="595"/>
            </w:pPr>
            <w:r>
              <w:rPr>
                <w:spacing w:val="6"/>
              </w:rPr>
              <w:t>投标报价</w:t>
            </w:r>
          </w:p>
        </w:tc>
        <w:tc>
          <w:tcPr>
            <w:tcW w:w="5528" w:type="dxa"/>
            <w:vAlign w:val="top"/>
          </w:tcPr>
          <w:p w14:paraId="645C855A">
            <w:pPr>
              <w:pStyle w:val="5"/>
              <w:spacing w:before="145" w:line="227" w:lineRule="auto"/>
              <w:ind w:left="34"/>
            </w:pPr>
            <w:r>
              <w:rPr>
                <w:spacing w:val="6"/>
              </w:rPr>
              <w:t>符合第二章“投标人须知</w:t>
            </w:r>
            <w:r>
              <w:rPr>
                <w:spacing w:val="-60"/>
              </w:rPr>
              <w:t xml:space="preserve"> </w:t>
            </w:r>
            <w:r>
              <w:rPr>
                <w:spacing w:val="6"/>
              </w:rPr>
              <w:t>”第 3.2 款规定。</w:t>
            </w:r>
          </w:p>
        </w:tc>
      </w:tr>
    </w:tbl>
    <w:p w14:paraId="5E1C4ABB">
      <w:pPr>
        <w:spacing w:before="69"/>
      </w:pPr>
    </w:p>
    <w:tbl>
      <w:tblPr>
        <w:tblStyle w:val="6"/>
        <w:tblW w:w="96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08"/>
        <w:gridCol w:w="7513"/>
      </w:tblGrid>
      <w:tr w14:paraId="14188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964" w:type="dxa"/>
            <w:vAlign w:val="top"/>
          </w:tcPr>
          <w:p w14:paraId="6B72F328">
            <w:pPr>
              <w:pStyle w:val="5"/>
              <w:spacing w:before="80" w:line="228" w:lineRule="auto"/>
              <w:ind w:left="173"/>
            </w:pPr>
            <w:r>
              <w:rPr>
                <w:b/>
                <w:bCs/>
                <w:spacing w:val="5"/>
              </w:rPr>
              <w:t>条款号</w:t>
            </w:r>
          </w:p>
        </w:tc>
        <w:tc>
          <w:tcPr>
            <w:tcW w:w="1208" w:type="dxa"/>
            <w:vAlign w:val="top"/>
          </w:tcPr>
          <w:p w14:paraId="7A168E3E">
            <w:pPr>
              <w:pStyle w:val="5"/>
              <w:spacing w:before="80" w:line="228" w:lineRule="auto"/>
              <w:ind w:left="188"/>
            </w:pPr>
            <w:r>
              <w:rPr>
                <w:b/>
                <w:bCs/>
                <w:spacing w:val="6"/>
              </w:rPr>
              <w:t>条款内容</w:t>
            </w:r>
          </w:p>
        </w:tc>
        <w:tc>
          <w:tcPr>
            <w:tcW w:w="7513" w:type="dxa"/>
            <w:vAlign w:val="top"/>
          </w:tcPr>
          <w:p w14:paraId="651207A4">
            <w:pPr>
              <w:pStyle w:val="5"/>
              <w:spacing w:before="80" w:line="228" w:lineRule="auto"/>
              <w:ind w:left="3341"/>
            </w:pPr>
            <w:r>
              <w:rPr>
                <w:b/>
                <w:bCs/>
                <w:spacing w:val="6"/>
              </w:rPr>
              <w:t>编列内容</w:t>
            </w:r>
          </w:p>
        </w:tc>
      </w:tr>
      <w:tr w14:paraId="5DE63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3" w:hRule="atLeast"/>
        </w:trPr>
        <w:tc>
          <w:tcPr>
            <w:tcW w:w="964" w:type="dxa"/>
            <w:vAlign w:val="top"/>
          </w:tcPr>
          <w:p w14:paraId="0D2125C3">
            <w:pPr>
              <w:spacing w:line="324" w:lineRule="auto"/>
              <w:rPr>
                <w:rFonts w:ascii="Arial"/>
                <w:sz w:val="21"/>
              </w:rPr>
            </w:pPr>
          </w:p>
          <w:p w14:paraId="6D5E2623">
            <w:pPr>
              <w:spacing w:line="324" w:lineRule="auto"/>
              <w:rPr>
                <w:rFonts w:ascii="Arial"/>
                <w:sz w:val="21"/>
              </w:rPr>
            </w:pPr>
          </w:p>
          <w:p w14:paraId="48E6D154">
            <w:pPr>
              <w:pStyle w:val="5"/>
              <w:spacing w:before="65" w:line="268" w:lineRule="exact"/>
              <w:ind w:left="226"/>
            </w:pPr>
            <w:r>
              <w:rPr>
                <w:spacing w:val="2"/>
                <w:position w:val="1"/>
              </w:rPr>
              <w:t>2.2.1</w:t>
            </w:r>
          </w:p>
        </w:tc>
        <w:tc>
          <w:tcPr>
            <w:tcW w:w="1208" w:type="dxa"/>
            <w:vAlign w:val="top"/>
          </w:tcPr>
          <w:p w14:paraId="13137610">
            <w:pPr>
              <w:spacing w:line="328" w:lineRule="auto"/>
              <w:rPr>
                <w:rFonts w:ascii="Arial"/>
                <w:sz w:val="21"/>
              </w:rPr>
            </w:pPr>
          </w:p>
          <w:p w14:paraId="65FCA7D2">
            <w:pPr>
              <w:pStyle w:val="5"/>
              <w:spacing w:before="65" w:line="228" w:lineRule="auto"/>
              <w:ind w:left="191"/>
            </w:pPr>
            <w:r>
              <w:rPr>
                <w:spacing w:val="6"/>
              </w:rPr>
              <w:t>分值构成</w:t>
            </w:r>
          </w:p>
          <w:p w14:paraId="21FBB699">
            <w:pPr>
              <w:pStyle w:val="5"/>
              <w:spacing w:before="75" w:line="296" w:lineRule="auto"/>
              <w:ind w:left="399" w:right="77" w:hanging="306"/>
            </w:pPr>
            <w:r>
              <w:t>（总分</w:t>
            </w:r>
            <w:r>
              <w:rPr>
                <w:spacing w:val="31"/>
              </w:rPr>
              <w:t xml:space="preserve"> </w:t>
            </w:r>
            <w:r>
              <w:t>100</w:t>
            </w:r>
            <w:r>
              <w:rPr>
                <w:spacing w:val="-1"/>
              </w:rPr>
              <w:t>分）</w:t>
            </w:r>
          </w:p>
        </w:tc>
        <w:tc>
          <w:tcPr>
            <w:tcW w:w="7513" w:type="dxa"/>
            <w:vAlign w:val="top"/>
          </w:tcPr>
          <w:p w14:paraId="47B50B18">
            <w:pPr>
              <w:pStyle w:val="5"/>
              <w:spacing w:before="76" w:line="228" w:lineRule="auto"/>
              <w:ind w:left="29"/>
            </w:pPr>
            <w:r>
              <w:rPr>
                <w:b/>
                <w:bCs/>
                <w:spacing w:val="6"/>
              </w:rPr>
              <w:t>第一个信封（50</w:t>
            </w:r>
            <w:r>
              <w:rPr>
                <w:b/>
                <w:bCs/>
                <w:spacing w:val="-2"/>
              </w:rPr>
              <w:t>）：</w:t>
            </w:r>
          </w:p>
          <w:p w14:paraId="7A40046B">
            <w:pPr>
              <w:pStyle w:val="5"/>
              <w:spacing w:before="72" w:line="228" w:lineRule="auto"/>
              <w:ind w:left="33"/>
            </w:pPr>
            <w:r>
              <w:rPr>
                <w:spacing w:val="4"/>
              </w:rPr>
              <w:t>商务部分：</w:t>
            </w:r>
            <w:r>
              <w:rPr>
                <w:spacing w:val="19"/>
                <w:u w:val="single" w:color="auto"/>
              </w:rPr>
              <w:t xml:space="preserve"> </w:t>
            </w:r>
            <w:r>
              <w:rPr>
                <w:spacing w:val="4"/>
                <w:u w:val="single" w:color="auto"/>
              </w:rPr>
              <w:t>20</w:t>
            </w:r>
            <w:r>
              <w:rPr>
                <w:spacing w:val="17"/>
                <w:u w:val="single" w:color="auto"/>
              </w:rPr>
              <w:t xml:space="preserve"> </w:t>
            </w:r>
            <w:r>
              <w:rPr>
                <w:spacing w:val="4"/>
              </w:rPr>
              <w:t>分</w:t>
            </w:r>
          </w:p>
          <w:p w14:paraId="27D76AC8">
            <w:pPr>
              <w:pStyle w:val="5"/>
              <w:spacing w:before="74" w:line="228" w:lineRule="auto"/>
              <w:ind w:left="30"/>
            </w:pPr>
            <w:r>
              <w:rPr>
                <w:spacing w:val="6"/>
              </w:rPr>
              <w:t>技术部分：</w:t>
            </w:r>
            <w:r>
              <w:rPr>
                <w:spacing w:val="17"/>
                <w:u w:val="single" w:color="auto"/>
              </w:rPr>
              <w:t xml:space="preserve"> </w:t>
            </w:r>
            <w:r>
              <w:rPr>
                <w:spacing w:val="6"/>
                <w:u w:val="single" w:color="auto"/>
              </w:rPr>
              <w:t xml:space="preserve">30 </w:t>
            </w:r>
            <w:r>
              <w:rPr>
                <w:spacing w:val="6"/>
              </w:rPr>
              <w:t>分</w:t>
            </w:r>
          </w:p>
          <w:p w14:paraId="005E2AEE">
            <w:pPr>
              <w:pStyle w:val="5"/>
              <w:spacing w:before="72" w:line="228" w:lineRule="auto"/>
              <w:ind w:left="29"/>
            </w:pPr>
            <w:r>
              <w:rPr>
                <w:b/>
                <w:bCs/>
                <w:spacing w:val="6"/>
              </w:rPr>
              <w:t>第二个信封（50</w:t>
            </w:r>
            <w:r>
              <w:rPr>
                <w:b/>
                <w:bCs/>
                <w:spacing w:val="-2"/>
              </w:rPr>
              <w:t>）：</w:t>
            </w:r>
          </w:p>
          <w:p w14:paraId="74BDDBDF">
            <w:pPr>
              <w:pStyle w:val="5"/>
              <w:spacing w:before="72" w:line="219" w:lineRule="auto"/>
              <w:ind w:left="28"/>
            </w:pPr>
            <w:r>
              <w:rPr>
                <w:spacing w:val="4"/>
              </w:rPr>
              <w:t>评标价：</w:t>
            </w:r>
            <w:r>
              <w:rPr>
                <w:spacing w:val="12"/>
                <w:u w:val="single" w:color="auto"/>
              </w:rPr>
              <w:t xml:space="preserve">  </w:t>
            </w:r>
            <w:r>
              <w:rPr>
                <w:spacing w:val="4"/>
                <w:u w:val="single" w:color="auto"/>
              </w:rPr>
              <w:t>50</w:t>
            </w:r>
            <w:r>
              <w:rPr>
                <w:spacing w:val="15"/>
                <w:u w:val="single" w:color="auto"/>
              </w:rPr>
              <w:t xml:space="preserve"> </w:t>
            </w:r>
            <w:r>
              <w:rPr>
                <w:spacing w:val="4"/>
              </w:rPr>
              <w:t>分</w:t>
            </w:r>
          </w:p>
        </w:tc>
      </w:tr>
      <w:tr w14:paraId="4688C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964" w:type="dxa"/>
            <w:vAlign w:val="top"/>
          </w:tcPr>
          <w:p w14:paraId="4E559CA6">
            <w:pPr>
              <w:spacing w:line="269" w:lineRule="auto"/>
              <w:rPr>
                <w:rFonts w:ascii="Arial"/>
                <w:sz w:val="21"/>
              </w:rPr>
            </w:pPr>
          </w:p>
          <w:p w14:paraId="0228A695">
            <w:pPr>
              <w:spacing w:line="269" w:lineRule="auto"/>
              <w:rPr>
                <w:rFonts w:ascii="Arial"/>
                <w:sz w:val="21"/>
              </w:rPr>
            </w:pPr>
          </w:p>
          <w:p w14:paraId="06051B46">
            <w:pPr>
              <w:spacing w:line="270" w:lineRule="auto"/>
              <w:rPr>
                <w:rFonts w:ascii="Arial"/>
                <w:sz w:val="21"/>
              </w:rPr>
            </w:pPr>
          </w:p>
          <w:p w14:paraId="35891476">
            <w:pPr>
              <w:pStyle w:val="5"/>
              <w:spacing w:before="65" w:line="268" w:lineRule="exact"/>
              <w:ind w:left="226"/>
            </w:pPr>
            <w:r>
              <w:rPr>
                <w:spacing w:val="2"/>
                <w:position w:val="1"/>
              </w:rPr>
              <w:t>2.2.2</w:t>
            </w:r>
          </w:p>
        </w:tc>
        <w:tc>
          <w:tcPr>
            <w:tcW w:w="1208" w:type="dxa"/>
            <w:vAlign w:val="top"/>
          </w:tcPr>
          <w:p w14:paraId="0A8CAC4A">
            <w:pPr>
              <w:spacing w:line="325" w:lineRule="auto"/>
              <w:rPr>
                <w:rFonts w:ascii="Arial"/>
                <w:sz w:val="21"/>
              </w:rPr>
            </w:pPr>
          </w:p>
          <w:p w14:paraId="7DBB2BF9">
            <w:pPr>
              <w:spacing w:line="326" w:lineRule="auto"/>
              <w:rPr>
                <w:rFonts w:ascii="Arial"/>
                <w:sz w:val="21"/>
              </w:rPr>
            </w:pPr>
          </w:p>
          <w:p w14:paraId="286569A4">
            <w:pPr>
              <w:pStyle w:val="5"/>
              <w:spacing w:before="65" w:line="296" w:lineRule="auto"/>
              <w:ind w:left="188" w:right="78" w:hanging="106"/>
            </w:pPr>
            <w:r>
              <w:rPr>
                <w:spacing w:val="8"/>
              </w:rPr>
              <w:t>评标基准价</w:t>
            </w:r>
            <w:r>
              <w:rPr>
                <w:spacing w:val="7"/>
              </w:rPr>
              <w:t>计算方法</w:t>
            </w:r>
          </w:p>
        </w:tc>
        <w:tc>
          <w:tcPr>
            <w:tcW w:w="7513" w:type="dxa"/>
            <w:vAlign w:val="top"/>
          </w:tcPr>
          <w:p w14:paraId="2EA7BE70">
            <w:pPr>
              <w:pStyle w:val="5"/>
              <w:spacing w:before="79" w:line="226" w:lineRule="auto"/>
              <w:ind w:left="28"/>
            </w:pPr>
            <w:r>
              <w:rPr>
                <w:spacing w:val="7"/>
              </w:rPr>
              <w:t>评标基准价的计算：</w:t>
            </w:r>
          </w:p>
          <w:p w14:paraId="01E9FA6B">
            <w:pPr>
              <w:pStyle w:val="5"/>
              <w:spacing w:before="73" w:line="296" w:lineRule="auto"/>
              <w:ind w:left="29" w:right="5" w:firstLine="419"/>
            </w:pPr>
            <w:r>
              <w:rPr>
                <w:spacing w:val="7"/>
              </w:rPr>
              <w:t>在第二个信封开标现场，招标人将按照第一信封开标现场抽取的评标基准价的</w:t>
            </w:r>
            <w:r>
              <w:rPr>
                <w:spacing w:val="8"/>
              </w:rPr>
              <w:t>计算方法当场计算并宣布评标基准价。</w:t>
            </w:r>
          </w:p>
          <w:p w14:paraId="5E56FEDD">
            <w:pPr>
              <w:pStyle w:val="5"/>
              <w:spacing w:line="226" w:lineRule="auto"/>
              <w:ind w:left="440"/>
            </w:pPr>
            <w:r>
              <w:rPr>
                <w:spacing w:val="8"/>
              </w:rPr>
              <w:t>（1）评标价的确定：评标价＝投标函文字报价</w:t>
            </w:r>
          </w:p>
          <w:p w14:paraId="3F4E1F27">
            <w:pPr>
              <w:pStyle w:val="5"/>
              <w:spacing w:before="74" w:line="226" w:lineRule="auto"/>
              <w:ind w:left="440"/>
            </w:pPr>
            <w:r>
              <w:rPr>
                <w:spacing w:val="7"/>
              </w:rPr>
              <w:t>（2）评标价平均值的计算：</w:t>
            </w:r>
          </w:p>
          <w:p w14:paraId="24460E62">
            <w:pPr>
              <w:pStyle w:val="5"/>
              <w:spacing w:before="76" w:line="217" w:lineRule="auto"/>
              <w:ind w:right="5"/>
              <w:jc w:val="right"/>
            </w:pPr>
            <w:r>
              <w:rPr>
                <w:spacing w:val="6"/>
              </w:rPr>
              <w:t>除按第二章“投标人须知</w:t>
            </w:r>
            <w:r>
              <w:rPr>
                <w:spacing w:val="-72"/>
              </w:rPr>
              <w:t xml:space="preserve"> </w:t>
            </w:r>
            <w:r>
              <w:rPr>
                <w:spacing w:val="6"/>
              </w:rPr>
              <w:t>”第</w:t>
            </w:r>
            <w:r>
              <w:rPr>
                <w:spacing w:val="-35"/>
              </w:rPr>
              <w:t xml:space="preserve"> </w:t>
            </w:r>
            <w:r>
              <w:rPr>
                <w:spacing w:val="6"/>
              </w:rPr>
              <w:t>5.2.4</w:t>
            </w:r>
            <w:r>
              <w:rPr>
                <w:spacing w:val="-35"/>
              </w:rPr>
              <w:t xml:space="preserve"> </w:t>
            </w:r>
            <w:r>
              <w:rPr>
                <w:spacing w:val="6"/>
              </w:rPr>
              <w:t>项规</w:t>
            </w:r>
            <w:r>
              <w:rPr>
                <w:spacing w:val="5"/>
              </w:rPr>
              <w:t>定开标现场被宣布为不进入评标基准</w:t>
            </w:r>
          </w:p>
        </w:tc>
      </w:tr>
    </w:tbl>
    <w:p w14:paraId="4D0F9A72">
      <w:pPr>
        <w:pStyle w:val="2"/>
      </w:pPr>
    </w:p>
    <w:p w14:paraId="62B2ED4E">
      <w:pPr>
        <w:sectPr>
          <w:headerReference r:id="rId11" w:type="default"/>
          <w:footerReference r:id="rId12" w:type="default"/>
          <w:pgSz w:w="11907" w:h="16840"/>
          <w:pgMar w:top="1092" w:right="798" w:bottom="1002" w:left="1418" w:header="815" w:footer="840" w:gutter="0"/>
          <w:cols w:space="720" w:num="1"/>
        </w:sectPr>
      </w:pPr>
    </w:p>
    <w:p w14:paraId="34EC96CC">
      <w:pPr>
        <w:spacing w:before="84"/>
      </w:pPr>
    </w:p>
    <w:tbl>
      <w:tblPr>
        <w:tblStyle w:val="6"/>
        <w:tblW w:w="97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08"/>
        <w:gridCol w:w="1946"/>
        <w:gridCol w:w="5584"/>
      </w:tblGrid>
      <w:tr w14:paraId="2B40A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8" w:hRule="atLeast"/>
        </w:trPr>
        <w:tc>
          <w:tcPr>
            <w:tcW w:w="964" w:type="dxa"/>
            <w:vAlign w:val="top"/>
          </w:tcPr>
          <w:p w14:paraId="56A67142">
            <w:pPr>
              <w:rPr>
                <w:rFonts w:ascii="Arial"/>
                <w:sz w:val="21"/>
              </w:rPr>
            </w:pPr>
          </w:p>
        </w:tc>
        <w:tc>
          <w:tcPr>
            <w:tcW w:w="1208" w:type="dxa"/>
            <w:vAlign w:val="top"/>
          </w:tcPr>
          <w:p w14:paraId="2B071E54">
            <w:pPr>
              <w:rPr>
                <w:rFonts w:ascii="Arial"/>
                <w:sz w:val="21"/>
              </w:rPr>
            </w:pPr>
          </w:p>
        </w:tc>
        <w:tc>
          <w:tcPr>
            <w:tcW w:w="7530" w:type="dxa"/>
            <w:gridSpan w:val="2"/>
            <w:vAlign w:val="top"/>
          </w:tcPr>
          <w:p w14:paraId="62094284">
            <w:pPr>
              <w:pStyle w:val="5"/>
              <w:spacing w:before="82" w:line="295" w:lineRule="auto"/>
              <w:ind w:left="10" w:right="22"/>
              <w:jc w:val="both"/>
            </w:pPr>
            <w:r>
              <w:rPr>
                <w:spacing w:val="8"/>
              </w:rPr>
              <w:t>价计算的投标报价之外，所有投标人的评标价去掉一个最高值和一个最低值后作算</w:t>
            </w:r>
            <w:r>
              <w:rPr>
                <w:spacing w:val="7"/>
              </w:rPr>
              <w:t>术平均（如果参与评标价平均值计算的有效投标人少于</w:t>
            </w:r>
            <w:r>
              <w:rPr>
                <w:spacing w:val="-25"/>
              </w:rPr>
              <w:t xml:space="preserve"> </w:t>
            </w:r>
            <w:r>
              <w:rPr>
                <w:spacing w:val="7"/>
              </w:rPr>
              <w:t>5</w:t>
            </w:r>
            <w:r>
              <w:rPr>
                <w:spacing w:val="-36"/>
              </w:rPr>
              <w:t xml:space="preserve"> </w:t>
            </w:r>
            <w:r>
              <w:rPr>
                <w:spacing w:val="7"/>
              </w:rPr>
              <w:t>家时，则计算评标价平均</w:t>
            </w:r>
            <w:r>
              <w:rPr>
                <w:spacing w:val="9"/>
              </w:rPr>
              <w:t>值时不去掉最高值和最低值</w:t>
            </w:r>
            <w:r>
              <w:rPr>
                <w:spacing w:val="14"/>
              </w:rPr>
              <w:t>），</w:t>
            </w:r>
            <w:r>
              <w:rPr>
                <w:spacing w:val="9"/>
              </w:rPr>
              <w:t>将该平均值作为评标价平</w:t>
            </w:r>
            <w:r>
              <w:rPr>
                <w:spacing w:val="8"/>
              </w:rPr>
              <w:t>均值。</w:t>
            </w:r>
          </w:p>
          <w:p w14:paraId="12CD6BF1">
            <w:pPr>
              <w:pStyle w:val="5"/>
              <w:spacing w:line="226" w:lineRule="auto"/>
              <w:ind w:left="445"/>
            </w:pPr>
            <w:r>
              <w:rPr>
                <w:spacing w:val="7"/>
              </w:rPr>
              <w:t>（3）评标基准价的确定：</w:t>
            </w:r>
          </w:p>
          <w:p w14:paraId="23074EAD">
            <w:pPr>
              <w:pStyle w:val="5"/>
              <w:spacing w:before="76" w:line="226" w:lineRule="auto"/>
              <w:ind w:left="429"/>
            </w:pPr>
            <w:r>
              <w:rPr>
                <w:spacing w:val="9"/>
              </w:rPr>
              <w:t>采取随机抽取的方式从下列方法中确定评标基准价的计算方法：</w:t>
            </w:r>
          </w:p>
          <w:p w14:paraId="728ACB43">
            <w:pPr>
              <w:pStyle w:val="5"/>
              <w:spacing w:before="74" w:line="226" w:lineRule="auto"/>
              <w:ind w:left="431"/>
            </w:pPr>
            <w:r>
              <w:rPr>
                <w:spacing w:val="8"/>
              </w:rPr>
              <w:t>方法一：评标价平均值直接作为评标基准价</w:t>
            </w:r>
            <w:r>
              <w:rPr>
                <w:spacing w:val="-32"/>
              </w:rPr>
              <w:t xml:space="preserve"> </w:t>
            </w:r>
            <w:r>
              <w:rPr>
                <w:spacing w:val="8"/>
              </w:rPr>
              <w:t>P。</w:t>
            </w:r>
          </w:p>
          <w:p w14:paraId="251AE762">
            <w:pPr>
              <w:pStyle w:val="5"/>
              <w:spacing w:before="75" w:line="295" w:lineRule="auto"/>
              <w:ind w:left="8" w:right="22" w:firstLine="422"/>
              <w:jc w:val="both"/>
            </w:pPr>
            <w:r>
              <w:rPr>
                <w:spacing w:val="9"/>
              </w:rPr>
              <w:t>方法二：评标价平均值乘以评标基准价系数</w:t>
            </w:r>
            <w:r>
              <w:rPr>
                <w:spacing w:val="-42"/>
              </w:rPr>
              <w:t xml:space="preserve"> </w:t>
            </w:r>
            <w:r>
              <w:rPr>
                <w:spacing w:val="9"/>
              </w:rPr>
              <w:t>K，作为评标基准价 P。招</w:t>
            </w:r>
            <w:r>
              <w:rPr>
                <w:spacing w:val="8"/>
              </w:rPr>
              <w:t>标人设</w:t>
            </w:r>
            <w:r>
              <w:rPr>
                <w:spacing w:val="6"/>
              </w:rPr>
              <w:t>置评标基准价系数</w:t>
            </w:r>
            <w:r>
              <w:rPr>
                <w:spacing w:val="-43"/>
              </w:rPr>
              <w:t xml:space="preserve"> </w:t>
            </w:r>
            <w:r>
              <w:rPr>
                <w:spacing w:val="6"/>
              </w:rPr>
              <w:t>K（取</w:t>
            </w:r>
            <w:r>
              <w:rPr>
                <w:spacing w:val="-35"/>
              </w:rPr>
              <w:t xml:space="preserve"> </w:t>
            </w:r>
            <w:r>
              <w:rPr>
                <w:spacing w:val="6"/>
              </w:rPr>
              <w:t>0.975、0.98、0.985、0.99、0.995</w:t>
            </w:r>
            <w:r>
              <w:rPr>
                <w:spacing w:val="-41"/>
              </w:rPr>
              <w:t xml:space="preserve"> </w:t>
            </w:r>
            <w:r>
              <w:rPr>
                <w:spacing w:val="6"/>
              </w:rPr>
              <w:t>共</w:t>
            </w:r>
            <w:r>
              <w:rPr>
                <w:spacing w:val="-33"/>
              </w:rPr>
              <w:t xml:space="preserve"> </w:t>
            </w:r>
            <w:r>
              <w:rPr>
                <w:spacing w:val="6"/>
              </w:rPr>
              <w:t>5</w:t>
            </w:r>
            <w:r>
              <w:rPr>
                <w:spacing w:val="-40"/>
              </w:rPr>
              <w:t xml:space="preserve"> </w:t>
            </w:r>
            <w:r>
              <w:rPr>
                <w:spacing w:val="6"/>
              </w:rPr>
              <w:t>个数值）。在开</w:t>
            </w:r>
            <w:r>
              <w:rPr>
                <w:spacing w:val="8"/>
              </w:rPr>
              <w:t>标现场随机抽取确定。</w:t>
            </w:r>
          </w:p>
          <w:p w14:paraId="7E565CB1">
            <w:pPr>
              <w:pStyle w:val="5"/>
              <w:spacing w:before="3" w:line="295" w:lineRule="auto"/>
              <w:ind w:left="11" w:firstLine="414"/>
              <w:jc w:val="both"/>
            </w:pPr>
            <w:r>
              <w:rPr>
                <w:spacing w:val="5"/>
              </w:rPr>
              <w:t>方法三：评标价平均值与评标价中位数的平均值作为评标基准价。中位数：除</w:t>
            </w:r>
            <w:r>
              <w:rPr>
                <w:spacing w:val="3"/>
              </w:rPr>
              <w:t>按第二章“投标人须知</w:t>
            </w:r>
            <w:r>
              <w:rPr>
                <w:spacing w:val="-57"/>
              </w:rPr>
              <w:t xml:space="preserve"> </w:t>
            </w:r>
            <w:r>
              <w:rPr>
                <w:spacing w:val="3"/>
              </w:rPr>
              <w:t>”第</w:t>
            </w:r>
            <w:r>
              <w:rPr>
                <w:spacing w:val="-36"/>
              </w:rPr>
              <w:t xml:space="preserve"> </w:t>
            </w:r>
            <w:r>
              <w:rPr>
                <w:spacing w:val="3"/>
              </w:rPr>
              <w:t>5.2.4</w:t>
            </w:r>
            <w:r>
              <w:rPr>
                <w:spacing w:val="-36"/>
              </w:rPr>
              <w:t xml:space="preserve"> </w:t>
            </w:r>
            <w:r>
              <w:rPr>
                <w:spacing w:val="3"/>
              </w:rPr>
              <w:t>项规定开标现场被宣布为不进入评标基准价计算</w:t>
            </w:r>
            <w:r>
              <w:rPr>
                <w:spacing w:val="5"/>
              </w:rPr>
              <w:t>的投标报价之外所有评标价按高低排序后找出正中间的一个作为中位数。如果评标</w:t>
            </w:r>
            <w:r>
              <w:rPr>
                <w:spacing w:val="2"/>
              </w:rPr>
              <w:t>价有偶数个，取最中间的两个数值的平均值作为中位数（平均值均保留</w:t>
            </w:r>
            <w:r>
              <w:rPr>
                <w:spacing w:val="-23"/>
              </w:rPr>
              <w:t xml:space="preserve"> </w:t>
            </w:r>
            <w:r>
              <w:rPr>
                <w:spacing w:val="2"/>
              </w:rPr>
              <w:t>2</w:t>
            </w:r>
            <w:r>
              <w:rPr>
                <w:spacing w:val="-39"/>
              </w:rPr>
              <w:t xml:space="preserve"> </w:t>
            </w:r>
            <w:r>
              <w:rPr>
                <w:spacing w:val="2"/>
              </w:rPr>
              <w:t>位小数）。</w:t>
            </w:r>
          </w:p>
          <w:p w14:paraId="505CB966">
            <w:pPr>
              <w:pStyle w:val="5"/>
              <w:spacing w:line="226" w:lineRule="auto"/>
              <w:ind w:left="434"/>
            </w:pPr>
            <w:r>
              <w:rPr>
                <w:spacing w:val="9"/>
              </w:rPr>
              <w:t>评标基准价保留小数点后两位，小数点后第三位四舍五入。</w:t>
            </w:r>
          </w:p>
          <w:p w14:paraId="62D7CDD5">
            <w:pPr>
              <w:pStyle w:val="5"/>
              <w:spacing w:before="73" w:line="270" w:lineRule="auto"/>
              <w:ind w:left="29" w:right="22" w:firstLine="419"/>
            </w:pPr>
            <w:r>
              <w:rPr>
                <w:spacing w:val="7"/>
              </w:rPr>
              <w:t>在评标过程中，评标委员会应对招标人计算的评标基准价进行复核，存在计算</w:t>
            </w:r>
            <w:r>
              <w:rPr>
                <w:spacing w:val="8"/>
              </w:rPr>
              <w:t>错误的应予以修正并在评标报告中作出说明</w:t>
            </w:r>
            <w:r>
              <w:rPr>
                <w:spacing w:val="7"/>
              </w:rPr>
              <w:t>。除此之外，评标基准价在整个评标期</w:t>
            </w:r>
            <w:r>
              <w:rPr>
                <w:spacing w:val="8"/>
              </w:rPr>
              <w:t>间保持不变，不随任何因素发生变化。</w:t>
            </w:r>
          </w:p>
        </w:tc>
      </w:tr>
      <w:tr w14:paraId="57CCD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9" w:hRule="atLeast"/>
        </w:trPr>
        <w:tc>
          <w:tcPr>
            <w:tcW w:w="964" w:type="dxa"/>
            <w:vAlign w:val="top"/>
          </w:tcPr>
          <w:p w14:paraId="0253064E">
            <w:pPr>
              <w:spacing w:line="330" w:lineRule="auto"/>
              <w:rPr>
                <w:rFonts w:ascii="Arial"/>
                <w:sz w:val="21"/>
              </w:rPr>
            </w:pPr>
          </w:p>
          <w:p w14:paraId="4AA0D534">
            <w:pPr>
              <w:pStyle w:val="5"/>
              <w:spacing w:before="65" w:line="268" w:lineRule="exact"/>
              <w:ind w:left="224"/>
            </w:pPr>
            <w:r>
              <w:rPr>
                <w:spacing w:val="2"/>
                <w:position w:val="1"/>
              </w:rPr>
              <w:t>2.2.3</w:t>
            </w:r>
          </w:p>
        </w:tc>
        <w:tc>
          <w:tcPr>
            <w:tcW w:w="1208" w:type="dxa"/>
            <w:vAlign w:val="top"/>
          </w:tcPr>
          <w:p w14:paraId="50E1ACE5">
            <w:pPr>
              <w:pStyle w:val="5"/>
              <w:spacing w:before="78" w:line="226" w:lineRule="auto"/>
              <w:ind w:left="85"/>
            </w:pPr>
            <w:r>
              <w:rPr>
                <w:spacing w:val="7"/>
              </w:rPr>
              <w:t>投标报价的</w:t>
            </w:r>
          </w:p>
          <w:p w14:paraId="4609A565">
            <w:pPr>
              <w:pStyle w:val="5"/>
              <w:spacing w:before="75" w:line="291" w:lineRule="auto"/>
              <w:ind w:left="403" w:right="78" w:hanging="320"/>
            </w:pPr>
            <w:r>
              <w:rPr>
                <w:spacing w:val="8"/>
              </w:rPr>
              <w:t>偏差率计算</w:t>
            </w:r>
            <w:r>
              <w:rPr>
                <w:spacing w:val="1"/>
              </w:rPr>
              <w:t>公式</w:t>
            </w:r>
          </w:p>
        </w:tc>
        <w:tc>
          <w:tcPr>
            <w:tcW w:w="7530" w:type="dxa"/>
            <w:gridSpan w:val="2"/>
            <w:vAlign w:val="top"/>
          </w:tcPr>
          <w:p w14:paraId="759B8D5A">
            <w:pPr>
              <w:spacing w:line="313" w:lineRule="auto"/>
              <w:rPr>
                <w:rFonts w:ascii="Arial"/>
                <w:sz w:val="21"/>
              </w:rPr>
            </w:pPr>
          </w:p>
          <w:p w14:paraId="64CA69A9">
            <w:pPr>
              <w:pStyle w:val="5"/>
              <w:spacing w:before="65" w:line="226" w:lineRule="auto"/>
              <w:ind w:left="10"/>
            </w:pPr>
            <w:r>
              <w:rPr>
                <w:spacing w:val="8"/>
              </w:rPr>
              <w:t>偏差率=100%×（投标人评标价-评标基准价）/评标基准价</w:t>
            </w:r>
          </w:p>
        </w:tc>
      </w:tr>
      <w:tr w14:paraId="3A2C2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trPr>
        <w:tc>
          <w:tcPr>
            <w:tcW w:w="964" w:type="dxa"/>
            <w:vAlign w:val="top"/>
          </w:tcPr>
          <w:p w14:paraId="0CD483A7">
            <w:pPr>
              <w:spacing w:line="325" w:lineRule="auto"/>
              <w:rPr>
                <w:rFonts w:ascii="Arial"/>
                <w:sz w:val="21"/>
              </w:rPr>
            </w:pPr>
          </w:p>
          <w:p w14:paraId="3B266FDF">
            <w:pPr>
              <w:spacing w:line="325" w:lineRule="auto"/>
              <w:rPr>
                <w:rFonts w:ascii="Arial"/>
                <w:sz w:val="21"/>
              </w:rPr>
            </w:pPr>
          </w:p>
          <w:p w14:paraId="4FB7C5AB">
            <w:pPr>
              <w:pStyle w:val="5"/>
              <w:spacing w:before="65" w:line="267" w:lineRule="exact"/>
              <w:ind w:left="225"/>
            </w:pPr>
            <w:r>
              <w:rPr>
                <w:spacing w:val="2"/>
                <w:position w:val="1"/>
              </w:rPr>
              <w:t>3.2.4</w:t>
            </w:r>
          </w:p>
        </w:tc>
        <w:tc>
          <w:tcPr>
            <w:tcW w:w="8738" w:type="dxa"/>
            <w:gridSpan w:val="3"/>
            <w:vAlign w:val="top"/>
          </w:tcPr>
          <w:p w14:paraId="39412CDA">
            <w:pPr>
              <w:pStyle w:val="5"/>
              <w:spacing w:before="78" w:line="227" w:lineRule="auto"/>
              <w:ind w:left="9"/>
            </w:pPr>
            <w:r>
              <w:rPr>
                <w:spacing w:val="6"/>
              </w:rPr>
              <w:t>本款修改为：</w:t>
            </w:r>
          </w:p>
          <w:p w14:paraId="28F0ACF2">
            <w:pPr>
              <w:pStyle w:val="5"/>
              <w:spacing w:before="73" w:line="276" w:lineRule="auto"/>
              <w:ind w:left="8" w:right="22"/>
              <w:jc w:val="both"/>
            </w:pPr>
            <w:r>
              <w:rPr>
                <w:spacing w:val="9"/>
              </w:rPr>
              <w:t>评标委员会发现投标人的投标报价低于最高投标限价的 65 %（含）时，评标委员会应当要求该投标人在</w:t>
            </w:r>
            <w:r>
              <w:rPr>
                <w:spacing w:val="-33"/>
              </w:rPr>
              <w:t xml:space="preserve"> </w:t>
            </w:r>
            <w:r>
              <w:rPr>
                <w:spacing w:val="9"/>
              </w:rPr>
              <w:t>30</w:t>
            </w:r>
            <w:r>
              <w:rPr>
                <w:spacing w:val="-38"/>
              </w:rPr>
              <w:t xml:space="preserve"> </w:t>
            </w:r>
            <w:r>
              <w:rPr>
                <w:spacing w:val="9"/>
              </w:rPr>
              <w:t>分钟内作出书面说明并提供相应的证明材料。投标人不能合理说明</w:t>
            </w:r>
            <w:r>
              <w:rPr>
                <w:spacing w:val="8"/>
              </w:rPr>
              <w:t>或者不能提供相</w:t>
            </w:r>
            <w:r>
              <w:rPr>
                <w:spacing w:val="10"/>
              </w:rPr>
              <w:t>应证明材料的，评标委员会应当认定该投标人以低于成本或者影响履</w:t>
            </w:r>
            <w:r>
              <w:rPr>
                <w:spacing w:val="9"/>
              </w:rPr>
              <w:t>约的异常低价竞标，并否</w:t>
            </w:r>
            <w:r>
              <w:rPr>
                <w:spacing w:val="5"/>
              </w:rPr>
              <w:t>决其投标。</w:t>
            </w:r>
          </w:p>
        </w:tc>
      </w:tr>
      <w:tr w14:paraId="35DD6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2172" w:type="dxa"/>
            <w:gridSpan w:val="2"/>
            <w:vAlign w:val="top"/>
          </w:tcPr>
          <w:p w14:paraId="411346C7">
            <w:pPr>
              <w:pStyle w:val="5"/>
              <w:spacing w:before="139" w:line="228" w:lineRule="auto"/>
              <w:ind w:left="777"/>
            </w:pPr>
            <w:r>
              <w:rPr>
                <w:b/>
                <w:bCs/>
                <w:spacing w:val="5"/>
              </w:rPr>
              <w:t>条款号</w:t>
            </w:r>
          </w:p>
        </w:tc>
        <w:tc>
          <w:tcPr>
            <w:tcW w:w="1946" w:type="dxa"/>
            <w:vAlign w:val="top"/>
          </w:tcPr>
          <w:p w14:paraId="51F9BDB6">
            <w:pPr>
              <w:pStyle w:val="5"/>
              <w:spacing w:before="139" w:line="228" w:lineRule="auto"/>
              <w:ind w:left="556"/>
            </w:pPr>
            <w:r>
              <w:rPr>
                <w:b/>
                <w:bCs/>
                <w:spacing w:val="6"/>
              </w:rPr>
              <w:t>评分因素</w:t>
            </w:r>
          </w:p>
        </w:tc>
        <w:tc>
          <w:tcPr>
            <w:tcW w:w="5584" w:type="dxa"/>
            <w:vAlign w:val="top"/>
          </w:tcPr>
          <w:p w14:paraId="03E6451D">
            <w:pPr>
              <w:pStyle w:val="5"/>
              <w:spacing w:before="140" w:line="228" w:lineRule="auto"/>
              <w:ind w:left="2366"/>
            </w:pPr>
            <w:r>
              <w:rPr>
                <w:b/>
                <w:bCs/>
                <w:spacing w:val="6"/>
              </w:rPr>
              <w:t>评分标准</w:t>
            </w:r>
          </w:p>
        </w:tc>
      </w:tr>
      <w:tr w14:paraId="3F010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4" w:hRule="atLeast"/>
        </w:trPr>
        <w:tc>
          <w:tcPr>
            <w:tcW w:w="964" w:type="dxa"/>
            <w:vAlign w:val="top"/>
          </w:tcPr>
          <w:p w14:paraId="3327BF20">
            <w:pPr>
              <w:spacing w:line="248" w:lineRule="auto"/>
              <w:rPr>
                <w:rFonts w:ascii="Arial"/>
                <w:sz w:val="21"/>
              </w:rPr>
            </w:pPr>
          </w:p>
          <w:p w14:paraId="7C1DFCFD">
            <w:pPr>
              <w:spacing w:line="249" w:lineRule="auto"/>
              <w:rPr>
                <w:rFonts w:ascii="Arial"/>
                <w:sz w:val="21"/>
              </w:rPr>
            </w:pPr>
          </w:p>
          <w:p w14:paraId="28999C89">
            <w:pPr>
              <w:pStyle w:val="5"/>
              <w:spacing w:before="65" w:line="267" w:lineRule="exact"/>
              <w:ind w:left="238"/>
            </w:pPr>
            <w:r>
              <w:rPr>
                <w:spacing w:val="2"/>
                <w:position w:val="1"/>
              </w:rPr>
              <w:t>2.2.4</w:t>
            </w:r>
          </w:p>
          <w:p w14:paraId="0D6E7E6A">
            <w:pPr>
              <w:pStyle w:val="5"/>
              <w:spacing w:before="50" w:line="231" w:lineRule="auto"/>
              <w:ind w:left="378"/>
            </w:pPr>
            <w:r>
              <w:rPr>
                <w:spacing w:val="-11"/>
              </w:rPr>
              <w:t>(1)</w:t>
            </w:r>
          </w:p>
        </w:tc>
        <w:tc>
          <w:tcPr>
            <w:tcW w:w="1208" w:type="dxa"/>
            <w:vAlign w:val="top"/>
          </w:tcPr>
          <w:p w14:paraId="600CBF07">
            <w:pPr>
              <w:spacing w:line="249" w:lineRule="auto"/>
              <w:rPr>
                <w:rFonts w:ascii="Arial"/>
                <w:sz w:val="21"/>
              </w:rPr>
            </w:pPr>
          </w:p>
          <w:p w14:paraId="5AFDAC77">
            <w:pPr>
              <w:spacing w:line="249" w:lineRule="auto"/>
              <w:rPr>
                <w:rFonts w:ascii="Arial"/>
                <w:sz w:val="21"/>
              </w:rPr>
            </w:pPr>
          </w:p>
          <w:p w14:paraId="25B3B0B2">
            <w:pPr>
              <w:pStyle w:val="5"/>
              <w:spacing w:before="65" w:line="296" w:lineRule="auto"/>
              <w:ind w:left="33" w:right="26" w:firstLine="54"/>
            </w:pPr>
            <w:r>
              <w:rPr>
                <w:spacing w:val="7"/>
              </w:rPr>
              <w:t>商务部分评</w:t>
            </w:r>
            <w:r>
              <w:rPr>
                <w:spacing w:val="2"/>
              </w:rPr>
              <w:t>分标准</w:t>
            </w:r>
            <w:r>
              <w:rPr>
                <w:spacing w:val="-34"/>
              </w:rPr>
              <w:t xml:space="preserve"> </w:t>
            </w:r>
            <w:r>
              <w:rPr>
                <w:spacing w:val="2"/>
              </w:rPr>
              <w:t>20</w:t>
            </w:r>
            <w:r>
              <w:rPr>
                <w:spacing w:val="-36"/>
              </w:rPr>
              <w:t xml:space="preserve"> </w:t>
            </w:r>
            <w:r>
              <w:rPr>
                <w:spacing w:val="2"/>
              </w:rPr>
              <w:t>分</w:t>
            </w:r>
          </w:p>
        </w:tc>
        <w:tc>
          <w:tcPr>
            <w:tcW w:w="1946" w:type="dxa"/>
            <w:vAlign w:val="top"/>
          </w:tcPr>
          <w:p w14:paraId="08C0D1AD">
            <w:pPr>
              <w:spacing w:line="249" w:lineRule="auto"/>
              <w:rPr>
                <w:rFonts w:ascii="Arial"/>
                <w:sz w:val="21"/>
              </w:rPr>
            </w:pPr>
          </w:p>
          <w:p w14:paraId="4CB8B60D">
            <w:pPr>
              <w:spacing w:line="249" w:lineRule="auto"/>
              <w:rPr>
                <w:rFonts w:ascii="Arial"/>
                <w:sz w:val="21"/>
              </w:rPr>
            </w:pPr>
          </w:p>
          <w:p w14:paraId="36857490">
            <w:pPr>
              <w:pStyle w:val="5"/>
              <w:spacing w:before="65" w:line="296" w:lineRule="auto"/>
              <w:ind w:left="551" w:right="533" w:firstLine="226"/>
            </w:pPr>
            <w:r>
              <w:rPr>
                <w:spacing w:val="5"/>
              </w:rPr>
              <w:t>业绩</w:t>
            </w:r>
            <w:r>
              <w:t xml:space="preserve"> </w:t>
            </w:r>
            <w:r>
              <w:rPr>
                <w:spacing w:val="-2"/>
              </w:rPr>
              <w:t>（20</w:t>
            </w:r>
            <w:r>
              <w:rPr>
                <w:spacing w:val="-35"/>
              </w:rPr>
              <w:t xml:space="preserve"> </w:t>
            </w:r>
            <w:r>
              <w:rPr>
                <w:spacing w:val="-2"/>
              </w:rPr>
              <w:t>分）</w:t>
            </w:r>
          </w:p>
        </w:tc>
        <w:tc>
          <w:tcPr>
            <w:tcW w:w="5584" w:type="dxa"/>
            <w:vAlign w:val="top"/>
          </w:tcPr>
          <w:p w14:paraId="6CFFC9F5">
            <w:pPr>
              <w:pStyle w:val="5"/>
              <w:spacing w:before="84" w:line="228" w:lineRule="auto"/>
              <w:ind w:left="48"/>
            </w:pPr>
            <w:r>
              <w:rPr>
                <w:spacing w:val="6"/>
              </w:rPr>
              <w:t>1.满足资格审查最低条件（业绩最低要求）的，得</w:t>
            </w:r>
            <w:r>
              <w:rPr>
                <w:spacing w:val="-8"/>
              </w:rPr>
              <w:t xml:space="preserve"> </w:t>
            </w:r>
            <w:r>
              <w:rPr>
                <w:spacing w:val="6"/>
              </w:rPr>
              <w:t>12</w:t>
            </w:r>
            <w:r>
              <w:rPr>
                <w:spacing w:val="-36"/>
              </w:rPr>
              <w:t xml:space="preserve"> </w:t>
            </w:r>
            <w:r>
              <w:rPr>
                <w:spacing w:val="6"/>
              </w:rPr>
              <w:t>分；</w:t>
            </w:r>
          </w:p>
          <w:p w14:paraId="41B68125">
            <w:pPr>
              <w:pStyle w:val="5"/>
              <w:spacing w:before="72" w:line="296" w:lineRule="auto"/>
              <w:ind w:left="32" w:right="73" w:firstLine="2"/>
            </w:pPr>
            <w:r>
              <w:rPr>
                <w:spacing w:val="3"/>
              </w:rPr>
              <w:t>2.近</w:t>
            </w:r>
            <w:r>
              <w:rPr>
                <w:spacing w:val="-32"/>
              </w:rPr>
              <w:t xml:space="preserve"> </w:t>
            </w:r>
            <w:r>
              <w:rPr>
                <w:spacing w:val="3"/>
              </w:rPr>
              <w:t>3</w:t>
            </w:r>
            <w:r>
              <w:rPr>
                <w:spacing w:val="-37"/>
              </w:rPr>
              <w:t xml:space="preserve"> </w:t>
            </w:r>
            <w:r>
              <w:rPr>
                <w:spacing w:val="3"/>
              </w:rPr>
              <w:t>年（2023</w:t>
            </w:r>
            <w:r>
              <w:rPr>
                <w:spacing w:val="-37"/>
              </w:rPr>
              <w:t xml:space="preserve"> </w:t>
            </w:r>
            <w:r>
              <w:rPr>
                <w:spacing w:val="3"/>
              </w:rPr>
              <w:t>年</w:t>
            </w:r>
            <w:r>
              <w:rPr>
                <w:spacing w:val="-36"/>
              </w:rPr>
              <w:t xml:space="preserve"> </w:t>
            </w:r>
            <w:r>
              <w:rPr>
                <w:spacing w:val="3"/>
              </w:rPr>
              <w:t>8</w:t>
            </w:r>
            <w:r>
              <w:rPr>
                <w:spacing w:val="-33"/>
              </w:rPr>
              <w:t xml:space="preserve"> </w:t>
            </w:r>
            <w:r>
              <w:rPr>
                <w:spacing w:val="3"/>
              </w:rPr>
              <w:t>月</w:t>
            </w:r>
            <w:r>
              <w:rPr>
                <w:spacing w:val="-24"/>
              </w:rPr>
              <w:t xml:space="preserve"> </w:t>
            </w:r>
            <w:r>
              <w:rPr>
                <w:spacing w:val="3"/>
              </w:rPr>
              <w:t>1 日至今，以合同签订时间为准</w:t>
            </w:r>
            <w:r>
              <w:rPr>
                <w:spacing w:val="-8"/>
              </w:rPr>
              <w:t>），</w:t>
            </w:r>
            <w:r>
              <w:rPr>
                <w:spacing w:val="10"/>
              </w:rPr>
              <w:t>每累计增加</w:t>
            </w:r>
            <w:r>
              <w:rPr>
                <w:spacing w:val="-26"/>
              </w:rPr>
              <w:t xml:space="preserve"> </w:t>
            </w:r>
            <w:r>
              <w:rPr>
                <w:spacing w:val="10"/>
              </w:rPr>
              <w:t>2.5</w:t>
            </w:r>
            <w:r>
              <w:rPr>
                <w:spacing w:val="-35"/>
              </w:rPr>
              <w:t xml:space="preserve"> </w:t>
            </w:r>
            <w:r>
              <w:rPr>
                <w:spacing w:val="10"/>
              </w:rPr>
              <w:t>万吨沥青供货业绩加4</w:t>
            </w:r>
            <w:r>
              <w:rPr>
                <w:spacing w:val="-35"/>
              </w:rPr>
              <w:t xml:space="preserve"> </w:t>
            </w:r>
            <w:r>
              <w:rPr>
                <w:spacing w:val="10"/>
              </w:rPr>
              <w:t>分，最多加8</w:t>
            </w:r>
            <w:r>
              <w:rPr>
                <w:spacing w:val="-36"/>
              </w:rPr>
              <w:t xml:space="preserve"> </w:t>
            </w:r>
            <w:r>
              <w:rPr>
                <w:spacing w:val="10"/>
              </w:rPr>
              <w:t>分。</w:t>
            </w:r>
          </w:p>
          <w:p w14:paraId="5CE6BB17">
            <w:pPr>
              <w:pStyle w:val="5"/>
              <w:spacing w:before="1" w:line="257" w:lineRule="auto"/>
              <w:ind w:left="33" w:right="22" w:hanging="1"/>
            </w:pPr>
            <w:r>
              <w:rPr>
                <w:spacing w:val="12"/>
              </w:rPr>
              <w:t>注：供货数量以投标人所提供发票中载明数量的累计总和为</w:t>
            </w:r>
            <w:r>
              <w:t>准</w:t>
            </w:r>
          </w:p>
        </w:tc>
      </w:tr>
      <w:tr w14:paraId="49ABC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964" w:type="dxa"/>
            <w:vMerge w:val="restart"/>
            <w:tcBorders>
              <w:bottom w:val="nil"/>
            </w:tcBorders>
            <w:vAlign w:val="top"/>
          </w:tcPr>
          <w:p w14:paraId="478440F4">
            <w:pPr>
              <w:spacing w:line="259" w:lineRule="auto"/>
              <w:rPr>
                <w:rFonts w:ascii="Arial"/>
                <w:sz w:val="21"/>
              </w:rPr>
            </w:pPr>
          </w:p>
          <w:p w14:paraId="779F42F9">
            <w:pPr>
              <w:spacing w:line="259" w:lineRule="auto"/>
              <w:rPr>
                <w:rFonts w:ascii="Arial"/>
                <w:sz w:val="21"/>
              </w:rPr>
            </w:pPr>
          </w:p>
          <w:p w14:paraId="21DFEBDE">
            <w:pPr>
              <w:spacing w:line="259" w:lineRule="auto"/>
              <w:rPr>
                <w:rFonts w:ascii="Arial"/>
                <w:sz w:val="21"/>
              </w:rPr>
            </w:pPr>
          </w:p>
          <w:p w14:paraId="5F399D99">
            <w:pPr>
              <w:spacing w:line="259" w:lineRule="auto"/>
              <w:rPr>
                <w:rFonts w:ascii="Arial"/>
                <w:sz w:val="21"/>
              </w:rPr>
            </w:pPr>
          </w:p>
          <w:p w14:paraId="52263D5F">
            <w:pPr>
              <w:spacing w:line="259" w:lineRule="auto"/>
              <w:rPr>
                <w:rFonts w:ascii="Arial"/>
                <w:sz w:val="21"/>
              </w:rPr>
            </w:pPr>
          </w:p>
          <w:p w14:paraId="280199F5">
            <w:pPr>
              <w:spacing w:line="259" w:lineRule="auto"/>
              <w:rPr>
                <w:rFonts w:ascii="Arial"/>
                <w:sz w:val="21"/>
              </w:rPr>
            </w:pPr>
          </w:p>
          <w:p w14:paraId="0F83841B">
            <w:pPr>
              <w:pStyle w:val="5"/>
              <w:spacing w:before="65" w:line="268" w:lineRule="exact"/>
              <w:ind w:left="238"/>
            </w:pPr>
            <w:r>
              <w:rPr>
                <w:spacing w:val="2"/>
                <w:position w:val="1"/>
              </w:rPr>
              <w:t>2.2.4</w:t>
            </w:r>
          </w:p>
          <w:p w14:paraId="2737FF64">
            <w:pPr>
              <w:pStyle w:val="5"/>
              <w:spacing w:before="50" w:line="231" w:lineRule="auto"/>
              <w:ind w:left="378"/>
            </w:pPr>
            <w:r>
              <w:rPr>
                <w:spacing w:val="-11"/>
              </w:rPr>
              <w:t>(2)</w:t>
            </w:r>
          </w:p>
        </w:tc>
        <w:tc>
          <w:tcPr>
            <w:tcW w:w="1208" w:type="dxa"/>
            <w:vMerge w:val="restart"/>
            <w:tcBorders>
              <w:bottom w:val="nil"/>
            </w:tcBorders>
            <w:vAlign w:val="top"/>
          </w:tcPr>
          <w:p w14:paraId="01E0D1CB">
            <w:pPr>
              <w:spacing w:line="259" w:lineRule="auto"/>
              <w:rPr>
                <w:rFonts w:ascii="Arial"/>
                <w:sz w:val="21"/>
              </w:rPr>
            </w:pPr>
          </w:p>
          <w:p w14:paraId="7FD945EF">
            <w:pPr>
              <w:spacing w:line="259" w:lineRule="auto"/>
              <w:rPr>
                <w:rFonts w:ascii="Arial"/>
                <w:sz w:val="21"/>
              </w:rPr>
            </w:pPr>
          </w:p>
          <w:p w14:paraId="0AFB77F5">
            <w:pPr>
              <w:spacing w:line="259" w:lineRule="auto"/>
              <w:rPr>
                <w:rFonts w:ascii="Arial"/>
                <w:sz w:val="21"/>
              </w:rPr>
            </w:pPr>
          </w:p>
          <w:p w14:paraId="0F52CD24">
            <w:pPr>
              <w:spacing w:line="259" w:lineRule="auto"/>
              <w:rPr>
                <w:rFonts w:ascii="Arial"/>
                <w:sz w:val="21"/>
              </w:rPr>
            </w:pPr>
          </w:p>
          <w:p w14:paraId="34968C4D">
            <w:pPr>
              <w:spacing w:line="259" w:lineRule="auto"/>
              <w:rPr>
                <w:rFonts w:ascii="Arial"/>
                <w:sz w:val="21"/>
              </w:rPr>
            </w:pPr>
          </w:p>
          <w:p w14:paraId="045DD354">
            <w:pPr>
              <w:spacing w:line="260" w:lineRule="auto"/>
              <w:rPr>
                <w:rFonts w:ascii="Arial"/>
                <w:sz w:val="21"/>
              </w:rPr>
            </w:pPr>
          </w:p>
          <w:p w14:paraId="0E428CC7">
            <w:pPr>
              <w:pStyle w:val="5"/>
              <w:spacing w:before="65" w:line="296" w:lineRule="auto"/>
              <w:ind w:left="42" w:right="16" w:firstLine="51"/>
            </w:pPr>
            <w:r>
              <w:rPr>
                <w:spacing w:val="8"/>
              </w:rPr>
              <w:t>技术部分评</w:t>
            </w:r>
            <w:r>
              <w:rPr>
                <w:spacing w:val="2"/>
              </w:rPr>
              <w:t>分标准</w:t>
            </w:r>
            <w:r>
              <w:rPr>
                <w:spacing w:val="-34"/>
              </w:rPr>
              <w:t xml:space="preserve"> </w:t>
            </w:r>
            <w:r>
              <w:rPr>
                <w:spacing w:val="2"/>
              </w:rPr>
              <w:t>30</w:t>
            </w:r>
            <w:r>
              <w:rPr>
                <w:spacing w:val="-36"/>
              </w:rPr>
              <w:t xml:space="preserve"> </w:t>
            </w:r>
            <w:r>
              <w:rPr>
                <w:spacing w:val="2"/>
              </w:rPr>
              <w:t>分</w:t>
            </w:r>
          </w:p>
        </w:tc>
        <w:tc>
          <w:tcPr>
            <w:tcW w:w="1946" w:type="dxa"/>
            <w:vMerge w:val="restart"/>
            <w:tcBorders>
              <w:bottom w:val="nil"/>
            </w:tcBorders>
            <w:vAlign w:val="top"/>
          </w:tcPr>
          <w:p w14:paraId="7CD8FDE6">
            <w:pPr>
              <w:spacing w:line="259" w:lineRule="auto"/>
              <w:rPr>
                <w:rFonts w:ascii="Arial"/>
                <w:sz w:val="21"/>
              </w:rPr>
            </w:pPr>
          </w:p>
          <w:p w14:paraId="09E83FD5">
            <w:pPr>
              <w:pStyle w:val="5"/>
              <w:spacing w:before="65" w:line="226" w:lineRule="auto"/>
              <w:ind w:left="31"/>
            </w:pPr>
            <w:r>
              <w:rPr>
                <w:spacing w:val="9"/>
              </w:rPr>
              <w:t>对投标材料整体评价</w:t>
            </w:r>
          </w:p>
          <w:p w14:paraId="20D468DD">
            <w:pPr>
              <w:pStyle w:val="5"/>
              <w:spacing w:before="76" w:line="228" w:lineRule="auto"/>
              <w:ind w:left="541"/>
            </w:pPr>
            <w:r>
              <w:t>（10</w:t>
            </w:r>
            <w:r>
              <w:rPr>
                <w:spacing w:val="-38"/>
              </w:rPr>
              <w:t xml:space="preserve"> </w:t>
            </w:r>
            <w:r>
              <w:t>分）</w:t>
            </w:r>
          </w:p>
        </w:tc>
        <w:tc>
          <w:tcPr>
            <w:tcW w:w="5584" w:type="dxa"/>
            <w:vAlign w:val="top"/>
          </w:tcPr>
          <w:p w14:paraId="36E4B57F">
            <w:pPr>
              <w:pStyle w:val="5"/>
              <w:spacing w:before="86" w:line="226" w:lineRule="auto"/>
              <w:ind w:left="10"/>
            </w:pPr>
            <w:r>
              <w:rPr>
                <w:spacing w:val="8"/>
              </w:rPr>
              <w:t>满足招标文件要求，整体评价优越，得</w:t>
            </w:r>
            <w:r>
              <w:rPr>
                <w:spacing w:val="-39"/>
              </w:rPr>
              <w:t xml:space="preserve"> </w:t>
            </w:r>
            <w:r>
              <w:rPr>
                <w:spacing w:val="8"/>
              </w:rPr>
              <w:t>8～10</w:t>
            </w:r>
            <w:r>
              <w:rPr>
                <w:spacing w:val="-36"/>
              </w:rPr>
              <w:t xml:space="preserve"> </w:t>
            </w:r>
            <w:r>
              <w:rPr>
                <w:spacing w:val="8"/>
              </w:rPr>
              <w:t>分</w:t>
            </w:r>
          </w:p>
        </w:tc>
      </w:tr>
      <w:tr w14:paraId="76FE9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64" w:type="dxa"/>
            <w:vMerge w:val="continue"/>
            <w:tcBorders>
              <w:top w:val="nil"/>
              <w:bottom w:val="nil"/>
            </w:tcBorders>
            <w:vAlign w:val="top"/>
          </w:tcPr>
          <w:p w14:paraId="1E00EFAB">
            <w:pPr>
              <w:rPr>
                <w:rFonts w:ascii="Arial"/>
                <w:sz w:val="21"/>
              </w:rPr>
            </w:pPr>
          </w:p>
        </w:tc>
        <w:tc>
          <w:tcPr>
            <w:tcW w:w="1208" w:type="dxa"/>
            <w:vMerge w:val="continue"/>
            <w:tcBorders>
              <w:top w:val="nil"/>
              <w:bottom w:val="nil"/>
            </w:tcBorders>
            <w:vAlign w:val="top"/>
          </w:tcPr>
          <w:p w14:paraId="6DFDC5D3">
            <w:pPr>
              <w:rPr>
                <w:rFonts w:ascii="Arial"/>
                <w:sz w:val="21"/>
              </w:rPr>
            </w:pPr>
          </w:p>
        </w:tc>
        <w:tc>
          <w:tcPr>
            <w:tcW w:w="1946" w:type="dxa"/>
            <w:vMerge w:val="continue"/>
            <w:tcBorders>
              <w:top w:val="nil"/>
              <w:bottom w:val="nil"/>
            </w:tcBorders>
            <w:vAlign w:val="top"/>
          </w:tcPr>
          <w:p w14:paraId="67C2AA73">
            <w:pPr>
              <w:rPr>
                <w:rFonts w:ascii="Arial"/>
                <w:sz w:val="21"/>
              </w:rPr>
            </w:pPr>
          </w:p>
        </w:tc>
        <w:tc>
          <w:tcPr>
            <w:tcW w:w="5584" w:type="dxa"/>
            <w:vAlign w:val="top"/>
          </w:tcPr>
          <w:p w14:paraId="77AEB572">
            <w:pPr>
              <w:pStyle w:val="5"/>
              <w:spacing w:before="96" w:line="226" w:lineRule="auto"/>
              <w:ind w:left="10"/>
            </w:pPr>
            <w:r>
              <w:rPr>
                <w:spacing w:val="8"/>
              </w:rPr>
              <w:t>满足招标文件要求，整体评价较优越，得</w:t>
            </w:r>
            <w:r>
              <w:rPr>
                <w:spacing w:val="-34"/>
              </w:rPr>
              <w:t xml:space="preserve"> </w:t>
            </w:r>
            <w:r>
              <w:rPr>
                <w:spacing w:val="8"/>
              </w:rPr>
              <w:t>6～8</w:t>
            </w:r>
            <w:r>
              <w:rPr>
                <w:spacing w:val="-35"/>
              </w:rPr>
              <w:t xml:space="preserve"> </w:t>
            </w:r>
            <w:r>
              <w:rPr>
                <w:spacing w:val="8"/>
              </w:rPr>
              <w:t>分</w:t>
            </w:r>
          </w:p>
        </w:tc>
      </w:tr>
      <w:tr w14:paraId="28B9C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964" w:type="dxa"/>
            <w:vMerge w:val="continue"/>
            <w:tcBorders>
              <w:top w:val="nil"/>
              <w:bottom w:val="nil"/>
            </w:tcBorders>
            <w:vAlign w:val="top"/>
          </w:tcPr>
          <w:p w14:paraId="7A34AC78">
            <w:pPr>
              <w:rPr>
                <w:rFonts w:ascii="Arial"/>
                <w:sz w:val="21"/>
              </w:rPr>
            </w:pPr>
          </w:p>
        </w:tc>
        <w:tc>
          <w:tcPr>
            <w:tcW w:w="1208" w:type="dxa"/>
            <w:vMerge w:val="continue"/>
            <w:tcBorders>
              <w:top w:val="nil"/>
              <w:bottom w:val="nil"/>
            </w:tcBorders>
            <w:vAlign w:val="top"/>
          </w:tcPr>
          <w:p w14:paraId="3344CCA6">
            <w:pPr>
              <w:rPr>
                <w:rFonts w:ascii="Arial"/>
                <w:sz w:val="21"/>
              </w:rPr>
            </w:pPr>
          </w:p>
        </w:tc>
        <w:tc>
          <w:tcPr>
            <w:tcW w:w="1946" w:type="dxa"/>
            <w:vMerge w:val="continue"/>
            <w:tcBorders>
              <w:top w:val="nil"/>
            </w:tcBorders>
            <w:vAlign w:val="top"/>
          </w:tcPr>
          <w:p w14:paraId="0DFCE9A9">
            <w:pPr>
              <w:rPr>
                <w:rFonts w:ascii="Arial"/>
                <w:sz w:val="21"/>
              </w:rPr>
            </w:pPr>
          </w:p>
        </w:tc>
        <w:tc>
          <w:tcPr>
            <w:tcW w:w="5584" w:type="dxa"/>
            <w:vAlign w:val="top"/>
          </w:tcPr>
          <w:p w14:paraId="3378CDD9">
            <w:pPr>
              <w:pStyle w:val="5"/>
              <w:spacing w:before="72" w:line="226" w:lineRule="auto"/>
              <w:ind w:left="10"/>
            </w:pPr>
            <w:r>
              <w:rPr>
                <w:spacing w:val="8"/>
              </w:rPr>
              <w:t>满足招标文件要求，整体评价一般，得</w:t>
            </w:r>
            <w:r>
              <w:rPr>
                <w:spacing w:val="-36"/>
              </w:rPr>
              <w:t xml:space="preserve"> </w:t>
            </w:r>
            <w:r>
              <w:rPr>
                <w:spacing w:val="8"/>
              </w:rPr>
              <w:t>6</w:t>
            </w:r>
            <w:r>
              <w:rPr>
                <w:spacing w:val="-35"/>
              </w:rPr>
              <w:t xml:space="preserve"> </w:t>
            </w:r>
            <w:r>
              <w:rPr>
                <w:spacing w:val="8"/>
              </w:rPr>
              <w:t>分</w:t>
            </w:r>
          </w:p>
        </w:tc>
      </w:tr>
      <w:tr w14:paraId="36F4B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 w:hRule="atLeast"/>
        </w:trPr>
        <w:tc>
          <w:tcPr>
            <w:tcW w:w="964" w:type="dxa"/>
            <w:vMerge w:val="continue"/>
            <w:tcBorders>
              <w:top w:val="nil"/>
              <w:bottom w:val="nil"/>
            </w:tcBorders>
            <w:vAlign w:val="top"/>
          </w:tcPr>
          <w:p w14:paraId="3D412E9F">
            <w:pPr>
              <w:rPr>
                <w:rFonts w:ascii="Arial"/>
                <w:sz w:val="21"/>
              </w:rPr>
            </w:pPr>
          </w:p>
        </w:tc>
        <w:tc>
          <w:tcPr>
            <w:tcW w:w="1208" w:type="dxa"/>
            <w:vMerge w:val="continue"/>
            <w:tcBorders>
              <w:top w:val="nil"/>
              <w:bottom w:val="nil"/>
            </w:tcBorders>
            <w:vAlign w:val="top"/>
          </w:tcPr>
          <w:p w14:paraId="6826A349">
            <w:pPr>
              <w:rPr>
                <w:rFonts w:ascii="Arial"/>
                <w:sz w:val="21"/>
              </w:rPr>
            </w:pPr>
          </w:p>
        </w:tc>
        <w:tc>
          <w:tcPr>
            <w:tcW w:w="1946" w:type="dxa"/>
            <w:vMerge w:val="restart"/>
            <w:tcBorders>
              <w:bottom w:val="nil"/>
            </w:tcBorders>
            <w:vAlign w:val="top"/>
          </w:tcPr>
          <w:p w14:paraId="6543F419">
            <w:pPr>
              <w:spacing w:line="312" w:lineRule="auto"/>
              <w:rPr>
                <w:rFonts w:ascii="Arial"/>
                <w:sz w:val="21"/>
              </w:rPr>
            </w:pPr>
          </w:p>
          <w:p w14:paraId="72E3579D">
            <w:pPr>
              <w:pStyle w:val="5"/>
              <w:spacing w:before="65" w:line="296" w:lineRule="auto"/>
              <w:ind w:left="121" w:right="28" w:hanging="87"/>
            </w:pPr>
            <w:r>
              <w:rPr>
                <w:spacing w:val="8"/>
              </w:rPr>
              <w:t>投标材料质量标准的</w:t>
            </w:r>
            <w:r>
              <w:rPr>
                <w:spacing w:val="4"/>
              </w:rPr>
              <w:t>响应程度（10</w:t>
            </w:r>
            <w:r>
              <w:rPr>
                <w:spacing w:val="-35"/>
              </w:rPr>
              <w:t xml:space="preserve"> </w:t>
            </w:r>
            <w:r>
              <w:rPr>
                <w:spacing w:val="4"/>
              </w:rPr>
              <w:t>分）</w:t>
            </w:r>
          </w:p>
        </w:tc>
        <w:tc>
          <w:tcPr>
            <w:tcW w:w="5584" w:type="dxa"/>
            <w:vAlign w:val="top"/>
          </w:tcPr>
          <w:p w14:paraId="1262D489">
            <w:pPr>
              <w:pStyle w:val="5"/>
              <w:spacing w:before="82" w:line="228" w:lineRule="auto"/>
              <w:ind w:left="10"/>
            </w:pPr>
            <w:r>
              <w:rPr>
                <w:spacing w:val="8"/>
              </w:rPr>
              <w:t>满足招标文件质量标准，性能高，质量好，得</w:t>
            </w:r>
            <w:r>
              <w:rPr>
                <w:spacing w:val="-32"/>
              </w:rPr>
              <w:t xml:space="preserve"> </w:t>
            </w:r>
            <w:r>
              <w:rPr>
                <w:spacing w:val="8"/>
              </w:rPr>
              <w:t>8～10</w:t>
            </w:r>
            <w:r>
              <w:rPr>
                <w:spacing w:val="-38"/>
              </w:rPr>
              <w:t xml:space="preserve"> </w:t>
            </w:r>
            <w:r>
              <w:rPr>
                <w:spacing w:val="8"/>
              </w:rPr>
              <w:t>分</w:t>
            </w:r>
          </w:p>
        </w:tc>
      </w:tr>
      <w:tr w14:paraId="79FC3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964" w:type="dxa"/>
            <w:vMerge w:val="continue"/>
            <w:tcBorders>
              <w:top w:val="nil"/>
              <w:bottom w:val="nil"/>
            </w:tcBorders>
            <w:vAlign w:val="top"/>
          </w:tcPr>
          <w:p w14:paraId="4D1FA43A">
            <w:pPr>
              <w:rPr>
                <w:rFonts w:ascii="Arial"/>
                <w:sz w:val="21"/>
              </w:rPr>
            </w:pPr>
          </w:p>
        </w:tc>
        <w:tc>
          <w:tcPr>
            <w:tcW w:w="1208" w:type="dxa"/>
            <w:vMerge w:val="continue"/>
            <w:tcBorders>
              <w:top w:val="nil"/>
              <w:bottom w:val="nil"/>
            </w:tcBorders>
            <w:vAlign w:val="top"/>
          </w:tcPr>
          <w:p w14:paraId="021B3CB3">
            <w:pPr>
              <w:rPr>
                <w:rFonts w:ascii="Arial"/>
                <w:sz w:val="21"/>
              </w:rPr>
            </w:pPr>
          </w:p>
        </w:tc>
        <w:tc>
          <w:tcPr>
            <w:tcW w:w="1946" w:type="dxa"/>
            <w:vMerge w:val="continue"/>
            <w:tcBorders>
              <w:top w:val="nil"/>
              <w:bottom w:val="nil"/>
            </w:tcBorders>
            <w:vAlign w:val="top"/>
          </w:tcPr>
          <w:p w14:paraId="31B488B9">
            <w:pPr>
              <w:rPr>
                <w:rFonts w:ascii="Arial"/>
                <w:sz w:val="21"/>
              </w:rPr>
            </w:pPr>
          </w:p>
        </w:tc>
        <w:tc>
          <w:tcPr>
            <w:tcW w:w="5584" w:type="dxa"/>
            <w:vAlign w:val="top"/>
          </w:tcPr>
          <w:p w14:paraId="141BBE42">
            <w:pPr>
              <w:pStyle w:val="5"/>
              <w:spacing w:before="93" w:line="228" w:lineRule="auto"/>
              <w:ind w:left="10"/>
            </w:pPr>
            <w:r>
              <w:rPr>
                <w:spacing w:val="8"/>
              </w:rPr>
              <w:t>满足招标文件质量标准，性能较高，质量较好，得</w:t>
            </w:r>
            <w:r>
              <w:rPr>
                <w:spacing w:val="-26"/>
              </w:rPr>
              <w:t xml:space="preserve"> </w:t>
            </w:r>
            <w:r>
              <w:rPr>
                <w:spacing w:val="8"/>
              </w:rPr>
              <w:t>6～8</w:t>
            </w:r>
            <w:r>
              <w:rPr>
                <w:spacing w:val="-35"/>
              </w:rPr>
              <w:t xml:space="preserve"> </w:t>
            </w:r>
            <w:r>
              <w:rPr>
                <w:spacing w:val="8"/>
              </w:rPr>
              <w:t>分</w:t>
            </w:r>
          </w:p>
        </w:tc>
      </w:tr>
      <w:tr w14:paraId="77CFB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964" w:type="dxa"/>
            <w:vMerge w:val="continue"/>
            <w:tcBorders>
              <w:top w:val="nil"/>
              <w:bottom w:val="nil"/>
            </w:tcBorders>
            <w:vAlign w:val="top"/>
          </w:tcPr>
          <w:p w14:paraId="52163213">
            <w:pPr>
              <w:rPr>
                <w:rFonts w:ascii="Arial"/>
                <w:sz w:val="21"/>
              </w:rPr>
            </w:pPr>
          </w:p>
        </w:tc>
        <w:tc>
          <w:tcPr>
            <w:tcW w:w="1208" w:type="dxa"/>
            <w:vMerge w:val="continue"/>
            <w:tcBorders>
              <w:top w:val="nil"/>
              <w:bottom w:val="nil"/>
            </w:tcBorders>
            <w:vAlign w:val="top"/>
          </w:tcPr>
          <w:p w14:paraId="6D625119">
            <w:pPr>
              <w:rPr>
                <w:rFonts w:ascii="Arial"/>
                <w:sz w:val="21"/>
              </w:rPr>
            </w:pPr>
          </w:p>
        </w:tc>
        <w:tc>
          <w:tcPr>
            <w:tcW w:w="1946" w:type="dxa"/>
            <w:vMerge w:val="continue"/>
            <w:tcBorders>
              <w:top w:val="nil"/>
            </w:tcBorders>
            <w:vAlign w:val="top"/>
          </w:tcPr>
          <w:p w14:paraId="59D80E80">
            <w:pPr>
              <w:rPr>
                <w:rFonts w:ascii="Arial"/>
                <w:sz w:val="21"/>
              </w:rPr>
            </w:pPr>
          </w:p>
        </w:tc>
        <w:tc>
          <w:tcPr>
            <w:tcW w:w="5584" w:type="dxa"/>
            <w:vAlign w:val="top"/>
          </w:tcPr>
          <w:p w14:paraId="7A7E497D">
            <w:pPr>
              <w:pStyle w:val="5"/>
              <w:spacing w:before="128" w:line="228" w:lineRule="auto"/>
              <w:ind w:left="10"/>
            </w:pPr>
            <w:r>
              <w:rPr>
                <w:spacing w:val="8"/>
              </w:rPr>
              <w:t>满足招标文件质量标准，性能一般，质量一般，得</w:t>
            </w:r>
            <w:r>
              <w:rPr>
                <w:spacing w:val="-24"/>
              </w:rPr>
              <w:t xml:space="preserve"> </w:t>
            </w:r>
            <w:r>
              <w:rPr>
                <w:spacing w:val="8"/>
              </w:rPr>
              <w:t>6</w:t>
            </w:r>
            <w:r>
              <w:rPr>
                <w:spacing w:val="-38"/>
              </w:rPr>
              <w:t xml:space="preserve"> </w:t>
            </w:r>
            <w:r>
              <w:rPr>
                <w:spacing w:val="8"/>
              </w:rPr>
              <w:t>分</w:t>
            </w:r>
          </w:p>
        </w:tc>
      </w:tr>
      <w:tr w14:paraId="05A9A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964" w:type="dxa"/>
            <w:vMerge w:val="continue"/>
            <w:tcBorders>
              <w:top w:val="nil"/>
              <w:bottom w:val="nil"/>
            </w:tcBorders>
            <w:vAlign w:val="top"/>
          </w:tcPr>
          <w:p w14:paraId="1BC99496">
            <w:pPr>
              <w:rPr>
                <w:rFonts w:ascii="Arial"/>
                <w:sz w:val="21"/>
              </w:rPr>
            </w:pPr>
          </w:p>
        </w:tc>
        <w:tc>
          <w:tcPr>
            <w:tcW w:w="1208" w:type="dxa"/>
            <w:vMerge w:val="continue"/>
            <w:tcBorders>
              <w:top w:val="nil"/>
              <w:bottom w:val="nil"/>
            </w:tcBorders>
            <w:vAlign w:val="top"/>
          </w:tcPr>
          <w:p w14:paraId="47C9D2AD">
            <w:pPr>
              <w:rPr>
                <w:rFonts w:ascii="Arial"/>
                <w:sz w:val="21"/>
              </w:rPr>
            </w:pPr>
          </w:p>
        </w:tc>
        <w:tc>
          <w:tcPr>
            <w:tcW w:w="1946" w:type="dxa"/>
            <w:vMerge w:val="restart"/>
            <w:tcBorders>
              <w:bottom w:val="nil"/>
            </w:tcBorders>
            <w:vAlign w:val="top"/>
          </w:tcPr>
          <w:p w14:paraId="1D122004">
            <w:pPr>
              <w:pStyle w:val="5"/>
              <w:spacing w:before="258" w:line="334" w:lineRule="auto"/>
              <w:ind w:left="99" w:right="78" w:hanging="35"/>
              <w:jc w:val="both"/>
            </w:pPr>
            <w:r>
              <w:rPr>
                <w:spacing w:val="24"/>
              </w:rPr>
              <w:t>对投标人供货服务</w:t>
            </w:r>
            <w:r>
              <w:rPr>
                <w:spacing w:val="17"/>
              </w:rPr>
              <w:t>及保障措施的评价</w:t>
            </w:r>
            <w:r>
              <w:rPr>
                <w:spacing w:val="9"/>
              </w:rPr>
              <w:t>（10</w:t>
            </w:r>
            <w:r>
              <w:rPr>
                <w:spacing w:val="-35"/>
              </w:rPr>
              <w:t xml:space="preserve"> </w:t>
            </w:r>
            <w:r>
              <w:rPr>
                <w:spacing w:val="9"/>
              </w:rPr>
              <w:t>分</w:t>
            </w:r>
            <w:r>
              <w:rPr>
                <w:spacing w:val="-4"/>
              </w:rPr>
              <w:t>）（</w:t>
            </w:r>
            <w:r>
              <w:rPr>
                <w:spacing w:val="9"/>
              </w:rPr>
              <w:t>暗标）</w:t>
            </w:r>
          </w:p>
        </w:tc>
        <w:tc>
          <w:tcPr>
            <w:tcW w:w="5584" w:type="dxa"/>
            <w:vAlign w:val="top"/>
          </w:tcPr>
          <w:p w14:paraId="349F8CFA">
            <w:pPr>
              <w:pStyle w:val="5"/>
              <w:spacing w:before="111" w:line="227" w:lineRule="auto"/>
              <w:ind w:left="10"/>
            </w:pPr>
            <w:r>
              <w:rPr>
                <w:spacing w:val="17"/>
              </w:rPr>
              <w:t>供货服务承诺及保障措施优秀，得</w:t>
            </w:r>
            <w:r>
              <w:rPr>
                <w:spacing w:val="-5"/>
              </w:rPr>
              <w:t xml:space="preserve"> </w:t>
            </w:r>
            <w:r>
              <w:rPr>
                <w:spacing w:val="17"/>
              </w:rPr>
              <w:t>8～10</w:t>
            </w:r>
            <w:r>
              <w:rPr>
                <w:spacing w:val="-21"/>
              </w:rPr>
              <w:t xml:space="preserve"> </w:t>
            </w:r>
            <w:r>
              <w:rPr>
                <w:spacing w:val="17"/>
              </w:rPr>
              <w:t>分；</w:t>
            </w:r>
          </w:p>
        </w:tc>
      </w:tr>
      <w:tr w14:paraId="0F96C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964" w:type="dxa"/>
            <w:vMerge w:val="continue"/>
            <w:tcBorders>
              <w:top w:val="nil"/>
              <w:bottom w:val="nil"/>
            </w:tcBorders>
            <w:vAlign w:val="top"/>
          </w:tcPr>
          <w:p w14:paraId="71732811">
            <w:pPr>
              <w:rPr>
                <w:rFonts w:ascii="Arial"/>
                <w:sz w:val="21"/>
              </w:rPr>
            </w:pPr>
          </w:p>
        </w:tc>
        <w:tc>
          <w:tcPr>
            <w:tcW w:w="1208" w:type="dxa"/>
            <w:vMerge w:val="continue"/>
            <w:tcBorders>
              <w:top w:val="nil"/>
              <w:bottom w:val="nil"/>
            </w:tcBorders>
            <w:vAlign w:val="top"/>
          </w:tcPr>
          <w:p w14:paraId="5BA4CCC8">
            <w:pPr>
              <w:rPr>
                <w:rFonts w:ascii="Arial"/>
                <w:sz w:val="21"/>
              </w:rPr>
            </w:pPr>
          </w:p>
        </w:tc>
        <w:tc>
          <w:tcPr>
            <w:tcW w:w="1946" w:type="dxa"/>
            <w:vMerge w:val="continue"/>
            <w:tcBorders>
              <w:top w:val="nil"/>
              <w:bottom w:val="nil"/>
            </w:tcBorders>
            <w:vAlign w:val="top"/>
          </w:tcPr>
          <w:p w14:paraId="56A12CDD">
            <w:pPr>
              <w:rPr>
                <w:rFonts w:ascii="Arial"/>
                <w:sz w:val="21"/>
              </w:rPr>
            </w:pPr>
          </w:p>
        </w:tc>
        <w:tc>
          <w:tcPr>
            <w:tcW w:w="5584" w:type="dxa"/>
            <w:vAlign w:val="top"/>
          </w:tcPr>
          <w:p w14:paraId="137B0FE8">
            <w:pPr>
              <w:pStyle w:val="5"/>
              <w:spacing w:before="144" w:line="227" w:lineRule="auto"/>
              <w:ind w:left="10"/>
            </w:pPr>
            <w:r>
              <w:rPr>
                <w:spacing w:val="20"/>
              </w:rPr>
              <w:t>供货服务承诺及保障措施良好，得6～8分；</w:t>
            </w:r>
          </w:p>
        </w:tc>
      </w:tr>
      <w:tr w14:paraId="7853C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964" w:type="dxa"/>
            <w:vMerge w:val="continue"/>
            <w:tcBorders>
              <w:top w:val="nil"/>
            </w:tcBorders>
            <w:vAlign w:val="top"/>
          </w:tcPr>
          <w:p w14:paraId="612E00F2">
            <w:pPr>
              <w:rPr>
                <w:rFonts w:ascii="Arial"/>
                <w:sz w:val="21"/>
              </w:rPr>
            </w:pPr>
          </w:p>
        </w:tc>
        <w:tc>
          <w:tcPr>
            <w:tcW w:w="1208" w:type="dxa"/>
            <w:vMerge w:val="continue"/>
            <w:tcBorders>
              <w:top w:val="nil"/>
            </w:tcBorders>
            <w:vAlign w:val="top"/>
          </w:tcPr>
          <w:p w14:paraId="518811D2">
            <w:pPr>
              <w:rPr>
                <w:rFonts w:ascii="Arial"/>
                <w:sz w:val="21"/>
              </w:rPr>
            </w:pPr>
          </w:p>
        </w:tc>
        <w:tc>
          <w:tcPr>
            <w:tcW w:w="1946" w:type="dxa"/>
            <w:vMerge w:val="continue"/>
            <w:tcBorders>
              <w:top w:val="nil"/>
            </w:tcBorders>
            <w:vAlign w:val="top"/>
          </w:tcPr>
          <w:p w14:paraId="3E487E68">
            <w:pPr>
              <w:rPr>
                <w:rFonts w:ascii="Arial"/>
                <w:sz w:val="21"/>
              </w:rPr>
            </w:pPr>
          </w:p>
        </w:tc>
        <w:tc>
          <w:tcPr>
            <w:tcW w:w="5584" w:type="dxa"/>
            <w:vAlign w:val="top"/>
          </w:tcPr>
          <w:p w14:paraId="45DE321D">
            <w:pPr>
              <w:pStyle w:val="5"/>
              <w:spacing w:before="152" w:line="227" w:lineRule="auto"/>
              <w:ind w:left="10"/>
            </w:pPr>
            <w:r>
              <w:rPr>
                <w:spacing w:val="18"/>
              </w:rPr>
              <w:t>供货服务承诺及保障措施一般，得</w:t>
            </w:r>
            <w:r>
              <w:rPr>
                <w:spacing w:val="-16"/>
              </w:rPr>
              <w:t xml:space="preserve"> </w:t>
            </w:r>
            <w:r>
              <w:rPr>
                <w:spacing w:val="18"/>
              </w:rPr>
              <w:t>6</w:t>
            </w:r>
            <w:r>
              <w:rPr>
                <w:spacing w:val="-25"/>
              </w:rPr>
              <w:t xml:space="preserve"> </w:t>
            </w:r>
            <w:r>
              <w:rPr>
                <w:spacing w:val="18"/>
              </w:rPr>
              <w:t>分。</w:t>
            </w:r>
          </w:p>
        </w:tc>
      </w:tr>
    </w:tbl>
    <w:p w14:paraId="481AA148">
      <w:pPr>
        <w:pStyle w:val="2"/>
      </w:pPr>
    </w:p>
    <w:p w14:paraId="5BFBEA21">
      <w:pPr>
        <w:spacing w:before="84"/>
      </w:pPr>
    </w:p>
    <w:tbl>
      <w:tblPr>
        <w:tblStyle w:val="6"/>
        <w:tblW w:w="968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4"/>
        <w:gridCol w:w="1208"/>
        <w:gridCol w:w="1946"/>
        <w:gridCol w:w="5567"/>
      </w:tblGrid>
      <w:tr w14:paraId="02B7E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8" w:hRule="atLeast"/>
        </w:trPr>
        <w:tc>
          <w:tcPr>
            <w:tcW w:w="964" w:type="dxa"/>
            <w:vAlign w:val="top"/>
          </w:tcPr>
          <w:p w14:paraId="5955B170">
            <w:pPr>
              <w:spacing w:line="273" w:lineRule="auto"/>
              <w:rPr>
                <w:rFonts w:ascii="Arial"/>
                <w:sz w:val="21"/>
              </w:rPr>
            </w:pPr>
          </w:p>
          <w:p w14:paraId="34133634">
            <w:pPr>
              <w:spacing w:line="273" w:lineRule="auto"/>
              <w:rPr>
                <w:rFonts w:ascii="Arial"/>
                <w:sz w:val="21"/>
              </w:rPr>
            </w:pPr>
          </w:p>
          <w:p w14:paraId="228FD4DC">
            <w:pPr>
              <w:spacing w:line="273" w:lineRule="auto"/>
              <w:rPr>
                <w:rFonts w:ascii="Arial"/>
                <w:sz w:val="21"/>
              </w:rPr>
            </w:pPr>
          </w:p>
          <w:p w14:paraId="72242A32">
            <w:pPr>
              <w:pStyle w:val="5"/>
              <w:spacing w:before="65" w:line="268" w:lineRule="exact"/>
              <w:ind w:left="238"/>
            </w:pPr>
            <w:r>
              <w:rPr>
                <w:spacing w:val="2"/>
                <w:position w:val="1"/>
              </w:rPr>
              <w:t>2.2.4</w:t>
            </w:r>
          </w:p>
          <w:p w14:paraId="322EFFD6">
            <w:pPr>
              <w:pStyle w:val="5"/>
              <w:spacing w:before="53" w:line="231" w:lineRule="auto"/>
              <w:ind w:left="378"/>
            </w:pPr>
            <w:r>
              <w:rPr>
                <w:spacing w:val="-11"/>
              </w:rPr>
              <w:t>(3)</w:t>
            </w:r>
          </w:p>
        </w:tc>
        <w:tc>
          <w:tcPr>
            <w:tcW w:w="1208" w:type="dxa"/>
            <w:vAlign w:val="top"/>
          </w:tcPr>
          <w:p w14:paraId="3A9EC80E">
            <w:pPr>
              <w:spacing w:line="331" w:lineRule="auto"/>
              <w:rPr>
                <w:rFonts w:ascii="Arial"/>
                <w:sz w:val="21"/>
              </w:rPr>
            </w:pPr>
          </w:p>
          <w:p w14:paraId="5B9562CF">
            <w:pPr>
              <w:spacing w:line="331" w:lineRule="auto"/>
              <w:rPr>
                <w:rFonts w:ascii="Arial"/>
                <w:sz w:val="21"/>
              </w:rPr>
            </w:pPr>
          </w:p>
          <w:p w14:paraId="32791AEC">
            <w:pPr>
              <w:pStyle w:val="5"/>
              <w:spacing w:before="65" w:line="226" w:lineRule="auto"/>
              <w:ind w:left="303"/>
            </w:pPr>
            <w:r>
              <w:rPr>
                <w:spacing w:val="6"/>
              </w:rPr>
              <w:t>评标价</w:t>
            </w:r>
          </w:p>
          <w:p w14:paraId="27071A21">
            <w:pPr>
              <w:pStyle w:val="5"/>
              <w:spacing w:before="74" w:line="228" w:lineRule="auto"/>
              <w:ind w:left="197"/>
            </w:pPr>
            <w:r>
              <w:rPr>
                <w:spacing w:val="7"/>
              </w:rPr>
              <w:t>评分标准</w:t>
            </w:r>
          </w:p>
          <w:p w14:paraId="0CE7229F">
            <w:pPr>
              <w:pStyle w:val="5"/>
              <w:spacing w:before="72" w:line="228" w:lineRule="auto"/>
              <w:ind w:left="385"/>
            </w:pPr>
            <w:r>
              <w:rPr>
                <w:spacing w:val="-1"/>
              </w:rPr>
              <w:t>50</w:t>
            </w:r>
            <w:r>
              <w:rPr>
                <w:spacing w:val="-36"/>
              </w:rPr>
              <w:t xml:space="preserve"> </w:t>
            </w:r>
            <w:r>
              <w:rPr>
                <w:spacing w:val="-1"/>
              </w:rPr>
              <w:t>分</w:t>
            </w:r>
          </w:p>
        </w:tc>
        <w:tc>
          <w:tcPr>
            <w:tcW w:w="1946" w:type="dxa"/>
            <w:vAlign w:val="top"/>
          </w:tcPr>
          <w:p w14:paraId="4F448338">
            <w:pPr>
              <w:spacing w:line="244" w:lineRule="auto"/>
              <w:rPr>
                <w:rFonts w:ascii="Arial"/>
                <w:sz w:val="21"/>
              </w:rPr>
            </w:pPr>
          </w:p>
          <w:p w14:paraId="4B8D7B28">
            <w:pPr>
              <w:spacing w:line="245" w:lineRule="auto"/>
              <w:rPr>
                <w:rFonts w:ascii="Arial"/>
                <w:sz w:val="21"/>
              </w:rPr>
            </w:pPr>
          </w:p>
          <w:p w14:paraId="73C20FA9">
            <w:pPr>
              <w:spacing w:line="245" w:lineRule="auto"/>
              <w:rPr>
                <w:rFonts w:ascii="Arial"/>
                <w:sz w:val="21"/>
              </w:rPr>
            </w:pPr>
          </w:p>
          <w:p w14:paraId="02BF32A5">
            <w:pPr>
              <w:spacing w:line="245" w:lineRule="auto"/>
              <w:rPr>
                <w:rFonts w:ascii="Arial"/>
                <w:sz w:val="21"/>
              </w:rPr>
            </w:pPr>
          </w:p>
          <w:p w14:paraId="499AB542">
            <w:pPr>
              <w:pStyle w:val="5"/>
              <w:spacing w:before="65" w:line="228" w:lineRule="auto"/>
              <w:ind w:left="773"/>
            </w:pPr>
            <w:r>
              <w:rPr>
                <w:spacing w:val="1"/>
              </w:rPr>
              <w:t>50分</w:t>
            </w:r>
          </w:p>
        </w:tc>
        <w:tc>
          <w:tcPr>
            <w:tcW w:w="5567" w:type="dxa"/>
            <w:vAlign w:val="top"/>
          </w:tcPr>
          <w:p w14:paraId="707D80E0">
            <w:pPr>
              <w:pStyle w:val="5"/>
              <w:spacing w:before="90" w:line="226" w:lineRule="auto"/>
              <w:ind w:left="10"/>
            </w:pPr>
            <w:r>
              <w:rPr>
                <w:spacing w:val="8"/>
              </w:rPr>
              <w:t>评标价得分计算公式示例：</w:t>
            </w:r>
          </w:p>
          <w:p w14:paraId="1021DCC9">
            <w:pPr>
              <w:pStyle w:val="5"/>
              <w:spacing w:before="73" w:line="296" w:lineRule="auto"/>
              <w:ind w:left="10" w:right="4" w:firstLine="10"/>
            </w:pPr>
            <w:r>
              <w:rPr>
                <w:spacing w:val="12"/>
              </w:rPr>
              <w:t>（1）如果投标人的评标价＞评标基准价，则评标价得分=F-</w:t>
            </w:r>
            <w:r>
              <w:rPr>
                <w:spacing w:val="6"/>
              </w:rPr>
              <w:t>偏差率×100×E1；</w:t>
            </w:r>
          </w:p>
          <w:p w14:paraId="1F1700E6">
            <w:pPr>
              <w:pStyle w:val="5"/>
              <w:spacing w:before="1" w:line="295" w:lineRule="auto"/>
              <w:ind w:left="10" w:right="4" w:firstLine="10"/>
            </w:pPr>
            <w:r>
              <w:rPr>
                <w:spacing w:val="12"/>
              </w:rPr>
              <w:t>（2）如果投标人的评标价≤评标基准价，则评标价得分=F+</w:t>
            </w:r>
            <w:r>
              <w:rPr>
                <w:spacing w:val="6"/>
              </w:rPr>
              <w:t>偏差率×100×E2。</w:t>
            </w:r>
          </w:p>
          <w:p w14:paraId="70BCB000">
            <w:pPr>
              <w:pStyle w:val="5"/>
              <w:spacing w:before="1" w:line="261" w:lineRule="auto"/>
              <w:ind w:left="10" w:right="347" w:firstLine="1"/>
            </w:pPr>
            <w:r>
              <w:rPr>
                <w:spacing w:val="5"/>
              </w:rPr>
              <w:t>其中，F=50；E1=0.6；E2=0.3；评标价最低得分为</w:t>
            </w:r>
            <w:r>
              <w:rPr>
                <w:spacing w:val="-26"/>
              </w:rPr>
              <w:t xml:space="preserve"> </w:t>
            </w:r>
            <w:r>
              <w:rPr>
                <w:spacing w:val="5"/>
              </w:rPr>
              <w:t>0</w:t>
            </w:r>
            <w:r>
              <w:rPr>
                <w:spacing w:val="-38"/>
              </w:rPr>
              <w:t xml:space="preserve"> </w:t>
            </w:r>
            <w:r>
              <w:rPr>
                <w:spacing w:val="5"/>
              </w:rPr>
              <w:t>分。</w:t>
            </w:r>
            <w:r>
              <w:rPr>
                <w:spacing w:val="9"/>
              </w:rPr>
              <w:t>评标价得分保留两位小数，第三位四舍五入。</w:t>
            </w:r>
          </w:p>
        </w:tc>
      </w:tr>
      <w:tr w14:paraId="5245A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93" w:hRule="atLeast"/>
        </w:trPr>
        <w:tc>
          <w:tcPr>
            <w:tcW w:w="9685" w:type="dxa"/>
            <w:gridSpan w:val="4"/>
            <w:vAlign w:val="top"/>
          </w:tcPr>
          <w:p w14:paraId="50095F8B">
            <w:pPr>
              <w:pStyle w:val="5"/>
              <w:spacing w:before="78" w:line="229" w:lineRule="auto"/>
              <w:ind w:left="455"/>
            </w:pPr>
            <w:r>
              <w:rPr>
                <w:spacing w:val="2"/>
              </w:rPr>
              <w:t>增加：</w:t>
            </w:r>
          </w:p>
          <w:p w14:paraId="591312D4">
            <w:pPr>
              <w:pStyle w:val="5"/>
              <w:spacing w:before="190" w:line="296" w:lineRule="auto"/>
              <w:ind w:left="33" w:right="5" w:firstLine="424"/>
            </w:pPr>
            <w:r>
              <w:rPr>
                <w:spacing w:val="10"/>
              </w:rPr>
              <w:t>一、评标委员会在评标过程中将对投标人的</w:t>
            </w:r>
            <w:r>
              <w:rPr>
                <w:spacing w:val="9"/>
              </w:rPr>
              <w:t>信誉情况进行查询。如投标人存在下列情形之一的，评标</w:t>
            </w:r>
            <w:r>
              <w:rPr>
                <w:spacing w:val="8"/>
              </w:rPr>
              <w:t>委员会应否决其投标。</w:t>
            </w:r>
          </w:p>
          <w:p w14:paraId="7E82C86B">
            <w:pPr>
              <w:pStyle w:val="5"/>
              <w:spacing w:before="120" w:line="288" w:lineRule="auto"/>
              <w:ind w:left="44" w:firstLine="416"/>
            </w:pPr>
            <w:r>
              <w:rPr>
                <w:spacing w:val="6"/>
              </w:rPr>
              <w:t>（</w:t>
            </w:r>
            <w:r>
              <w:rPr>
                <w:rFonts w:ascii="Times New Roman" w:hAnsi="Times New Roman" w:eastAsia="Times New Roman" w:cs="Times New Roman"/>
                <w:spacing w:val="6"/>
              </w:rPr>
              <w:t>1</w:t>
            </w:r>
            <w:r>
              <w:rPr>
                <w:spacing w:val="6"/>
              </w:rPr>
              <w:t>）在国家企业信用信息公示系统（</w:t>
            </w:r>
            <w:r>
              <w:fldChar w:fldCharType="begin"/>
            </w:r>
            <w:r>
              <w:instrText xml:space="preserve"> HYPERLINK "https://www.gsxt.gov.cn/" </w:instrText>
            </w:r>
            <w:r>
              <w:fldChar w:fldCharType="separate"/>
            </w:r>
            <w:r>
              <w:rPr>
                <w:rFonts w:ascii="Times New Roman" w:hAnsi="Times New Roman" w:eastAsia="Times New Roman" w:cs="Times New Roman"/>
              </w:rPr>
              <w:t>https</w:t>
            </w:r>
            <w:r>
              <w:rPr>
                <w:spacing w:val="6"/>
                <w:u w:val="single" w:color="auto"/>
              </w:rPr>
              <w:t>:</w:t>
            </w:r>
            <w:r>
              <w:rPr>
                <w:rFonts w:ascii="Times New Roman" w:hAnsi="Times New Roman" w:eastAsia="Times New Roman" w:cs="Times New Roman"/>
                <w:spacing w:val="6"/>
              </w:rPr>
              <w:t>//</w:t>
            </w:r>
            <w:r>
              <w:rPr>
                <w:rFonts w:ascii="Times New Roman" w:hAnsi="Times New Roman" w:eastAsia="Times New Roman" w:cs="Times New Roman"/>
              </w:rPr>
              <w:t>www</w:t>
            </w:r>
            <w:r>
              <w:rPr>
                <w:rFonts w:ascii="Times New Roman" w:hAnsi="Times New Roman" w:eastAsia="Times New Roman" w:cs="Times New Roman"/>
                <w:spacing w:val="6"/>
              </w:rPr>
              <w:t>.</w:t>
            </w:r>
            <w:r>
              <w:rPr>
                <w:rFonts w:ascii="Times New Roman" w:hAnsi="Times New Roman" w:eastAsia="Times New Roman" w:cs="Times New Roman"/>
              </w:rPr>
              <w:t>gsxt</w:t>
            </w:r>
            <w:r>
              <w:rPr>
                <w:rFonts w:ascii="Times New Roman" w:hAnsi="Times New Roman" w:eastAsia="Times New Roman" w:cs="Times New Roman"/>
                <w:spacing w:val="6"/>
              </w:rPr>
              <w:t>.</w:t>
            </w:r>
            <w:r>
              <w:rPr>
                <w:rFonts w:ascii="Times New Roman" w:hAnsi="Times New Roman" w:eastAsia="Times New Roman" w:cs="Times New Roman"/>
              </w:rPr>
              <w:t>gov</w:t>
            </w:r>
            <w:r>
              <w:rPr>
                <w:rFonts w:ascii="Times New Roman" w:hAnsi="Times New Roman" w:eastAsia="Times New Roman" w:cs="Times New Roman"/>
                <w:spacing w:val="6"/>
              </w:rPr>
              <w:t>.</w:t>
            </w:r>
            <w:r>
              <w:rPr>
                <w:rFonts w:ascii="Times New Roman" w:hAnsi="Times New Roman" w:eastAsia="Times New Roman" w:cs="Times New Roman"/>
              </w:rPr>
              <w:t>cn</w:t>
            </w:r>
            <w:r>
              <w:rPr>
                <w:rFonts w:ascii="Times New Roman" w:hAnsi="Times New Roman" w:eastAsia="Times New Roman" w:cs="Times New Roman"/>
                <w:spacing w:val="6"/>
              </w:rPr>
              <w:t>/</w:t>
            </w:r>
            <w:r>
              <w:rPr>
                <w:rFonts w:ascii="Times New Roman" w:hAnsi="Times New Roman" w:eastAsia="Times New Roman" w:cs="Times New Roman"/>
                <w:spacing w:val="6"/>
              </w:rPr>
              <w:fldChar w:fldCharType="end"/>
            </w:r>
            <w:r>
              <w:rPr>
                <w:spacing w:val="6"/>
              </w:rPr>
              <w:t>）中被列入严重违法失信名单（黑名单）</w:t>
            </w:r>
            <w:r>
              <w:rPr>
                <w:spacing w:val="4"/>
              </w:rPr>
              <w:t xml:space="preserve"> （不含分公司</w:t>
            </w:r>
            <w:r>
              <w:rPr>
                <w:spacing w:val="2"/>
              </w:rPr>
              <w:t>）；</w:t>
            </w:r>
          </w:p>
          <w:p w14:paraId="62336057">
            <w:pPr>
              <w:pStyle w:val="5"/>
              <w:spacing w:before="134" w:line="295" w:lineRule="auto"/>
              <w:ind w:left="41" w:right="5" w:firstLine="422"/>
            </w:pPr>
            <w:r>
              <w:rPr>
                <w:spacing w:val="8"/>
              </w:rPr>
              <w:t>（</w:t>
            </w:r>
            <w:r>
              <w:rPr>
                <w:rFonts w:ascii="Times New Roman" w:hAnsi="Times New Roman" w:eastAsia="Times New Roman" w:cs="Times New Roman"/>
                <w:spacing w:val="8"/>
              </w:rPr>
              <w:t>2</w:t>
            </w:r>
            <w:r>
              <w:rPr>
                <w:spacing w:val="8"/>
              </w:rPr>
              <w:t>）在“信用中国”网站（</w:t>
            </w:r>
            <w:r>
              <w:fldChar w:fldCharType="begin"/>
            </w:r>
            <w:r>
              <w:instrText xml:space="preserve"> HYPERLINK "https://www.creditchina.gov.cn/" </w:instrText>
            </w:r>
            <w:r>
              <w:fldChar w:fldCharType="separate"/>
            </w:r>
            <w:r>
              <w:rPr>
                <w:rFonts w:ascii="Times New Roman" w:hAnsi="Times New Roman" w:eastAsia="Times New Roman" w:cs="Times New Roman"/>
              </w:rPr>
              <w:t>https</w:t>
            </w:r>
            <w:r>
              <w:rPr>
                <w:spacing w:val="8"/>
                <w:u w:val="single" w:color="auto"/>
              </w:rPr>
              <w:t>:</w:t>
            </w:r>
            <w:r>
              <w:rPr>
                <w:rFonts w:ascii="Times New Roman" w:hAnsi="Times New Roman" w:eastAsia="Times New Roman" w:cs="Times New Roman"/>
                <w:spacing w:val="8"/>
              </w:rPr>
              <w:t>//</w:t>
            </w:r>
            <w:r>
              <w:rPr>
                <w:rFonts w:ascii="Times New Roman" w:hAnsi="Times New Roman" w:eastAsia="Times New Roman" w:cs="Times New Roman"/>
              </w:rPr>
              <w:t>www</w:t>
            </w:r>
            <w:r>
              <w:rPr>
                <w:rFonts w:ascii="Times New Roman" w:hAnsi="Times New Roman" w:eastAsia="Times New Roman" w:cs="Times New Roman"/>
                <w:spacing w:val="8"/>
              </w:rPr>
              <w:t>.</w:t>
            </w:r>
            <w:r>
              <w:rPr>
                <w:rFonts w:ascii="Times New Roman" w:hAnsi="Times New Roman" w:eastAsia="Times New Roman" w:cs="Times New Roman"/>
              </w:rPr>
              <w:t>creditchina</w:t>
            </w:r>
            <w:r>
              <w:rPr>
                <w:rFonts w:ascii="Times New Roman" w:hAnsi="Times New Roman" w:eastAsia="Times New Roman" w:cs="Times New Roman"/>
                <w:spacing w:val="8"/>
              </w:rPr>
              <w:t>.</w:t>
            </w:r>
            <w:r>
              <w:rPr>
                <w:rFonts w:ascii="Times New Roman" w:hAnsi="Times New Roman" w:eastAsia="Times New Roman" w:cs="Times New Roman"/>
              </w:rPr>
              <w:t>gov</w:t>
            </w:r>
            <w:r>
              <w:rPr>
                <w:rFonts w:ascii="Times New Roman" w:hAnsi="Times New Roman" w:eastAsia="Times New Roman" w:cs="Times New Roman"/>
                <w:spacing w:val="8"/>
              </w:rPr>
              <w:t>.</w:t>
            </w:r>
            <w:r>
              <w:rPr>
                <w:rFonts w:ascii="Times New Roman" w:hAnsi="Times New Roman" w:eastAsia="Times New Roman" w:cs="Times New Roman"/>
              </w:rPr>
              <w:t>cn</w:t>
            </w:r>
            <w:r>
              <w:rPr>
                <w:rFonts w:ascii="Times New Roman" w:hAnsi="Times New Roman" w:eastAsia="Times New Roman" w:cs="Times New Roman"/>
                <w:spacing w:val="7"/>
              </w:rPr>
              <w:t>/</w:t>
            </w:r>
            <w:r>
              <w:rPr>
                <w:rFonts w:ascii="Times New Roman" w:hAnsi="Times New Roman" w:eastAsia="Times New Roman" w:cs="Times New Roman"/>
                <w:spacing w:val="7"/>
              </w:rPr>
              <w:fldChar w:fldCharType="end"/>
            </w:r>
            <w:r>
              <w:rPr>
                <w:spacing w:val="7"/>
              </w:rPr>
              <w:t>）中被列入经营（活动）异常名录、重大税</w:t>
            </w:r>
            <w:r>
              <w:rPr>
                <w:spacing w:val="14"/>
              </w:rPr>
              <w:t>收违法失信主体名单、政府采购严重违法失信行为记录名单和安全生产严重失信主体名单（均不含分公</w:t>
            </w:r>
            <w:r>
              <w:rPr>
                <w:spacing w:val="-7"/>
              </w:rPr>
              <w:t>司</w:t>
            </w:r>
            <w:r>
              <w:t>）；</w:t>
            </w:r>
          </w:p>
          <w:p w14:paraId="5C78C5D7">
            <w:pPr>
              <w:pStyle w:val="5"/>
              <w:spacing w:before="120" w:line="221" w:lineRule="auto"/>
              <w:ind w:left="464"/>
            </w:pPr>
            <w:r>
              <w:rPr>
                <w:spacing w:val="10"/>
              </w:rPr>
              <w:t>（</w:t>
            </w:r>
            <w:r>
              <w:rPr>
                <w:rFonts w:ascii="Times New Roman" w:hAnsi="Times New Roman" w:eastAsia="Times New Roman" w:cs="Times New Roman"/>
                <w:spacing w:val="10"/>
              </w:rPr>
              <w:t>3</w:t>
            </w:r>
            <w:r>
              <w:rPr>
                <w:spacing w:val="10"/>
              </w:rPr>
              <w:t>）在中国执行信息公开网（</w:t>
            </w:r>
            <w:r>
              <w:fldChar w:fldCharType="begin"/>
            </w:r>
            <w:r>
              <w:instrText xml:space="preserve"> HYPERLINK "https://zxgk.court.gov.cn" </w:instrText>
            </w:r>
            <w:r>
              <w:fldChar w:fldCharType="separate"/>
            </w:r>
            <w:r>
              <w:rPr>
                <w:rFonts w:ascii="Times New Roman" w:hAnsi="Times New Roman" w:eastAsia="Times New Roman" w:cs="Times New Roman"/>
              </w:rPr>
              <w:t>https</w:t>
            </w:r>
            <w:r>
              <w:rPr>
                <w:spacing w:val="10"/>
                <w:u w:val="single" w:color="auto"/>
              </w:rPr>
              <w:t>:</w:t>
            </w:r>
            <w:r>
              <w:rPr>
                <w:rFonts w:ascii="Times New Roman" w:hAnsi="Times New Roman" w:eastAsia="Times New Roman" w:cs="Times New Roman"/>
                <w:spacing w:val="10"/>
              </w:rPr>
              <w:t>//</w:t>
            </w:r>
            <w:r>
              <w:rPr>
                <w:rFonts w:ascii="Times New Roman" w:hAnsi="Times New Roman" w:eastAsia="Times New Roman" w:cs="Times New Roman"/>
              </w:rPr>
              <w:t>zxgk</w:t>
            </w:r>
            <w:r>
              <w:rPr>
                <w:rFonts w:ascii="Times New Roman" w:hAnsi="Times New Roman" w:eastAsia="Times New Roman" w:cs="Times New Roman"/>
                <w:spacing w:val="10"/>
              </w:rPr>
              <w:t>.</w:t>
            </w:r>
            <w:r>
              <w:rPr>
                <w:rFonts w:ascii="Times New Roman" w:hAnsi="Times New Roman" w:eastAsia="Times New Roman" w:cs="Times New Roman"/>
              </w:rPr>
              <w:t>court</w:t>
            </w:r>
            <w:r>
              <w:rPr>
                <w:rFonts w:ascii="Times New Roman" w:hAnsi="Times New Roman" w:eastAsia="Times New Roman" w:cs="Times New Roman"/>
                <w:spacing w:val="10"/>
              </w:rPr>
              <w:t>.</w:t>
            </w:r>
            <w:r>
              <w:rPr>
                <w:rFonts w:ascii="Times New Roman" w:hAnsi="Times New Roman" w:eastAsia="Times New Roman" w:cs="Times New Roman"/>
              </w:rPr>
              <w:t>gov</w:t>
            </w:r>
            <w:r>
              <w:rPr>
                <w:rFonts w:ascii="Times New Roman" w:hAnsi="Times New Roman" w:eastAsia="Times New Roman" w:cs="Times New Roman"/>
                <w:spacing w:val="10"/>
              </w:rPr>
              <w:t>.</w:t>
            </w:r>
            <w:r>
              <w:rPr>
                <w:rFonts w:ascii="Times New Roman" w:hAnsi="Times New Roman" w:eastAsia="Times New Roman" w:cs="Times New Roman"/>
              </w:rPr>
              <w:t>cn</w:t>
            </w:r>
            <w:r>
              <w:rPr>
                <w:rFonts w:ascii="Times New Roman" w:hAnsi="Times New Roman" w:eastAsia="Times New Roman" w:cs="Times New Roman"/>
              </w:rPr>
              <w:fldChar w:fldCharType="end"/>
            </w:r>
            <w:r>
              <w:rPr>
                <w:spacing w:val="9"/>
              </w:rPr>
              <w:t>）中被列入失信被执行人（不含分公司）。</w:t>
            </w:r>
          </w:p>
          <w:p w14:paraId="7356C403">
            <w:pPr>
              <w:pStyle w:val="5"/>
              <w:spacing w:before="203" w:line="228" w:lineRule="auto"/>
              <w:ind w:left="454"/>
            </w:pPr>
            <w:r>
              <w:rPr>
                <w:spacing w:val="7"/>
              </w:rPr>
              <w:t>注：</w:t>
            </w:r>
            <w:r>
              <w:rPr>
                <w:spacing w:val="-60"/>
              </w:rPr>
              <w:t xml:space="preserve"> </w:t>
            </w:r>
            <w:r>
              <w:rPr>
                <w:spacing w:val="7"/>
              </w:rPr>
              <w:t>以上查询结果以开标当日查询结果为准。</w:t>
            </w:r>
          </w:p>
          <w:p w14:paraId="14E14AD4">
            <w:pPr>
              <w:pStyle w:val="5"/>
              <w:spacing w:before="191" w:line="296" w:lineRule="auto"/>
              <w:ind w:left="51" w:firstLine="403"/>
            </w:pPr>
            <w:r>
              <w:rPr>
                <w:spacing w:val="8"/>
              </w:rPr>
              <w:t>二、评标委员会应对在评标过程中发现的投标人与投标人之间、投标人与招标人之间存在的串通投标</w:t>
            </w:r>
            <w:r>
              <w:rPr>
                <w:spacing w:val="5"/>
              </w:rPr>
              <w:t>的情形进行评审和认定。投标人存在串通投标、弄虚作假、行贿等违法行为的，评标委员</w:t>
            </w:r>
            <w:r>
              <w:rPr>
                <w:spacing w:val="4"/>
              </w:rPr>
              <w:t>会应否决其投标。</w:t>
            </w:r>
          </w:p>
          <w:p w14:paraId="57072BB7">
            <w:pPr>
              <w:pStyle w:val="5"/>
              <w:spacing w:before="120" w:line="228" w:lineRule="auto"/>
              <w:ind w:left="464"/>
            </w:pPr>
            <w:r>
              <w:rPr>
                <w:spacing w:val="8"/>
              </w:rPr>
              <w:t>（</w:t>
            </w:r>
            <w:r>
              <w:rPr>
                <w:rFonts w:ascii="Times New Roman" w:hAnsi="Times New Roman" w:eastAsia="Times New Roman" w:cs="Times New Roman"/>
                <w:spacing w:val="8"/>
              </w:rPr>
              <w:t>1</w:t>
            </w:r>
            <w:r>
              <w:rPr>
                <w:spacing w:val="8"/>
              </w:rPr>
              <w:t>）有下列情形之一的，属于投标人相互串通投标：</w:t>
            </w:r>
          </w:p>
          <w:p w14:paraId="02518A7F">
            <w:pPr>
              <w:pStyle w:val="5"/>
              <w:spacing w:before="192" w:line="226" w:lineRule="auto"/>
              <w:ind w:left="453"/>
            </w:pPr>
            <w:r>
              <w:rPr>
                <w:rFonts w:ascii="Times New Roman" w:hAnsi="Times New Roman" w:eastAsia="Times New Roman" w:cs="Times New Roman"/>
                <w:spacing w:val="8"/>
              </w:rPr>
              <w:t>a.</w:t>
            </w:r>
            <w:r>
              <w:rPr>
                <w:spacing w:val="8"/>
              </w:rPr>
              <w:t>投标人之间协商投标报价等投标文件的实质性内容；</w:t>
            </w:r>
          </w:p>
          <w:p w14:paraId="238D48D6">
            <w:pPr>
              <w:pStyle w:val="5"/>
              <w:spacing w:before="195" w:line="228" w:lineRule="auto"/>
              <w:ind w:left="446"/>
            </w:pPr>
            <w:r>
              <w:rPr>
                <w:rFonts w:ascii="Times New Roman" w:hAnsi="Times New Roman" w:eastAsia="Times New Roman" w:cs="Times New Roman"/>
                <w:spacing w:val="7"/>
              </w:rPr>
              <w:t>b.</w:t>
            </w:r>
            <w:r>
              <w:rPr>
                <w:spacing w:val="7"/>
              </w:rPr>
              <w:t>投标人之间约定中标人；</w:t>
            </w:r>
          </w:p>
          <w:p w14:paraId="120AF5CB">
            <w:pPr>
              <w:pStyle w:val="5"/>
              <w:spacing w:before="194" w:line="228" w:lineRule="auto"/>
              <w:ind w:left="453"/>
            </w:pPr>
            <w:r>
              <w:rPr>
                <w:rFonts w:ascii="Times New Roman" w:hAnsi="Times New Roman" w:eastAsia="Times New Roman" w:cs="Times New Roman"/>
                <w:spacing w:val="8"/>
              </w:rPr>
              <w:t>c.</w:t>
            </w:r>
            <w:r>
              <w:rPr>
                <w:spacing w:val="8"/>
              </w:rPr>
              <w:t>投标人之间约定部分投标人放弃投标或中标；</w:t>
            </w:r>
          </w:p>
          <w:p w14:paraId="5796060E">
            <w:pPr>
              <w:pStyle w:val="5"/>
              <w:spacing w:before="192" w:line="227" w:lineRule="auto"/>
              <w:ind w:left="453"/>
            </w:pPr>
            <w:r>
              <w:rPr>
                <w:rFonts w:ascii="Times New Roman" w:hAnsi="Times New Roman" w:eastAsia="Times New Roman" w:cs="Times New Roman"/>
                <w:spacing w:val="9"/>
              </w:rPr>
              <w:t>d.</w:t>
            </w:r>
            <w:r>
              <w:rPr>
                <w:spacing w:val="9"/>
              </w:rPr>
              <w:t>属于同一集团、协会、商会等组织成员的投标人按照该组织要求协同投标；</w:t>
            </w:r>
          </w:p>
          <w:p w14:paraId="1E7479A4">
            <w:pPr>
              <w:pStyle w:val="5"/>
              <w:spacing w:before="193" w:line="227" w:lineRule="auto"/>
              <w:ind w:left="454"/>
            </w:pPr>
            <w:r>
              <w:rPr>
                <w:rFonts w:ascii="Times New Roman" w:hAnsi="Times New Roman" w:eastAsia="Times New Roman" w:cs="Times New Roman"/>
                <w:spacing w:val="9"/>
              </w:rPr>
              <w:t>e.</w:t>
            </w:r>
            <w:r>
              <w:rPr>
                <w:spacing w:val="9"/>
              </w:rPr>
              <w:t>投标人之间为谋取中标或排斥特定投标人而采取的其他</w:t>
            </w:r>
            <w:r>
              <w:rPr>
                <w:spacing w:val="8"/>
              </w:rPr>
              <w:t>联合行动。</w:t>
            </w:r>
          </w:p>
          <w:p w14:paraId="5EE3646F">
            <w:pPr>
              <w:pStyle w:val="5"/>
              <w:spacing w:before="197" w:line="228" w:lineRule="auto"/>
              <w:ind w:left="464"/>
            </w:pPr>
            <w:r>
              <w:rPr>
                <w:spacing w:val="8"/>
              </w:rPr>
              <w:t>（</w:t>
            </w:r>
            <w:r>
              <w:rPr>
                <w:rFonts w:ascii="Times New Roman" w:hAnsi="Times New Roman" w:eastAsia="Times New Roman" w:cs="Times New Roman"/>
                <w:spacing w:val="8"/>
              </w:rPr>
              <w:t>2</w:t>
            </w:r>
            <w:r>
              <w:rPr>
                <w:spacing w:val="8"/>
              </w:rPr>
              <w:t>）有下列情形之一的，视为投标人相互串通投标：</w:t>
            </w:r>
          </w:p>
          <w:p w14:paraId="2BA81CF5">
            <w:pPr>
              <w:pStyle w:val="5"/>
              <w:spacing w:before="191" w:line="228" w:lineRule="auto"/>
              <w:ind w:left="453"/>
            </w:pPr>
            <w:r>
              <w:rPr>
                <w:rFonts w:ascii="Times New Roman" w:hAnsi="Times New Roman" w:eastAsia="Times New Roman" w:cs="Times New Roman"/>
                <w:spacing w:val="8"/>
              </w:rPr>
              <w:t>a.</w:t>
            </w:r>
            <w:r>
              <w:rPr>
                <w:spacing w:val="8"/>
              </w:rPr>
              <w:t>不同投标人的投标文件由同一单位或个人编制；</w:t>
            </w:r>
          </w:p>
          <w:p w14:paraId="6DE6F85C">
            <w:pPr>
              <w:pStyle w:val="5"/>
              <w:spacing w:before="192" w:line="228" w:lineRule="auto"/>
              <w:ind w:left="446"/>
            </w:pPr>
            <w:r>
              <w:rPr>
                <w:rFonts w:ascii="Times New Roman" w:hAnsi="Times New Roman" w:eastAsia="Times New Roman" w:cs="Times New Roman"/>
                <w:spacing w:val="8"/>
              </w:rPr>
              <w:t>b.</w:t>
            </w:r>
            <w:r>
              <w:rPr>
                <w:spacing w:val="8"/>
              </w:rPr>
              <w:t>不同投标人委托同一单位或个人办理投标事宜；</w:t>
            </w:r>
          </w:p>
          <w:p w14:paraId="3BBBF51F">
            <w:pPr>
              <w:pStyle w:val="5"/>
              <w:spacing w:before="195" w:line="228" w:lineRule="auto"/>
              <w:ind w:left="453"/>
            </w:pPr>
            <w:r>
              <w:rPr>
                <w:rFonts w:ascii="Times New Roman" w:hAnsi="Times New Roman" w:eastAsia="Times New Roman" w:cs="Times New Roman"/>
                <w:spacing w:val="8"/>
              </w:rPr>
              <w:t>c.</w:t>
            </w:r>
            <w:r>
              <w:rPr>
                <w:spacing w:val="8"/>
              </w:rPr>
              <w:t>不同投标人的投标文件载明的项目管理成员为同一人；</w:t>
            </w:r>
          </w:p>
          <w:p w14:paraId="7524DB73">
            <w:pPr>
              <w:pStyle w:val="5"/>
              <w:spacing w:before="193" w:line="226" w:lineRule="auto"/>
              <w:ind w:left="453"/>
            </w:pPr>
            <w:r>
              <w:rPr>
                <w:rFonts w:ascii="Times New Roman" w:hAnsi="Times New Roman" w:eastAsia="Times New Roman" w:cs="Times New Roman"/>
                <w:spacing w:val="9"/>
              </w:rPr>
              <w:t>d.</w:t>
            </w:r>
            <w:r>
              <w:rPr>
                <w:spacing w:val="9"/>
              </w:rPr>
              <w:t>不同投标人的投标文件异常一致或投标报价呈</w:t>
            </w:r>
            <w:r>
              <w:rPr>
                <w:spacing w:val="8"/>
              </w:rPr>
              <w:t>规律性差异；</w:t>
            </w:r>
          </w:p>
          <w:p w14:paraId="69F5F3E4">
            <w:pPr>
              <w:pStyle w:val="5"/>
              <w:spacing w:before="193" w:line="228" w:lineRule="auto"/>
              <w:ind w:left="454"/>
            </w:pPr>
            <w:r>
              <w:rPr>
                <w:rFonts w:ascii="Times New Roman" w:hAnsi="Times New Roman" w:eastAsia="Times New Roman" w:cs="Times New Roman"/>
                <w:spacing w:val="7"/>
              </w:rPr>
              <w:t>e.</w:t>
            </w:r>
            <w:r>
              <w:rPr>
                <w:spacing w:val="7"/>
              </w:rPr>
              <w:t>不同投标人的投标文件相互混装；</w:t>
            </w:r>
          </w:p>
          <w:p w14:paraId="1D691E81">
            <w:pPr>
              <w:pStyle w:val="5"/>
              <w:spacing w:before="195" w:line="228" w:lineRule="auto"/>
              <w:ind w:left="454"/>
            </w:pPr>
            <w:r>
              <w:rPr>
                <w:rFonts w:ascii="Times New Roman" w:hAnsi="Times New Roman" w:eastAsia="Times New Roman" w:cs="Times New Roman"/>
                <w:spacing w:val="8"/>
              </w:rPr>
              <w:t>f.</w:t>
            </w:r>
            <w:r>
              <w:rPr>
                <w:spacing w:val="8"/>
              </w:rPr>
              <w:t>不同投标人的投标保证金从同一单位或个人的账户转出。</w:t>
            </w:r>
          </w:p>
          <w:p w14:paraId="5B1897F0">
            <w:pPr>
              <w:pStyle w:val="5"/>
              <w:spacing w:before="193" w:line="228" w:lineRule="auto"/>
              <w:ind w:left="464"/>
            </w:pPr>
            <w:r>
              <w:rPr>
                <w:spacing w:val="8"/>
              </w:rPr>
              <w:t>（</w:t>
            </w:r>
            <w:r>
              <w:rPr>
                <w:rFonts w:ascii="Times New Roman" w:hAnsi="Times New Roman" w:eastAsia="Times New Roman" w:cs="Times New Roman"/>
                <w:spacing w:val="8"/>
              </w:rPr>
              <w:t>3</w:t>
            </w:r>
            <w:r>
              <w:rPr>
                <w:spacing w:val="8"/>
              </w:rPr>
              <w:t>）有下列情形之一的，属于招标人与投标人串通投标：</w:t>
            </w:r>
          </w:p>
          <w:p w14:paraId="6D5BE0B1">
            <w:pPr>
              <w:pStyle w:val="5"/>
              <w:spacing w:before="191" w:line="228" w:lineRule="auto"/>
              <w:ind w:left="453"/>
            </w:pPr>
            <w:r>
              <w:rPr>
                <w:rFonts w:ascii="Times New Roman" w:hAnsi="Times New Roman" w:eastAsia="Times New Roman" w:cs="Times New Roman"/>
                <w:spacing w:val="9"/>
              </w:rPr>
              <w:t>a.</w:t>
            </w:r>
            <w:r>
              <w:rPr>
                <w:spacing w:val="9"/>
              </w:rPr>
              <w:t>招标人在开标前开启投标文件并将有关信息泄露给其</w:t>
            </w:r>
            <w:r>
              <w:rPr>
                <w:spacing w:val="8"/>
              </w:rPr>
              <w:t>他投标人；</w:t>
            </w:r>
          </w:p>
        </w:tc>
      </w:tr>
    </w:tbl>
    <w:p w14:paraId="5DC65DE9">
      <w:pPr>
        <w:pStyle w:val="2"/>
      </w:pPr>
    </w:p>
    <w:p w14:paraId="65C13286">
      <w:pPr>
        <w:sectPr>
          <w:headerReference r:id="rId13" w:type="default"/>
          <w:footerReference r:id="rId14" w:type="default"/>
          <w:pgSz w:w="11907" w:h="16840"/>
          <w:pgMar w:top="1092" w:right="798" w:bottom="1002" w:left="1418" w:header="815" w:footer="840" w:gutter="0"/>
          <w:cols w:space="720" w:num="1"/>
        </w:sectPr>
      </w:pPr>
    </w:p>
    <w:p w14:paraId="0AB504F9">
      <w:pPr>
        <w:spacing w:before="84"/>
      </w:pPr>
    </w:p>
    <w:tbl>
      <w:tblPr>
        <w:tblStyle w:val="6"/>
        <w:tblW w:w="9685"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685"/>
      </w:tblGrid>
      <w:tr w14:paraId="00EB01E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889" w:hRule="atLeast"/>
        </w:trPr>
        <w:tc>
          <w:tcPr>
            <w:tcW w:w="9685" w:type="dxa"/>
            <w:vAlign w:val="top"/>
          </w:tcPr>
          <w:p w14:paraId="524E9768">
            <w:pPr>
              <w:pStyle w:val="5"/>
              <w:spacing w:before="80" w:line="227" w:lineRule="auto"/>
              <w:ind w:left="446"/>
            </w:pPr>
            <w:r>
              <w:rPr>
                <w:rFonts w:ascii="Times New Roman" w:hAnsi="Times New Roman" w:eastAsia="Times New Roman" w:cs="Times New Roman"/>
                <w:spacing w:val="9"/>
              </w:rPr>
              <w:t>b.</w:t>
            </w:r>
            <w:r>
              <w:rPr>
                <w:spacing w:val="9"/>
              </w:rPr>
              <w:t>招标人直接或间接向投标人泄露标底、评标委员会成员等信息；</w:t>
            </w:r>
          </w:p>
          <w:p w14:paraId="63ACCDB5">
            <w:pPr>
              <w:pStyle w:val="5"/>
              <w:spacing w:before="195" w:line="226" w:lineRule="auto"/>
              <w:ind w:left="453"/>
            </w:pPr>
            <w:r>
              <w:rPr>
                <w:rFonts w:ascii="Times New Roman" w:hAnsi="Times New Roman" w:eastAsia="Times New Roman" w:cs="Times New Roman"/>
                <w:spacing w:val="8"/>
              </w:rPr>
              <w:t>c.</w:t>
            </w:r>
            <w:r>
              <w:rPr>
                <w:spacing w:val="8"/>
              </w:rPr>
              <w:t>招标人明示或暗示投标人压低或抬高投标报价；</w:t>
            </w:r>
          </w:p>
          <w:p w14:paraId="64090A40">
            <w:pPr>
              <w:pStyle w:val="5"/>
              <w:spacing w:before="193" w:line="228" w:lineRule="auto"/>
              <w:ind w:left="453"/>
            </w:pPr>
            <w:r>
              <w:rPr>
                <w:rFonts w:ascii="Times New Roman" w:hAnsi="Times New Roman" w:eastAsia="Times New Roman" w:cs="Times New Roman"/>
                <w:spacing w:val="8"/>
              </w:rPr>
              <w:t>d.</w:t>
            </w:r>
            <w:r>
              <w:rPr>
                <w:spacing w:val="8"/>
              </w:rPr>
              <w:t>招标人授意投标人撤换、修改投标文件；</w:t>
            </w:r>
          </w:p>
          <w:p w14:paraId="16956E8C">
            <w:pPr>
              <w:pStyle w:val="5"/>
              <w:spacing w:before="193" w:line="227" w:lineRule="auto"/>
              <w:ind w:left="454"/>
            </w:pPr>
            <w:r>
              <w:rPr>
                <w:rFonts w:ascii="Times New Roman" w:hAnsi="Times New Roman" w:eastAsia="Times New Roman" w:cs="Times New Roman"/>
                <w:spacing w:val="8"/>
              </w:rPr>
              <w:t>e.</w:t>
            </w:r>
            <w:r>
              <w:rPr>
                <w:spacing w:val="8"/>
              </w:rPr>
              <w:t>招标人明示或暗示投标人为特定投标人中标提供方便；</w:t>
            </w:r>
          </w:p>
          <w:p w14:paraId="1948442C">
            <w:pPr>
              <w:pStyle w:val="5"/>
              <w:spacing w:before="195" w:line="227" w:lineRule="auto"/>
              <w:ind w:left="454"/>
            </w:pPr>
            <w:r>
              <w:rPr>
                <w:rFonts w:ascii="Times New Roman" w:hAnsi="Times New Roman" w:eastAsia="Times New Roman" w:cs="Times New Roman"/>
                <w:spacing w:val="9"/>
              </w:rPr>
              <w:t>f.</w:t>
            </w:r>
            <w:r>
              <w:rPr>
                <w:spacing w:val="9"/>
              </w:rPr>
              <w:t>招标人与投标人为谋求特定投标人中标而采取的其他</w:t>
            </w:r>
            <w:r>
              <w:rPr>
                <w:spacing w:val="8"/>
              </w:rPr>
              <w:t>串通行为。</w:t>
            </w:r>
          </w:p>
          <w:p w14:paraId="6693071D">
            <w:pPr>
              <w:pStyle w:val="5"/>
              <w:spacing w:before="193" w:line="227" w:lineRule="auto"/>
              <w:ind w:left="464"/>
            </w:pPr>
            <w:r>
              <w:rPr>
                <w:spacing w:val="8"/>
              </w:rPr>
              <w:t>（</w:t>
            </w:r>
            <w:r>
              <w:rPr>
                <w:rFonts w:ascii="Times New Roman" w:hAnsi="Times New Roman" w:eastAsia="Times New Roman" w:cs="Times New Roman"/>
                <w:spacing w:val="8"/>
              </w:rPr>
              <w:t>4</w:t>
            </w:r>
            <w:r>
              <w:rPr>
                <w:spacing w:val="8"/>
              </w:rPr>
              <w:t>）投标人有下列情形之一的，属于弄虚作假的行为：</w:t>
            </w:r>
          </w:p>
          <w:p w14:paraId="4462E7BF">
            <w:pPr>
              <w:pStyle w:val="5"/>
              <w:spacing w:before="194" w:line="227" w:lineRule="auto"/>
              <w:ind w:left="453"/>
            </w:pPr>
            <w:r>
              <w:rPr>
                <w:rFonts w:ascii="Times New Roman" w:hAnsi="Times New Roman" w:eastAsia="Times New Roman" w:cs="Times New Roman"/>
                <w:spacing w:val="9"/>
              </w:rPr>
              <w:t>a.</w:t>
            </w:r>
            <w:r>
              <w:rPr>
                <w:spacing w:val="9"/>
              </w:rPr>
              <w:t>使用通过受让、挂靠或租借等方式获取的资格、资质</w:t>
            </w:r>
            <w:r>
              <w:rPr>
                <w:spacing w:val="8"/>
              </w:rPr>
              <w:t>证书投标；</w:t>
            </w:r>
          </w:p>
          <w:p w14:paraId="15845E51">
            <w:pPr>
              <w:pStyle w:val="5"/>
              <w:spacing w:before="195" w:line="228" w:lineRule="auto"/>
              <w:ind w:left="446"/>
            </w:pPr>
            <w:r>
              <w:rPr>
                <w:rFonts w:ascii="Times New Roman" w:hAnsi="Times New Roman" w:eastAsia="Times New Roman" w:cs="Times New Roman"/>
                <w:spacing w:val="8"/>
              </w:rPr>
              <w:t>b.</w:t>
            </w:r>
            <w:r>
              <w:rPr>
                <w:spacing w:val="8"/>
              </w:rPr>
              <w:t>使用伪造、变造的许可证件；</w:t>
            </w:r>
          </w:p>
          <w:p w14:paraId="5327740F">
            <w:pPr>
              <w:pStyle w:val="5"/>
              <w:spacing w:before="193" w:line="227" w:lineRule="auto"/>
              <w:ind w:left="453"/>
            </w:pPr>
            <w:r>
              <w:rPr>
                <w:rFonts w:ascii="Times New Roman" w:hAnsi="Times New Roman" w:eastAsia="Times New Roman" w:cs="Times New Roman"/>
                <w:spacing w:val="6"/>
              </w:rPr>
              <w:t>c.</w:t>
            </w:r>
            <w:r>
              <w:rPr>
                <w:spacing w:val="6"/>
              </w:rPr>
              <w:t>提供虚假的业绩；</w:t>
            </w:r>
          </w:p>
          <w:p w14:paraId="2A521673">
            <w:pPr>
              <w:pStyle w:val="5"/>
              <w:spacing w:before="193" w:line="227" w:lineRule="auto"/>
              <w:ind w:left="453"/>
            </w:pPr>
            <w:r>
              <w:rPr>
                <w:rFonts w:ascii="Times New Roman" w:hAnsi="Times New Roman" w:eastAsia="Times New Roman" w:cs="Times New Roman"/>
                <w:spacing w:val="9"/>
              </w:rPr>
              <w:t>d.</w:t>
            </w:r>
            <w:r>
              <w:rPr>
                <w:spacing w:val="9"/>
              </w:rPr>
              <w:t>提供虚假的项目负责人或主要技术人员简历、劳</w:t>
            </w:r>
            <w:r>
              <w:rPr>
                <w:spacing w:val="8"/>
              </w:rPr>
              <w:t>动关系证明；</w:t>
            </w:r>
          </w:p>
          <w:p w14:paraId="4D91AACD">
            <w:pPr>
              <w:pStyle w:val="5"/>
              <w:spacing w:before="196" w:line="227" w:lineRule="auto"/>
              <w:ind w:left="454"/>
            </w:pPr>
            <w:r>
              <w:rPr>
                <w:rFonts w:ascii="Times New Roman" w:hAnsi="Times New Roman" w:eastAsia="Times New Roman" w:cs="Times New Roman"/>
                <w:spacing w:val="7"/>
              </w:rPr>
              <w:t>e.</w:t>
            </w:r>
            <w:r>
              <w:rPr>
                <w:spacing w:val="7"/>
              </w:rPr>
              <w:t>提供虚假的信用状况；</w:t>
            </w:r>
          </w:p>
          <w:p w14:paraId="0A3E21C7">
            <w:pPr>
              <w:pStyle w:val="5"/>
              <w:spacing w:before="193" w:line="227" w:lineRule="auto"/>
              <w:ind w:left="454"/>
            </w:pPr>
            <w:r>
              <w:rPr>
                <w:rFonts w:ascii="Times New Roman" w:hAnsi="Times New Roman" w:eastAsia="Times New Roman" w:cs="Times New Roman"/>
                <w:spacing w:val="7"/>
              </w:rPr>
              <w:t>f.</w:t>
            </w:r>
            <w:r>
              <w:rPr>
                <w:spacing w:val="7"/>
              </w:rPr>
              <w:t>其他弄虚作假的行为。</w:t>
            </w:r>
          </w:p>
          <w:p w14:paraId="6DD04852">
            <w:pPr>
              <w:pStyle w:val="5"/>
              <w:spacing w:before="193" w:line="228" w:lineRule="auto"/>
              <w:ind w:left="454"/>
            </w:pPr>
            <w:r>
              <w:rPr>
                <w:spacing w:val="8"/>
              </w:rPr>
              <w:t>三、投标人其他异常投标情形：</w:t>
            </w:r>
          </w:p>
          <w:p w14:paraId="516E716F">
            <w:pPr>
              <w:pStyle w:val="5"/>
              <w:spacing w:before="196" w:line="295" w:lineRule="auto"/>
              <w:ind w:left="35" w:right="5" w:firstLine="418"/>
              <w:jc w:val="both"/>
            </w:pPr>
            <w:r>
              <w:rPr>
                <w:spacing w:val="10"/>
              </w:rPr>
              <w:t>评标委员会在评标过程中发现存在投标文件异常一致</w:t>
            </w:r>
            <w:r>
              <w:rPr>
                <w:spacing w:val="9"/>
              </w:rPr>
              <w:t>或投标活动异常关联等异常投标情形的，评标委</w:t>
            </w:r>
            <w:r>
              <w:rPr>
                <w:spacing w:val="11"/>
              </w:rPr>
              <w:t>员会应当要求该投标人在</w:t>
            </w:r>
            <w:r>
              <w:rPr>
                <w:spacing w:val="-32"/>
              </w:rPr>
              <w:t xml:space="preserve"> </w:t>
            </w:r>
            <w:r>
              <w:rPr>
                <w:rFonts w:ascii="Times New Roman" w:hAnsi="Times New Roman" w:eastAsia="Times New Roman" w:cs="Times New Roman"/>
                <w:spacing w:val="11"/>
              </w:rPr>
              <w:t xml:space="preserve">30 </w:t>
            </w:r>
            <w:r>
              <w:rPr>
                <w:spacing w:val="11"/>
              </w:rPr>
              <w:t>分钟内作出书面说明并提供相应的证明材料。投标人不能合理说明或者不能</w:t>
            </w:r>
            <w:r>
              <w:rPr>
                <w:spacing w:val="9"/>
              </w:rPr>
              <w:t>提供相应证明材料的，评标委员会应当认定投标人存在串通投标情形，并否决其投标。</w:t>
            </w:r>
          </w:p>
          <w:p w14:paraId="5E7B321B">
            <w:pPr>
              <w:pStyle w:val="5"/>
              <w:spacing w:before="120" w:line="228" w:lineRule="auto"/>
              <w:ind w:left="455"/>
            </w:pPr>
            <w:r>
              <w:rPr>
                <w:spacing w:val="9"/>
              </w:rPr>
              <w:t>有下列情形之一的，属于投标文件异常一致或投标活动异常关联等异常投标情形：</w:t>
            </w:r>
          </w:p>
          <w:p w14:paraId="680FCF54">
            <w:pPr>
              <w:pStyle w:val="5"/>
              <w:spacing w:before="192" w:line="227" w:lineRule="auto"/>
              <w:ind w:left="464"/>
            </w:pPr>
            <w:r>
              <w:rPr>
                <w:spacing w:val="8"/>
              </w:rPr>
              <w:t>（</w:t>
            </w:r>
            <w:r>
              <w:rPr>
                <w:rFonts w:ascii="Times New Roman" w:hAnsi="Times New Roman" w:eastAsia="Times New Roman" w:cs="Times New Roman"/>
                <w:spacing w:val="8"/>
              </w:rPr>
              <w:t>1</w:t>
            </w:r>
            <w:r>
              <w:rPr>
                <w:spacing w:val="8"/>
              </w:rPr>
              <w:t>）投标人投标文件制作机器码雷同；</w:t>
            </w:r>
          </w:p>
          <w:p w14:paraId="40A6B983">
            <w:pPr>
              <w:pStyle w:val="5"/>
              <w:spacing w:before="193" w:line="228" w:lineRule="auto"/>
              <w:ind w:left="464"/>
            </w:pPr>
            <w:r>
              <w:rPr>
                <w:spacing w:val="7"/>
              </w:rPr>
              <w:t>（</w:t>
            </w:r>
            <w:r>
              <w:rPr>
                <w:rFonts w:ascii="Times New Roman" w:hAnsi="Times New Roman" w:eastAsia="Times New Roman" w:cs="Times New Roman"/>
                <w:spacing w:val="7"/>
              </w:rPr>
              <w:t>2</w:t>
            </w:r>
            <w:r>
              <w:rPr>
                <w:spacing w:val="7"/>
              </w:rPr>
              <w:t>）投标文件创建标识码雷同；</w:t>
            </w:r>
          </w:p>
          <w:p w14:paraId="0F84B9CB">
            <w:pPr>
              <w:pStyle w:val="5"/>
              <w:spacing w:before="195" w:line="227" w:lineRule="auto"/>
              <w:ind w:left="464"/>
            </w:pPr>
            <w:r>
              <w:rPr>
                <w:spacing w:val="8"/>
              </w:rPr>
              <w:t>（</w:t>
            </w:r>
            <w:r>
              <w:rPr>
                <w:rFonts w:ascii="Times New Roman" w:hAnsi="Times New Roman" w:eastAsia="Times New Roman" w:cs="Times New Roman"/>
                <w:spacing w:val="8"/>
              </w:rPr>
              <w:t>3</w:t>
            </w:r>
            <w:r>
              <w:rPr>
                <w:spacing w:val="8"/>
              </w:rPr>
              <w:t>）投标文件制作计算机</w:t>
            </w:r>
            <w:r>
              <w:rPr>
                <w:spacing w:val="-34"/>
              </w:rPr>
              <w:t xml:space="preserve"> </w:t>
            </w:r>
            <w:r>
              <w:rPr>
                <w:rFonts w:ascii="Times New Roman" w:hAnsi="Times New Roman" w:eastAsia="Times New Roman" w:cs="Times New Roman"/>
              </w:rPr>
              <w:t>MAC</w:t>
            </w:r>
            <w:r>
              <w:rPr>
                <w:rFonts w:ascii="Times New Roman" w:hAnsi="Times New Roman" w:eastAsia="Times New Roman" w:cs="Times New Roman"/>
                <w:spacing w:val="8"/>
              </w:rPr>
              <w:t xml:space="preserve"> </w:t>
            </w:r>
            <w:r>
              <w:rPr>
                <w:spacing w:val="8"/>
              </w:rPr>
              <w:t>地址雷同；</w:t>
            </w:r>
          </w:p>
          <w:p w14:paraId="7D68FF19">
            <w:pPr>
              <w:pStyle w:val="5"/>
              <w:spacing w:before="193" w:line="227" w:lineRule="auto"/>
              <w:ind w:left="464"/>
            </w:pPr>
            <w:r>
              <w:rPr>
                <w:spacing w:val="8"/>
              </w:rPr>
              <w:t>（</w:t>
            </w:r>
            <w:r>
              <w:rPr>
                <w:rFonts w:ascii="Times New Roman" w:hAnsi="Times New Roman" w:eastAsia="Times New Roman" w:cs="Times New Roman"/>
                <w:spacing w:val="8"/>
              </w:rPr>
              <w:t>4</w:t>
            </w:r>
            <w:r>
              <w:rPr>
                <w:spacing w:val="8"/>
              </w:rPr>
              <w:t>）投标文件制作计算机硬盘序列号雷同；</w:t>
            </w:r>
          </w:p>
          <w:p w14:paraId="61841DA6">
            <w:pPr>
              <w:pStyle w:val="5"/>
              <w:spacing w:before="194" w:line="227" w:lineRule="auto"/>
              <w:ind w:left="464"/>
            </w:pPr>
            <w:r>
              <w:rPr>
                <w:spacing w:val="7"/>
              </w:rPr>
              <w:t>（</w:t>
            </w:r>
            <w:r>
              <w:rPr>
                <w:rFonts w:ascii="Times New Roman" w:hAnsi="Times New Roman" w:eastAsia="Times New Roman" w:cs="Times New Roman"/>
                <w:spacing w:val="7"/>
              </w:rPr>
              <w:t>5</w:t>
            </w:r>
            <w:r>
              <w:rPr>
                <w:spacing w:val="7"/>
              </w:rPr>
              <w:t>）投标文件上传</w:t>
            </w:r>
            <w:r>
              <w:rPr>
                <w:spacing w:val="-39"/>
              </w:rPr>
              <w:t xml:space="preserve"> </w:t>
            </w:r>
            <w:r>
              <w:rPr>
                <w:rFonts w:ascii="Times New Roman" w:hAnsi="Times New Roman" w:eastAsia="Times New Roman" w:cs="Times New Roman"/>
              </w:rPr>
              <w:t>IP</w:t>
            </w:r>
            <w:r>
              <w:rPr>
                <w:rFonts w:ascii="Times New Roman" w:hAnsi="Times New Roman" w:eastAsia="Times New Roman" w:cs="Times New Roman"/>
                <w:spacing w:val="7"/>
              </w:rPr>
              <w:t xml:space="preserve"> </w:t>
            </w:r>
            <w:r>
              <w:rPr>
                <w:spacing w:val="7"/>
              </w:rPr>
              <w:t>地址雷同；</w:t>
            </w:r>
          </w:p>
          <w:p w14:paraId="617F503D">
            <w:pPr>
              <w:pStyle w:val="5"/>
              <w:spacing w:before="195" w:line="228" w:lineRule="auto"/>
              <w:ind w:left="464"/>
            </w:pPr>
            <w:r>
              <w:rPr>
                <w:spacing w:val="7"/>
              </w:rPr>
              <w:t>（</w:t>
            </w:r>
            <w:r>
              <w:rPr>
                <w:rFonts w:ascii="Times New Roman" w:hAnsi="Times New Roman" w:eastAsia="Times New Roman" w:cs="Times New Roman"/>
                <w:spacing w:val="7"/>
              </w:rPr>
              <w:t>6</w:t>
            </w:r>
            <w:r>
              <w:rPr>
                <w:spacing w:val="7"/>
              </w:rPr>
              <w:t>）投标文件解密</w:t>
            </w:r>
            <w:r>
              <w:rPr>
                <w:spacing w:val="-39"/>
              </w:rPr>
              <w:t xml:space="preserve"> </w:t>
            </w:r>
            <w:r>
              <w:rPr>
                <w:rFonts w:ascii="Times New Roman" w:hAnsi="Times New Roman" w:eastAsia="Times New Roman" w:cs="Times New Roman"/>
              </w:rPr>
              <w:t>IP</w:t>
            </w:r>
            <w:r>
              <w:rPr>
                <w:rFonts w:ascii="Times New Roman" w:hAnsi="Times New Roman" w:eastAsia="Times New Roman" w:cs="Times New Roman"/>
                <w:spacing w:val="7"/>
              </w:rPr>
              <w:t xml:space="preserve"> </w:t>
            </w:r>
            <w:r>
              <w:rPr>
                <w:spacing w:val="7"/>
              </w:rPr>
              <w:t>地址雷同。</w:t>
            </w:r>
          </w:p>
        </w:tc>
      </w:tr>
    </w:tbl>
    <w:p w14:paraId="2C5D7FF4">
      <w:pPr>
        <w:spacing w:before="31" w:line="301" w:lineRule="auto"/>
        <w:ind w:left="8" w:right="623"/>
        <w:rPr>
          <w:rFonts w:ascii="宋体" w:hAnsi="宋体" w:eastAsia="宋体" w:cs="宋体"/>
          <w:sz w:val="20"/>
          <w:szCs w:val="20"/>
        </w:rPr>
      </w:pPr>
      <w:r>
        <w:rPr>
          <w:rFonts w:ascii="宋体" w:hAnsi="宋体" w:eastAsia="宋体" w:cs="宋体"/>
          <w:spacing w:val="10"/>
          <w:sz w:val="20"/>
          <w:szCs w:val="20"/>
        </w:rPr>
        <w:t>注：1.评委打分保留一位小数，各评分因素得分应以评标委员会各成员的打分平均值确定，保留两</w:t>
      </w:r>
      <w:r>
        <w:rPr>
          <w:rFonts w:ascii="宋体" w:hAnsi="宋体" w:eastAsia="宋体" w:cs="宋体"/>
          <w:spacing w:val="8"/>
          <w:sz w:val="20"/>
          <w:szCs w:val="20"/>
        </w:rPr>
        <w:t>位小数，第三位四舍五入。</w:t>
      </w:r>
    </w:p>
    <w:p w14:paraId="1BCC47C2">
      <w:pPr>
        <w:spacing w:line="227" w:lineRule="auto"/>
        <w:ind w:left="10"/>
        <w:outlineLvl w:val="1"/>
        <w:rPr>
          <w:rFonts w:ascii="宋体" w:hAnsi="宋体" w:eastAsia="宋体" w:cs="宋体"/>
          <w:sz w:val="20"/>
          <w:szCs w:val="20"/>
        </w:rPr>
      </w:pPr>
      <w:r>
        <w:rPr>
          <w:rFonts w:ascii="宋体" w:hAnsi="宋体" w:eastAsia="宋体" w:cs="宋体"/>
          <w:spacing w:val="6"/>
          <w:sz w:val="20"/>
          <w:szCs w:val="20"/>
        </w:rPr>
        <w:t>2.技术部分评分因素缺项则该项得</w:t>
      </w:r>
      <w:r>
        <w:rPr>
          <w:rFonts w:ascii="宋体" w:hAnsi="宋体" w:eastAsia="宋体" w:cs="宋体"/>
          <w:spacing w:val="-22"/>
          <w:sz w:val="20"/>
          <w:szCs w:val="20"/>
        </w:rPr>
        <w:t xml:space="preserve"> </w:t>
      </w:r>
      <w:r>
        <w:rPr>
          <w:rFonts w:ascii="宋体" w:hAnsi="宋体" w:eastAsia="宋体" w:cs="宋体"/>
          <w:spacing w:val="6"/>
          <w:sz w:val="20"/>
          <w:szCs w:val="20"/>
        </w:rPr>
        <w:t>0</w:t>
      </w:r>
      <w:r>
        <w:rPr>
          <w:rFonts w:ascii="宋体" w:hAnsi="宋体" w:eastAsia="宋体" w:cs="宋体"/>
          <w:spacing w:val="-35"/>
          <w:sz w:val="20"/>
          <w:szCs w:val="20"/>
        </w:rPr>
        <w:t xml:space="preserve"> </w:t>
      </w:r>
      <w:r>
        <w:rPr>
          <w:rFonts w:ascii="宋体" w:hAnsi="宋体" w:eastAsia="宋体" w:cs="宋体"/>
          <w:spacing w:val="6"/>
          <w:sz w:val="20"/>
          <w:szCs w:val="20"/>
        </w:rPr>
        <w:t>分。</w:t>
      </w:r>
    </w:p>
    <w:p w14:paraId="67A5363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6B3BA">
    <w:pPr>
      <w:spacing w:line="176" w:lineRule="auto"/>
      <w:ind w:left="4599"/>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6CED3">
    <w:pPr>
      <w:spacing w:line="176" w:lineRule="auto"/>
      <w:ind w:left="4490"/>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96320">
    <w:pPr>
      <w:spacing w:line="176" w:lineRule="auto"/>
      <w:ind w:left="4511"/>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44312">
    <w:pPr>
      <w:spacing w:line="176" w:lineRule="auto"/>
      <w:ind w:left="4511"/>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E5665">
    <w:pPr>
      <w:spacing w:line="176" w:lineRule="auto"/>
      <w:ind w:left="4511"/>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0BB74">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5B269">
    <w:pPr>
      <w:spacing w:before="48" w:line="219" w:lineRule="auto"/>
      <w:ind w:left="1948"/>
      <w:rPr>
        <w:rFonts w:ascii="宋体" w:hAnsi="宋体" w:eastAsia="宋体" w:cs="宋体"/>
        <w:sz w:val="18"/>
        <w:szCs w:val="18"/>
      </w:rPr>
    </w:pPr>
    <w:r>
      <w:rPr>
        <w:rFonts w:ascii="宋体" w:hAnsi="宋体" w:eastAsia="宋体" w:cs="宋体"/>
        <w:spacing w:val="-1"/>
        <w:sz w:val="18"/>
        <w:szCs w:val="18"/>
      </w:rPr>
      <w:t>邯港高速公路国道</w:t>
    </w:r>
    <w:r>
      <w:rPr>
        <w:rFonts w:ascii="宋体" w:hAnsi="宋体" w:eastAsia="宋体" w:cs="宋体"/>
        <w:spacing w:val="-23"/>
        <w:sz w:val="18"/>
        <w:szCs w:val="18"/>
      </w:rPr>
      <w:t xml:space="preserve"> </w:t>
    </w:r>
    <w:r>
      <w:rPr>
        <w:rFonts w:ascii="Times New Roman" w:hAnsi="Times New Roman" w:eastAsia="Times New Roman" w:cs="Times New Roman"/>
        <w:spacing w:val="-1"/>
        <w:sz w:val="18"/>
        <w:szCs w:val="18"/>
      </w:rPr>
      <w:t xml:space="preserve">G205 </w:t>
    </w:r>
    <w:r>
      <w:rPr>
        <w:rFonts w:ascii="宋体" w:hAnsi="宋体" w:eastAsia="宋体" w:cs="宋体"/>
        <w:spacing w:val="-1"/>
        <w:sz w:val="18"/>
        <w:szCs w:val="18"/>
      </w:rPr>
      <w:t>至黄骅港段沥青类材料采购项目招标文件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8C61F">
    <w:pPr>
      <w:spacing w:before="48" w:line="219" w:lineRule="auto"/>
      <w:ind w:left="1956"/>
      <w:rPr>
        <w:rFonts w:ascii="宋体" w:hAnsi="宋体" w:eastAsia="宋体" w:cs="宋体"/>
        <w:sz w:val="18"/>
        <w:szCs w:val="18"/>
      </w:rPr>
    </w:pPr>
    <w:r>
      <w:rPr>
        <w:rFonts w:ascii="宋体" w:hAnsi="宋体" w:eastAsia="宋体" w:cs="宋体"/>
        <w:spacing w:val="-1"/>
        <w:sz w:val="18"/>
        <w:szCs w:val="18"/>
      </w:rPr>
      <w:t>邯港高速公路国道</w:t>
    </w:r>
    <w:r>
      <w:rPr>
        <w:rFonts w:ascii="宋体" w:hAnsi="宋体" w:eastAsia="宋体" w:cs="宋体"/>
        <w:spacing w:val="-23"/>
        <w:sz w:val="18"/>
        <w:szCs w:val="18"/>
      </w:rPr>
      <w:t xml:space="preserve"> </w:t>
    </w:r>
    <w:r>
      <w:rPr>
        <w:rFonts w:ascii="Times New Roman" w:hAnsi="Times New Roman" w:eastAsia="Times New Roman" w:cs="Times New Roman"/>
        <w:spacing w:val="-1"/>
        <w:sz w:val="18"/>
        <w:szCs w:val="18"/>
      </w:rPr>
      <w:t xml:space="preserve">G205 </w:t>
    </w:r>
    <w:r>
      <w:rPr>
        <w:rFonts w:ascii="宋体" w:hAnsi="宋体" w:eastAsia="宋体" w:cs="宋体"/>
        <w:spacing w:val="-1"/>
        <w:sz w:val="18"/>
        <w:szCs w:val="18"/>
      </w:rPr>
      <w:t>至黄骅港段沥青类材料采购项目招标文件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E5ABA">
    <w:pPr>
      <w:spacing w:before="48" w:line="219" w:lineRule="auto"/>
      <w:ind w:left="1956"/>
      <w:rPr>
        <w:rFonts w:ascii="宋体" w:hAnsi="宋体" w:eastAsia="宋体" w:cs="宋体"/>
        <w:sz w:val="18"/>
        <w:szCs w:val="18"/>
      </w:rPr>
    </w:pPr>
    <w:r>
      <w:rPr>
        <w:rFonts w:ascii="宋体" w:hAnsi="宋体" w:eastAsia="宋体" w:cs="宋体"/>
        <w:spacing w:val="-1"/>
        <w:sz w:val="18"/>
        <w:szCs w:val="18"/>
      </w:rPr>
      <w:t>邯港高速公路国道</w:t>
    </w:r>
    <w:r>
      <w:rPr>
        <w:rFonts w:ascii="宋体" w:hAnsi="宋体" w:eastAsia="宋体" w:cs="宋体"/>
        <w:spacing w:val="-23"/>
        <w:sz w:val="18"/>
        <w:szCs w:val="18"/>
      </w:rPr>
      <w:t xml:space="preserve"> </w:t>
    </w:r>
    <w:r>
      <w:rPr>
        <w:rFonts w:ascii="Times New Roman" w:hAnsi="Times New Roman" w:eastAsia="Times New Roman" w:cs="Times New Roman"/>
        <w:spacing w:val="-1"/>
        <w:sz w:val="18"/>
        <w:szCs w:val="18"/>
      </w:rPr>
      <w:t xml:space="preserve">G205 </w:t>
    </w:r>
    <w:r>
      <w:rPr>
        <w:rFonts w:ascii="宋体" w:hAnsi="宋体" w:eastAsia="宋体" w:cs="宋体"/>
        <w:spacing w:val="-1"/>
        <w:sz w:val="18"/>
        <w:szCs w:val="18"/>
      </w:rPr>
      <w:t>至黄骅港段沥青类材料采购项目招标文件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A356A">
    <w:pPr>
      <w:spacing w:before="48" w:line="219" w:lineRule="auto"/>
      <w:ind w:left="1956"/>
      <w:rPr>
        <w:rFonts w:ascii="宋体" w:hAnsi="宋体" w:eastAsia="宋体" w:cs="宋体"/>
        <w:sz w:val="18"/>
        <w:szCs w:val="18"/>
      </w:rPr>
    </w:pPr>
    <w:r>
      <w:rPr>
        <w:rFonts w:ascii="宋体" w:hAnsi="宋体" w:eastAsia="宋体" w:cs="宋体"/>
        <w:spacing w:val="-1"/>
        <w:sz w:val="18"/>
        <w:szCs w:val="18"/>
      </w:rPr>
      <w:t>邯港高速公路国道</w:t>
    </w:r>
    <w:r>
      <w:rPr>
        <w:rFonts w:ascii="宋体" w:hAnsi="宋体" w:eastAsia="宋体" w:cs="宋体"/>
        <w:spacing w:val="-23"/>
        <w:sz w:val="18"/>
        <w:szCs w:val="18"/>
      </w:rPr>
      <w:t xml:space="preserve"> </w:t>
    </w:r>
    <w:r>
      <w:rPr>
        <w:rFonts w:ascii="Times New Roman" w:hAnsi="Times New Roman" w:eastAsia="Times New Roman" w:cs="Times New Roman"/>
        <w:spacing w:val="-1"/>
        <w:sz w:val="18"/>
        <w:szCs w:val="18"/>
      </w:rPr>
      <w:t xml:space="preserve">G205 </w:t>
    </w:r>
    <w:r>
      <w:rPr>
        <w:rFonts w:ascii="宋体" w:hAnsi="宋体" w:eastAsia="宋体" w:cs="宋体"/>
        <w:spacing w:val="-1"/>
        <w:sz w:val="18"/>
        <w:szCs w:val="18"/>
      </w:rPr>
      <w:t>至黄骅港段沥青类材料采购项目招标文件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12793"/>
    <w:rsid w:val="0DB40989"/>
    <w:rsid w:val="2E4C168B"/>
    <w:rsid w:val="31912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customStyle="1" w:styleId="5">
    <w:name w:val="Table Text"/>
    <w:basedOn w:val="1"/>
    <w:semiHidden/>
    <w:qFormat/>
    <w:uiPriority w:val="0"/>
    <w:rPr>
      <w:rFonts w:ascii="宋体" w:hAnsi="宋体" w:eastAsia="宋体" w:cs="宋体"/>
      <w:sz w:val="20"/>
      <w:szCs w:val="20"/>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7569</Words>
  <Characters>8356</Characters>
  <Lines>0</Lines>
  <Paragraphs>0</Paragraphs>
  <TotalTime>9</TotalTime>
  <ScaleCrop>false</ScaleCrop>
  <LinksUpToDate>false</LinksUpToDate>
  <CharactersWithSpaces>8830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2026-08-27T01:25:00Z</dcterms:created>
  <dc:creator>鲁鹏</dc:creator>
  <cp:lastModifiedBy>冯士峰</cp:lastModifiedBy>
  <dcterms:modified xsi:type="dcterms:W3CDTF">2026-08-27T02:44:23Z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1F0BCC31E68040FABDF0F3DFB0F7353A_11</vt:lpwstr>
  </property>
  <property fmtid="{D5CDD505-2E9C-101B-9397-08002B2CF9AE}" pid="4" name="KSOTemplateDocerSaveRecord">
    <vt:lpwstr>eyJoZGlkIjoiMjNhMGNiNzBmYzRmYmU1YWU1ZDVjYzI3MTI0YTIzZjQiLCJ1c2VySWQiOiIxNjg3ODQzOTczIn0=</vt:lpwstr>
  </property>
</Properties>
</file>