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7A8576">
      <w:pPr>
        <w:pStyle w:val="2"/>
        <w:spacing w:before="0" w:after="0" w:line="360" w:lineRule="auto"/>
        <w:rPr>
          <w:rFonts w:asciiTheme="minorEastAsia" w:hAnsiTheme="minorEastAsia" w:eastAsiaTheme="minorEastAsia"/>
          <w:b w:val="0"/>
          <w:bCs w:val="0"/>
          <w:sz w:val="28"/>
          <w:szCs w:val="28"/>
        </w:rPr>
      </w:pPr>
      <w:bookmarkStart w:id="0" w:name="_Toc513624013"/>
      <w:bookmarkStart w:id="1" w:name="_Toc111638754"/>
      <w:bookmarkStart w:id="2" w:name="_Toc111638814"/>
      <w:bookmarkStart w:id="3" w:name="_Toc134890441"/>
      <w:bookmarkStart w:id="4" w:name="_Toc172307955"/>
      <w:bookmarkStart w:id="5" w:name="_Toc27368"/>
      <w:bookmarkStart w:id="6" w:name="_Hlk512198378"/>
      <w:bookmarkStart w:id="7" w:name="_Hlk63256711"/>
      <w:bookmarkStart w:id="8" w:name="_Hlk531337268"/>
      <w:bookmarkStart w:id="40" w:name="_GoBack"/>
      <w:bookmarkEnd w:id="40"/>
      <w:r>
        <w:rPr>
          <w:rFonts w:hint="eastAsia" w:ascii="黑体" w:hAnsi="黑体" w:eastAsia="黑体"/>
          <w:kern w:val="28"/>
          <w:sz w:val="28"/>
          <w:szCs w:val="28"/>
        </w:rPr>
        <w:t>附件1：资格审查</w:t>
      </w:r>
      <w:bookmarkEnd w:id="0"/>
      <w:bookmarkEnd w:id="1"/>
      <w:bookmarkEnd w:id="2"/>
      <w:r>
        <w:rPr>
          <w:rFonts w:hint="eastAsia" w:ascii="黑体" w:hAnsi="黑体" w:eastAsia="黑体"/>
          <w:kern w:val="28"/>
          <w:sz w:val="28"/>
          <w:szCs w:val="28"/>
        </w:rPr>
        <w:t>条件</w:t>
      </w:r>
      <w:bookmarkEnd w:id="3"/>
      <w:bookmarkEnd w:id="4"/>
      <w:bookmarkEnd w:id="5"/>
    </w:p>
    <w:bookmarkEnd w:id="6"/>
    <w:p w14:paraId="18F4554E">
      <w:pPr>
        <w:adjustRightInd w:val="0"/>
        <w:spacing w:line="400" w:lineRule="exact"/>
        <w:jc w:val="center"/>
        <w:rPr>
          <w:rFonts w:ascii="宋体" w:hAnsi="宋体"/>
          <w:b/>
          <w:kern w:val="28"/>
          <w:sz w:val="24"/>
        </w:rPr>
      </w:pPr>
      <w:r>
        <w:rPr>
          <w:rFonts w:hint="eastAsia" w:ascii="宋体" w:hAnsi="宋体"/>
          <w:b/>
          <w:kern w:val="28"/>
          <w:sz w:val="24"/>
        </w:rPr>
        <w:t>附录1  资格审查条件(资质最低要求)</w:t>
      </w:r>
    </w:p>
    <w:tbl>
      <w:tblPr>
        <w:tblStyle w:val="7"/>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8522"/>
      </w:tblGrid>
      <w:tr w14:paraId="721CFE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3" w:hRule="atLeast"/>
        </w:trPr>
        <w:tc>
          <w:tcPr>
            <w:tcW w:w="5000" w:type="pct"/>
            <w:tcBorders>
              <w:top w:val="single" w:color="000000" w:sz="2" w:space="0"/>
              <w:left w:val="single" w:color="auto" w:sz="4" w:space="0"/>
              <w:bottom w:val="single" w:color="000000" w:sz="4" w:space="0"/>
              <w:right w:val="single" w:color="000000" w:sz="2" w:space="0"/>
            </w:tcBorders>
            <w:vAlign w:val="center"/>
          </w:tcPr>
          <w:p w14:paraId="3F6F7FFF">
            <w:pPr>
              <w:jc w:val="center"/>
              <w:textAlignment w:val="baseline"/>
              <w:rPr>
                <w:rStyle w:val="10"/>
                <w:rFonts w:ascii="宋体" w:hAnsi="宋体"/>
                <w:b/>
                <w:szCs w:val="21"/>
              </w:rPr>
            </w:pPr>
            <w:r>
              <w:rPr>
                <w:rStyle w:val="10"/>
                <w:rFonts w:hint="eastAsia" w:ascii="宋体" w:hAnsi="宋体"/>
                <w:b/>
                <w:szCs w:val="21"/>
              </w:rPr>
              <w:t>资质要求</w:t>
            </w:r>
          </w:p>
        </w:tc>
      </w:tr>
      <w:tr w14:paraId="0F7D79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048" w:hRule="atLeast"/>
        </w:trPr>
        <w:tc>
          <w:tcPr>
            <w:tcW w:w="5000" w:type="pct"/>
            <w:tcBorders>
              <w:top w:val="single" w:color="000000" w:sz="2" w:space="0"/>
              <w:left w:val="single" w:color="auto" w:sz="4" w:space="0"/>
              <w:bottom w:val="single" w:color="000000" w:sz="2" w:space="0"/>
              <w:right w:val="single" w:color="000000" w:sz="2" w:space="0"/>
            </w:tcBorders>
            <w:vAlign w:val="center"/>
          </w:tcPr>
          <w:p w14:paraId="6F5C9D27">
            <w:pPr>
              <w:pStyle w:val="12"/>
              <w:ind w:firstLine="402" w:firstLineChars="200"/>
              <w:jc w:val="left"/>
              <w:rPr>
                <w:rStyle w:val="10"/>
                <w:rFonts w:hAnsi="宋体"/>
                <w:b/>
                <w:color w:val="auto"/>
              </w:rPr>
            </w:pPr>
            <w:r>
              <w:rPr>
                <w:rStyle w:val="10"/>
                <w:rFonts w:hint="eastAsia" w:hAnsi="宋体"/>
                <w:b/>
                <w:color w:val="auto"/>
              </w:rPr>
              <w:t>1.中华人民共和国境内的法人或其他组织，持有有效的营业执照；</w:t>
            </w:r>
          </w:p>
          <w:p w14:paraId="52F0CDA3">
            <w:pPr>
              <w:pStyle w:val="12"/>
              <w:spacing w:line="240" w:lineRule="auto"/>
              <w:ind w:firstLine="402" w:firstLineChars="200"/>
              <w:jc w:val="left"/>
              <w:rPr>
                <w:rStyle w:val="10"/>
                <w:rFonts w:hAnsi="宋体"/>
                <w:b/>
                <w:color w:val="auto"/>
              </w:rPr>
            </w:pPr>
            <w:r>
              <w:rPr>
                <w:rStyle w:val="10"/>
                <w:rFonts w:hint="eastAsia" w:hAnsi="宋体"/>
                <w:b/>
                <w:color w:val="auto"/>
              </w:rPr>
              <w:t>2.具备交通运输部颁发的公路机电工程专项监理资质。</w:t>
            </w:r>
          </w:p>
        </w:tc>
      </w:tr>
    </w:tbl>
    <w:p w14:paraId="72881E49">
      <w:pPr>
        <w:ind w:firstLine="482" w:firstLineChars="200"/>
        <w:jc w:val="center"/>
        <w:textAlignment w:val="baseline"/>
        <w:rPr>
          <w:rFonts w:asciiTheme="minorEastAsia" w:hAnsiTheme="minorEastAsia" w:eastAsiaTheme="minorEastAsia"/>
          <w:b/>
          <w:sz w:val="24"/>
        </w:rPr>
      </w:pPr>
    </w:p>
    <w:p w14:paraId="34D268DF">
      <w:pPr>
        <w:adjustRightInd w:val="0"/>
        <w:spacing w:line="400" w:lineRule="exact"/>
        <w:jc w:val="center"/>
        <w:rPr>
          <w:rFonts w:ascii="宋体" w:hAnsi="宋体"/>
          <w:b/>
          <w:kern w:val="28"/>
          <w:sz w:val="24"/>
        </w:rPr>
      </w:pPr>
      <w:r>
        <w:rPr>
          <w:rFonts w:hint="eastAsia" w:ascii="宋体" w:hAnsi="宋体"/>
          <w:b/>
          <w:kern w:val="28"/>
          <w:sz w:val="24"/>
        </w:rPr>
        <w:t>附录2  资格审查条件(业绩最低要求)</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BE52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5000" w:type="pct"/>
            <w:vAlign w:val="center"/>
          </w:tcPr>
          <w:p w14:paraId="38CD19D5">
            <w:pPr>
              <w:widowControl/>
              <w:ind w:firstLine="422" w:firstLineChars="200"/>
              <w:jc w:val="center"/>
              <w:textAlignment w:val="baseline"/>
              <w:rPr>
                <w:rFonts w:ascii="宋体" w:hAnsi="宋体" w:cs="宋体"/>
                <w:b/>
                <w:bCs/>
                <w:kern w:val="0"/>
                <w:sz w:val="20"/>
                <w:szCs w:val="21"/>
              </w:rPr>
            </w:pPr>
            <w:r>
              <w:rPr>
                <w:rFonts w:hint="eastAsia" w:ascii="宋体" w:hAnsi="宋体" w:cs="宋体"/>
                <w:b/>
                <w:bCs/>
                <w:kern w:val="0"/>
                <w:szCs w:val="21"/>
              </w:rPr>
              <w:t>业绩要求</w:t>
            </w:r>
          </w:p>
        </w:tc>
      </w:tr>
      <w:tr w14:paraId="7457F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5000" w:type="pct"/>
          </w:tcPr>
          <w:p w14:paraId="1D462B43">
            <w:pPr>
              <w:pStyle w:val="12"/>
              <w:ind w:firstLine="402" w:firstLineChars="200"/>
              <w:jc w:val="left"/>
              <w:rPr>
                <w:rStyle w:val="10"/>
                <w:rFonts w:hAnsi="宋体"/>
                <w:b/>
                <w:color w:val="auto"/>
                <w:highlight w:val="none"/>
              </w:rPr>
            </w:pPr>
            <w:r>
              <w:rPr>
                <w:rStyle w:val="10"/>
                <w:rFonts w:hint="eastAsia" w:hAnsi="宋体"/>
                <w:b/>
                <w:color w:val="auto"/>
                <w:highlight w:val="none"/>
              </w:rPr>
              <w:t>近5年内（20</w:t>
            </w:r>
            <w:r>
              <w:rPr>
                <w:rStyle w:val="10"/>
                <w:rFonts w:hint="eastAsia" w:hAnsi="宋体"/>
                <w:b/>
                <w:color w:val="auto"/>
                <w:highlight w:val="none"/>
                <w:lang w:val="en-US" w:eastAsia="zh-CN"/>
              </w:rPr>
              <w:t>21</w:t>
            </w:r>
            <w:r>
              <w:rPr>
                <w:rStyle w:val="10"/>
                <w:rFonts w:hint="eastAsia" w:hAnsi="宋体"/>
                <w:b/>
                <w:color w:val="auto"/>
                <w:highlight w:val="none"/>
              </w:rPr>
              <w:t>年</w:t>
            </w:r>
            <w:r>
              <w:rPr>
                <w:rStyle w:val="10"/>
                <w:rFonts w:hint="eastAsia" w:hAnsi="宋体"/>
                <w:b/>
                <w:color w:val="auto"/>
                <w:highlight w:val="none"/>
                <w:lang w:val="en-US" w:eastAsia="zh-CN"/>
              </w:rPr>
              <w:t>7</w:t>
            </w:r>
            <w:r>
              <w:rPr>
                <w:rStyle w:val="10"/>
                <w:rFonts w:hint="eastAsia" w:hAnsi="宋体"/>
                <w:b/>
                <w:color w:val="auto"/>
                <w:highlight w:val="none"/>
              </w:rPr>
              <w:t>月1日至今,以交工时间为准）至少独立成功的完成过1</w:t>
            </w:r>
            <w:r>
              <w:rPr>
                <w:rStyle w:val="10"/>
                <w:rFonts w:hint="eastAsia" w:hAnsi="宋体"/>
                <w:b/>
                <w:color w:val="auto"/>
                <w:highlight w:val="none"/>
                <w:lang w:val="en-US" w:eastAsia="zh-CN"/>
              </w:rPr>
              <w:t>项合同金额不低于150万元的</w:t>
            </w:r>
            <w:r>
              <w:rPr>
                <w:rStyle w:val="10"/>
                <w:rFonts w:hint="eastAsia" w:hAnsi="宋体"/>
                <w:b/>
                <w:color w:val="auto"/>
                <w:highlight w:val="none"/>
              </w:rPr>
              <w:t>新建或改扩建高速公路的机电工程（同时包含通信、监控、收费三大系统）的</w:t>
            </w:r>
            <w:r>
              <w:rPr>
                <w:rStyle w:val="10"/>
                <w:rFonts w:hint="eastAsia" w:hAnsi="宋体"/>
                <w:b/>
                <w:color w:val="auto"/>
                <w:highlight w:val="none"/>
                <w:lang w:val="en-US" w:eastAsia="zh-CN"/>
              </w:rPr>
              <w:t>施工</w:t>
            </w:r>
            <w:r>
              <w:rPr>
                <w:rStyle w:val="10"/>
                <w:rFonts w:hint="eastAsia" w:hAnsi="宋体"/>
                <w:b/>
                <w:color w:val="auto"/>
                <w:highlight w:val="none"/>
              </w:rPr>
              <w:t>监理业绩。</w:t>
            </w:r>
          </w:p>
        </w:tc>
      </w:tr>
    </w:tbl>
    <w:p w14:paraId="70A81205">
      <w:pPr>
        <w:pStyle w:val="4"/>
        <w:spacing w:after="0"/>
        <w:ind w:firstLine="482" w:firstLineChars="200"/>
        <w:jc w:val="center"/>
        <w:rPr>
          <w:rFonts w:asciiTheme="minorEastAsia" w:hAnsiTheme="minorEastAsia" w:eastAsiaTheme="minorEastAsia"/>
          <w:b/>
          <w:sz w:val="24"/>
          <w:highlight w:val="none"/>
        </w:rPr>
      </w:pPr>
    </w:p>
    <w:p w14:paraId="56FB2E7E">
      <w:pPr>
        <w:adjustRightInd w:val="0"/>
        <w:spacing w:line="400" w:lineRule="exact"/>
        <w:jc w:val="center"/>
        <w:rPr>
          <w:rFonts w:ascii="宋体" w:hAnsi="宋体"/>
          <w:b/>
          <w:kern w:val="28"/>
          <w:sz w:val="24"/>
          <w:highlight w:val="none"/>
        </w:rPr>
      </w:pPr>
      <w:r>
        <w:rPr>
          <w:rFonts w:hint="eastAsia" w:ascii="宋体" w:hAnsi="宋体"/>
          <w:b/>
          <w:kern w:val="28"/>
          <w:sz w:val="24"/>
          <w:highlight w:val="none"/>
        </w:rPr>
        <w:t>附录3  资格审查条件(信誉最低要求)</w:t>
      </w:r>
    </w:p>
    <w:tbl>
      <w:tblPr>
        <w:tblStyle w:val="7"/>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8522"/>
      </w:tblGrid>
      <w:tr w14:paraId="1E1BD2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03" w:hRule="atLeast"/>
          <w:jc w:val="center"/>
        </w:trPr>
        <w:tc>
          <w:tcPr>
            <w:tcW w:w="5000" w:type="pct"/>
            <w:tcBorders>
              <w:top w:val="single" w:color="000000" w:sz="2" w:space="0"/>
              <w:left w:val="single" w:color="auto" w:sz="4" w:space="0"/>
              <w:bottom w:val="single" w:color="000000" w:sz="4" w:space="0"/>
              <w:right w:val="single" w:color="000000" w:sz="2" w:space="0"/>
            </w:tcBorders>
            <w:vAlign w:val="center"/>
          </w:tcPr>
          <w:p w14:paraId="7BB253F2">
            <w:pPr>
              <w:widowControl/>
              <w:ind w:firstLine="422" w:firstLineChars="200"/>
              <w:jc w:val="center"/>
              <w:textAlignment w:val="baseline"/>
              <w:rPr>
                <w:rFonts w:ascii="宋体" w:hAnsi="宋体" w:cs="宋体"/>
                <w:b/>
                <w:bCs/>
                <w:kern w:val="0"/>
                <w:szCs w:val="21"/>
                <w:highlight w:val="none"/>
              </w:rPr>
            </w:pPr>
            <w:r>
              <w:rPr>
                <w:rFonts w:hint="eastAsia" w:ascii="宋体" w:hAnsi="宋体" w:cs="宋体"/>
                <w:b/>
                <w:bCs/>
                <w:kern w:val="0"/>
                <w:szCs w:val="21"/>
                <w:highlight w:val="none"/>
              </w:rPr>
              <w:t>信誉要求</w:t>
            </w:r>
          </w:p>
        </w:tc>
      </w:tr>
      <w:tr w14:paraId="7C6935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72" w:hRule="atLeast"/>
          <w:jc w:val="center"/>
        </w:trPr>
        <w:tc>
          <w:tcPr>
            <w:tcW w:w="5000" w:type="pct"/>
            <w:tcBorders>
              <w:top w:val="single" w:color="000000" w:sz="2" w:space="0"/>
              <w:left w:val="single" w:color="auto" w:sz="4" w:space="0"/>
              <w:bottom w:val="single" w:color="000000" w:sz="2" w:space="0"/>
              <w:right w:val="single" w:color="000000" w:sz="2" w:space="0"/>
            </w:tcBorders>
            <w:vAlign w:val="center"/>
          </w:tcPr>
          <w:p w14:paraId="4395FC8D">
            <w:pPr>
              <w:pStyle w:val="12"/>
              <w:ind w:firstLine="402" w:firstLineChars="200"/>
              <w:jc w:val="left"/>
              <w:rPr>
                <w:rStyle w:val="10"/>
                <w:rFonts w:hAnsi="宋体"/>
                <w:b/>
                <w:color w:val="auto"/>
                <w:highlight w:val="none"/>
              </w:rPr>
            </w:pPr>
            <w:r>
              <w:rPr>
                <w:rStyle w:val="10"/>
                <w:rFonts w:hint="eastAsia" w:hAnsi="宋体"/>
                <w:b/>
                <w:color w:val="auto"/>
                <w:highlight w:val="none"/>
              </w:rPr>
              <w:t>投标人近1年（202</w:t>
            </w:r>
            <w:r>
              <w:rPr>
                <w:rStyle w:val="10"/>
                <w:rFonts w:hint="eastAsia" w:hAnsi="宋体"/>
                <w:b/>
                <w:color w:val="auto"/>
                <w:highlight w:val="none"/>
                <w:lang w:val="en-US" w:eastAsia="zh-CN"/>
              </w:rPr>
              <w:t>5</w:t>
            </w:r>
            <w:r>
              <w:rPr>
                <w:rStyle w:val="10"/>
                <w:rFonts w:hint="eastAsia" w:hAnsi="宋体"/>
                <w:b/>
                <w:color w:val="auto"/>
                <w:highlight w:val="none"/>
              </w:rPr>
              <w:t>年</w:t>
            </w:r>
            <w:r>
              <w:rPr>
                <w:rStyle w:val="10"/>
                <w:rFonts w:hint="eastAsia" w:hAnsi="宋体"/>
                <w:b/>
                <w:color w:val="auto"/>
                <w:highlight w:val="none"/>
                <w:lang w:val="en-US" w:eastAsia="zh-CN"/>
              </w:rPr>
              <w:t>7</w:t>
            </w:r>
            <w:r>
              <w:rPr>
                <w:rStyle w:val="10"/>
                <w:rFonts w:hint="eastAsia" w:hAnsi="宋体"/>
                <w:b/>
                <w:color w:val="auto"/>
                <w:highlight w:val="none"/>
              </w:rPr>
              <w:t>月1日至今,以交工时间为准）中不曾在新建或改扩建高速公路项目机电工程施工监理合同中违约而被驱逐或因投标人自身的原因而使新建或改扩建高速公路项目机电工程施工监理合同被解除。</w:t>
            </w:r>
          </w:p>
        </w:tc>
      </w:tr>
    </w:tbl>
    <w:p w14:paraId="4ED42C24">
      <w:pPr>
        <w:tabs>
          <w:tab w:val="left" w:pos="5157"/>
        </w:tabs>
        <w:ind w:firstLine="482" w:firstLineChars="200"/>
        <w:jc w:val="center"/>
        <w:textAlignment w:val="baseline"/>
        <w:rPr>
          <w:rFonts w:asciiTheme="minorEastAsia" w:hAnsiTheme="minorEastAsia" w:eastAsiaTheme="minorEastAsia"/>
          <w:b/>
          <w:sz w:val="24"/>
        </w:rPr>
      </w:pPr>
    </w:p>
    <w:p w14:paraId="2CF00116">
      <w:pPr>
        <w:tabs>
          <w:tab w:val="left" w:pos="5157"/>
        </w:tabs>
        <w:ind w:firstLine="482" w:firstLineChars="200"/>
        <w:jc w:val="center"/>
        <w:textAlignment w:val="baseline"/>
        <w:rPr>
          <w:rFonts w:asciiTheme="minorEastAsia" w:hAnsiTheme="minorEastAsia" w:eastAsiaTheme="minorEastAsia"/>
          <w:b/>
          <w:sz w:val="20"/>
          <w:szCs w:val="21"/>
        </w:rPr>
      </w:pPr>
      <w:r>
        <w:rPr>
          <w:rFonts w:hint="eastAsia" w:asciiTheme="minorEastAsia" w:hAnsiTheme="minorEastAsia" w:eastAsiaTheme="minorEastAsia"/>
          <w:b/>
          <w:sz w:val="24"/>
        </w:rPr>
        <w:t>附录4  资格审查条件(</w:t>
      </w:r>
      <w:r>
        <w:rPr>
          <w:rFonts w:hint="eastAsia" w:ascii="宋体" w:hAnsi="宋体"/>
          <w:b/>
          <w:sz w:val="24"/>
          <w:lang w:eastAsia="zh-CN"/>
        </w:rPr>
        <w:t>总监理工程师</w:t>
      </w:r>
      <w:r>
        <w:rPr>
          <w:rFonts w:hint="eastAsia" w:ascii="宋体" w:hAnsi="宋体"/>
          <w:b/>
          <w:sz w:val="24"/>
        </w:rPr>
        <w:t>最低要求</w:t>
      </w:r>
      <w:r>
        <w:rPr>
          <w:rFonts w:hint="eastAsia" w:asciiTheme="minorEastAsia" w:hAnsiTheme="minorEastAsia" w:eastAsiaTheme="minorEastAsia"/>
          <w:b/>
          <w:sz w:val="24"/>
        </w:rPr>
        <w:t>)</w:t>
      </w:r>
    </w:p>
    <w:bookmarkEnd w:id="7"/>
    <w:bookmarkEnd w:id="8"/>
    <w:tbl>
      <w:tblPr>
        <w:tblStyle w:val="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4"/>
        <w:gridCol w:w="1281"/>
        <w:gridCol w:w="3687"/>
        <w:gridCol w:w="1767"/>
      </w:tblGrid>
      <w:tr w14:paraId="1AA08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blHeader/>
          <w:jc w:val="center"/>
        </w:trPr>
        <w:tc>
          <w:tcPr>
            <w:tcW w:w="1047" w:type="pct"/>
            <w:vAlign w:val="center"/>
          </w:tcPr>
          <w:p w14:paraId="4945BA98">
            <w:pPr>
              <w:widowControl/>
              <w:jc w:val="center"/>
              <w:textAlignment w:val="baseline"/>
              <w:rPr>
                <w:rFonts w:ascii="宋体" w:hAnsi="宋体" w:cs="宋体"/>
                <w:b/>
                <w:bCs/>
                <w:kern w:val="0"/>
                <w:sz w:val="20"/>
                <w:szCs w:val="21"/>
              </w:rPr>
            </w:pPr>
            <w:bookmarkStart w:id="9" w:name="_Toc111638815"/>
            <w:bookmarkStart w:id="10" w:name="_Toc111638755"/>
            <w:bookmarkStart w:id="11" w:name="_Toc111638816"/>
            <w:bookmarkStart w:id="12" w:name="_Toc111638756"/>
            <w:r>
              <w:rPr>
                <w:rFonts w:hint="eastAsia" w:ascii="宋体" w:hAnsi="宋体" w:cs="宋体"/>
                <w:b/>
                <w:bCs/>
                <w:kern w:val="0"/>
                <w:szCs w:val="21"/>
              </w:rPr>
              <w:t>人员</w:t>
            </w:r>
          </w:p>
        </w:tc>
        <w:tc>
          <w:tcPr>
            <w:tcW w:w="752" w:type="pct"/>
            <w:noWrap/>
            <w:vAlign w:val="center"/>
          </w:tcPr>
          <w:p w14:paraId="426E2981">
            <w:pPr>
              <w:widowControl/>
              <w:jc w:val="center"/>
              <w:textAlignment w:val="baseline"/>
              <w:rPr>
                <w:rFonts w:ascii="宋体" w:hAnsi="宋体" w:cs="宋体"/>
                <w:b/>
                <w:bCs/>
                <w:kern w:val="0"/>
                <w:sz w:val="20"/>
                <w:szCs w:val="21"/>
              </w:rPr>
            </w:pPr>
            <w:r>
              <w:rPr>
                <w:rFonts w:hint="eastAsia" w:ascii="宋体" w:hAnsi="宋体" w:cs="宋体"/>
                <w:b/>
                <w:bCs/>
                <w:kern w:val="0"/>
                <w:szCs w:val="21"/>
              </w:rPr>
              <w:t>数量</w:t>
            </w:r>
          </w:p>
        </w:tc>
        <w:tc>
          <w:tcPr>
            <w:tcW w:w="2164" w:type="pct"/>
            <w:noWrap/>
            <w:vAlign w:val="center"/>
          </w:tcPr>
          <w:p w14:paraId="3F428780">
            <w:pPr>
              <w:widowControl/>
              <w:ind w:firstLine="422" w:firstLineChars="200"/>
              <w:jc w:val="center"/>
              <w:textAlignment w:val="baseline"/>
              <w:rPr>
                <w:rFonts w:ascii="宋体" w:hAnsi="宋体" w:cs="宋体"/>
                <w:b/>
                <w:bCs/>
                <w:kern w:val="0"/>
                <w:sz w:val="20"/>
                <w:szCs w:val="21"/>
              </w:rPr>
            </w:pPr>
            <w:r>
              <w:rPr>
                <w:rFonts w:hint="eastAsia" w:ascii="宋体" w:hAnsi="宋体" w:cs="宋体"/>
                <w:b/>
                <w:bCs/>
                <w:kern w:val="0"/>
                <w:szCs w:val="21"/>
                <w:lang w:eastAsia="zh-CN"/>
              </w:rPr>
              <w:t>总监理工程师</w:t>
            </w:r>
            <w:r>
              <w:rPr>
                <w:rFonts w:hint="eastAsia" w:ascii="宋体" w:hAnsi="宋体" w:cs="宋体"/>
                <w:b/>
                <w:bCs/>
                <w:kern w:val="0"/>
                <w:szCs w:val="21"/>
              </w:rPr>
              <w:t>的最低要求</w:t>
            </w:r>
          </w:p>
        </w:tc>
        <w:tc>
          <w:tcPr>
            <w:tcW w:w="1037" w:type="pct"/>
            <w:noWrap/>
            <w:vAlign w:val="center"/>
          </w:tcPr>
          <w:p w14:paraId="45D6AA7A">
            <w:pPr>
              <w:widowControl/>
              <w:jc w:val="center"/>
              <w:textAlignment w:val="baseline"/>
              <w:rPr>
                <w:rFonts w:ascii="宋体" w:hAnsi="宋体" w:cs="宋体"/>
                <w:b/>
                <w:bCs/>
                <w:kern w:val="0"/>
                <w:sz w:val="20"/>
                <w:szCs w:val="21"/>
              </w:rPr>
            </w:pPr>
            <w:r>
              <w:rPr>
                <w:rFonts w:hint="eastAsia" w:ascii="宋体" w:hAnsi="宋体" w:cs="宋体"/>
                <w:b/>
                <w:bCs/>
                <w:kern w:val="0"/>
                <w:szCs w:val="21"/>
              </w:rPr>
              <w:t>在岗要求</w:t>
            </w:r>
          </w:p>
        </w:tc>
      </w:tr>
      <w:tr w14:paraId="330C5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047" w:type="pct"/>
            <w:vAlign w:val="center"/>
          </w:tcPr>
          <w:p w14:paraId="30E00E4B">
            <w:pPr>
              <w:pStyle w:val="12"/>
              <w:rPr>
                <w:rStyle w:val="10"/>
                <w:rFonts w:hint="eastAsia" w:eastAsia="宋体"/>
                <w:b/>
                <w:color w:val="auto"/>
                <w:lang w:eastAsia="zh-CN"/>
              </w:rPr>
            </w:pPr>
            <w:r>
              <w:rPr>
                <w:rStyle w:val="10"/>
                <w:rFonts w:hint="eastAsia"/>
                <w:b/>
                <w:color w:val="auto"/>
                <w:lang w:eastAsia="zh-CN"/>
              </w:rPr>
              <w:t>总监理工程师</w:t>
            </w:r>
          </w:p>
        </w:tc>
        <w:tc>
          <w:tcPr>
            <w:tcW w:w="752" w:type="pct"/>
            <w:vAlign w:val="center"/>
          </w:tcPr>
          <w:p w14:paraId="795A2F49">
            <w:pPr>
              <w:pStyle w:val="12"/>
              <w:ind w:firstLine="402" w:firstLineChars="200"/>
              <w:jc w:val="left"/>
              <w:rPr>
                <w:rStyle w:val="10"/>
                <w:b/>
                <w:color w:val="auto"/>
              </w:rPr>
            </w:pPr>
            <w:r>
              <w:rPr>
                <w:rStyle w:val="10"/>
                <w:rFonts w:hint="eastAsia"/>
                <w:b/>
                <w:color w:val="auto"/>
              </w:rPr>
              <w:t>1</w:t>
            </w:r>
          </w:p>
        </w:tc>
        <w:tc>
          <w:tcPr>
            <w:tcW w:w="2164" w:type="pct"/>
            <w:vAlign w:val="center"/>
          </w:tcPr>
          <w:p w14:paraId="71ABB61D">
            <w:pPr>
              <w:pStyle w:val="12"/>
              <w:ind w:firstLine="402" w:firstLineChars="200"/>
              <w:jc w:val="left"/>
              <w:rPr>
                <w:rStyle w:val="10"/>
                <w:rFonts w:hint="eastAsia"/>
                <w:b/>
                <w:color w:val="auto"/>
                <w:lang w:eastAsia="zh-CN"/>
              </w:rPr>
            </w:pPr>
            <w:r>
              <w:rPr>
                <w:rStyle w:val="10"/>
                <w:rFonts w:hint="eastAsia"/>
                <w:b/>
                <w:color w:val="auto"/>
                <w:lang w:eastAsia="zh-CN"/>
              </w:rPr>
              <w:t>高级或以上技术职称</w:t>
            </w:r>
          </w:p>
          <w:p w14:paraId="7EBBB341">
            <w:pPr>
              <w:pStyle w:val="12"/>
              <w:ind w:firstLine="402" w:firstLineChars="200"/>
              <w:jc w:val="left"/>
              <w:rPr>
                <w:rStyle w:val="10"/>
                <w:rFonts w:hint="eastAsia" w:eastAsia="宋体"/>
                <w:b/>
                <w:color w:val="auto"/>
                <w:highlight w:val="none"/>
                <w:lang w:val="en-US" w:eastAsia="zh-CN"/>
              </w:rPr>
            </w:pPr>
            <w:r>
              <w:rPr>
                <w:rStyle w:val="10"/>
                <w:rFonts w:hint="eastAsia"/>
                <w:b/>
                <w:color w:val="auto"/>
                <w:highlight w:val="none"/>
              </w:rPr>
              <w:t>具有交通运输部颁发的监理工程师(机电工程专业)</w:t>
            </w:r>
            <w:r>
              <w:rPr>
                <w:rStyle w:val="10"/>
                <w:rFonts w:hint="eastAsia"/>
                <w:b/>
                <w:color w:val="auto"/>
                <w:highlight w:val="none"/>
                <w:lang w:val="en-US" w:eastAsia="zh-CN"/>
              </w:rPr>
              <w:t>证书或人社部颁发的监理工程师证书（交通运输工程）</w:t>
            </w:r>
            <w:r>
              <w:rPr>
                <w:rStyle w:val="10"/>
                <w:rFonts w:hint="eastAsia"/>
                <w:b/>
                <w:color w:val="auto"/>
                <w:highlight w:val="none"/>
              </w:rPr>
              <w:t>且在投标单位进行</w:t>
            </w:r>
            <w:r>
              <w:rPr>
                <w:rStyle w:val="10"/>
                <w:rFonts w:hint="eastAsia"/>
                <w:b/>
                <w:color w:val="auto"/>
                <w:highlight w:val="none"/>
                <w:lang w:val="en-US" w:eastAsia="zh-CN"/>
              </w:rPr>
              <w:t>岗位</w:t>
            </w:r>
            <w:r>
              <w:rPr>
                <w:rStyle w:val="10"/>
                <w:rFonts w:hint="eastAsia"/>
                <w:b/>
                <w:color w:val="auto"/>
                <w:highlight w:val="none"/>
              </w:rPr>
              <w:t>登记；</w:t>
            </w:r>
          </w:p>
          <w:p w14:paraId="79072AF1">
            <w:pPr>
              <w:pStyle w:val="12"/>
              <w:ind w:firstLine="402" w:firstLineChars="200"/>
              <w:jc w:val="left"/>
              <w:rPr>
                <w:rStyle w:val="10"/>
                <w:b/>
                <w:color w:val="auto"/>
              </w:rPr>
            </w:pPr>
            <w:r>
              <w:rPr>
                <w:rStyle w:val="10"/>
                <w:rFonts w:hint="eastAsia"/>
                <w:b/>
                <w:color w:val="auto"/>
                <w:highlight w:val="none"/>
              </w:rPr>
              <w:t>近5年内（20</w:t>
            </w:r>
            <w:r>
              <w:rPr>
                <w:rStyle w:val="10"/>
                <w:rFonts w:hint="eastAsia"/>
                <w:b/>
                <w:color w:val="auto"/>
                <w:highlight w:val="none"/>
                <w:lang w:val="en-US" w:eastAsia="zh-CN"/>
              </w:rPr>
              <w:t>21</w:t>
            </w:r>
            <w:r>
              <w:rPr>
                <w:rStyle w:val="10"/>
                <w:rFonts w:hint="eastAsia"/>
                <w:b/>
                <w:color w:val="auto"/>
                <w:highlight w:val="none"/>
              </w:rPr>
              <w:t>年</w:t>
            </w:r>
            <w:r>
              <w:rPr>
                <w:rStyle w:val="10"/>
                <w:rFonts w:hint="eastAsia"/>
                <w:b/>
                <w:color w:val="auto"/>
                <w:highlight w:val="none"/>
                <w:lang w:val="en-US" w:eastAsia="zh-CN"/>
              </w:rPr>
              <w:t>7</w:t>
            </w:r>
            <w:r>
              <w:rPr>
                <w:rStyle w:val="10"/>
                <w:rFonts w:hint="eastAsia"/>
                <w:b/>
                <w:color w:val="auto"/>
                <w:highlight w:val="none"/>
              </w:rPr>
              <w:t>月1日至今，以交工时间为准）至少担任过1项新建或改扩建高速公路机电工程</w:t>
            </w:r>
            <w:r>
              <w:rPr>
                <w:rStyle w:val="10"/>
                <w:rFonts w:hint="eastAsia"/>
                <w:b/>
                <w:color w:val="auto"/>
                <w:highlight w:val="none"/>
                <w:lang w:val="en-US" w:eastAsia="zh-CN"/>
              </w:rPr>
              <w:t>施工</w:t>
            </w:r>
            <w:r>
              <w:rPr>
                <w:rStyle w:val="10"/>
                <w:rFonts w:hint="eastAsia"/>
                <w:b/>
                <w:color w:val="auto"/>
                <w:highlight w:val="none"/>
              </w:rPr>
              <w:t>监理工作（同时包含通信、监控、收费三大系统）的总监理工程师或驻地监理工程师职务。</w:t>
            </w:r>
          </w:p>
        </w:tc>
        <w:tc>
          <w:tcPr>
            <w:tcW w:w="1037" w:type="pct"/>
            <w:vAlign w:val="center"/>
          </w:tcPr>
          <w:p w14:paraId="0DEEAF88">
            <w:pPr>
              <w:pStyle w:val="12"/>
              <w:jc w:val="left"/>
              <w:rPr>
                <w:rStyle w:val="10"/>
                <w:b/>
                <w:color w:val="auto"/>
              </w:rPr>
            </w:pPr>
            <w:r>
              <w:rPr>
                <w:rStyle w:val="10"/>
                <w:rFonts w:hint="eastAsia"/>
                <w:b/>
                <w:color w:val="auto"/>
              </w:rPr>
              <w:t>目前未在其他项目上任职，或虽在其他项目上任职但本项目中标后能够从其他项目撤离，并能在本项目履约。</w:t>
            </w:r>
          </w:p>
        </w:tc>
      </w:tr>
      <w:bookmarkEnd w:id="9"/>
      <w:bookmarkEnd w:id="10"/>
    </w:tbl>
    <w:p w14:paraId="3B8B54A0">
      <w:pPr>
        <w:widowControl/>
        <w:ind w:firstLine="482" w:firstLineChars="200"/>
        <w:jc w:val="left"/>
        <w:rPr>
          <w:rFonts w:ascii="宋体" w:hAnsi="宋体"/>
          <w:b/>
          <w:bCs/>
          <w:sz w:val="24"/>
          <w:szCs w:val="32"/>
        </w:rPr>
      </w:pPr>
    </w:p>
    <w:p w14:paraId="6227747A">
      <w:pPr>
        <w:pStyle w:val="4"/>
      </w:pPr>
      <w:r>
        <w:br w:type="page"/>
      </w:r>
    </w:p>
    <w:p w14:paraId="5900BA1A">
      <w:pPr>
        <w:pStyle w:val="2"/>
        <w:spacing w:before="0" w:after="0" w:line="360" w:lineRule="auto"/>
        <w:rPr>
          <w:rFonts w:ascii="宋体" w:hAnsi="宋体"/>
          <w:b w:val="0"/>
          <w:sz w:val="24"/>
        </w:rPr>
      </w:pPr>
      <w:bookmarkStart w:id="13" w:name="_Toc172307956"/>
      <w:bookmarkStart w:id="14" w:name="_Toc134792891"/>
      <w:bookmarkStart w:id="15" w:name="_Toc134792340"/>
      <w:bookmarkStart w:id="16" w:name="_Toc21002"/>
      <w:bookmarkStart w:id="17" w:name="_Toc134890443"/>
      <w:r>
        <w:rPr>
          <w:rFonts w:hint="eastAsia" w:ascii="黑体" w:hAnsi="黑体" w:eastAsia="黑体"/>
          <w:sz w:val="28"/>
          <w:szCs w:val="28"/>
        </w:rPr>
        <w:t>附件2：</w:t>
      </w:r>
      <w:bookmarkEnd w:id="13"/>
      <w:bookmarkStart w:id="18" w:name="_Toc172307957"/>
      <w:r>
        <w:rPr>
          <w:rFonts w:hint="eastAsia" w:ascii="黑体" w:hAnsi="黑体" w:eastAsia="黑体"/>
          <w:sz w:val="28"/>
          <w:szCs w:val="28"/>
        </w:rPr>
        <w:t>评标办法</w:t>
      </w:r>
      <w:bookmarkEnd w:id="14"/>
      <w:bookmarkEnd w:id="15"/>
      <w:bookmarkEnd w:id="16"/>
      <w:bookmarkEnd w:id="17"/>
      <w:bookmarkEnd w:id="18"/>
    </w:p>
    <w:p w14:paraId="095B3294">
      <w:pPr>
        <w:snapToGrid w:val="0"/>
        <w:spacing w:line="360" w:lineRule="auto"/>
        <w:ind w:firstLine="480"/>
        <w:jc w:val="center"/>
        <w:textAlignment w:val="baseline"/>
        <w:rPr>
          <w:rFonts w:ascii="宋体" w:hAnsi="宋体"/>
          <w:b/>
          <w:bCs/>
          <w:sz w:val="24"/>
        </w:rPr>
      </w:pPr>
      <w:bookmarkStart w:id="19" w:name="_Toc459307890"/>
      <w:bookmarkStart w:id="20" w:name="_Toc134890522"/>
      <w:bookmarkStart w:id="21" w:name="_Toc134890444"/>
      <w:bookmarkStart w:id="22" w:name="_Toc509659998"/>
      <w:bookmarkStart w:id="23" w:name="_Toc134792892"/>
      <w:bookmarkStart w:id="24" w:name="_Toc134792341"/>
      <w:bookmarkStart w:id="25" w:name="_Toc450319202"/>
      <w:bookmarkStart w:id="26" w:name="_Toc134792409"/>
      <w:bookmarkStart w:id="27" w:name="_Toc509660966"/>
      <w:bookmarkStart w:id="28" w:name="_Toc531949857"/>
      <w:bookmarkStart w:id="29" w:name="_Toc502992691"/>
      <w:bookmarkStart w:id="30" w:name="_Toc445222503"/>
      <w:bookmarkStart w:id="31" w:name="_Toc445382083"/>
      <w:bookmarkStart w:id="32" w:name="_Toc444271617"/>
      <w:bookmarkStart w:id="33" w:name="_Toc444088432"/>
      <w:r>
        <w:rPr>
          <w:rFonts w:hint="eastAsia" w:ascii="宋体" w:hAnsi="宋体"/>
          <w:b/>
          <w:bCs/>
          <w:sz w:val="24"/>
        </w:rPr>
        <w:t>评标办法（综合评估法）</w:t>
      </w:r>
      <w:bookmarkEnd w:id="19"/>
      <w:bookmarkEnd w:id="20"/>
      <w:bookmarkEnd w:id="21"/>
      <w:bookmarkEnd w:id="22"/>
      <w:bookmarkEnd w:id="23"/>
      <w:bookmarkEnd w:id="24"/>
      <w:bookmarkEnd w:id="25"/>
      <w:bookmarkEnd w:id="26"/>
      <w:bookmarkEnd w:id="27"/>
      <w:bookmarkEnd w:id="28"/>
      <w:bookmarkEnd w:id="29"/>
    </w:p>
    <w:p w14:paraId="0B4C6F49">
      <w:pPr>
        <w:snapToGrid w:val="0"/>
        <w:spacing w:line="360" w:lineRule="auto"/>
        <w:textAlignment w:val="baseline"/>
        <w:rPr>
          <w:rFonts w:ascii="宋体" w:hAnsi="宋体"/>
          <w:b/>
          <w:bCs/>
          <w:sz w:val="24"/>
        </w:rPr>
      </w:pPr>
      <w:r>
        <w:rPr>
          <w:rFonts w:hint="eastAsia" w:ascii="宋体" w:hAnsi="宋体"/>
          <w:b/>
          <w:bCs/>
          <w:sz w:val="24"/>
        </w:rPr>
        <w:t>评标办法前附表</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3"/>
        <w:gridCol w:w="1068"/>
        <w:gridCol w:w="6574"/>
      </w:tblGrid>
      <w:tr w14:paraId="7C145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blHeader/>
        </w:trPr>
        <w:tc>
          <w:tcPr>
            <w:tcW w:w="454"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51A8FEE3">
            <w:pPr>
              <w:spacing w:line="24" w:lineRule="atLeast"/>
              <w:jc w:val="center"/>
              <w:textAlignment w:val="baseline"/>
              <w:rPr>
                <w:rFonts w:ascii="黑体" w:hAnsi="黑体" w:eastAsia="黑体" w:cs="黑体"/>
                <w:szCs w:val="21"/>
              </w:rPr>
            </w:pPr>
            <w:bookmarkStart w:id="34" w:name="_Toc134792342"/>
            <w:bookmarkStart w:id="35" w:name="_Toc531949858"/>
            <w:bookmarkStart w:id="36" w:name="_Toc134792893"/>
            <w:bookmarkStart w:id="37" w:name="_Toc134890445"/>
            <w:bookmarkStart w:id="38" w:name="_Toc134890523"/>
            <w:bookmarkStart w:id="39" w:name="_Toc134792410"/>
            <w:r>
              <w:rPr>
                <w:rFonts w:hint="eastAsia" w:ascii="黑体" w:hAnsi="黑体" w:eastAsia="黑体" w:cs="黑体"/>
                <w:szCs w:val="21"/>
              </w:rPr>
              <w:t>条款号</w:t>
            </w:r>
          </w:p>
        </w:tc>
        <w:tc>
          <w:tcPr>
            <w:tcW w:w="63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298E77E7">
            <w:pPr>
              <w:spacing w:line="24" w:lineRule="atLeast"/>
              <w:jc w:val="center"/>
              <w:textAlignment w:val="baseline"/>
              <w:rPr>
                <w:rFonts w:ascii="黑体" w:hAnsi="黑体" w:eastAsia="黑体" w:cs="黑体"/>
                <w:szCs w:val="21"/>
              </w:rPr>
            </w:pPr>
            <w:r>
              <w:rPr>
                <w:rFonts w:hint="eastAsia" w:ascii="黑体" w:hAnsi="黑体" w:eastAsia="黑体" w:cs="黑体"/>
                <w:szCs w:val="21"/>
              </w:rPr>
              <w:t>条款名称</w:t>
            </w:r>
          </w:p>
        </w:tc>
        <w:tc>
          <w:tcPr>
            <w:tcW w:w="3909"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1705F707">
            <w:pPr>
              <w:spacing w:line="24" w:lineRule="atLeast"/>
              <w:ind w:firstLine="420" w:firstLineChars="200"/>
              <w:jc w:val="center"/>
              <w:textAlignment w:val="baseline"/>
              <w:rPr>
                <w:rFonts w:ascii="黑体" w:hAnsi="黑体" w:eastAsia="黑体" w:cs="黑体"/>
                <w:szCs w:val="21"/>
              </w:rPr>
            </w:pPr>
            <w:r>
              <w:rPr>
                <w:rFonts w:hint="eastAsia" w:ascii="黑体" w:hAnsi="黑体" w:eastAsia="黑体" w:cs="黑体"/>
                <w:szCs w:val="21"/>
              </w:rPr>
              <w:t>评审因素与评审标准</w:t>
            </w:r>
          </w:p>
        </w:tc>
      </w:tr>
      <w:tr w14:paraId="7B3EE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454"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573AC699">
            <w:pPr>
              <w:spacing w:line="24" w:lineRule="atLeast"/>
              <w:ind w:firstLine="420" w:firstLineChars="200"/>
              <w:textAlignment w:val="baseline"/>
              <w:rPr>
                <w:rFonts w:asciiTheme="minorEastAsia" w:hAnsiTheme="minorEastAsia" w:eastAsiaTheme="minorEastAsia"/>
                <w:szCs w:val="21"/>
              </w:rPr>
            </w:pPr>
            <w:r>
              <w:rPr>
                <w:rFonts w:hint="eastAsia" w:asciiTheme="minorEastAsia" w:hAnsiTheme="minorEastAsia" w:eastAsiaTheme="minorEastAsia"/>
                <w:szCs w:val="21"/>
              </w:rPr>
              <w:t>1</w:t>
            </w:r>
          </w:p>
        </w:tc>
        <w:tc>
          <w:tcPr>
            <w:tcW w:w="63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132C6C44">
            <w:pPr>
              <w:spacing w:line="24" w:lineRule="atLeast"/>
              <w:jc w:val="center"/>
              <w:textAlignment w:val="baseline"/>
              <w:rPr>
                <w:rFonts w:asciiTheme="minorEastAsia" w:hAnsiTheme="minorEastAsia" w:eastAsiaTheme="minorEastAsia"/>
                <w:szCs w:val="21"/>
              </w:rPr>
            </w:pPr>
            <w:r>
              <w:rPr>
                <w:rFonts w:hint="eastAsia" w:ascii="宋体" w:hAnsi="宋体"/>
                <w:szCs w:val="21"/>
              </w:rPr>
              <w:t>评标办法</w:t>
            </w:r>
          </w:p>
        </w:tc>
        <w:tc>
          <w:tcPr>
            <w:tcW w:w="3909"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425FEC78">
            <w:pPr>
              <w:spacing w:line="24" w:lineRule="atLeast"/>
              <w:ind w:firstLine="404" w:firstLineChars="200"/>
              <w:jc w:val="left"/>
              <w:rPr>
                <w:rFonts w:ascii="宋体" w:hAnsi="宋体"/>
                <w:spacing w:val="-4"/>
                <w:szCs w:val="21"/>
              </w:rPr>
            </w:pPr>
            <w:r>
              <w:rPr>
                <w:rFonts w:hint="eastAsia" w:ascii="宋体" w:hAnsi="宋体"/>
                <w:spacing w:val="-4"/>
                <w:szCs w:val="21"/>
              </w:rPr>
              <w:t>本次评标采用综合评估法。评标委员会对满足招标文件实质性要求的投标文件，按照本章第2.2款规定的评分标准进行打分，并按得分由高到低顺序推荐1-3名中标候选人。综合评分相等时，评标委员会依次按照以下优先顺序推荐中标候选人：</w:t>
            </w:r>
          </w:p>
          <w:p w14:paraId="1C01BACF">
            <w:pPr>
              <w:spacing w:line="24" w:lineRule="atLeast"/>
              <w:ind w:firstLine="404" w:firstLineChars="200"/>
              <w:jc w:val="left"/>
              <w:rPr>
                <w:rFonts w:ascii="宋体" w:hAnsi="宋体"/>
                <w:spacing w:val="-4"/>
                <w:szCs w:val="21"/>
              </w:rPr>
            </w:pPr>
            <w:r>
              <w:rPr>
                <w:rFonts w:hint="eastAsia" w:ascii="宋体" w:hAnsi="宋体"/>
                <w:spacing w:val="-4"/>
                <w:szCs w:val="21"/>
              </w:rPr>
              <w:t>（1）评标价低的投标人优先；</w:t>
            </w:r>
          </w:p>
          <w:p w14:paraId="03A1C0BA">
            <w:pPr>
              <w:spacing w:line="24" w:lineRule="atLeast"/>
              <w:ind w:firstLine="404" w:firstLineChars="200"/>
              <w:jc w:val="left"/>
              <w:rPr>
                <w:rFonts w:ascii="宋体" w:hAnsi="宋体"/>
                <w:spacing w:val="-4"/>
                <w:szCs w:val="21"/>
              </w:rPr>
            </w:pPr>
            <w:r>
              <w:rPr>
                <w:rFonts w:hint="eastAsia" w:ascii="宋体" w:hAnsi="宋体"/>
                <w:spacing w:val="-4"/>
                <w:szCs w:val="21"/>
              </w:rPr>
              <w:t>（2）技术建议书得分较高的投标人优先；</w:t>
            </w:r>
          </w:p>
          <w:p w14:paraId="6982C5AD">
            <w:pPr>
              <w:spacing w:line="24" w:lineRule="atLeast"/>
              <w:ind w:firstLine="404" w:firstLineChars="200"/>
              <w:jc w:val="left"/>
              <w:textAlignment w:val="auto"/>
              <w:rPr>
                <w:rFonts w:asciiTheme="minorEastAsia" w:hAnsiTheme="minorEastAsia" w:eastAsiaTheme="minorEastAsia"/>
                <w:spacing w:val="-4"/>
                <w:szCs w:val="21"/>
              </w:rPr>
            </w:pPr>
            <w:r>
              <w:rPr>
                <w:rFonts w:hint="eastAsia" w:ascii="宋体" w:hAnsi="宋体"/>
                <w:spacing w:val="-4"/>
                <w:szCs w:val="21"/>
              </w:rPr>
              <w:t>（3）投标人满足资格审查条件(业绩最低条件)要求的业绩累计金额高的优先。</w:t>
            </w:r>
          </w:p>
        </w:tc>
      </w:tr>
      <w:tr w14:paraId="64118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454"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03CF914C">
            <w:pPr>
              <w:spacing w:line="24" w:lineRule="atLeast"/>
              <w:jc w:val="center"/>
              <w:textAlignment w:val="baseline"/>
              <w:rPr>
                <w:rFonts w:asciiTheme="minorEastAsia" w:hAnsiTheme="minorEastAsia" w:eastAsiaTheme="minorEastAsia"/>
                <w:szCs w:val="21"/>
              </w:rPr>
            </w:pPr>
            <w:r>
              <w:rPr>
                <w:rFonts w:hint="eastAsia" w:asciiTheme="minorEastAsia" w:hAnsiTheme="minorEastAsia" w:eastAsiaTheme="minorEastAsia"/>
                <w:szCs w:val="21"/>
              </w:rPr>
              <w:t>2.1.1</w:t>
            </w:r>
          </w:p>
          <w:p w14:paraId="4E38D1D6">
            <w:pPr>
              <w:spacing w:line="24" w:lineRule="atLeast"/>
              <w:jc w:val="center"/>
              <w:textAlignment w:val="baseline"/>
              <w:rPr>
                <w:rFonts w:asciiTheme="minorEastAsia" w:hAnsiTheme="minorEastAsia" w:eastAsiaTheme="minorEastAsia"/>
                <w:szCs w:val="21"/>
              </w:rPr>
            </w:pPr>
            <w:r>
              <w:rPr>
                <w:rFonts w:hint="eastAsia" w:asciiTheme="minorEastAsia" w:hAnsiTheme="minorEastAsia" w:eastAsiaTheme="minorEastAsia"/>
                <w:szCs w:val="21"/>
              </w:rPr>
              <w:t>2.1.3</w:t>
            </w:r>
          </w:p>
        </w:tc>
        <w:tc>
          <w:tcPr>
            <w:tcW w:w="63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07110878">
            <w:pPr>
              <w:spacing w:line="24" w:lineRule="atLeast"/>
              <w:jc w:val="center"/>
              <w:textAlignment w:val="baseline"/>
              <w:rPr>
                <w:rFonts w:asciiTheme="minorEastAsia" w:hAnsiTheme="minorEastAsia" w:eastAsiaTheme="minorEastAsia"/>
                <w:szCs w:val="21"/>
              </w:rPr>
            </w:pPr>
            <w:r>
              <w:rPr>
                <w:rFonts w:hint="eastAsia" w:asciiTheme="minorEastAsia" w:hAnsiTheme="minorEastAsia" w:eastAsiaTheme="minorEastAsia"/>
                <w:szCs w:val="21"/>
              </w:rPr>
              <w:t>形式评审与响应性评审标准</w:t>
            </w:r>
          </w:p>
        </w:tc>
        <w:tc>
          <w:tcPr>
            <w:tcW w:w="3909"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tcPr>
          <w:p w14:paraId="55C71799">
            <w:pPr>
              <w:snapToGrid w:val="0"/>
              <w:spacing w:line="24" w:lineRule="atLeast"/>
              <w:jc w:val="left"/>
              <w:textAlignment w:val="baseline"/>
              <w:rPr>
                <w:rFonts w:cs="宋体" w:asciiTheme="minorEastAsia" w:hAnsiTheme="minorEastAsia" w:eastAsiaTheme="minorEastAsia"/>
                <w:b/>
                <w:bCs/>
                <w:kern w:val="0"/>
                <w:szCs w:val="21"/>
              </w:rPr>
            </w:pPr>
            <w:r>
              <w:rPr>
                <w:rFonts w:hint="eastAsia" w:cs="宋体" w:asciiTheme="minorEastAsia" w:hAnsiTheme="minorEastAsia" w:eastAsiaTheme="minorEastAsia"/>
                <w:b/>
                <w:bCs/>
                <w:kern w:val="0"/>
                <w:szCs w:val="21"/>
              </w:rPr>
              <w:t>第一个信封（商务文件）评审标准：</w:t>
            </w:r>
          </w:p>
          <w:p w14:paraId="3F49F0BE">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w:t>
            </w: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）投标文件按照招标文件规定的格式、内容填写，字迹清晰可辨。</w:t>
            </w:r>
          </w:p>
          <w:p w14:paraId="7FAF3F02">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a．投标函按招标文件规定填报了项目名称、</w:t>
            </w:r>
            <w:r>
              <w:rPr>
                <w:rFonts w:hint="eastAsia" w:cs="宋体" w:asciiTheme="minorEastAsia" w:hAnsiTheme="minorEastAsia" w:eastAsiaTheme="minorEastAsia"/>
                <w:kern w:val="0"/>
                <w:szCs w:val="21"/>
                <w:lang w:val="en-US" w:eastAsia="zh-CN"/>
              </w:rPr>
              <w:t>标段号、</w:t>
            </w:r>
            <w:r>
              <w:rPr>
                <w:rFonts w:hint="eastAsia" w:cs="宋体" w:asciiTheme="minorEastAsia" w:hAnsiTheme="minorEastAsia" w:eastAsiaTheme="minorEastAsia"/>
                <w:kern w:val="0"/>
                <w:szCs w:val="21"/>
              </w:rPr>
              <w:t>补遗书编号（如有）、质量要求、安全目标、监理服务期限、</w:t>
            </w:r>
            <w:r>
              <w:rPr>
                <w:rFonts w:hint="eastAsia" w:cs="宋体" w:asciiTheme="minorEastAsia" w:hAnsiTheme="minorEastAsia" w:eastAsiaTheme="minorEastAsia"/>
                <w:b w:val="0"/>
                <w:kern w:val="0"/>
                <w:sz w:val="21"/>
                <w:szCs w:val="21"/>
                <w:lang w:eastAsia="zh-CN"/>
              </w:rPr>
              <w:t>总监理工程师</w:t>
            </w:r>
            <w:r>
              <w:rPr>
                <w:rFonts w:hint="eastAsia" w:cs="宋体" w:asciiTheme="minorEastAsia" w:hAnsiTheme="minorEastAsia" w:eastAsiaTheme="minorEastAsia"/>
                <w:kern w:val="0"/>
                <w:szCs w:val="21"/>
              </w:rPr>
              <w:t>相关信息；</w:t>
            </w:r>
          </w:p>
          <w:p w14:paraId="0918AE64">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b．投标文件组成齐全完整，内容均按规定填写。</w:t>
            </w:r>
          </w:p>
          <w:p w14:paraId="2AB6C09D">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w:t>
            </w: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）投标文件上法定代表人或其授权代理人的签字、投标人的单位章盖章齐全，符合招标文件规定。</w:t>
            </w:r>
          </w:p>
          <w:p w14:paraId="3CE9461E">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（3）投标人按照招标文件投标人须知前附表3.4.1的规定提供了投标保证金。</w:t>
            </w:r>
          </w:p>
          <w:p w14:paraId="510C4175">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w:t>
            </w:r>
            <w:r>
              <w:rPr>
                <w:rFonts w:cs="宋体" w:asciiTheme="minorEastAsia" w:hAnsiTheme="minorEastAsia" w:eastAsiaTheme="minorEastAsia"/>
                <w:kern w:val="0"/>
                <w:szCs w:val="21"/>
              </w:rPr>
              <w:t>4</w:t>
            </w:r>
            <w:r>
              <w:rPr>
                <w:rFonts w:hint="eastAsia" w:cs="宋体" w:asciiTheme="minorEastAsia" w:hAnsiTheme="minorEastAsia" w:eastAsiaTheme="minorEastAsia"/>
                <w:kern w:val="0"/>
                <w:szCs w:val="21"/>
              </w:rPr>
              <w:t>）投标人法定代表人授权委托代理人签署投标文件的，须提交授权委托书，符合招标文件规定。</w:t>
            </w:r>
          </w:p>
          <w:p w14:paraId="0B853358">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w:t>
            </w:r>
            <w:r>
              <w:rPr>
                <w:rFonts w:cs="宋体" w:asciiTheme="minorEastAsia" w:hAnsiTheme="minorEastAsia" w:eastAsiaTheme="minorEastAsia"/>
                <w:kern w:val="0"/>
                <w:szCs w:val="21"/>
              </w:rPr>
              <w:t>5</w:t>
            </w:r>
            <w:r>
              <w:rPr>
                <w:rFonts w:hint="eastAsia" w:cs="宋体" w:asciiTheme="minorEastAsia" w:hAnsiTheme="minorEastAsia" w:eastAsiaTheme="minorEastAsia"/>
                <w:kern w:val="0"/>
                <w:szCs w:val="21"/>
              </w:rPr>
              <w:t>）投标人法定代表人若亲自签署投标文件的，提供了法定代表人身份证明，符合招标文件规定。</w:t>
            </w:r>
          </w:p>
          <w:p w14:paraId="231538F6">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w:t>
            </w:r>
            <w:r>
              <w:rPr>
                <w:rFonts w:cs="宋体" w:asciiTheme="minorEastAsia" w:hAnsiTheme="minorEastAsia" w:eastAsiaTheme="minorEastAsia"/>
                <w:kern w:val="0"/>
                <w:szCs w:val="21"/>
              </w:rPr>
              <w:t>6</w:t>
            </w:r>
            <w:r>
              <w:rPr>
                <w:rFonts w:hint="eastAsia" w:cs="宋体" w:asciiTheme="minorEastAsia" w:hAnsiTheme="minorEastAsia" w:eastAsiaTheme="minorEastAsia"/>
                <w:kern w:val="0"/>
                <w:szCs w:val="21"/>
              </w:rPr>
              <w:t>）投标人未以联合体形式投标。</w:t>
            </w:r>
          </w:p>
          <w:p w14:paraId="226A687D">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（7）投标人未对本项目提出分包计划。</w:t>
            </w:r>
          </w:p>
          <w:p w14:paraId="2684C4A3">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（8）同一投标人未提交两个以上不同的投标文件。</w:t>
            </w:r>
          </w:p>
          <w:p w14:paraId="6BA33DF2">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（9）投标文件中未出现有关投标报价的内容。</w:t>
            </w:r>
          </w:p>
          <w:p w14:paraId="16810C53">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（10）投标文件载明的招标项目服务期限符合招标文件规定。</w:t>
            </w:r>
          </w:p>
          <w:p w14:paraId="6C8D4FEC">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（11）投标文件对招标文件的实质性要求和条件作出响应。</w:t>
            </w:r>
          </w:p>
          <w:p w14:paraId="6C0381A4">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w:t>
            </w: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2）权利义务符合招标文件规定：</w:t>
            </w:r>
          </w:p>
          <w:p w14:paraId="48B8718E">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a.投标人应接受招标文件规定的风险划分原则，未提出新的风险划分办法；</w:t>
            </w:r>
          </w:p>
          <w:p w14:paraId="0EDD0D2C">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b.投标人未增加发包人的责任范围，或减少投标人义务；</w:t>
            </w:r>
          </w:p>
          <w:p w14:paraId="1D9B2577">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c.投标人未提出不同的支付办法；</w:t>
            </w:r>
          </w:p>
          <w:p w14:paraId="184FA218">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d.投标人对合同纠纷、事故处理办法未提出异议；</w:t>
            </w:r>
          </w:p>
          <w:p w14:paraId="59D8CD79">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e.投标人在投标活动中无欺诈行为；</w:t>
            </w:r>
          </w:p>
          <w:p w14:paraId="47E1B147">
            <w:pPr>
              <w:snapToGrid w:val="0"/>
              <w:spacing w:line="24" w:lineRule="atLeast"/>
              <w:ind w:firstLine="210" w:firstLineChars="100"/>
              <w:jc w:val="left"/>
              <w:textAlignment w:val="baseline"/>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f.投标人未对合同条款有重要保留。</w:t>
            </w:r>
          </w:p>
          <w:p w14:paraId="01D461AD">
            <w:pPr>
              <w:snapToGrid w:val="0"/>
              <w:spacing w:line="24" w:lineRule="atLeast"/>
              <w:ind w:firstLine="210" w:firstLineChars="100"/>
              <w:jc w:val="left"/>
              <w:textAlignment w:val="baseline"/>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lang w:val="en-US" w:eastAsia="zh-CN"/>
              </w:rPr>
              <w:t>（13</w:t>
            </w:r>
            <w:r>
              <w:rPr>
                <w:rFonts w:hint="eastAsia" w:cs="宋体" w:asciiTheme="minorEastAsia" w:hAnsiTheme="minorEastAsia" w:eastAsiaTheme="minorEastAsia"/>
                <w:kern w:val="0"/>
                <w:szCs w:val="21"/>
              </w:rPr>
              <w:t>）投标人不存在投标人须知前附表4.4(1)、(3)项规定的情形</w:t>
            </w:r>
            <w:r>
              <w:rPr>
                <w:rFonts w:hint="eastAsia" w:cs="宋体" w:asciiTheme="minorEastAsia" w:hAnsiTheme="minorEastAsia" w:eastAsiaTheme="minorEastAsia"/>
                <w:kern w:val="0"/>
                <w:szCs w:val="21"/>
                <w:lang w:eastAsia="zh-CN"/>
              </w:rPr>
              <w:t>。</w:t>
            </w:r>
          </w:p>
          <w:p w14:paraId="77707177">
            <w:pPr>
              <w:snapToGrid w:val="0"/>
              <w:spacing w:line="24" w:lineRule="atLeast"/>
              <w:ind w:firstLine="210" w:firstLineChars="100"/>
              <w:jc w:val="left"/>
              <w:textAlignment w:val="baseline"/>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w:t>
            </w:r>
            <w:r>
              <w:rPr>
                <w:rFonts w:hint="eastAsia" w:cs="宋体" w:asciiTheme="minorEastAsia" w:hAnsiTheme="minorEastAsia" w:eastAsiaTheme="minorEastAsia"/>
                <w:kern w:val="0"/>
                <w:szCs w:val="21"/>
                <w:lang w:val="en-US" w:eastAsia="zh-CN"/>
              </w:rPr>
              <w:t>14</w:t>
            </w:r>
            <w:r>
              <w:rPr>
                <w:rFonts w:hint="eastAsia" w:cs="宋体" w:asciiTheme="minorEastAsia" w:hAnsiTheme="minorEastAsia" w:eastAsiaTheme="minorEastAsia"/>
                <w:kern w:val="0"/>
                <w:szCs w:val="21"/>
              </w:rPr>
              <w:t>）</w:t>
            </w:r>
            <w:r>
              <w:rPr>
                <w:rFonts w:hint="eastAsia" w:cs="宋体" w:asciiTheme="minorEastAsia" w:hAnsiTheme="minorEastAsia" w:eastAsiaTheme="minorEastAsia"/>
                <w:kern w:val="0"/>
                <w:szCs w:val="21"/>
                <w:lang w:val="en-US" w:eastAsia="zh-CN"/>
              </w:rPr>
              <w:t>投标人不存在因投标人须知前附表4.4(2)项规定的情形被评标委员会认定为投标文件异常一致或投标活动异常关联情形。</w:t>
            </w:r>
          </w:p>
          <w:p w14:paraId="0507EF0D">
            <w:pPr>
              <w:spacing w:line="276" w:lineRule="auto"/>
              <w:jc w:val="left"/>
              <w:rPr>
                <w:rFonts w:ascii="宋体" w:hAnsi="宋体"/>
                <w:b/>
                <w:bCs/>
                <w:spacing w:val="-4"/>
                <w:szCs w:val="21"/>
              </w:rPr>
            </w:pPr>
            <w:r>
              <w:rPr>
                <w:rFonts w:hint="eastAsia" w:ascii="宋体" w:hAnsi="宋体"/>
                <w:b/>
                <w:bCs/>
                <w:spacing w:val="-4"/>
                <w:szCs w:val="21"/>
              </w:rPr>
              <w:t>第一个信封（技术文件）评审标准:</w:t>
            </w:r>
          </w:p>
          <w:p w14:paraId="279F2C71">
            <w:pPr>
              <w:snapToGrid w:val="0"/>
              <w:spacing w:line="24" w:lineRule="atLeast"/>
              <w:ind w:firstLine="210" w:firstLineChars="100"/>
              <w:jc w:val="left"/>
              <w:textAlignment w:val="baseline"/>
              <w:rPr>
                <w:rFonts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rPr>
              <w:t>（1）技术建议书（暗标）</w:t>
            </w:r>
            <w:r>
              <w:rPr>
                <w:rFonts w:hint="eastAsia" w:cs="宋体" w:asciiTheme="minorEastAsia" w:hAnsiTheme="minorEastAsia" w:eastAsiaTheme="minorEastAsia"/>
                <w:kern w:val="0"/>
                <w:szCs w:val="21"/>
                <w:lang w:val="en-US" w:eastAsia="zh-CN"/>
              </w:rPr>
              <w:t>编制</w:t>
            </w:r>
            <w:r>
              <w:rPr>
                <w:rFonts w:hint="eastAsia" w:cs="宋体" w:asciiTheme="minorEastAsia" w:hAnsiTheme="minorEastAsia" w:eastAsiaTheme="minorEastAsia"/>
                <w:kern w:val="0"/>
                <w:szCs w:val="21"/>
              </w:rPr>
              <w:t>符合招标文件第二章“投标人须知”第</w:t>
            </w:r>
            <w:r>
              <w:rPr>
                <w:rFonts w:hint="eastAsia" w:cs="宋体" w:asciiTheme="minorEastAsia" w:hAnsiTheme="minorEastAsia" w:eastAsiaTheme="minorEastAsia"/>
                <w:kern w:val="0"/>
                <w:szCs w:val="21"/>
                <w:highlight w:val="none"/>
              </w:rPr>
              <w:t>3.7.3</w:t>
            </w:r>
            <w:r>
              <w:rPr>
                <w:rFonts w:hint="eastAsia" w:cs="宋体" w:asciiTheme="minorEastAsia" w:hAnsiTheme="minorEastAsia" w:eastAsiaTheme="minorEastAsia"/>
                <w:kern w:val="0"/>
                <w:szCs w:val="21"/>
                <w:highlight w:val="none"/>
                <w:lang w:eastAsia="zh-CN"/>
              </w:rPr>
              <w:t>（</w:t>
            </w:r>
            <w:r>
              <w:rPr>
                <w:rFonts w:hint="eastAsia" w:cs="宋体" w:asciiTheme="minorEastAsia" w:hAnsiTheme="minorEastAsia" w:eastAsiaTheme="minorEastAsia"/>
                <w:kern w:val="0"/>
                <w:szCs w:val="21"/>
                <w:highlight w:val="none"/>
                <w:lang w:val="en-US" w:eastAsia="zh-CN"/>
              </w:rPr>
              <w:t>5</w:t>
            </w:r>
            <w:r>
              <w:rPr>
                <w:rFonts w:hint="eastAsia" w:cs="宋体" w:asciiTheme="minorEastAsia" w:hAnsiTheme="minorEastAsia" w:eastAsiaTheme="minorEastAsia"/>
                <w:kern w:val="0"/>
                <w:szCs w:val="21"/>
                <w:highlight w:val="none"/>
                <w:lang w:eastAsia="zh-CN"/>
              </w:rPr>
              <w:t>）</w:t>
            </w:r>
            <w:r>
              <w:rPr>
                <w:rFonts w:hint="eastAsia" w:cs="宋体" w:asciiTheme="minorEastAsia" w:hAnsiTheme="minorEastAsia" w:eastAsiaTheme="minorEastAsia"/>
                <w:kern w:val="0"/>
                <w:szCs w:val="21"/>
                <w:highlight w:val="none"/>
              </w:rPr>
              <w:t>款的</w:t>
            </w:r>
            <w:r>
              <w:rPr>
                <w:rFonts w:hint="eastAsia" w:cs="宋体" w:asciiTheme="minorEastAsia" w:hAnsiTheme="minorEastAsia" w:eastAsiaTheme="minorEastAsia"/>
                <w:kern w:val="0"/>
                <w:szCs w:val="21"/>
                <w:highlight w:val="none"/>
                <w:lang w:val="en-US" w:eastAsia="zh-CN"/>
              </w:rPr>
              <w:t>规定</w:t>
            </w:r>
            <w:r>
              <w:rPr>
                <w:rFonts w:hint="eastAsia" w:cs="宋体" w:asciiTheme="minorEastAsia" w:hAnsiTheme="minorEastAsia" w:eastAsiaTheme="minorEastAsia"/>
                <w:kern w:val="0"/>
                <w:szCs w:val="21"/>
                <w:highlight w:val="none"/>
              </w:rPr>
              <w:t>。</w:t>
            </w:r>
          </w:p>
          <w:p w14:paraId="366F79F8">
            <w:pPr>
              <w:snapToGrid w:val="0"/>
              <w:spacing w:line="24" w:lineRule="atLeast"/>
              <w:jc w:val="left"/>
              <w:textAlignment w:val="baseline"/>
              <w:rPr>
                <w:rFonts w:cs="宋体" w:asciiTheme="minorEastAsia" w:hAnsiTheme="minorEastAsia" w:eastAsiaTheme="minorEastAsia"/>
                <w:b/>
                <w:bCs/>
                <w:kern w:val="0"/>
                <w:szCs w:val="21"/>
              </w:rPr>
            </w:pPr>
            <w:r>
              <w:rPr>
                <w:rFonts w:hint="eastAsia" w:cs="宋体" w:asciiTheme="minorEastAsia" w:hAnsiTheme="minorEastAsia" w:eastAsiaTheme="minorEastAsia"/>
                <w:b/>
                <w:bCs/>
                <w:kern w:val="0"/>
                <w:szCs w:val="21"/>
                <w:highlight w:val="none"/>
              </w:rPr>
              <w:t>第二个信封（报价文件）</w:t>
            </w:r>
            <w:r>
              <w:rPr>
                <w:rFonts w:hint="eastAsia" w:cs="宋体" w:asciiTheme="minorEastAsia" w:hAnsiTheme="minorEastAsia" w:eastAsiaTheme="minorEastAsia"/>
                <w:b/>
                <w:bCs/>
                <w:kern w:val="0"/>
                <w:szCs w:val="21"/>
              </w:rPr>
              <w:t>评审标准：</w:t>
            </w:r>
          </w:p>
          <w:p w14:paraId="1A9260EA">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w:t>
            </w: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）投标文件按照招标文件规定的格式、内容填写，字迹清晰可辨。</w:t>
            </w:r>
          </w:p>
          <w:p w14:paraId="7FAA885B">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a．投标函按招标文件规定填报了项目名称、标段号、补遗书编号（如有）、投标报价（包括大写金额和小写金额）、交工验收及缺陷责任期阶段监理服务费等；</w:t>
            </w:r>
          </w:p>
          <w:p w14:paraId="7F20AB87">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b．报价清单说明文字与招标文件规定一致，未进行实质性修改和删减；</w:t>
            </w:r>
          </w:p>
          <w:p w14:paraId="446146FC">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cs="宋体" w:asciiTheme="minorEastAsia" w:hAnsiTheme="minorEastAsia" w:eastAsiaTheme="minorEastAsia"/>
                <w:kern w:val="0"/>
                <w:szCs w:val="21"/>
              </w:rPr>
              <w:t>c.</w:t>
            </w:r>
            <w:r>
              <w:rPr>
                <w:rFonts w:hint="eastAsia" w:cs="宋体" w:asciiTheme="minorEastAsia" w:hAnsiTheme="minorEastAsia" w:eastAsiaTheme="minorEastAsia"/>
                <w:kern w:val="0"/>
                <w:szCs w:val="21"/>
              </w:rPr>
              <w:t>投标文件组成齐全完整，内容均按规定填写。</w:t>
            </w:r>
          </w:p>
          <w:p w14:paraId="12ED419B">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w:t>
            </w: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）投标文件上法定代表人或其授权代理人的签字、投标人的单位章盖章齐全，符合招标文件规定。</w:t>
            </w:r>
          </w:p>
          <w:p w14:paraId="527092C4">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（3）投标报价未超过招标文件设定的最高投标限价。</w:t>
            </w:r>
          </w:p>
          <w:p w14:paraId="27E4260C">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（4）投标报价的大写金额能够确定具体数值。</w:t>
            </w:r>
          </w:p>
          <w:p w14:paraId="1946FC24">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（5）同一投标人未提交两个以上不同的投标报价。</w:t>
            </w:r>
          </w:p>
          <w:p w14:paraId="334B5693">
            <w:pPr>
              <w:snapToGrid w:val="0"/>
              <w:spacing w:line="24" w:lineRule="atLeast"/>
              <w:ind w:firstLine="210" w:firstLineChars="100"/>
              <w:jc w:val="left"/>
              <w:textAlignment w:val="baseline"/>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（6）投标报价中交工验收及缺陷责任期阶段监理服务费报价不低于监理服务总费用的5%。</w:t>
            </w:r>
          </w:p>
          <w:p w14:paraId="51A744E8">
            <w:pPr>
              <w:snapToGrid w:val="0"/>
              <w:spacing w:line="24" w:lineRule="atLeast"/>
              <w:ind w:firstLine="210" w:firstLineChars="100"/>
              <w:jc w:val="left"/>
              <w:textAlignment w:val="baseline"/>
              <w:rPr>
                <w:rFonts w:hint="eastAsia" w:cs="宋体" w:asciiTheme="minorEastAsia" w:hAnsiTheme="minorEastAsia" w:eastAsiaTheme="minorEastAsia"/>
                <w:kern w:val="0"/>
                <w:szCs w:val="21"/>
                <w:lang w:eastAsia="zh-CN"/>
              </w:rPr>
            </w:pPr>
            <w:r>
              <w:rPr>
                <w:rFonts w:hint="eastAsia" w:cs="宋体" w:asciiTheme="minorEastAsia" w:hAnsiTheme="minorEastAsia" w:eastAsiaTheme="minorEastAsia"/>
                <w:kern w:val="0"/>
                <w:szCs w:val="21"/>
                <w:lang w:eastAsia="zh-CN"/>
              </w:rPr>
              <w:t>(</w:t>
            </w:r>
            <w:r>
              <w:rPr>
                <w:rFonts w:hint="eastAsia" w:cs="宋体" w:asciiTheme="minorEastAsia" w:hAnsiTheme="minorEastAsia" w:eastAsiaTheme="minorEastAsia"/>
                <w:kern w:val="0"/>
                <w:szCs w:val="21"/>
                <w:lang w:val="en-US" w:eastAsia="zh-CN"/>
              </w:rPr>
              <w:t>7</w:t>
            </w:r>
            <w:r>
              <w:rPr>
                <w:rFonts w:hint="eastAsia" w:cs="宋体" w:asciiTheme="minorEastAsia" w:hAnsiTheme="minorEastAsia" w:eastAsiaTheme="minorEastAsia"/>
                <w:kern w:val="0"/>
                <w:szCs w:val="21"/>
                <w:lang w:eastAsia="zh-CN"/>
              </w:rPr>
              <w:t>)投标人不存在因投标人须知前附表3.2.5项规定被评标委员会认定为低于成本或</w:t>
            </w:r>
            <w:r>
              <w:rPr>
                <w:rFonts w:hint="eastAsia" w:cs="宋体" w:asciiTheme="minorEastAsia" w:hAnsiTheme="minorEastAsia" w:eastAsiaTheme="minorEastAsia"/>
                <w:kern w:val="0"/>
                <w:szCs w:val="21"/>
                <w:lang w:val="en-US" w:eastAsia="zh-CN"/>
              </w:rPr>
              <w:t>影</w:t>
            </w:r>
            <w:r>
              <w:rPr>
                <w:rFonts w:hint="eastAsia" w:cs="宋体" w:asciiTheme="minorEastAsia" w:hAnsiTheme="minorEastAsia" w:eastAsiaTheme="minorEastAsia"/>
                <w:kern w:val="0"/>
                <w:szCs w:val="21"/>
                <w:lang w:eastAsia="zh-CN"/>
              </w:rPr>
              <w:t>响履约的异常低价</w:t>
            </w:r>
            <w:r>
              <w:rPr>
                <w:rFonts w:hint="eastAsia" w:cs="宋体" w:asciiTheme="minorEastAsia" w:hAnsiTheme="minorEastAsia" w:eastAsiaTheme="minorEastAsia"/>
                <w:kern w:val="0"/>
                <w:szCs w:val="21"/>
                <w:lang w:val="en-US" w:eastAsia="zh-CN"/>
              </w:rPr>
              <w:t>竞</w:t>
            </w:r>
            <w:r>
              <w:rPr>
                <w:rFonts w:hint="eastAsia" w:cs="宋体" w:asciiTheme="minorEastAsia" w:hAnsiTheme="minorEastAsia" w:eastAsiaTheme="minorEastAsia"/>
                <w:kern w:val="0"/>
                <w:szCs w:val="21"/>
                <w:lang w:eastAsia="zh-CN"/>
              </w:rPr>
              <w:t>标的情形。</w:t>
            </w:r>
          </w:p>
          <w:p w14:paraId="0B24ADE2">
            <w:pPr>
              <w:snapToGrid w:val="0"/>
              <w:spacing w:line="24" w:lineRule="atLeast"/>
              <w:ind w:firstLine="210" w:firstLineChars="100"/>
              <w:jc w:val="left"/>
              <w:textAlignment w:val="baseline"/>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lang w:val="en-US" w:eastAsia="zh-CN"/>
              </w:rPr>
              <w:t>（8）</w:t>
            </w:r>
            <w:r>
              <w:rPr>
                <w:rFonts w:hint="eastAsia" w:cs="宋体" w:asciiTheme="minorEastAsia" w:hAnsiTheme="minorEastAsia" w:eastAsiaTheme="minorEastAsia"/>
                <w:kern w:val="0"/>
                <w:szCs w:val="21"/>
              </w:rPr>
              <w:t>投标人不存在投标人须知前附表4.4(1)、(3)项规定的情形</w:t>
            </w:r>
            <w:r>
              <w:rPr>
                <w:rFonts w:hint="eastAsia" w:cs="宋体" w:asciiTheme="minorEastAsia" w:hAnsiTheme="minorEastAsia" w:eastAsiaTheme="minorEastAsia"/>
                <w:kern w:val="0"/>
                <w:szCs w:val="21"/>
                <w:lang w:eastAsia="zh-CN"/>
              </w:rPr>
              <w:t>。</w:t>
            </w:r>
          </w:p>
          <w:p w14:paraId="466DFB4D">
            <w:pPr>
              <w:snapToGrid w:val="0"/>
              <w:spacing w:line="24" w:lineRule="atLeast"/>
              <w:ind w:firstLine="210" w:firstLineChars="100"/>
              <w:jc w:val="left"/>
              <w:textAlignment w:val="baseline"/>
              <w:rPr>
                <w:rFonts w:hint="eastAsia"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rPr>
              <w:t>（</w:t>
            </w:r>
            <w:r>
              <w:rPr>
                <w:rFonts w:hint="eastAsia" w:cs="宋体" w:asciiTheme="minorEastAsia" w:hAnsiTheme="minorEastAsia" w:eastAsiaTheme="minorEastAsia"/>
                <w:kern w:val="0"/>
                <w:szCs w:val="21"/>
                <w:lang w:val="en-US" w:eastAsia="zh-CN"/>
              </w:rPr>
              <w:t>9</w:t>
            </w:r>
            <w:r>
              <w:rPr>
                <w:rFonts w:hint="eastAsia" w:cs="宋体" w:asciiTheme="minorEastAsia" w:hAnsiTheme="minorEastAsia" w:eastAsiaTheme="minorEastAsia"/>
                <w:kern w:val="0"/>
                <w:szCs w:val="21"/>
              </w:rPr>
              <w:t>）</w:t>
            </w:r>
            <w:r>
              <w:rPr>
                <w:rFonts w:hint="eastAsia" w:cs="宋体" w:asciiTheme="minorEastAsia" w:hAnsiTheme="minorEastAsia" w:eastAsiaTheme="minorEastAsia"/>
                <w:kern w:val="0"/>
                <w:szCs w:val="21"/>
                <w:lang w:val="en-US" w:eastAsia="zh-CN"/>
              </w:rPr>
              <w:t>投标人不存在因投标人须知前附表4.4(2)项规定的情形被评标委员会认定为投标文件异常一致或投标活动异常关联情形。</w:t>
            </w:r>
          </w:p>
          <w:p w14:paraId="2E5037A0">
            <w:pPr>
              <w:snapToGrid w:val="0"/>
              <w:spacing w:line="24" w:lineRule="atLeast"/>
              <w:ind w:firstLine="210" w:firstLineChars="100"/>
              <w:jc w:val="left"/>
              <w:textAlignment w:val="baseline"/>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lang w:eastAsia="zh-CN"/>
              </w:rPr>
              <w:t>（</w:t>
            </w:r>
            <w:r>
              <w:rPr>
                <w:rFonts w:hint="eastAsia" w:cs="宋体" w:asciiTheme="minorEastAsia" w:hAnsiTheme="minorEastAsia" w:eastAsiaTheme="minorEastAsia"/>
                <w:kern w:val="0"/>
                <w:szCs w:val="21"/>
                <w:lang w:val="en-US" w:eastAsia="zh-CN"/>
              </w:rPr>
              <w:t>10</w:t>
            </w:r>
            <w:r>
              <w:rPr>
                <w:rFonts w:hint="eastAsia" w:cs="宋体" w:asciiTheme="minorEastAsia" w:hAnsiTheme="minorEastAsia" w:eastAsiaTheme="minorEastAsia"/>
                <w:kern w:val="0"/>
                <w:szCs w:val="21"/>
                <w:lang w:eastAsia="zh-CN"/>
              </w:rPr>
              <w:t>）</w:t>
            </w:r>
            <w:r>
              <w:rPr>
                <w:rFonts w:hint="eastAsia" w:cs="宋体" w:asciiTheme="minorEastAsia" w:hAnsiTheme="minorEastAsia" w:eastAsiaTheme="minorEastAsia"/>
                <w:kern w:val="0"/>
                <w:szCs w:val="21"/>
              </w:rPr>
              <w:t>监理服务费用清单中的投标报价和投标函投标</w:t>
            </w:r>
            <w:r>
              <w:rPr>
                <w:rFonts w:hint="eastAsia" w:cs="宋体" w:asciiTheme="minorEastAsia" w:hAnsiTheme="minorEastAsia" w:eastAsiaTheme="minorEastAsia"/>
                <w:kern w:val="0"/>
                <w:szCs w:val="21"/>
                <w:lang w:val="en-US" w:eastAsia="zh-CN"/>
              </w:rPr>
              <w:t>总</w:t>
            </w:r>
            <w:r>
              <w:rPr>
                <w:rFonts w:hint="eastAsia" w:cs="宋体" w:asciiTheme="minorEastAsia" w:hAnsiTheme="minorEastAsia" w:eastAsiaTheme="minorEastAsia"/>
                <w:kern w:val="0"/>
                <w:szCs w:val="21"/>
              </w:rPr>
              <w:t>报价大写金额一致。</w:t>
            </w:r>
          </w:p>
        </w:tc>
      </w:tr>
      <w:tr w14:paraId="54517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1" w:hRule="atLeast"/>
        </w:trPr>
        <w:tc>
          <w:tcPr>
            <w:tcW w:w="454"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430BA032">
            <w:pPr>
              <w:spacing w:line="24" w:lineRule="atLeast"/>
              <w:jc w:val="center"/>
              <w:textAlignment w:val="baseline"/>
              <w:rPr>
                <w:rFonts w:asciiTheme="minorEastAsia" w:hAnsiTheme="minorEastAsia" w:eastAsiaTheme="minorEastAsia"/>
                <w:szCs w:val="21"/>
              </w:rPr>
            </w:pPr>
            <w:r>
              <w:rPr>
                <w:rFonts w:hint="eastAsia" w:asciiTheme="minorEastAsia" w:hAnsiTheme="minorEastAsia" w:eastAsiaTheme="minorEastAsia"/>
                <w:szCs w:val="21"/>
              </w:rPr>
              <w:t>2.1.2</w:t>
            </w:r>
          </w:p>
        </w:tc>
        <w:tc>
          <w:tcPr>
            <w:tcW w:w="63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3486BAC7">
            <w:pPr>
              <w:spacing w:line="24" w:lineRule="atLeast"/>
              <w:jc w:val="center"/>
              <w:textAlignment w:val="baseline"/>
              <w:rPr>
                <w:rFonts w:asciiTheme="minorEastAsia" w:hAnsiTheme="minorEastAsia" w:eastAsiaTheme="minorEastAsia"/>
                <w:szCs w:val="21"/>
              </w:rPr>
            </w:pPr>
            <w:r>
              <w:rPr>
                <w:rFonts w:hint="eastAsia" w:asciiTheme="minorEastAsia" w:hAnsiTheme="minorEastAsia" w:eastAsiaTheme="minorEastAsia"/>
                <w:szCs w:val="21"/>
              </w:rPr>
              <w:t>资格评审</w:t>
            </w:r>
          </w:p>
          <w:p w14:paraId="0BEF1E92">
            <w:pPr>
              <w:spacing w:line="24" w:lineRule="atLeast"/>
              <w:jc w:val="center"/>
              <w:textAlignment w:val="baseline"/>
              <w:rPr>
                <w:rFonts w:asciiTheme="minorEastAsia" w:hAnsiTheme="minorEastAsia" w:eastAsiaTheme="minorEastAsia"/>
                <w:szCs w:val="21"/>
              </w:rPr>
            </w:pPr>
            <w:r>
              <w:rPr>
                <w:rFonts w:hint="eastAsia" w:asciiTheme="minorEastAsia" w:hAnsiTheme="minorEastAsia" w:eastAsiaTheme="minorEastAsia"/>
                <w:szCs w:val="21"/>
              </w:rPr>
              <w:t>标准</w:t>
            </w:r>
          </w:p>
        </w:tc>
        <w:tc>
          <w:tcPr>
            <w:tcW w:w="3909"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31333F7F">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（1）投标人具备有效的营业执照、监理资质证书和基本账户开户许可证（或基本存款账户信息）；</w:t>
            </w:r>
          </w:p>
          <w:p w14:paraId="604E8841">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（2）投标人的资质等级符合招标文件规定。</w:t>
            </w:r>
          </w:p>
          <w:p w14:paraId="62FABC08">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（3）投标人的类似项目业绩符合招标文件的规定。</w:t>
            </w:r>
          </w:p>
          <w:p w14:paraId="7CE45C36">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（4）投标人的信誉符合招标文件规定。</w:t>
            </w:r>
          </w:p>
          <w:p w14:paraId="0C0D4FB3">
            <w:pPr>
              <w:snapToGrid w:val="0"/>
              <w:spacing w:line="24" w:lineRule="atLeast"/>
              <w:ind w:firstLine="210" w:firstLineChars="100"/>
              <w:jc w:val="left"/>
              <w:textAlignment w:val="baseline"/>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（5）投标人的</w:t>
            </w:r>
            <w:r>
              <w:rPr>
                <w:rFonts w:hint="eastAsia" w:cs="宋体" w:asciiTheme="minorEastAsia" w:hAnsiTheme="minorEastAsia" w:eastAsiaTheme="minorEastAsia"/>
                <w:kern w:val="0"/>
                <w:szCs w:val="21"/>
                <w:lang w:eastAsia="zh-CN"/>
              </w:rPr>
              <w:t>总监理工程师</w:t>
            </w:r>
            <w:r>
              <w:rPr>
                <w:rFonts w:hint="eastAsia" w:cs="宋体" w:asciiTheme="minorEastAsia" w:hAnsiTheme="minorEastAsia" w:eastAsiaTheme="minorEastAsia"/>
                <w:kern w:val="0"/>
                <w:szCs w:val="21"/>
              </w:rPr>
              <w:t>资格符合招标文件规定。</w:t>
            </w:r>
          </w:p>
          <w:p w14:paraId="1586E15B">
            <w:pPr>
              <w:snapToGrid w:val="0"/>
              <w:spacing w:line="24" w:lineRule="atLeast"/>
              <w:ind w:firstLine="210" w:firstLineChars="100"/>
              <w:jc w:val="left"/>
              <w:textAlignment w:val="baseline"/>
              <w:rPr>
                <w:rFonts w:hint="eastAsia" w:cs="宋体" w:asciiTheme="minorEastAsia" w:hAnsiTheme="minorEastAsia" w:eastAsiaTheme="minorEastAsia"/>
                <w:kern w:val="0"/>
                <w:szCs w:val="21"/>
                <w:highlight w:val="none"/>
                <w:lang w:eastAsia="zh-CN"/>
              </w:rPr>
            </w:pPr>
            <w:r>
              <w:rPr>
                <w:rFonts w:hint="eastAsia" w:cs="宋体" w:asciiTheme="minorEastAsia" w:hAnsiTheme="minorEastAsia" w:eastAsiaTheme="minorEastAsia"/>
                <w:kern w:val="0"/>
                <w:szCs w:val="21"/>
              </w:rPr>
              <w:t>（</w:t>
            </w:r>
            <w:r>
              <w:rPr>
                <w:rFonts w:cs="宋体" w:asciiTheme="minorEastAsia" w:hAnsiTheme="minorEastAsia" w:eastAsiaTheme="minorEastAsia"/>
                <w:kern w:val="0"/>
                <w:szCs w:val="21"/>
              </w:rPr>
              <w:t>6</w:t>
            </w:r>
            <w:r>
              <w:rPr>
                <w:rFonts w:hint="eastAsia" w:cs="宋体" w:asciiTheme="minorEastAsia" w:hAnsiTheme="minorEastAsia" w:eastAsiaTheme="minorEastAsia"/>
                <w:kern w:val="0"/>
                <w:szCs w:val="21"/>
              </w:rPr>
              <w:t>）投标人不存在第二章“投标人</w:t>
            </w:r>
            <w:r>
              <w:rPr>
                <w:rFonts w:hint="eastAsia" w:cs="宋体" w:asciiTheme="minorEastAsia" w:hAnsiTheme="minorEastAsia" w:eastAsiaTheme="minorEastAsia"/>
                <w:kern w:val="0"/>
                <w:szCs w:val="21"/>
                <w:highlight w:val="none"/>
              </w:rPr>
              <w:t>须知”第1.4.3项或1.4.4项规定的任何一种情形。</w:t>
            </w:r>
          </w:p>
          <w:p w14:paraId="28E6AC25">
            <w:pPr>
              <w:snapToGrid w:val="0"/>
              <w:spacing w:line="24" w:lineRule="atLeast"/>
              <w:ind w:firstLine="210" w:firstLineChars="100"/>
              <w:jc w:val="left"/>
              <w:textAlignment w:val="baseline"/>
              <w:rPr>
                <w:rFonts w:hint="eastAsia" w:cs="宋体" w:asciiTheme="minorEastAsia" w:hAnsiTheme="minorEastAsia" w:eastAsiaTheme="minorEastAsia"/>
                <w:kern w:val="0"/>
                <w:szCs w:val="21"/>
                <w:highlight w:val="red"/>
                <w:lang w:eastAsia="zh-CN"/>
              </w:rPr>
            </w:pPr>
            <w:r>
              <w:rPr>
                <w:rFonts w:hint="eastAsia" w:cs="宋体" w:asciiTheme="minorEastAsia" w:hAnsiTheme="minorEastAsia" w:eastAsiaTheme="minorEastAsia"/>
                <w:kern w:val="0"/>
                <w:szCs w:val="21"/>
                <w:highlight w:val="none"/>
                <w:lang w:eastAsia="zh-CN"/>
              </w:rPr>
              <w:t>（7）投标人符合第二章“投标人须知”第1.4.5项规定。</w:t>
            </w:r>
          </w:p>
        </w:tc>
      </w:tr>
      <w:tr w14:paraId="19DB0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2" w:hRule="atLeast"/>
        </w:trPr>
        <w:tc>
          <w:tcPr>
            <w:tcW w:w="454"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78E6A367">
            <w:pPr>
              <w:spacing w:line="24" w:lineRule="atLeast"/>
              <w:jc w:val="center"/>
              <w:textAlignment w:val="baseline"/>
              <w:rPr>
                <w:rFonts w:asciiTheme="minorEastAsia" w:hAnsiTheme="minorEastAsia" w:eastAsiaTheme="minorEastAsia"/>
                <w:szCs w:val="21"/>
              </w:rPr>
            </w:pPr>
            <w:r>
              <w:rPr>
                <w:rFonts w:hint="eastAsia" w:asciiTheme="minorEastAsia" w:hAnsiTheme="minorEastAsia" w:eastAsiaTheme="minorEastAsia"/>
                <w:szCs w:val="21"/>
              </w:rPr>
              <w:t>2.2.1</w:t>
            </w:r>
          </w:p>
        </w:tc>
        <w:tc>
          <w:tcPr>
            <w:tcW w:w="63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2D152282">
            <w:pPr>
              <w:spacing w:line="24" w:lineRule="atLeast"/>
              <w:jc w:val="center"/>
              <w:textAlignment w:val="baseline"/>
              <w:rPr>
                <w:rFonts w:asciiTheme="minorEastAsia" w:hAnsiTheme="minorEastAsia" w:eastAsiaTheme="minorEastAsia"/>
                <w:szCs w:val="21"/>
              </w:rPr>
            </w:pPr>
            <w:r>
              <w:rPr>
                <w:rFonts w:hint="eastAsia" w:asciiTheme="minorEastAsia" w:hAnsiTheme="minorEastAsia" w:eastAsiaTheme="minorEastAsia"/>
                <w:szCs w:val="21"/>
              </w:rPr>
              <w:t>分值构成</w:t>
            </w:r>
          </w:p>
        </w:tc>
        <w:tc>
          <w:tcPr>
            <w:tcW w:w="3909"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4FAF3032">
            <w:pPr>
              <w:spacing w:line="24" w:lineRule="atLeast"/>
              <w:jc w:val="left"/>
              <w:rPr>
                <w:rFonts w:ascii="宋体" w:hAnsi="宋体"/>
                <w:b/>
                <w:bCs/>
                <w:spacing w:val="-4"/>
                <w:szCs w:val="21"/>
              </w:rPr>
            </w:pPr>
            <w:r>
              <w:rPr>
                <w:rFonts w:hint="eastAsia" w:ascii="宋体" w:hAnsi="宋体"/>
                <w:b/>
                <w:bCs/>
                <w:spacing w:val="-4"/>
                <w:szCs w:val="21"/>
              </w:rPr>
              <w:t>第一信封（商务及技术文件）评分分值构成：</w:t>
            </w:r>
          </w:p>
          <w:p w14:paraId="029ED121">
            <w:pPr>
              <w:spacing w:line="24" w:lineRule="atLeast"/>
              <w:ind w:firstLine="404" w:firstLineChars="200"/>
              <w:jc w:val="left"/>
              <w:rPr>
                <w:rFonts w:ascii="宋体" w:hAnsi="宋体"/>
                <w:spacing w:val="-4"/>
                <w:szCs w:val="21"/>
              </w:rPr>
            </w:pPr>
            <w:r>
              <w:rPr>
                <w:rFonts w:hint="eastAsia" w:ascii="宋体" w:hAnsi="宋体"/>
                <w:spacing w:val="-4"/>
                <w:szCs w:val="21"/>
              </w:rPr>
              <w:t>技术建议书（暗标部分）：</w:t>
            </w:r>
            <w:r>
              <w:rPr>
                <w:rFonts w:hint="eastAsia" w:ascii="宋体" w:hAnsi="宋体"/>
                <w:spacing w:val="-4"/>
                <w:szCs w:val="21"/>
                <w:u w:val="single"/>
              </w:rPr>
              <w:t>35</w:t>
            </w:r>
            <w:r>
              <w:rPr>
                <w:rFonts w:hint="eastAsia" w:ascii="宋体" w:hAnsi="宋体"/>
                <w:spacing w:val="-4"/>
                <w:szCs w:val="21"/>
              </w:rPr>
              <w:t>分</w:t>
            </w:r>
          </w:p>
          <w:p w14:paraId="40CADF79">
            <w:pPr>
              <w:spacing w:line="24" w:lineRule="atLeast"/>
              <w:ind w:firstLine="404" w:firstLineChars="200"/>
              <w:jc w:val="left"/>
              <w:rPr>
                <w:rFonts w:ascii="宋体" w:hAnsi="宋体"/>
                <w:spacing w:val="-4"/>
                <w:szCs w:val="21"/>
              </w:rPr>
            </w:pPr>
            <w:r>
              <w:rPr>
                <w:rFonts w:hint="eastAsia" w:ascii="宋体" w:hAnsi="宋体"/>
                <w:spacing w:val="-4"/>
                <w:szCs w:val="21"/>
              </w:rPr>
              <w:t>主要人员  （明标部分）：</w:t>
            </w:r>
            <w:r>
              <w:rPr>
                <w:rFonts w:hint="eastAsia" w:ascii="宋体" w:hAnsi="宋体"/>
                <w:spacing w:val="-4"/>
                <w:szCs w:val="21"/>
                <w:u w:val="single"/>
              </w:rPr>
              <w:t>30</w:t>
            </w:r>
            <w:r>
              <w:rPr>
                <w:rFonts w:hint="eastAsia" w:ascii="宋体" w:hAnsi="宋体"/>
                <w:spacing w:val="-4"/>
                <w:szCs w:val="21"/>
              </w:rPr>
              <w:t>分</w:t>
            </w:r>
          </w:p>
          <w:p w14:paraId="4739CDA0">
            <w:pPr>
              <w:spacing w:line="24" w:lineRule="atLeast"/>
              <w:ind w:firstLine="404" w:firstLineChars="200"/>
              <w:jc w:val="left"/>
              <w:rPr>
                <w:rFonts w:ascii="宋体" w:hAnsi="宋体"/>
                <w:spacing w:val="-4"/>
                <w:szCs w:val="21"/>
              </w:rPr>
            </w:pPr>
            <w:r>
              <w:rPr>
                <w:rFonts w:hint="eastAsia" w:ascii="宋体" w:hAnsi="宋体"/>
                <w:spacing w:val="-4"/>
                <w:szCs w:val="21"/>
              </w:rPr>
              <w:t xml:space="preserve">其他因素  </w:t>
            </w:r>
            <w:r>
              <w:rPr>
                <w:rFonts w:hint="eastAsia" w:ascii="宋体" w:hAnsi="宋体"/>
                <w:spacing w:val="-4"/>
                <w:szCs w:val="21"/>
                <w:lang w:eastAsia="zh-CN"/>
              </w:rPr>
              <w:t>（</w:t>
            </w:r>
            <w:r>
              <w:rPr>
                <w:rFonts w:hint="eastAsia" w:ascii="宋体" w:hAnsi="宋体"/>
                <w:spacing w:val="-4"/>
                <w:szCs w:val="21"/>
                <w:lang w:val="en-US" w:eastAsia="zh-CN"/>
              </w:rPr>
              <w:t>企业业绩</w:t>
            </w:r>
            <w:r>
              <w:rPr>
                <w:rFonts w:hint="eastAsia" w:ascii="宋体" w:hAnsi="宋体"/>
                <w:spacing w:val="-4"/>
                <w:szCs w:val="21"/>
                <w:lang w:eastAsia="zh-CN"/>
              </w:rPr>
              <w:t>）</w:t>
            </w:r>
            <w:r>
              <w:rPr>
                <w:rFonts w:hint="eastAsia" w:ascii="宋体" w:hAnsi="宋体"/>
                <w:spacing w:val="-4"/>
                <w:szCs w:val="21"/>
              </w:rPr>
              <w:t>（明标部分）：</w:t>
            </w:r>
            <w:r>
              <w:rPr>
                <w:rFonts w:hint="eastAsia" w:ascii="宋体" w:hAnsi="宋体"/>
                <w:spacing w:val="-4"/>
                <w:szCs w:val="21"/>
                <w:u w:val="single"/>
              </w:rPr>
              <w:t>25</w:t>
            </w:r>
            <w:r>
              <w:rPr>
                <w:rFonts w:hint="eastAsia" w:ascii="宋体" w:hAnsi="宋体"/>
                <w:spacing w:val="-4"/>
                <w:szCs w:val="21"/>
              </w:rPr>
              <w:t>分</w:t>
            </w:r>
          </w:p>
          <w:p w14:paraId="6B9E2A44">
            <w:pPr>
              <w:spacing w:line="24" w:lineRule="atLeast"/>
              <w:jc w:val="left"/>
              <w:rPr>
                <w:rFonts w:ascii="宋体" w:hAnsi="宋体"/>
                <w:b/>
                <w:bCs/>
                <w:spacing w:val="-4"/>
                <w:szCs w:val="21"/>
              </w:rPr>
            </w:pPr>
            <w:r>
              <w:rPr>
                <w:rFonts w:hint="eastAsia" w:ascii="宋体" w:hAnsi="宋体"/>
                <w:b/>
                <w:bCs/>
                <w:spacing w:val="-4"/>
                <w:szCs w:val="21"/>
              </w:rPr>
              <w:t>第二信封（报价文件）评分分值构成：</w:t>
            </w:r>
          </w:p>
          <w:p w14:paraId="5CDDB6AB">
            <w:pPr>
              <w:spacing w:line="24" w:lineRule="atLeast"/>
              <w:ind w:firstLine="404" w:firstLineChars="200"/>
              <w:jc w:val="left"/>
              <w:textAlignment w:val="baseline"/>
              <w:rPr>
                <w:rFonts w:asciiTheme="minorEastAsia" w:hAnsiTheme="minorEastAsia" w:eastAsiaTheme="minorEastAsia"/>
                <w:szCs w:val="21"/>
              </w:rPr>
            </w:pPr>
            <w:r>
              <w:rPr>
                <w:rFonts w:hint="eastAsia" w:ascii="宋体" w:hAnsi="宋体"/>
                <w:spacing w:val="-4"/>
                <w:szCs w:val="21"/>
              </w:rPr>
              <w:t>评标价    （明标部分）：</w:t>
            </w:r>
            <w:r>
              <w:rPr>
                <w:rFonts w:hint="eastAsia" w:ascii="宋体" w:hAnsi="宋体"/>
                <w:spacing w:val="-4"/>
                <w:szCs w:val="21"/>
                <w:u w:val="single"/>
              </w:rPr>
              <w:t>10</w:t>
            </w:r>
            <w:r>
              <w:rPr>
                <w:rFonts w:hint="eastAsia" w:ascii="宋体" w:hAnsi="宋体"/>
                <w:spacing w:val="-4"/>
                <w:szCs w:val="21"/>
              </w:rPr>
              <w:t>分</w:t>
            </w:r>
          </w:p>
        </w:tc>
      </w:tr>
      <w:tr w14:paraId="0F7CA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454"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5FE3321D">
            <w:pPr>
              <w:spacing w:line="24" w:lineRule="atLeast"/>
              <w:jc w:val="center"/>
              <w:textAlignment w:val="baseline"/>
              <w:rPr>
                <w:rFonts w:asciiTheme="minorEastAsia" w:hAnsiTheme="minorEastAsia" w:eastAsiaTheme="minorEastAsia"/>
                <w:szCs w:val="21"/>
              </w:rPr>
            </w:pPr>
            <w:r>
              <w:rPr>
                <w:rFonts w:hint="eastAsia" w:asciiTheme="minorEastAsia" w:hAnsiTheme="minorEastAsia" w:eastAsiaTheme="minorEastAsia"/>
                <w:szCs w:val="21"/>
              </w:rPr>
              <w:t>2.2.2</w:t>
            </w:r>
          </w:p>
        </w:tc>
        <w:tc>
          <w:tcPr>
            <w:tcW w:w="63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30A76F5D">
            <w:pPr>
              <w:spacing w:line="24" w:lineRule="atLeast"/>
              <w:jc w:val="center"/>
              <w:textAlignment w:val="baseline"/>
              <w:rPr>
                <w:rFonts w:ascii="宋体" w:hAnsi="宋体"/>
                <w:szCs w:val="21"/>
                <w:highlight w:val="none"/>
              </w:rPr>
            </w:pPr>
            <w:r>
              <w:rPr>
                <w:rFonts w:hint="eastAsia" w:ascii="宋体" w:hAnsi="宋体"/>
                <w:szCs w:val="21"/>
                <w:highlight w:val="none"/>
              </w:rPr>
              <w:t>评标基准价计算</w:t>
            </w:r>
          </w:p>
          <w:p w14:paraId="60C3DBE8">
            <w:pPr>
              <w:spacing w:line="24" w:lineRule="atLeast"/>
              <w:jc w:val="center"/>
              <w:textAlignment w:val="baseline"/>
              <w:rPr>
                <w:rFonts w:asciiTheme="minorEastAsia" w:hAnsiTheme="minorEastAsia" w:eastAsiaTheme="minorEastAsia"/>
                <w:szCs w:val="21"/>
                <w:highlight w:val="none"/>
              </w:rPr>
            </w:pPr>
            <w:r>
              <w:rPr>
                <w:rFonts w:hint="eastAsia" w:ascii="宋体" w:hAnsi="宋体"/>
                <w:szCs w:val="21"/>
                <w:highlight w:val="none"/>
              </w:rPr>
              <w:t>方法</w:t>
            </w:r>
          </w:p>
        </w:tc>
        <w:tc>
          <w:tcPr>
            <w:tcW w:w="3909"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395A1CE1">
            <w:pPr>
              <w:spacing w:line="24" w:lineRule="atLeast"/>
              <w:ind w:firstLine="404" w:firstLineChars="200"/>
              <w:rPr>
                <w:rFonts w:hint="eastAsia" w:ascii="宋体" w:hAnsi="宋体"/>
                <w:spacing w:val="-4"/>
                <w:szCs w:val="21"/>
                <w:highlight w:val="none"/>
              </w:rPr>
            </w:pPr>
            <w:r>
              <w:rPr>
                <w:rFonts w:hint="eastAsia" w:ascii="宋体" w:hAnsi="宋体"/>
                <w:spacing w:val="-4"/>
                <w:szCs w:val="21"/>
                <w:highlight w:val="none"/>
              </w:rPr>
              <w:t>评标基准价的计算：</w:t>
            </w:r>
          </w:p>
          <w:p w14:paraId="43FE127E">
            <w:pPr>
              <w:spacing w:line="24" w:lineRule="atLeast"/>
              <w:ind w:firstLine="404" w:firstLineChars="200"/>
              <w:rPr>
                <w:rFonts w:hint="eastAsia" w:ascii="宋体" w:hAnsi="宋体"/>
                <w:spacing w:val="-4"/>
                <w:szCs w:val="21"/>
                <w:highlight w:val="none"/>
              </w:rPr>
            </w:pPr>
            <w:r>
              <w:rPr>
                <w:rFonts w:hint="eastAsia" w:ascii="宋体" w:hAnsi="宋体"/>
                <w:spacing w:val="-4"/>
                <w:szCs w:val="21"/>
                <w:highlight w:val="none"/>
              </w:rPr>
              <w:t>在开标现场，招标人将当场计算并宣布评标基准价。</w:t>
            </w:r>
          </w:p>
          <w:p w14:paraId="40C6D1C2">
            <w:pPr>
              <w:spacing w:line="24" w:lineRule="atLeast"/>
              <w:ind w:firstLine="404" w:firstLineChars="200"/>
              <w:rPr>
                <w:rFonts w:hint="eastAsia" w:ascii="宋体" w:hAnsi="宋体"/>
                <w:spacing w:val="-4"/>
                <w:szCs w:val="21"/>
                <w:highlight w:val="none"/>
              </w:rPr>
            </w:pPr>
            <w:r>
              <w:rPr>
                <w:rFonts w:hint="eastAsia" w:ascii="宋体" w:hAnsi="宋体"/>
                <w:spacing w:val="-4"/>
                <w:szCs w:val="21"/>
                <w:highlight w:val="none"/>
              </w:rPr>
              <w:t>（1）评标价的确定：</w:t>
            </w:r>
          </w:p>
          <w:p w14:paraId="6FA9DA68">
            <w:pPr>
              <w:spacing w:line="24" w:lineRule="atLeast"/>
              <w:ind w:firstLine="404" w:firstLineChars="200"/>
              <w:rPr>
                <w:rFonts w:hint="eastAsia" w:ascii="宋体" w:hAnsi="宋体"/>
                <w:spacing w:val="-4"/>
                <w:szCs w:val="21"/>
                <w:highlight w:val="none"/>
              </w:rPr>
            </w:pPr>
            <w:r>
              <w:rPr>
                <w:rFonts w:hint="eastAsia" w:ascii="宋体" w:hAnsi="宋体"/>
                <w:spacing w:val="-4"/>
                <w:szCs w:val="21"/>
                <w:highlight w:val="none"/>
              </w:rPr>
              <w:t>评标价=投标函文字报价</w:t>
            </w:r>
          </w:p>
          <w:p w14:paraId="05B5EE2F">
            <w:pPr>
              <w:spacing w:line="24" w:lineRule="atLeast"/>
              <w:ind w:firstLine="404" w:firstLineChars="200"/>
              <w:rPr>
                <w:rFonts w:hint="eastAsia" w:ascii="宋体" w:hAnsi="宋体"/>
                <w:spacing w:val="-4"/>
                <w:szCs w:val="21"/>
                <w:highlight w:val="none"/>
              </w:rPr>
            </w:pPr>
            <w:r>
              <w:rPr>
                <w:rFonts w:hint="eastAsia" w:ascii="宋体" w:hAnsi="宋体"/>
                <w:spacing w:val="-4"/>
                <w:szCs w:val="21"/>
                <w:highlight w:val="none"/>
              </w:rPr>
              <w:t>（2）评标价平均值的计算：</w:t>
            </w:r>
          </w:p>
          <w:p w14:paraId="1AC276C5">
            <w:pPr>
              <w:spacing w:line="24" w:lineRule="atLeast"/>
              <w:ind w:firstLine="404" w:firstLineChars="200"/>
              <w:rPr>
                <w:rFonts w:hint="eastAsia" w:ascii="宋体" w:hAnsi="宋体"/>
                <w:spacing w:val="-4"/>
                <w:szCs w:val="21"/>
                <w:highlight w:val="none"/>
              </w:rPr>
            </w:pPr>
            <w:r>
              <w:rPr>
                <w:rFonts w:hint="eastAsia" w:ascii="宋体" w:hAnsi="宋体"/>
                <w:spacing w:val="-4"/>
                <w:szCs w:val="21"/>
                <w:highlight w:val="none"/>
              </w:rPr>
              <w:t>除按第二章“投标人须知”第5.2.4项规定开标现场被宣布为不进入评标基准价计算的投标报价之外，所有投标人的评标价去掉一个最高值和一个最低值后的算术平均值即为评标价平均值（如果参与评标价平均值计算的有效投标人少于5家时，则计算评标价平均值时不去掉最高值和最低值）。</w:t>
            </w:r>
          </w:p>
          <w:p w14:paraId="71D73872">
            <w:pPr>
              <w:spacing w:line="24" w:lineRule="atLeast"/>
              <w:ind w:firstLine="404" w:firstLineChars="200"/>
              <w:rPr>
                <w:rFonts w:hint="eastAsia" w:ascii="宋体" w:hAnsi="宋体"/>
                <w:spacing w:val="-4"/>
                <w:szCs w:val="21"/>
                <w:highlight w:val="none"/>
              </w:rPr>
            </w:pPr>
            <w:r>
              <w:rPr>
                <w:rFonts w:hint="eastAsia" w:ascii="宋体" w:hAnsi="宋体"/>
                <w:spacing w:val="-4"/>
                <w:szCs w:val="21"/>
                <w:highlight w:val="none"/>
              </w:rPr>
              <w:t>（3）评标基准价的确定：</w:t>
            </w:r>
          </w:p>
          <w:p w14:paraId="13E5C67D">
            <w:pPr>
              <w:spacing w:line="24" w:lineRule="atLeast"/>
              <w:ind w:firstLine="404" w:firstLineChars="200"/>
              <w:rPr>
                <w:rFonts w:hint="eastAsia" w:ascii="宋体" w:hAnsi="宋体"/>
                <w:spacing w:val="-4"/>
                <w:szCs w:val="21"/>
                <w:highlight w:val="none"/>
              </w:rPr>
            </w:pPr>
            <w:r>
              <w:rPr>
                <w:rFonts w:hint="eastAsia" w:ascii="宋体" w:hAnsi="宋体"/>
                <w:spacing w:val="-4"/>
                <w:szCs w:val="21"/>
                <w:highlight w:val="none"/>
              </w:rPr>
              <w:t>将评标价平均值直接作为评标基准价（评标基准价保留小数点后两位，小数点后第三位四舍五入）。</w:t>
            </w:r>
          </w:p>
          <w:p w14:paraId="6099ED4D">
            <w:pPr>
              <w:spacing w:line="24" w:lineRule="atLeast"/>
              <w:ind w:firstLine="404" w:firstLineChars="200"/>
              <w:rPr>
                <w:rFonts w:asciiTheme="minorEastAsia" w:hAnsiTheme="minorEastAsia" w:eastAsiaTheme="minorEastAsia"/>
                <w:szCs w:val="21"/>
                <w:highlight w:val="none"/>
              </w:rPr>
            </w:pPr>
            <w:r>
              <w:rPr>
                <w:rFonts w:hint="eastAsia" w:ascii="宋体" w:hAnsi="宋体"/>
                <w:spacing w:val="-4"/>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0D21B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454"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27F5BC94">
            <w:pPr>
              <w:spacing w:line="24" w:lineRule="atLeast"/>
              <w:jc w:val="center"/>
              <w:textAlignment w:val="baseline"/>
              <w:rPr>
                <w:rFonts w:asciiTheme="minorEastAsia" w:hAnsiTheme="minorEastAsia" w:eastAsiaTheme="minorEastAsia"/>
                <w:szCs w:val="21"/>
              </w:rPr>
            </w:pPr>
            <w:r>
              <w:rPr>
                <w:rFonts w:hint="eastAsia" w:asciiTheme="minorEastAsia" w:hAnsiTheme="minorEastAsia" w:eastAsiaTheme="minorEastAsia"/>
                <w:szCs w:val="21"/>
              </w:rPr>
              <w:t>2.2.3</w:t>
            </w:r>
          </w:p>
        </w:tc>
        <w:tc>
          <w:tcPr>
            <w:tcW w:w="63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37A043FE">
            <w:pPr>
              <w:spacing w:line="24" w:lineRule="atLeast"/>
              <w:jc w:val="center"/>
              <w:textAlignment w:val="baseline"/>
              <w:rPr>
                <w:rFonts w:asciiTheme="minorEastAsia" w:hAnsiTheme="minorEastAsia" w:eastAsiaTheme="minorEastAsia"/>
                <w:szCs w:val="21"/>
              </w:rPr>
            </w:pPr>
            <w:r>
              <w:rPr>
                <w:rFonts w:hint="eastAsia" w:asciiTheme="minorEastAsia" w:hAnsiTheme="minorEastAsia" w:eastAsiaTheme="minorEastAsia"/>
                <w:szCs w:val="21"/>
              </w:rPr>
              <w:t>评标价的偏差率</w:t>
            </w:r>
          </w:p>
          <w:p w14:paraId="242B054E">
            <w:pPr>
              <w:spacing w:line="24" w:lineRule="atLeast"/>
              <w:jc w:val="center"/>
              <w:textAlignment w:val="baseline"/>
              <w:rPr>
                <w:rFonts w:asciiTheme="minorEastAsia" w:hAnsiTheme="minorEastAsia" w:eastAsiaTheme="minorEastAsia"/>
                <w:szCs w:val="21"/>
              </w:rPr>
            </w:pPr>
            <w:r>
              <w:rPr>
                <w:rFonts w:hint="eastAsia" w:asciiTheme="minorEastAsia" w:hAnsiTheme="minorEastAsia" w:eastAsiaTheme="minorEastAsia"/>
                <w:szCs w:val="21"/>
              </w:rPr>
              <w:t>计算公式</w:t>
            </w:r>
          </w:p>
        </w:tc>
        <w:tc>
          <w:tcPr>
            <w:tcW w:w="3909"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70C1231B">
            <w:pPr>
              <w:spacing w:line="24" w:lineRule="atLeast"/>
              <w:textAlignment w:val="baseline"/>
              <w:rPr>
                <w:rFonts w:asciiTheme="minorEastAsia" w:hAnsiTheme="minorEastAsia" w:eastAsiaTheme="minorEastAsia"/>
                <w:szCs w:val="21"/>
              </w:rPr>
            </w:pPr>
            <w:r>
              <w:rPr>
                <w:rFonts w:hint="eastAsia" w:asciiTheme="minorEastAsia" w:hAnsiTheme="minorEastAsia" w:eastAsiaTheme="minorEastAsia"/>
                <w:szCs w:val="21"/>
              </w:rPr>
              <w:t>偏差率=100%×（投标人评标价-评标基准价）/评标基准价</w:t>
            </w:r>
          </w:p>
        </w:tc>
      </w:tr>
      <w:tr w14:paraId="07567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763" w:type="dxa"/>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58921932">
            <w:pPr>
              <w:ind w:right="113" w:rightChars="0"/>
              <w:jc w:val="center"/>
              <w:textAlignment w:val="baseline"/>
              <w:rPr>
                <w:rFonts w:hint="eastAsia" w:asciiTheme="minorEastAsia" w:hAnsiTheme="minorEastAsia" w:eastAsiaTheme="minorEastAsia"/>
                <w:szCs w:val="21"/>
              </w:rPr>
            </w:pPr>
            <w:r>
              <w:rPr>
                <w:rFonts w:hint="eastAsia" w:ascii="宋体" w:hAnsi="宋体" w:cs="宋体"/>
                <w:color w:val="auto"/>
                <w:sz w:val="21"/>
                <w:szCs w:val="21"/>
                <w:highlight w:val="none"/>
                <w:lang w:val="en-US" w:eastAsia="zh-CN"/>
              </w:rPr>
              <w:t>3.5.3</w:t>
            </w:r>
          </w:p>
        </w:tc>
        <w:tc>
          <w:tcPr>
            <w:tcW w:w="7649" w:type="dxa"/>
            <w:gridSpan w:val="2"/>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48D9B4DA">
            <w:pPr>
              <w:keepNext w:val="0"/>
              <w:keepLines w:val="0"/>
              <w:pageBreakBefore w:val="0"/>
              <w:widowControl w:val="0"/>
              <w:kinsoku/>
              <w:wordWrap/>
              <w:overflowPunct/>
              <w:topLinePunct w:val="0"/>
              <w:autoSpaceDE w:val="0"/>
              <w:autoSpaceDN w:val="0"/>
              <w:bidi w:val="0"/>
              <w:adjustRightInd/>
              <w:snapToGrid w:val="0"/>
              <w:spacing w:line="312"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本款修改为：</w:t>
            </w:r>
          </w:p>
          <w:p w14:paraId="7C68E5BE">
            <w:pPr>
              <w:keepNext w:val="0"/>
              <w:keepLines w:val="0"/>
              <w:pageBreakBefore w:val="0"/>
              <w:widowControl w:val="0"/>
              <w:kinsoku/>
              <w:wordWrap/>
              <w:overflowPunct/>
              <w:topLinePunct w:val="0"/>
              <w:autoSpaceDE w:val="0"/>
              <w:autoSpaceDN w:val="0"/>
              <w:bidi w:val="0"/>
              <w:adjustRightInd/>
              <w:snapToGrid w:val="0"/>
              <w:spacing w:line="312" w:lineRule="auto"/>
              <w:ind w:firstLine="420" w:firstLineChars="200"/>
              <w:textAlignment w:val="auto"/>
              <w:rPr>
                <w:rFonts w:hint="eastAsia" w:asciiTheme="minorEastAsia" w:hAnsiTheme="minorEastAsia" w:eastAsiaTheme="minorEastAsia"/>
                <w:szCs w:val="21"/>
              </w:rPr>
            </w:pPr>
            <w:r>
              <w:rPr>
                <w:rFonts w:hint="eastAsia" w:ascii="宋体" w:hAnsi="宋体"/>
                <w:szCs w:val="21"/>
                <w:highlight w:val="none"/>
              </w:rPr>
              <w:t>投标人存在须知前附表3.2.5项情形的</w:t>
            </w:r>
            <w:r>
              <w:rPr>
                <w:rFonts w:hint="eastAsia" w:ascii="宋体" w:hAnsi="宋体"/>
                <w:szCs w:val="21"/>
                <w:highlight w:val="none"/>
                <w:lang w:eastAsia="zh-CN"/>
              </w:rPr>
              <w:t>，</w:t>
            </w:r>
            <w:r>
              <w:rPr>
                <w:rFonts w:hint="eastAsia" w:ascii="宋体" w:hAnsi="宋体"/>
                <w:szCs w:val="21"/>
                <w:highlight w:val="none"/>
                <w:lang w:val="en-US" w:eastAsia="zh-CN"/>
              </w:rPr>
              <w:t>评标委员会</w:t>
            </w:r>
            <w:r>
              <w:rPr>
                <w:rFonts w:hint="eastAsia" w:ascii="宋体" w:hAnsi="宋体"/>
                <w:szCs w:val="21"/>
                <w:highlight w:val="none"/>
              </w:rPr>
              <w:t>应当要求该投标人</w:t>
            </w:r>
            <w:r>
              <w:rPr>
                <w:rFonts w:hint="eastAsia" w:ascii="宋体" w:hAnsi="宋体"/>
                <w:szCs w:val="21"/>
                <w:highlight w:val="none"/>
                <w:lang w:val="en-US" w:eastAsia="zh-CN"/>
              </w:rPr>
              <w:t>在30分钟内</w:t>
            </w:r>
            <w:r>
              <w:rPr>
                <w:rFonts w:hint="eastAsia" w:ascii="宋体" w:hAnsi="宋体"/>
                <w:szCs w:val="21"/>
                <w:highlight w:val="none"/>
              </w:rPr>
              <w:t>作出书面说明并提供相应的证明材料</w:t>
            </w:r>
            <w:r>
              <w:rPr>
                <w:rFonts w:hint="eastAsia" w:ascii="宋体" w:hAnsi="宋体"/>
                <w:szCs w:val="21"/>
                <w:highlight w:val="none"/>
                <w:lang w:val="en-US" w:eastAsia="zh-CN"/>
              </w:rPr>
              <w:t>。</w:t>
            </w:r>
            <w:r>
              <w:rPr>
                <w:rFonts w:hint="eastAsia" w:ascii="宋体" w:hAnsi="宋体"/>
                <w:szCs w:val="21"/>
                <w:highlight w:val="none"/>
              </w:rPr>
              <w:t>投标人不能合理说明或者不能提供相应证明材料的，评标委员会应当认定该投标人以低于成本或影响履约的异常低价竞标，否决其投标。</w:t>
            </w:r>
          </w:p>
        </w:tc>
      </w:tr>
      <w:tr w14:paraId="445C6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454"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52504701">
            <w:pPr>
              <w:spacing w:line="24" w:lineRule="atLeast"/>
              <w:jc w:val="center"/>
              <w:textAlignment w:val="baseline"/>
              <w:rPr>
                <w:rFonts w:asciiTheme="minorEastAsia" w:hAnsiTheme="minorEastAsia" w:eastAsiaTheme="minorEastAsia"/>
                <w:szCs w:val="21"/>
              </w:rPr>
            </w:pPr>
            <w:r>
              <w:rPr>
                <w:rFonts w:hint="eastAsia" w:asciiTheme="minorEastAsia" w:hAnsiTheme="minorEastAsia" w:eastAsiaTheme="minorEastAsia"/>
                <w:szCs w:val="21"/>
              </w:rPr>
              <w:t>3.6.1</w:t>
            </w:r>
          </w:p>
        </w:tc>
        <w:tc>
          <w:tcPr>
            <w:tcW w:w="63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3AFA067A">
            <w:pPr>
              <w:spacing w:line="24" w:lineRule="atLeast"/>
              <w:jc w:val="center"/>
              <w:textAlignment w:val="baseline"/>
              <w:rPr>
                <w:rFonts w:asciiTheme="minorEastAsia" w:hAnsiTheme="minorEastAsia" w:eastAsiaTheme="minorEastAsia"/>
                <w:szCs w:val="21"/>
              </w:rPr>
            </w:pPr>
            <w:r>
              <w:rPr>
                <w:rFonts w:hint="eastAsia" w:asciiTheme="minorEastAsia" w:hAnsiTheme="minorEastAsia" w:eastAsiaTheme="minorEastAsia"/>
                <w:szCs w:val="21"/>
              </w:rPr>
              <w:t>投标文件相关信息的核查</w:t>
            </w:r>
          </w:p>
        </w:tc>
        <w:tc>
          <w:tcPr>
            <w:tcW w:w="3909"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385FD417">
            <w:pPr>
              <w:adjustRightInd w:val="0"/>
              <w:snapToGrid w:val="0"/>
              <w:spacing w:line="24" w:lineRule="atLeas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本条修改为：</w:t>
            </w:r>
          </w:p>
          <w:p w14:paraId="3D8F3B14">
            <w:pPr>
              <w:adjustRightInd w:val="0"/>
              <w:snapToGrid w:val="0"/>
              <w:spacing w:line="24" w:lineRule="atLeas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在评标过程中，评标委员会应对以下信息进行查询：</w:t>
            </w:r>
          </w:p>
          <w:p w14:paraId="03246A67">
            <w:pPr>
              <w:adjustRightInd w:val="0"/>
              <w:snapToGrid w:val="0"/>
              <w:spacing w:line="24" w:lineRule="atLeas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（1）投标人名称和资质与“全国公路建设市场监督管理系统（</w:t>
            </w:r>
            <w:r>
              <w:rPr>
                <w:rFonts w:asciiTheme="minorEastAsia" w:hAnsiTheme="minorEastAsia" w:eastAsiaTheme="minorEastAsia"/>
                <w:szCs w:val="21"/>
              </w:rPr>
              <w:t>https://hwdms.mot.gov.cn/BMWebSite/index.jsp</w:t>
            </w:r>
            <w:r>
              <w:rPr>
                <w:rFonts w:hint="eastAsia" w:asciiTheme="minorEastAsia" w:hAnsiTheme="minorEastAsia" w:eastAsiaTheme="minorEastAsia"/>
                <w:szCs w:val="21"/>
              </w:rPr>
              <w:t>）”的复核结果一致；</w:t>
            </w:r>
          </w:p>
          <w:p w14:paraId="0A20F812">
            <w:pPr>
              <w:adjustRightInd w:val="0"/>
              <w:snapToGrid w:val="0"/>
              <w:spacing w:line="24" w:lineRule="atLeas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（2）投标人的类似项目业绩符合招标文件规定，所附相关业绩详细信息网页截图的内容与“全国公路建设市场监督管理系统（</w:t>
            </w:r>
            <w:r>
              <w:rPr>
                <w:rFonts w:asciiTheme="minorEastAsia" w:hAnsiTheme="minorEastAsia" w:eastAsiaTheme="minorEastAsia"/>
                <w:szCs w:val="21"/>
              </w:rPr>
              <w:t>https://hwdms.mot.gov.cn/BMWebSite/index.jsp</w:t>
            </w:r>
            <w:r>
              <w:rPr>
                <w:rFonts w:hint="eastAsia" w:asciiTheme="minorEastAsia" w:hAnsiTheme="minorEastAsia" w:eastAsiaTheme="minorEastAsia"/>
                <w:szCs w:val="21"/>
              </w:rPr>
              <w:t>）”的复核结果一致；</w:t>
            </w:r>
          </w:p>
          <w:p w14:paraId="7E6C285E">
            <w:pPr>
              <w:adjustRightInd w:val="0"/>
              <w:snapToGrid w:val="0"/>
              <w:spacing w:line="24" w:lineRule="atLeas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3</w:t>
            </w:r>
            <w:r>
              <w:rPr>
                <w:rFonts w:hint="eastAsia" w:asciiTheme="minorEastAsia" w:hAnsiTheme="minorEastAsia" w:eastAsiaTheme="minorEastAsia"/>
                <w:szCs w:val="21"/>
              </w:rPr>
              <w:t>）所附</w:t>
            </w:r>
            <w:r>
              <w:rPr>
                <w:rFonts w:hint="eastAsia" w:asciiTheme="minorEastAsia" w:hAnsiTheme="minorEastAsia" w:eastAsiaTheme="minorEastAsia"/>
                <w:szCs w:val="21"/>
                <w:lang w:eastAsia="zh-CN"/>
              </w:rPr>
              <w:t>总监理工程师</w:t>
            </w:r>
            <w:r>
              <w:rPr>
                <w:rFonts w:hint="eastAsia" w:asciiTheme="minorEastAsia" w:hAnsiTheme="minorEastAsia" w:eastAsiaTheme="minorEastAsia"/>
                <w:szCs w:val="21"/>
              </w:rPr>
              <w:t>岗位登记信息(执业资格、履历信息等)及相应业绩的网页截图扫描件与“全国公路建设市场监督管理系统（</w:t>
            </w:r>
            <w:r>
              <w:rPr>
                <w:rFonts w:asciiTheme="minorEastAsia" w:hAnsiTheme="minorEastAsia" w:eastAsiaTheme="minorEastAsia"/>
                <w:szCs w:val="21"/>
              </w:rPr>
              <w:t>https://hwdms.mot.gov.cn/BMWebSite/index.jsp</w:t>
            </w:r>
            <w:r>
              <w:rPr>
                <w:rFonts w:hint="eastAsia" w:asciiTheme="minorEastAsia" w:hAnsiTheme="minorEastAsia" w:eastAsiaTheme="minorEastAsia"/>
                <w:szCs w:val="21"/>
              </w:rPr>
              <w:t>）”的复核结果一致，并满足招标文件要求；</w:t>
            </w:r>
          </w:p>
          <w:p w14:paraId="48D9E777">
            <w:pPr>
              <w:adjustRightInd w:val="0"/>
              <w:snapToGrid w:val="0"/>
              <w:spacing w:line="24" w:lineRule="atLeas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4</w:t>
            </w:r>
            <w:r>
              <w:rPr>
                <w:rFonts w:hint="eastAsia" w:asciiTheme="minorEastAsia" w:hAnsiTheme="minorEastAsia" w:eastAsiaTheme="minorEastAsia"/>
                <w:szCs w:val="21"/>
              </w:rPr>
              <w:t>）评标委员会评标时在“国家企业信用信息公示系统（http://www.gsxt.gov.cn/)”对投标人的信用情况进行查询，若投标人存在被列入“严重违法失信企业名单”情形的（不含分公司），评标委员会应否决其投标。</w:t>
            </w:r>
          </w:p>
          <w:p w14:paraId="683CE002">
            <w:pPr>
              <w:adjustRightInd w:val="0"/>
              <w:snapToGrid w:val="0"/>
              <w:spacing w:line="24" w:lineRule="atLeas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在“信用中国网站（http://www.creditchina.gov.cn/)”对投标人的信用情况进行查询，若投标人存在被列入“失信被执行人名单、经营异常名录信息查询、重大税收违法失信主体、政府采购严重违法失信名单”情形的（均不含分公司），评标委员会应否决其投标。</w:t>
            </w:r>
          </w:p>
          <w:p w14:paraId="2734C92D">
            <w:pPr>
              <w:adjustRightInd w:val="0"/>
              <w:snapToGrid w:val="0"/>
              <w:spacing w:line="24" w:lineRule="atLeas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前述第（4）项如投标人</w:t>
            </w:r>
            <w:r>
              <w:rPr>
                <w:rFonts w:hint="eastAsia" w:asciiTheme="minorEastAsia" w:hAnsiTheme="minorEastAsia" w:eastAsiaTheme="minorEastAsia"/>
                <w:b/>
                <w:szCs w:val="21"/>
              </w:rPr>
              <w:t>未提供相关网页截图或所附截图与复核结果不一致</w:t>
            </w:r>
            <w:r>
              <w:rPr>
                <w:rFonts w:hint="eastAsia" w:asciiTheme="minorEastAsia" w:hAnsiTheme="minorEastAsia" w:eastAsiaTheme="minorEastAsia"/>
                <w:b/>
                <w:szCs w:val="21"/>
                <w:lang w:val="en-US" w:eastAsia="zh-CN"/>
              </w:rPr>
              <w:t>导致不能满足招标文件要求</w:t>
            </w:r>
            <w:r>
              <w:rPr>
                <w:rFonts w:hint="eastAsia" w:asciiTheme="minorEastAsia" w:hAnsiTheme="minorEastAsia" w:eastAsiaTheme="minorEastAsia"/>
                <w:szCs w:val="21"/>
              </w:rPr>
              <w:t>的，评标委员会应否决其投标。</w:t>
            </w:r>
          </w:p>
          <w:p w14:paraId="18F9D470">
            <w:pPr>
              <w:adjustRightInd w:val="0"/>
              <w:snapToGrid w:val="0"/>
              <w:spacing w:line="24" w:lineRule="atLeas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前述第（1）（2）（3）项如投标人</w:t>
            </w:r>
            <w:r>
              <w:rPr>
                <w:rFonts w:hint="eastAsia" w:asciiTheme="minorEastAsia" w:hAnsiTheme="minorEastAsia" w:eastAsiaTheme="minorEastAsia"/>
                <w:b/>
                <w:szCs w:val="21"/>
              </w:rPr>
              <w:t>未提供相关网页截图或所附截图与复核结果不一致</w:t>
            </w:r>
            <w:r>
              <w:rPr>
                <w:rFonts w:hint="eastAsia" w:asciiTheme="minorEastAsia" w:hAnsiTheme="minorEastAsia" w:eastAsiaTheme="minorEastAsia"/>
                <w:szCs w:val="21"/>
              </w:rPr>
              <w:t>导致不能满足资格评审要求的，评标委员会应否决其投标。</w:t>
            </w:r>
          </w:p>
        </w:tc>
      </w:tr>
      <w:tr w14:paraId="2A90E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63" w:type="dxa"/>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7F7C8E86">
            <w:pPr>
              <w:snapToGrid w:val="0"/>
              <w:spacing w:line="320" w:lineRule="exact"/>
              <w:jc w:val="center"/>
              <w:rPr>
                <w:rFonts w:hint="eastAsia" w:asciiTheme="minorEastAsia" w:hAnsiTheme="minorEastAsia" w:eastAsiaTheme="minorEastAsia"/>
                <w:szCs w:val="21"/>
              </w:rPr>
            </w:pPr>
            <w:r>
              <w:rPr>
                <w:rFonts w:hint="eastAsia" w:ascii="宋体" w:hAnsi="宋体" w:cs="宋体"/>
                <w:color w:val="auto"/>
                <w:sz w:val="21"/>
                <w:szCs w:val="21"/>
                <w:highlight w:val="none"/>
                <w:lang w:val="en-US" w:eastAsia="zh-CN"/>
              </w:rPr>
              <w:t>3.6.3</w:t>
            </w:r>
          </w:p>
        </w:tc>
        <w:tc>
          <w:tcPr>
            <w:tcW w:w="1069" w:type="dxa"/>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4BA5BD6C">
            <w:pPr>
              <w:adjustRightInd w:val="0"/>
              <w:snapToGrid w:val="0"/>
              <w:spacing w:line="320" w:lineRule="exact"/>
              <w:jc w:val="center"/>
              <w:rPr>
                <w:rFonts w:hint="eastAsia" w:asciiTheme="minorEastAsia" w:hAnsiTheme="minorEastAsia" w:eastAsiaTheme="minorEastAsia"/>
                <w:szCs w:val="21"/>
              </w:rPr>
            </w:pPr>
            <w:r>
              <w:rPr>
                <w:rFonts w:hint="eastAsia" w:ascii="宋体" w:hAnsi="宋体" w:cs="宋体"/>
                <w:color w:val="auto"/>
                <w:sz w:val="21"/>
                <w:szCs w:val="21"/>
                <w:highlight w:val="none"/>
                <w:lang w:val="en-US" w:eastAsia="zh-CN"/>
              </w:rPr>
              <w:t>投标人其他异常投标情形</w:t>
            </w:r>
          </w:p>
        </w:tc>
        <w:tc>
          <w:tcPr>
            <w:tcW w:w="6580" w:type="dxa"/>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4C7919A5">
            <w:pPr>
              <w:snapToGrid w:val="0"/>
              <w:spacing w:line="288" w:lineRule="auto"/>
              <w:rPr>
                <w:rFonts w:hint="eastAsia" w:ascii="宋体" w:hAnsi="宋体"/>
                <w:szCs w:val="21"/>
                <w:highlight w:val="none"/>
                <w:lang w:val="en-US" w:eastAsia="zh-CN"/>
              </w:rPr>
            </w:pPr>
            <w:r>
              <w:rPr>
                <w:rFonts w:hint="eastAsia" w:ascii="宋体" w:hAnsi="宋体"/>
                <w:szCs w:val="21"/>
                <w:highlight w:val="none"/>
                <w:lang w:val="en-US" w:eastAsia="zh-CN"/>
              </w:rPr>
              <w:t>（1）投标人不存在投标人须知前附表4.4(1)、(3)项规定的情形。</w:t>
            </w:r>
          </w:p>
          <w:p w14:paraId="692C9A45">
            <w:pPr>
              <w:snapToGrid w:val="0"/>
              <w:spacing w:line="288" w:lineRule="auto"/>
              <w:rPr>
                <w:rFonts w:hint="eastAsia" w:asciiTheme="minorEastAsia" w:hAnsiTheme="minorEastAsia" w:eastAsiaTheme="minorEastAsia"/>
                <w:szCs w:val="21"/>
              </w:rPr>
            </w:pPr>
            <w:r>
              <w:rPr>
                <w:rFonts w:hint="eastAsia" w:ascii="宋体" w:hAnsi="宋体"/>
                <w:szCs w:val="21"/>
                <w:highlight w:val="none"/>
                <w:lang w:val="en-US" w:eastAsia="zh-CN"/>
              </w:rPr>
              <w:t>（2）投标人存在投标人须知前附表4.4(2)项规定情形，评标委员会应当通知投标人在30分钟内作出解释说明。如投标人在规定时间内无法提供合理解释说明，评标委员会认为存在其他异常投标情形，应否决其投标。</w:t>
            </w:r>
          </w:p>
        </w:tc>
      </w:tr>
      <w:bookmarkEnd w:id="11"/>
      <w:bookmarkEnd w:id="12"/>
      <w:bookmarkEnd w:id="30"/>
      <w:bookmarkEnd w:id="31"/>
      <w:bookmarkEnd w:id="32"/>
      <w:bookmarkEnd w:id="33"/>
      <w:bookmarkEnd w:id="34"/>
      <w:bookmarkEnd w:id="35"/>
      <w:bookmarkEnd w:id="36"/>
      <w:bookmarkEnd w:id="37"/>
      <w:bookmarkEnd w:id="38"/>
      <w:bookmarkEnd w:id="39"/>
    </w:tbl>
    <w:p w14:paraId="6BB69E81">
      <w:pPr>
        <w:pStyle w:val="4"/>
        <w:spacing w:after="0"/>
        <w:ind w:firstLine="420" w:firstLineChars="200"/>
        <w:rPr>
          <w:szCs w:val="21"/>
        </w:rPr>
      </w:pPr>
      <w:r>
        <w:br w:type="page"/>
      </w:r>
    </w:p>
    <w:p w14:paraId="096BE4A4">
      <w:pPr>
        <w:spacing w:after="120"/>
      </w:pPr>
    </w:p>
    <w:p w14:paraId="060490F5">
      <w:pPr>
        <w:spacing w:line="360" w:lineRule="auto"/>
        <w:rPr>
          <w:rFonts w:ascii="宋体" w:hAnsi="宋体" w:cs="Courier New"/>
          <w:b/>
          <w:szCs w:val="21"/>
        </w:rPr>
      </w:pPr>
      <w:r>
        <w:rPr>
          <w:rFonts w:hint="eastAsia" w:ascii="宋体" w:hAnsi="宋体" w:cs="Courier New"/>
          <w:sz w:val="24"/>
          <w:szCs w:val="21"/>
        </w:rPr>
        <w:t>具体评分标准如下：</w:t>
      </w:r>
    </w:p>
    <w:tbl>
      <w:tblPr>
        <w:tblStyle w:val="7"/>
        <w:tblW w:w="97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40"/>
        <w:gridCol w:w="802"/>
        <w:gridCol w:w="676"/>
        <w:gridCol w:w="600"/>
        <w:gridCol w:w="1156"/>
        <w:gridCol w:w="5053"/>
      </w:tblGrid>
      <w:tr w14:paraId="773C2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blHeader/>
          <w:jc w:val="center"/>
        </w:trPr>
        <w:tc>
          <w:tcPr>
            <w:tcW w:w="3559" w:type="dxa"/>
            <w:gridSpan w:val="5"/>
            <w:tcBorders>
              <w:top w:val="single" w:color="auto" w:sz="4" w:space="0"/>
              <w:left w:val="single" w:color="auto" w:sz="4" w:space="0"/>
              <w:bottom w:val="single" w:color="auto" w:sz="4" w:space="0"/>
              <w:right w:val="single" w:color="auto" w:sz="4" w:space="0"/>
            </w:tcBorders>
            <w:vAlign w:val="center"/>
          </w:tcPr>
          <w:p w14:paraId="42D008DE">
            <w:pPr>
              <w:spacing w:line="160" w:lineRule="atLeast"/>
              <w:jc w:val="center"/>
              <w:textAlignment w:val="baseline"/>
              <w:rPr>
                <w:rFonts w:ascii="宋体" w:hAnsi="宋体" w:cs="Courier New"/>
                <w:szCs w:val="20"/>
              </w:rPr>
            </w:pPr>
            <w:r>
              <w:rPr>
                <w:rFonts w:hint="eastAsia" w:ascii="宋体" w:hAnsi="宋体" w:cs="Courier New"/>
                <w:szCs w:val="21"/>
              </w:rPr>
              <w:t>评分因素与权重分值</w:t>
            </w:r>
          </w:p>
        </w:tc>
        <w:tc>
          <w:tcPr>
            <w:tcW w:w="6209" w:type="dxa"/>
            <w:gridSpan w:val="2"/>
            <w:vMerge w:val="restart"/>
            <w:tcBorders>
              <w:top w:val="single" w:color="auto" w:sz="4" w:space="0"/>
              <w:left w:val="single" w:color="auto" w:sz="4" w:space="0"/>
              <w:bottom w:val="single" w:color="auto" w:sz="4" w:space="0"/>
              <w:right w:val="single" w:color="auto" w:sz="4" w:space="0"/>
            </w:tcBorders>
            <w:vAlign w:val="center"/>
          </w:tcPr>
          <w:p w14:paraId="38BFC99E">
            <w:pPr>
              <w:spacing w:line="160" w:lineRule="atLeast"/>
              <w:jc w:val="center"/>
              <w:textAlignment w:val="baseline"/>
              <w:rPr>
                <w:rFonts w:ascii="宋体" w:hAnsi="宋体" w:cs="Courier New"/>
                <w:szCs w:val="21"/>
              </w:rPr>
            </w:pPr>
            <w:r>
              <w:rPr>
                <w:rFonts w:hint="eastAsia" w:ascii="宋体" w:hAnsi="宋体" w:cs="Courier New"/>
                <w:szCs w:val="21"/>
              </w:rPr>
              <w:t>评分标准</w:t>
            </w:r>
          </w:p>
        </w:tc>
      </w:tr>
      <w:tr w14:paraId="7A43E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blHeader/>
          <w:jc w:val="center"/>
        </w:trPr>
        <w:tc>
          <w:tcPr>
            <w:tcW w:w="741" w:type="dxa"/>
            <w:tcBorders>
              <w:top w:val="single" w:color="auto" w:sz="4" w:space="0"/>
              <w:left w:val="single" w:color="auto" w:sz="4" w:space="0"/>
              <w:bottom w:val="single" w:color="auto" w:sz="4" w:space="0"/>
              <w:right w:val="single" w:color="auto" w:sz="4" w:space="0"/>
            </w:tcBorders>
            <w:vAlign w:val="center"/>
          </w:tcPr>
          <w:p w14:paraId="10864C7E">
            <w:pPr>
              <w:spacing w:line="160" w:lineRule="atLeast"/>
              <w:jc w:val="center"/>
              <w:textAlignment w:val="baseline"/>
              <w:rPr>
                <w:rFonts w:ascii="宋体" w:hAnsi="宋体" w:cs="Courier New"/>
                <w:szCs w:val="21"/>
              </w:rPr>
            </w:pPr>
            <w:r>
              <w:rPr>
                <w:rFonts w:hint="eastAsia" w:ascii="宋体" w:hAnsi="宋体" w:cs="Courier New"/>
                <w:szCs w:val="21"/>
              </w:rPr>
              <w:t>条款号</w:t>
            </w:r>
          </w:p>
        </w:tc>
        <w:tc>
          <w:tcPr>
            <w:tcW w:w="740" w:type="dxa"/>
            <w:tcBorders>
              <w:top w:val="single" w:color="auto" w:sz="4" w:space="0"/>
              <w:left w:val="single" w:color="auto" w:sz="4" w:space="0"/>
              <w:bottom w:val="single" w:color="auto" w:sz="4" w:space="0"/>
              <w:right w:val="single" w:color="auto" w:sz="4" w:space="0"/>
            </w:tcBorders>
            <w:vAlign w:val="center"/>
          </w:tcPr>
          <w:p w14:paraId="0603B727">
            <w:pPr>
              <w:spacing w:line="160" w:lineRule="atLeast"/>
              <w:jc w:val="center"/>
              <w:textAlignment w:val="baseline"/>
              <w:rPr>
                <w:rFonts w:ascii="宋体" w:hAnsi="宋体" w:cs="Courier New"/>
                <w:szCs w:val="21"/>
              </w:rPr>
            </w:pPr>
            <w:r>
              <w:rPr>
                <w:rFonts w:hint="eastAsia" w:ascii="宋体" w:hAnsi="宋体" w:cs="Courier New"/>
                <w:szCs w:val="21"/>
              </w:rPr>
              <w:t>评分因素</w:t>
            </w:r>
          </w:p>
        </w:tc>
        <w:tc>
          <w:tcPr>
            <w:tcW w:w="802" w:type="dxa"/>
            <w:tcBorders>
              <w:top w:val="single" w:color="auto" w:sz="4" w:space="0"/>
              <w:left w:val="single" w:color="auto" w:sz="4" w:space="0"/>
              <w:bottom w:val="single" w:color="auto" w:sz="4" w:space="0"/>
              <w:right w:val="single" w:color="auto" w:sz="4" w:space="0"/>
            </w:tcBorders>
            <w:vAlign w:val="center"/>
          </w:tcPr>
          <w:p w14:paraId="7EAEA7AF">
            <w:pPr>
              <w:spacing w:line="160" w:lineRule="atLeast"/>
              <w:ind w:left="-40" w:leftChars="-19" w:firstLine="0"/>
              <w:jc w:val="center"/>
              <w:textAlignment w:val="baseline"/>
              <w:rPr>
                <w:rFonts w:ascii="宋体" w:hAnsi="宋体" w:cs="Courier New"/>
                <w:szCs w:val="21"/>
              </w:rPr>
            </w:pPr>
            <w:r>
              <w:rPr>
                <w:rFonts w:hint="eastAsia" w:ascii="宋体" w:hAnsi="宋体" w:cs="Courier New"/>
                <w:szCs w:val="21"/>
              </w:rPr>
              <w:t>评分因素权重分值</w:t>
            </w:r>
          </w:p>
        </w:tc>
        <w:tc>
          <w:tcPr>
            <w:tcW w:w="676" w:type="dxa"/>
            <w:tcBorders>
              <w:top w:val="single" w:color="auto" w:sz="4" w:space="0"/>
              <w:left w:val="single" w:color="auto" w:sz="4" w:space="0"/>
              <w:bottom w:val="single" w:color="auto" w:sz="4" w:space="0"/>
              <w:right w:val="single" w:color="auto" w:sz="4" w:space="0"/>
            </w:tcBorders>
            <w:vAlign w:val="center"/>
          </w:tcPr>
          <w:p w14:paraId="0A2EDE51">
            <w:pPr>
              <w:spacing w:line="160" w:lineRule="atLeast"/>
              <w:jc w:val="center"/>
              <w:textAlignment w:val="baseline"/>
              <w:rPr>
                <w:rFonts w:ascii="宋体" w:hAnsi="宋体" w:cs="Courier New"/>
                <w:szCs w:val="21"/>
              </w:rPr>
            </w:pPr>
            <w:r>
              <w:rPr>
                <w:rFonts w:ascii="宋体" w:hAnsi="宋体" w:cs="宋体"/>
                <w:szCs w:val="21"/>
                <w:shd w:val="clear" w:color="auto" w:fill="FFFFFF"/>
                <w:lang w:val="zh-CN" w:bidi="zh-CN"/>
              </w:rPr>
              <w:t>各评分因素细分项</w:t>
            </w:r>
          </w:p>
        </w:tc>
        <w:tc>
          <w:tcPr>
            <w:tcW w:w="600" w:type="dxa"/>
            <w:tcBorders>
              <w:top w:val="single" w:color="auto" w:sz="4" w:space="0"/>
              <w:left w:val="single" w:color="auto" w:sz="4" w:space="0"/>
              <w:bottom w:val="single" w:color="auto" w:sz="4" w:space="0"/>
              <w:right w:val="single" w:color="auto" w:sz="4" w:space="0"/>
            </w:tcBorders>
            <w:vAlign w:val="center"/>
          </w:tcPr>
          <w:p w14:paraId="3E55B191">
            <w:pPr>
              <w:spacing w:line="160" w:lineRule="atLeast"/>
              <w:jc w:val="center"/>
              <w:textAlignment w:val="baseline"/>
              <w:rPr>
                <w:rFonts w:ascii="宋体" w:hAnsi="宋体" w:cs="Courier New"/>
                <w:szCs w:val="21"/>
              </w:rPr>
            </w:pPr>
            <w:r>
              <w:rPr>
                <w:rFonts w:hint="eastAsia" w:ascii="宋体" w:hAnsi="宋体" w:cs="Courier New"/>
                <w:szCs w:val="21"/>
              </w:rPr>
              <w:t>分值</w:t>
            </w:r>
          </w:p>
        </w:tc>
        <w:tc>
          <w:tcPr>
            <w:tcW w:w="6209" w:type="dxa"/>
            <w:gridSpan w:val="2"/>
            <w:vMerge w:val="continue"/>
            <w:tcBorders>
              <w:top w:val="single" w:color="auto" w:sz="4" w:space="0"/>
              <w:left w:val="single" w:color="auto" w:sz="4" w:space="0"/>
              <w:bottom w:val="single" w:color="auto" w:sz="4" w:space="0"/>
              <w:right w:val="single" w:color="auto" w:sz="4" w:space="0"/>
            </w:tcBorders>
            <w:vAlign w:val="center"/>
          </w:tcPr>
          <w:p w14:paraId="71B0A637">
            <w:pPr>
              <w:widowControl/>
              <w:jc w:val="left"/>
              <w:rPr>
                <w:rFonts w:ascii="宋体" w:hAnsi="宋体" w:cs="Courier New"/>
                <w:szCs w:val="21"/>
              </w:rPr>
            </w:pPr>
          </w:p>
        </w:tc>
      </w:tr>
      <w:tr w14:paraId="601E1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741" w:type="dxa"/>
            <w:vMerge w:val="restart"/>
            <w:tcBorders>
              <w:top w:val="single" w:color="auto" w:sz="4" w:space="0"/>
              <w:left w:val="single" w:color="auto" w:sz="4" w:space="0"/>
              <w:bottom w:val="single" w:color="auto" w:sz="4" w:space="0"/>
              <w:right w:val="single" w:color="auto" w:sz="4" w:space="0"/>
            </w:tcBorders>
            <w:vAlign w:val="center"/>
          </w:tcPr>
          <w:p w14:paraId="1DBC4B82">
            <w:pPr>
              <w:spacing w:line="160" w:lineRule="atLeast"/>
              <w:jc w:val="center"/>
              <w:textAlignment w:val="baseline"/>
              <w:rPr>
                <w:rFonts w:ascii="宋体" w:hAnsi="宋体" w:cs="Courier New"/>
                <w:szCs w:val="21"/>
              </w:rPr>
            </w:pPr>
            <w:r>
              <w:rPr>
                <w:rFonts w:hint="eastAsia" w:ascii="宋体" w:hAnsi="宋体" w:cs="Courier New"/>
                <w:szCs w:val="21"/>
              </w:rPr>
              <w:t>2.2.4（1）</w:t>
            </w:r>
          </w:p>
        </w:tc>
        <w:tc>
          <w:tcPr>
            <w:tcW w:w="740" w:type="dxa"/>
            <w:vMerge w:val="restart"/>
            <w:tcBorders>
              <w:top w:val="single" w:color="auto" w:sz="4" w:space="0"/>
              <w:left w:val="single" w:color="auto" w:sz="4" w:space="0"/>
              <w:bottom w:val="single" w:color="auto" w:sz="4" w:space="0"/>
              <w:right w:val="single" w:color="auto" w:sz="4" w:space="0"/>
            </w:tcBorders>
            <w:vAlign w:val="center"/>
          </w:tcPr>
          <w:p w14:paraId="14158D1C">
            <w:pPr>
              <w:spacing w:line="160" w:lineRule="atLeast"/>
              <w:jc w:val="center"/>
              <w:textAlignment w:val="baseline"/>
              <w:rPr>
                <w:rFonts w:ascii="宋体" w:hAnsi="宋体" w:cs="Courier New"/>
                <w:szCs w:val="21"/>
              </w:rPr>
            </w:pPr>
            <w:r>
              <w:rPr>
                <w:rFonts w:hint="eastAsia" w:ascii="宋体" w:hAnsi="宋体" w:cs="Courier New"/>
                <w:szCs w:val="21"/>
              </w:rPr>
              <w:t>技术建议书（暗标部分）</w:t>
            </w:r>
          </w:p>
        </w:tc>
        <w:tc>
          <w:tcPr>
            <w:tcW w:w="802" w:type="dxa"/>
            <w:vMerge w:val="restart"/>
            <w:tcBorders>
              <w:top w:val="single" w:color="auto" w:sz="4" w:space="0"/>
              <w:left w:val="single" w:color="auto" w:sz="4" w:space="0"/>
              <w:bottom w:val="single" w:color="auto" w:sz="4" w:space="0"/>
              <w:right w:val="single" w:color="auto" w:sz="4" w:space="0"/>
            </w:tcBorders>
            <w:vAlign w:val="center"/>
          </w:tcPr>
          <w:p w14:paraId="2C9FF268">
            <w:pPr>
              <w:spacing w:line="160" w:lineRule="atLeast"/>
              <w:jc w:val="center"/>
              <w:textAlignment w:val="baseline"/>
              <w:rPr>
                <w:rFonts w:ascii="宋体" w:hAnsi="宋体" w:cs="Courier New"/>
                <w:szCs w:val="21"/>
              </w:rPr>
            </w:pPr>
            <w:r>
              <w:rPr>
                <w:rFonts w:hint="eastAsia" w:ascii="宋体" w:hAnsi="宋体" w:cs="Courier New"/>
                <w:szCs w:val="21"/>
              </w:rPr>
              <w:t>35分</w:t>
            </w:r>
          </w:p>
        </w:tc>
        <w:tc>
          <w:tcPr>
            <w:tcW w:w="676" w:type="dxa"/>
            <w:vMerge w:val="restart"/>
            <w:tcBorders>
              <w:top w:val="single" w:color="auto" w:sz="4" w:space="0"/>
              <w:left w:val="single" w:color="auto" w:sz="4" w:space="0"/>
              <w:bottom w:val="single" w:color="auto" w:sz="4" w:space="0"/>
              <w:right w:val="single" w:color="auto" w:sz="4" w:space="0"/>
            </w:tcBorders>
            <w:vAlign w:val="center"/>
          </w:tcPr>
          <w:p w14:paraId="54AF524B">
            <w:pPr>
              <w:spacing w:line="160" w:lineRule="atLeast"/>
              <w:jc w:val="center"/>
              <w:textAlignment w:val="baseline"/>
              <w:rPr>
                <w:rFonts w:ascii="宋体" w:hAnsi="宋体" w:cs="Courier New"/>
                <w:szCs w:val="21"/>
              </w:rPr>
            </w:pPr>
            <w:r>
              <w:rPr>
                <w:rFonts w:hint="eastAsia" w:ascii="宋体" w:hAnsi="宋体" w:cs="Courier New"/>
                <w:szCs w:val="21"/>
              </w:rPr>
              <w:t>监理大纲和措施</w:t>
            </w:r>
          </w:p>
        </w:tc>
        <w:tc>
          <w:tcPr>
            <w:tcW w:w="600" w:type="dxa"/>
            <w:vMerge w:val="restart"/>
            <w:tcBorders>
              <w:top w:val="single" w:color="auto" w:sz="4" w:space="0"/>
              <w:left w:val="single" w:color="auto" w:sz="4" w:space="0"/>
              <w:bottom w:val="single" w:color="auto" w:sz="4" w:space="0"/>
              <w:right w:val="single" w:color="auto" w:sz="4" w:space="0"/>
            </w:tcBorders>
            <w:vAlign w:val="center"/>
          </w:tcPr>
          <w:p w14:paraId="34F08129">
            <w:pPr>
              <w:spacing w:line="160" w:lineRule="atLeast"/>
              <w:ind w:left="33" w:leftChars="-48" w:hanging="134" w:hangingChars="64"/>
              <w:jc w:val="center"/>
              <w:textAlignment w:val="baseline"/>
              <w:rPr>
                <w:rFonts w:ascii="宋体" w:hAnsi="宋体" w:cs="Courier New"/>
                <w:szCs w:val="21"/>
              </w:rPr>
            </w:pPr>
            <w:r>
              <w:rPr>
                <w:rFonts w:ascii="宋体" w:hAnsi="宋体" w:cs="Courier New"/>
                <w:szCs w:val="21"/>
              </w:rPr>
              <w:t>25</w:t>
            </w:r>
            <w:r>
              <w:rPr>
                <w:rFonts w:hint="eastAsia" w:ascii="宋体" w:hAnsi="宋体" w:cs="Courier New"/>
                <w:szCs w:val="21"/>
              </w:rPr>
              <w:t>分</w:t>
            </w:r>
          </w:p>
        </w:tc>
        <w:tc>
          <w:tcPr>
            <w:tcW w:w="1156" w:type="dxa"/>
            <w:vMerge w:val="restart"/>
            <w:tcBorders>
              <w:top w:val="single" w:color="auto" w:sz="4" w:space="0"/>
              <w:left w:val="single" w:color="auto" w:sz="4" w:space="0"/>
              <w:bottom w:val="single" w:color="auto" w:sz="4" w:space="0"/>
              <w:right w:val="single" w:color="auto" w:sz="4" w:space="0"/>
            </w:tcBorders>
            <w:vAlign w:val="center"/>
          </w:tcPr>
          <w:p w14:paraId="56804964">
            <w:pPr>
              <w:spacing w:line="160" w:lineRule="atLeast"/>
              <w:jc w:val="center"/>
              <w:textAlignment w:val="baseline"/>
              <w:rPr>
                <w:rFonts w:ascii="宋体" w:hAnsi="宋体" w:cs="Courier New"/>
                <w:szCs w:val="21"/>
              </w:rPr>
            </w:pPr>
            <w:r>
              <w:rPr>
                <w:rFonts w:hint="eastAsia" w:ascii="宋体" w:hAnsi="宋体" w:cs="Courier New"/>
                <w:szCs w:val="21"/>
              </w:rPr>
              <w:t>对本招标项目监理工作范围和任务理解(7分)</w:t>
            </w:r>
          </w:p>
        </w:tc>
        <w:tc>
          <w:tcPr>
            <w:tcW w:w="5053" w:type="dxa"/>
            <w:tcBorders>
              <w:top w:val="single" w:color="auto" w:sz="4" w:space="0"/>
              <w:left w:val="single" w:color="auto" w:sz="4" w:space="0"/>
              <w:bottom w:val="single" w:color="auto" w:sz="4" w:space="0"/>
              <w:right w:val="single" w:color="auto" w:sz="4" w:space="0"/>
            </w:tcBorders>
            <w:vAlign w:val="center"/>
          </w:tcPr>
          <w:p w14:paraId="3F7FE83A">
            <w:pPr>
              <w:spacing w:line="160" w:lineRule="atLeast"/>
              <w:jc w:val="left"/>
              <w:textAlignment w:val="baseline"/>
              <w:rPr>
                <w:rFonts w:ascii="宋体" w:hAnsi="宋体" w:cs="Courier New"/>
                <w:szCs w:val="21"/>
              </w:rPr>
            </w:pPr>
            <w:r>
              <w:rPr>
                <w:rFonts w:hint="eastAsia" w:ascii="宋体" w:hAnsi="宋体" w:cs="Courier New"/>
                <w:szCs w:val="21"/>
              </w:rPr>
              <w:t>理解准确，思路清晰，全面、合理，符合项目要求，得5.6-7.0分；</w:t>
            </w:r>
          </w:p>
        </w:tc>
      </w:tr>
      <w:tr w14:paraId="432D2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742B3E18">
            <w:pPr>
              <w:widowControl/>
              <w:jc w:val="left"/>
              <w:rPr>
                <w:rFonts w:ascii="宋体" w:hAnsi="宋体" w:cs="Courier New"/>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74D6507A">
            <w:pPr>
              <w:widowControl/>
              <w:jc w:val="left"/>
              <w:rPr>
                <w:rFonts w:ascii="宋体" w:hAnsi="宋体" w:cs="Courier New"/>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464001B7">
            <w:pPr>
              <w:widowControl/>
              <w:jc w:val="left"/>
              <w:rPr>
                <w:rFonts w:ascii="宋体" w:hAnsi="宋体" w:cs="Courier New"/>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37B740CE">
            <w:pPr>
              <w:widowControl/>
              <w:jc w:val="left"/>
              <w:rPr>
                <w:rFonts w:ascii="宋体" w:hAnsi="宋体" w:cs="Courier New"/>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415500E6">
            <w:pPr>
              <w:widowControl/>
              <w:jc w:val="left"/>
              <w:rPr>
                <w:rFonts w:ascii="宋体" w:hAnsi="宋体" w:cs="Courier New"/>
                <w:szCs w:val="21"/>
              </w:rPr>
            </w:pPr>
          </w:p>
        </w:tc>
        <w:tc>
          <w:tcPr>
            <w:tcW w:w="1156" w:type="dxa"/>
            <w:vMerge w:val="continue"/>
            <w:tcBorders>
              <w:top w:val="single" w:color="auto" w:sz="4" w:space="0"/>
              <w:left w:val="single" w:color="auto" w:sz="4" w:space="0"/>
              <w:bottom w:val="single" w:color="auto" w:sz="4" w:space="0"/>
              <w:right w:val="single" w:color="auto" w:sz="4" w:space="0"/>
            </w:tcBorders>
            <w:vAlign w:val="center"/>
          </w:tcPr>
          <w:p w14:paraId="658D463F">
            <w:pPr>
              <w:widowControl/>
              <w:jc w:val="left"/>
              <w:rPr>
                <w:rFonts w:ascii="宋体" w:hAnsi="宋体" w:cs="Courier New"/>
                <w:szCs w:val="21"/>
              </w:rPr>
            </w:pPr>
          </w:p>
        </w:tc>
        <w:tc>
          <w:tcPr>
            <w:tcW w:w="5053" w:type="dxa"/>
            <w:tcBorders>
              <w:top w:val="single" w:color="auto" w:sz="4" w:space="0"/>
              <w:left w:val="single" w:color="auto" w:sz="4" w:space="0"/>
              <w:bottom w:val="single" w:color="auto" w:sz="4" w:space="0"/>
              <w:right w:val="single" w:color="auto" w:sz="4" w:space="0"/>
            </w:tcBorders>
            <w:vAlign w:val="center"/>
          </w:tcPr>
          <w:p w14:paraId="0EDEA3CF">
            <w:pPr>
              <w:spacing w:line="160" w:lineRule="atLeast"/>
              <w:jc w:val="left"/>
              <w:textAlignment w:val="baseline"/>
              <w:rPr>
                <w:rFonts w:ascii="宋体" w:hAnsi="宋体" w:cs="Courier New"/>
                <w:szCs w:val="21"/>
              </w:rPr>
            </w:pPr>
            <w:r>
              <w:rPr>
                <w:rFonts w:hint="eastAsia" w:ascii="宋体" w:hAnsi="宋体" w:cs="Courier New"/>
                <w:szCs w:val="21"/>
              </w:rPr>
              <w:t>理解较准确，思路较清晰，得4.9-5.6分</w:t>
            </w:r>
          </w:p>
        </w:tc>
      </w:tr>
      <w:tr w14:paraId="407F9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1C500884">
            <w:pPr>
              <w:widowControl/>
              <w:jc w:val="left"/>
              <w:rPr>
                <w:rFonts w:ascii="宋体" w:hAnsi="宋体" w:cs="Courier New"/>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74D46F4C">
            <w:pPr>
              <w:widowControl/>
              <w:jc w:val="left"/>
              <w:rPr>
                <w:rFonts w:ascii="宋体" w:hAnsi="宋体" w:cs="Courier New"/>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46D2D7BA">
            <w:pPr>
              <w:widowControl/>
              <w:jc w:val="left"/>
              <w:rPr>
                <w:rFonts w:ascii="宋体" w:hAnsi="宋体" w:cs="Courier New"/>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511052FE">
            <w:pPr>
              <w:widowControl/>
              <w:jc w:val="left"/>
              <w:rPr>
                <w:rFonts w:ascii="宋体" w:hAnsi="宋体" w:cs="Courier New"/>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7C989051">
            <w:pPr>
              <w:widowControl/>
              <w:jc w:val="left"/>
              <w:rPr>
                <w:rFonts w:ascii="宋体" w:hAnsi="宋体" w:cs="Courier New"/>
                <w:szCs w:val="21"/>
              </w:rPr>
            </w:pPr>
          </w:p>
        </w:tc>
        <w:tc>
          <w:tcPr>
            <w:tcW w:w="1156" w:type="dxa"/>
            <w:vMerge w:val="continue"/>
            <w:tcBorders>
              <w:top w:val="single" w:color="auto" w:sz="4" w:space="0"/>
              <w:left w:val="single" w:color="auto" w:sz="4" w:space="0"/>
              <w:bottom w:val="single" w:color="auto" w:sz="4" w:space="0"/>
              <w:right w:val="single" w:color="auto" w:sz="4" w:space="0"/>
            </w:tcBorders>
            <w:vAlign w:val="center"/>
          </w:tcPr>
          <w:p w14:paraId="2690E881">
            <w:pPr>
              <w:widowControl/>
              <w:jc w:val="left"/>
              <w:rPr>
                <w:rFonts w:ascii="宋体" w:hAnsi="宋体" w:cs="Courier New"/>
                <w:szCs w:val="21"/>
              </w:rPr>
            </w:pPr>
          </w:p>
        </w:tc>
        <w:tc>
          <w:tcPr>
            <w:tcW w:w="5053" w:type="dxa"/>
            <w:tcBorders>
              <w:top w:val="single" w:color="auto" w:sz="4" w:space="0"/>
              <w:left w:val="single" w:color="auto" w:sz="4" w:space="0"/>
              <w:bottom w:val="single" w:color="auto" w:sz="4" w:space="0"/>
              <w:right w:val="single" w:color="auto" w:sz="4" w:space="0"/>
            </w:tcBorders>
            <w:vAlign w:val="center"/>
          </w:tcPr>
          <w:p w14:paraId="32325492">
            <w:pPr>
              <w:spacing w:line="160" w:lineRule="atLeast"/>
              <w:jc w:val="left"/>
              <w:textAlignment w:val="baseline"/>
              <w:rPr>
                <w:rFonts w:ascii="宋体" w:hAnsi="宋体" w:cs="Courier New"/>
                <w:szCs w:val="21"/>
              </w:rPr>
            </w:pPr>
            <w:r>
              <w:rPr>
                <w:rFonts w:hint="eastAsia" w:ascii="宋体" w:hAnsi="宋体" w:cs="Courier New"/>
                <w:szCs w:val="21"/>
              </w:rPr>
              <w:t>理解基本准确，得4.2-4.9分</w:t>
            </w:r>
          </w:p>
        </w:tc>
      </w:tr>
      <w:tr w14:paraId="4DD6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3E5BAE8B">
            <w:pPr>
              <w:widowControl/>
              <w:jc w:val="left"/>
              <w:rPr>
                <w:rFonts w:ascii="宋体" w:hAnsi="宋体" w:cs="Courier New"/>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713322F1">
            <w:pPr>
              <w:widowControl/>
              <w:jc w:val="left"/>
              <w:rPr>
                <w:rFonts w:ascii="宋体" w:hAnsi="宋体" w:cs="Courier New"/>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1B4BECAF">
            <w:pPr>
              <w:widowControl/>
              <w:jc w:val="left"/>
              <w:rPr>
                <w:rFonts w:ascii="宋体" w:hAnsi="宋体" w:cs="Courier New"/>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0A87D49C">
            <w:pPr>
              <w:widowControl/>
              <w:jc w:val="left"/>
              <w:rPr>
                <w:rFonts w:ascii="宋体" w:hAnsi="宋体" w:cs="Courier New"/>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71ADBFB6">
            <w:pPr>
              <w:widowControl/>
              <w:jc w:val="left"/>
              <w:rPr>
                <w:rFonts w:ascii="宋体" w:hAnsi="宋体" w:cs="Courier New"/>
                <w:szCs w:val="21"/>
              </w:rPr>
            </w:pPr>
          </w:p>
        </w:tc>
        <w:tc>
          <w:tcPr>
            <w:tcW w:w="1156" w:type="dxa"/>
            <w:vMerge w:val="restart"/>
            <w:tcBorders>
              <w:top w:val="single" w:color="auto" w:sz="4" w:space="0"/>
              <w:left w:val="single" w:color="auto" w:sz="4" w:space="0"/>
              <w:bottom w:val="single" w:color="auto" w:sz="4" w:space="0"/>
              <w:right w:val="single" w:color="auto" w:sz="4" w:space="0"/>
            </w:tcBorders>
            <w:vAlign w:val="center"/>
          </w:tcPr>
          <w:p w14:paraId="104C1B3B">
            <w:pPr>
              <w:spacing w:line="160" w:lineRule="atLeast"/>
              <w:jc w:val="center"/>
              <w:textAlignment w:val="baseline"/>
              <w:rPr>
                <w:rFonts w:ascii="宋体" w:hAnsi="宋体" w:cs="Courier New"/>
                <w:szCs w:val="21"/>
              </w:rPr>
            </w:pPr>
            <w:r>
              <w:rPr>
                <w:rFonts w:hint="eastAsia" w:ascii="宋体" w:hAnsi="宋体" w:cs="Courier New"/>
                <w:szCs w:val="21"/>
              </w:rPr>
              <w:t>监理方案及措施</w:t>
            </w:r>
          </w:p>
          <w:p w14:paraId="7304500B">
            <w:pPr>
              <w:spacing w:line="160" w:lineRule="atLeast"/>
              <w:jc w:val="center"/>
              <w:textAlignment w:val="baseline"/>
              <w:rPr>
                <w:rFonts w:ascii="宋体" w:hAnsi="宋体" w:cs="Courier New"/>
                <w:szCs w:val="21"/>
              </w:rPr>
            </w:pPr>
            <w:r>
              <w:rPr>
                <w:rFonts w:hint="eastAsia" w:ascii="宋体" w:hAnsi="宋体" w:cs="Courier New"/>
                <w:szCs w:val="21"/>
              </w:rPr>
              <w:t>（10分）</w:t>
            </w:r>
          </w:p>
        </w:tc>
        <w:tc>
          <w:tcPr>
            <w:tcW w:w="5053" w:type="dxa"/>
            <w:tcBorders>
              <w:top w:val="single" w:color="auto" w:sz="4" w:space="0"/>
              <w:left w:val="single" w:color="auto" w:sz="4" w:space="0"/>
              <w:bottom w:val="single" w:color="auto" w:sz="4" w:space="0"/>
              <w:right w:val="single" w:color="auto" w:sz="4" w:space="0"/>
            </w:tcBorders>
            <w:vAlign w:val="center"/>
          </w:tcPr>
          <w:p w14:paraId="245E9362">
            <w:pPr>
              <w:spacing w:line="160" w:lineRule="atLeast"/>
              <w:jc w:val="left"/>
              <w:textAlignment w:val="baseline"/>
              <w:rPr>
                <w:rFonts w:ascii="宋体" w:hAnsi="宋体" w:cs="Courier New"/>
                <w:szCs w:val="21"/>
              </w:rPr>
            </w:pPr>
            <w:r>
              <w:rPr>
                <w:rFonts w:hint="eastAsia" w:ascii="宋体" w:hAnsi="宋体" w:cs="Courier New"/>
                <w:szCs w:val="21"/>
              </w:rPr>
              <w:t>方案详尽，措施具体全面合理，可行性强，得8.0-10.0分</w:t>
            </w:r>
          </w:p>
        </w:tc>
      </w:tr>
      <w:tr w14:paraId="1C0D1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7CF16F97">
            <w:pPr>
              <w:widowControl/>
              <w:jc w:val="left"/>
              <w:rPr>
                <w:rFonts w:ascii="宋体" w:hAnsi="宋体" w:cs="Courier New"/>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6C594A1C">
            <w:pPr>
              <w:widowControl/>
              <w:jc w:val="left"/>
              <w:rPr>
                <w:rFonts w:ascii="宋体" w:hAnsi="宋体" w:cs="Courier New"/>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7B95C7B9">
            <w:pPr>
              <w:widowControl/>
              <w:jc w:val="left"/>
              <w:rPr>
                <w:rFonts w:ascii="宋体" w:hAnsi="宋体" w:cs="Courier New"/>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7A28E471">
            <w:pPr>
              <w:widowControl/>
              <w:jc w:val="left"/>
              <w:rPr>
                <w:rFonts w:ascii="宋体" w:hAnsi="宋体" w:cs="Courier New"/>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3B27CD2D">
            <w:pPr>
              <w:widowControl/>
              <w:jc w:val="left"/>
              <w:rPr>
                <w:rFonts w:ascii="宋体" w:hAnsi="宋体" w:cs="Courier New"/>
                <w:szCs w:val="21"/>
              </w:rPr>
            </w:pPr>
          </w:p>
        </w:tc>
        <w:tc>
          <w:tcPr>
            <w:tcW w:w="1156" w:type="dxa"/>
            <w:vMerge w:val="continue"/>
            <w:tcBorders>
              <w:top w:val="single" w:color="auto" w:sz="4" w:space="0"/>
              <w:left w:val="single" w:color="auto" w:sz="4" w:space="0"/>
              <w:bottom w:val="single" w:color="auto" w:sz="4" w:space="0"/>
              <w:right w:val="single" w:color="auto" w:sz="4" w:space="0"/>
            </w:tcBorders>
            <w:vAlign w:val="center"/>
          </w:tcPr>
          <w:p w14:paraId="7726F075">
            <w:pPr>
              <w:widowControl/>
              <w:jc w:val="left"/>
              <w:rPr>
                <w:rFonts w:ascii="宋体" w:hAnsi="宋体" w:cs="Courier New"/>
                <w:szCs w:val="21"/>
              </w:rPr>
            </w:pPr>
          </w:p>
        </w:tc>
        <w:tc>
          <w:tcPr>
            <w:tcW w:w="5053" w:type="dxa"/>
            <w:tcBorders>
              <w:top w:val="single" w:color="auto" w:sz="4" w:space="0"/>
              <w:left w:val="single" w:color="auto" w:sz="4" w:space="0"/>
              <w:bottom w:val="single" w:color="auto" w:sz="4" w:space="0"/>
              <w:right w:val="single" w:color="auto" w:sz="4" w:space="0"/>
            </w:tcBorders>
            <w:vAlign w:val="center"/>
          </w:tcPr>
          <w:p w14:paraId="18844CE7">
            <w:pPr>
              <w:spacing w:line="160" w:lineRule="atLeast"/>
              <w:jc w:val="left"/>
              <w:textAlignment w:val="baseline"/>
              <w:rPr>
                <w:rFonts w:ascii="宋体" w:hAnsi="宋体" w:cs="Courier New"/>
                <w:szCs w:val="21"/>
              </w:rPr>
            </w:pPr>
            <w:r>
              <w:rPr>
                <w:rFonts w:hint="eastAsia" w:ascii="宋体" w:hAnsi="宋体" w:cs="Courier New"/>
                <w:szCs w:val="21"/>
              </w:rPr>
              <w:t>方案较详尽，措施合理，可行性较好，得7.0-8.0分</w:t>
            </w:r>
          </w:p>
        </w:tc>
      </w:tr>
      <w:tr w14:paraId="79E1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45A59CEB">
            <w:pPr>
              <w:widowControl/>
              <w:jc w:val="left"/>
              <w:rPr>
                <w:rFonts w:ascii="宋体" w:hAnsi="宋体" w:cs="Courier New"/>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68384B12">
            <w:pPr>
              <w:widowControl/>
              <w:jc w:val="left"/>
              <w:rPr>
                <w:rFonts w:ascii="宋体" w:hAnsi="宋体" w:cs="Courier New"/>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4F818B73">
            <w:pPr>
              <w:widowControl/>
              <w:jc w:val="left"/>
              <w:rPr>
                <w:rFonts w:ascii="宋体" w:hAnsi="宋体" w:cs="Courier New"/>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42FA7A9C">
            <w:pPr>
              <w:widowControl/>
              <w:jc w:val="left"/>
              <w:rPr>
                <w:rFonts w:ascii="宋体" w:hAnsi="宋体" w:cs="Courier New"/>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1D1C9FA6">
            <w:pPr>
              <w:widowControl/>
              <w:jc w:val="left"/>
              <w:rPr>
                <w:rFonts w:ascii="宋体" w:hAnsi="宋体" w:cs="Courier New"/>
                <w:szCs w:val="21"/>
              </w:rPr>
            </w:pPr>
          </w:p>
        </w:tc>
        <w:tc>
          <w:tcPr>
            <w:tcW w:w="1156" w:type="dxa"/>
            <w:vMerge w:val="continue"/>
            <w:tcBorders>
              <w:top w:val="single" w:color="auto" w:sz="4" w:space="0"/>
              <w:left w:val="single" w:color="auto" w:sz="4" w:space="0"/>
              <w:bottom w:val="single" w:color="auto" w:sz="4" w:space="0"/>
              <w:right w:val="single" w:color="auto" w:sz="4" w:space="0"/>
            </w:tcBorders>
            <w:vAlign w:val="center"/>
          </w:tcPr>
          <w:p w14:paraId="10C762AA">
            <w:pPr>
              <w:widowControl/>
              <w:jc w:val="left"/>
              <w:rPr>
                <w:rFonts w:ascii="宋体" w:hAnsi="宋体" w:cs="Courier New"/>
                <w:szCs w:val="21"/>
              </w:rPr>
            </w:pPr>
          </w:p>
        </w:tc>
        <w:tc>
          <w:tcPr>
            <w:tcW w:w="5053" w:type="dxa"/>
            <w:tcBorders>
              <w:top w:val="single" w:color="auto" w:sz="4" w:space="0"/>
              <w:left w:val="single" w:color="auto" w:sz="4" w:space="0"/>
              <w:bottom w:val="single" w:color="auto" w:sz="4" w:space="0"/>
              <w:right w:val="single" w:color="auto" w:sz="4" w:space="0"/>
            </w:tcBorders>
            <w:vAlign w:val="center"/>
          </w:tcPr>
          <w:p w14:paraId="0DCC43A4">
            <w:pPr>
              <w:spacing w:line="160" w:lineRule="atLeast"/>
              <w:jc w:val="left"/>
              <w:textAlignment w:val="baseline"/>
              <w:rPr>
                <w:rFonts w:ascii="宋体" w:hAnsi="宋体" w:cs="Courier New"/>
                <w:szCs w:val="21"/>
              </w:rPr>
            </w:pPr>
            <w:r>
              <w:rPr>
                <w:rFonts w:hint="eastAsia" w:ascii="宋体" w:hAnsi="宋体" w:cs="Courier New"/>
                <w:szCs w:val="21"/>
              </w:rPr>
              <w:t>方案一般，措施基本全面，可行性一般，得6.0-7.0分</w:t>
            </w:r>
          </w:p>
        </w:tc>
      </w:tr>
      <w:tr w14:paraId="2253A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2F25BEAA">
            <w:pPr>
              <w:widowControl/>
              <w:jc w:val="left"/>
              <w:rPr>
                <w:rFonts w:ascii="宋体" w:hAnsi="宋体" w:cs="Courier New"/>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28B6FBEF">
            <w:pPr>
              <w:widowControl/>
              <w:jc w:val="left"/>
              <w:rPr>
                <w:rFonts w:ascii="宋体" w:hAnsi="宋体" w:cs="Courier New"/>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1F743805">
            <w:pPr>
              <w:widowControl/>
              <w:jc w:val="left"/>
              <w:rPr>
                <w:rFonts w:ascii="宋体" w:hAnsi="宋体" w:cs="Courier New"/>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3792F30B">
            <w:pPr>
              <w:widowControl/>
              <w:jc w:val="left"/>
              <w:rPr>
                <w:rFonts w:ascii="宋体" w:hAnsi="宋体" w:cs="Courier New"/>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5F6A40CC">
            <w:pPr>
              <w:widowControl/>
              <w:jc w:val="left"/>
              <w:rPr>
                <w:rFonts w:ascii="宋体" w:hAnsi="宋体" w:cs="Courier New"/>
                <w:szCs w:val="21"/>
              </w:rPr>
            </w:pPr>
          </w:p>
        </w:tc>
        <w:tc>
          <w:tcPr>
            <w:tcW w:w="1156" w:type="dxa"/>
            <w:vMerge w:val="restart"/>
            <w:tcBorders>
              <w:top w:val="single" w:color="auto" w:sz="4" w:space="0"/>
              <w:left w:val="single" w:color="auto" w:sz="4" w:space="0"/>
              <w:bottom w:val="single" w:color="auto" w:sz="4" w:space="0"/>
              <w:right w:val="single" w:color="auto" w:sz="4" w:space="0"/>
            </w:tcBorders>
            <w:vAlign w:val="center"/>
          </w:tcPr>
          <w:p w14:paraId="3A4AB8EE">
            <w:pPr>
              <w:spacing w:line="160" w:lineRule="atLeast"/>
              <w:jc w:val="center"/>
              <w:textAlignment w:val="baseline"/>
              <w:rPr>
                <w:rFonts w:ascii="宋体" w:hAnsi="宋体" w:cs="Courier New"/>
                <w:szCs w:val="21"/>
              </w:rPr>
            </w:pPr>
            <w:r>
              <w:rPr>
                <w:rFonts w:hint="eastAsia" w:ascii="宋体" w:hAnsi="宋体" w:cs="Courier New"/>
                <w:szCs w:val="21"/>
              </w:rPr>
              <w:t>监理工</w:t>
            </w:r>
          </w:p>
          <w:p w14:paraId="3C5E7A0A">
            <w:pPr>
              <w:spacing w:line="160" w:lineRule="atLeast"/>
              <w:jc w:val="center"/>
              <w:textAlignment w:val="baseline"/>
              <w:rPr>
                <w:rFonts w:ascii="宋体" w:hAnsi="宋体" w:cs="Courier New"/>
                <w:szCs w:val="21"/>
              </w:rPr>
            </w:pPr>
            <w:r>
              <w:rPr>
                <w:rFonts w:hint="eastAsia" w:ascii="宋体" w:hAnsi="宋体" w:cs="Courier New"/>
                <w:szCs w:val="21"/>
              </w:rPr>
              <w:t>作程序</w:t>
            </w:r>
          </w:p>
          <w:p w14:paraId="16EB1963">
            <w:pPr>
              <w:spacing w:line="160" w:lineRule="atLeast"/>
              <w:jc w:val="center"/>
              <w:textAlignment w:val="baseline"/>
              <w:rPr>
                <w:rFonts w:ascii="宋体" w:hAnsi="宋体" w:cs="Courier New"/>
                <w:szCs w:val="21"/>
              </w:rPr>
            </w:pPr>
            <w:r>
              <w:rPr>
                <w:rFonts w:hint="eastAsia" w:ascii="宋体" w:hAnsi="宋体" w:cs="Courier New"/>
                <w:szCs w:val="21"/>
              </w:rPr>
              <w:t>(8分)</w:t>
            </w:r>
          </w:p>
        </w:tc>
        <w:tc>
          <w:tcPr>
            <w:tcW w:w="5053" w:type="dxa"/>
            <w:tcBorders>
              <w:top w:val="single" w:color="auto" w:sz="4" w:space="0"/>
              <w:left w:val="single" w:color="auto" w:sz="4" w:space="0"/>
              <w:bottom w:val="single" w:color="auto" w:sz="4" w:space="0"/>
              <w:right w:val="single" w:color="auto" w:sz="4" w:space="0"/>
            </w:tcBorders>
            <w:vAlign w:val="center"/>
          </w:tcPr>
          <w:p w14:paraId="3235A60C">
            <w:pPr>
              <w:spacing w:line="160" w:lineRule="atLeast"/>
              <w:jc w:val="left"/>
              <w:textAlignment w:val="baseline"/>
              <w:rPr>
                <w:rFonts w:ascii="宋体" w:hAnsi="宋体" w:cs="Courier New"/>
                <w:szCs w:val="21"/>
              </w:rPr>
            </w:pPr>
            <w:r>
              <w:rPr>
                <w:rFonts w:hint="eastAsia" w:ascii="宋体" w:hAnsi="宋体" w:cs="Courier New"/>
                <w:szCs w:val="21"/>
              </w:rPr>
              <w:t>内容齐全，阶段划分合理、正确，可实施性强，得6.4-8.0分</w:t>
            </w:r>
          </w:p>
        </w:tc>
      </w:tr>
      <w:tr w14:paraId="48731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1E024DF7">
            <w:pPr>
              <w:widowControl/>
              <w:jc w:val="left"/>
              <w:rPr>
                <w:rFonts w:ascii="宋体" w:hAnsi="宋体" w:cs="Courier New"/>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146B59AB">
            <w:pPr>
              <w:widowControl/>
              <w:jc w:val="left"/>
              <w:rPr>
                <w:rFonts w:ascii="宋体" w:hAnsi="宋体" w:cs="Courier New"/>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1F04D84B">
            <w:pPr>
              <w:widowControl/>
              <w:jc w:val="left"/>
              <w:rPr>
                <w:rFonts w:ascii="宋体" w:hAnsi="宋体" w:cs="Courier New"/>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246907EF">
            <w:pPr>
              <w:widowControl/>
              <w:jc w:val="left"/>
              <w:rPr>
                <w:rFonts w:ascii="宋体" w:hAnsi="宋体" w:cs="Courier New"/>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5BB35F65">
            <w:pPr>
              <w:widowControl/>
              <w:jc w:val="left"/>
              <w:rPr>
                <w:rFonts w:ascii="宋体" w:hAnsi="宋体" w:cs="Courier New"/>
                <w:szCs w:val="21"/>
              </w:rPr>
            </w:pPr>
          </w:p>
        </w:tc>
        <w:tc>
          <w:tcPr>
            <w:tcW w:w="1156" w:type="dxa"/>
            <w:vMerge w:val="continue"/>
            <w:tcBorders>
              <w:top w:val="single" w:color="auto" w:sz="4" w:space="0"/>
              <w:left w:val="single" w:color="auto" w:sz="4" w:space="0"/>
              <w:bottom w:val="single" w:color="auto" w:sz="4" w:space="0"/>
              <w:right w:val="single" w:color="auto" w:sz="4" w:space="0"/>
            </w:tcBorders>
            <w:vAlign w:val="center"/>
          </w:tcPr>
          <w:p w14:paraId="4FDB8F86">
            <w:pPr>
              <w:widowControl/>
              <w:jc w:val="left"/>
              <w:rPr>
                <w:rFonts w:ascii="宋体" w:hAnsi="宋体" w:cs="Courier New"/>
                <w:szCs w:val="21"/>
              </w:rPr>
            </w:pPr>
          </w:p>
        </w:tc>
        <w:tc>
          <w:tcPr>
            <w:tcW w:w="5053" w:type="dxa"/>
            <w:tcBorders>
              <w:top w:val="single" w:color="auto" w:sz="4" w:space="0"/>
              <w:left w:val="single" w:color="auto" w:sz="4" w:space="0"/>
              <w:bottom w:val="single" w:color="auto" w:sz="4" w:space="0"/>
              <w:right w:val="single" w:color="auto" w:sz="4" w:space="0"/>
            </w:tcBorders>
            <w:vAlign w:val="center"/>
          </w:tcPr>
          <w:p w14:paraId="695842D1">
            <w:pPr>
              <w:spacing w:line="160" w:lineRule="atLeast"/>
              <w:jc w:val="left"/>
              <w:textAlignment w:val="baseline"/>
              <w:rPr>
                <w:rFonts w:ascii="宋体" w:hAnsi="宋体" w:cs="Courier New"/>
                <w:szCs w:val="21"/>
              </w:rPr>
            </w:pPr>
            <w:r>
              <w:rPr>
                <w:rFonts w:hint="eastAsia" w:ascii="宋体" w:hAnsi="宋体" w:cs="Courier New"/>
                <w:szCs w:val="21"/>
              </w:rPr>
              <w:t>内容较齐全，阶段划分较合理，可实施性较好，得5.6-6.4分</w:t>
            </w:r>
          </w:p>
        </w:tc>
      </w:tr>
      <w:tr w14:paraId="001E6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1D1E6DDA">
            <w:pPr>
              <w:widowControl/>
              <w:jc w:val="left"/>
              <w:rPr>
                <w:rFonts w:ascii="宋体" w:hAnsi="宋体" w:cs="Courier New"/>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5BADCEA1">
            <w:pPr>
              <w:widowControl/>
              <w:jc w:val="left"/>
              <w:rPr>
                <w:rFonts w:ascii="宋体" w:hAnsi="宋体" w:cs="Courier New"/>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3A9B3CE9">
            <w:pPr>
              <w:widowControl/>
              <w:jc w:val="left"/>
              <w:rPr>
                <w:rFonts w:ascii="宋体" w:hAnsi="宋体" w:cs="Courier New"/>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3B9A31AD">
            <w:pPr>
              <w:widowControl/>
              <w:jc w:val="left"/>
              <w:rPr>
                <w:rFonts w:ascii="宋体" w:hAnsi="宋体" w:cs="Courier New"/>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616FEF16">
            <w:pPr>
              <w:widowControl/>
              <w:jc w:val="left"/>
              <w:rPr>
                <w:rFonts w:ascii="宋体" w:hAnsi="宋体" w:cs="Courier New"/>
                <w:szCs w:val="21"/>
              </w:rPr>
            </w:pPr>
          </w:p>
        </w:tc>
        <w:tc>
          <w:tcPr>
            <w:tcW w:w="1156" w:type="dxa"/>
            <w:vMerge w:val="continue"/>
            <w:tcBorders>
              <w:top w:val="single" w:color="auto" w:sz="4" w:space="0"/>
              <w:left w:val="single" w:color="auto" w:sz="4" w:space="0"/>
              <w:bottom w:val="single" w:color="auto" w:sz="4" w:space="0"/>
              <w:right w:val="single" w:color="auto" w:sz="4" w:space="0"/>
            </w:tcBorders>
            <w:vAlign w:val="center"/>
          </w:tcPr>
          <w:p w14:paraId="57C50C0A">
            <w:pPr>
              <w:widowControl/>
              <w:jc w:val="left"/>
              <w:rPr>
                <w:rFonts w:ascii="宋体" w:hAnsi="宋体" w:cs="Courier New"/>
                <w:szCs w:val="21"/>
              </w:rPr>
            </w:pPr>
          </w:p>
        </w:tc>
        <w:tc>
          <w:tcPr>
            <w:tcW w:w="5053" w:type="dxa"/>
            <w:tcBorders>
              <w:top w:val="single" w:color="auto" w:sz="4" w:space="0"/>
              <w:left w:val="single" w:color="auto" w:sz="4" w:space="0"/>
              <w:bottom w:val="single" w:color="auto" w:sz="4" w:space="0"/>
              <w:right w:val="single" w:color="auto" w:sz="4" w:space="0"/>
            </w:tcBorders>
            <w:vAlign w:val="center"/>
          </w:tcPr>
          <w:p w14:paraId="414C8E61">
            <w:pPr>
              <w:spacing w:line="160" w:lineRule="atLeast"/>
              <w:jc w:val="left"/>
              <w:textAlignment w:val="baseline"/>
              <w:rPr>
                <w:rFonts w:ascii="宋体" w:hAnsi="宋体" w:cs="Courier New"/>
                <w:szCs w:val="21"/>
              </w:rPr>
            </w:pPr>
            <w:r>
              <w:rPr>
                <w:rFonts w:hint="eastAsia" w:ascii="宋体" w:hAnsi="宋体" w:cs="Courier New"/>
                <w:szCs w:val="21"/>
              </w:rPr>
              <w:t xml:space="preserve">内容基本齐全，阶段划分基本合理，可实施性一般，得4.8-5.6分 </w:t>
            </w:r>
          </w:p>
        </w:tc>
      </w:tr>
      <w:tr w14:paraId="6252F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4A9FCE04">
            <w:pPr>
              <w:widowControl/>
              <w:jc w:val="left"/>
              <w:rPr>
                <w:rFonts w:ascii="宋体" w:hAnsi="宋体" w:cs="Courier New"/>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4F74FF2C">
            <w:pPr>
              <w:widowControl/>
              <w:jc w:val="left"/>
              <w:rPr>
                <w:rFonts w:ascii="宋体" w:hAnsi="宋体" w:cs="Courier New"/>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7981A914">
            <w:pPr>
              <w:widowControl/>
              <w:jc w:val="left"/>
              <w:rPr>
                <w:rFonts w:ascii="宋体" w:hAnsi="宋体" w:cs="Courier New"/>
                <w:szCs w:val="21"/>
              </w:rPr>
            </w:pPr>
          </w:p>
        </w:tc>
        <w:tc>
          <w:tcPr>
            <w:tcW w:w="676" w:type="dxa"/>
            <w:vMerge w:val="restart"/>
            <w:tcBorders>
              <w:top w:val="single" w:color="auto" w:sz="4" w:space="0"/>
              <w:left w:val="single" w:color="auto" w:sz="4" w:space="0"/>
              <w:bottom w:val="single" w:color="auto" w:sz="4" w:space="0"/>
              <w:right w:val="single" w:color="auto" w:sz="4" w:space="0"/>
            </w:tcBorders>
            <w:vAlign w:val="center"/>
          </w:tcPr>
          <w:p w14:paraId="3472E5D0">
            <w:pPr>
              <w:spacing w:line="160" w:lineRule="atLeast"/>
              <w:jc w:val="center"/>
              <w:textAlignment w:val="baseline"/>
              <w:rPr>
                <w:rFonts w:ascii="宋体" w:hAnsi="宋体" w:cs="Courier New"/>
                <w:szCs w:val="21"/>
              </w:rPr>
            </w:pPr>
            <w:r>
              <w:rPr>
                <w:rFonts w:hint="eastAsia" w:ascii="宋体" w:hAnsi="宋体" w:cs="Courier New"/>
                <w:szCs w:val="21"/>
              </w:rPr>
              <w:t>本工程监理工作的重点与难点分析</w:t>
            </w:r>
          </w:p>
        </w:tc>
        <w:tc>
          <w:tcPr>
            <w:tcW w:w="600" w:type="dxa"/>
            <w:vMerge w:val="restart"/>
            <w:tcBorders>
              <w:top w:val="single" w:color="auto" w:sz="4" w:space="0"/>
              <w:left w:val="single" w:color="auto" w:sz="4" w:space="0"/>
              <w:bottom w:val="single" w:color="auto" w:sz="4" w:space="0"/>
              <w:right w:val="single" w:color="auto" w:sz="4" w:space="0"/>
            </w:tcBorders>
            <w:vAlign w:val="center"/>
          </w:tcPr>
          <w:p w14:paraId="4E765DE8">
            <w:pPr>
              <w:spacing w:line="160" w:lineRule="atLeast"/>
              <w:ind w:left="33" w:leftChars="-48" w:hanging="134" w:hangingChars="64"/>
              <w:jc w:val="center"/>
              <w:textAlignment w:val="baseline"/>
              <w:rPr>
                <w:rFonts w:ascii="宋体" w:hAnsi="宋体" w:cs="Courier New"/>
                <w:szCs w:val="21"/>
              </w:rPr>
            </w:pPr>
            <w:r>
              <w:rPr>
                <w:rFonts w:hint="eastAsia" w:ascii="宋体" w:hAnsi="宋体" w:cs="Courier New"/>
                <w:szCs w:val="21"/>
              </w:rPr>
              <w:t>5分</w:t>
            </w: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05110BCF">
            <w:pPr>
              <w:spacing w:line="160" w:lineRule="atLeast"/>
              <w:jc w:val="left"/>
              <w:textAlignment w:val="baseline"/>
              <w:rPr>
                <w:rFonts w:ascii="宋体" w:hAnsi="宋体" w:cs="Courier New"/>
                <w:szCs w:val="21"/>
              </w:rPr>
            </w:pPr>
            <w:r>
              <w:rPr>
                <w:rFonts w:hint="eastAsia" w:ascii="宋体" w:hAnsi="宋体" w:cs="Courier New"/>
                <w:szCs w:val="21"/>
              </w:rPr>
              <w:t>分析透彻，对难点、重点把握准确；处理措施科学合理，有效可行，得4.0-5.0分</w:t>
            </w:r>
          </w:p>
        </w:tc>
      </w:tr>
      <w:tr w14:paraId="5C29C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03B685E7">
            <w:pPr>
              <w:widowControl/>
              <w:jc w:val="left"/>
              <w:rPr>
                <w:rFonts w:ascii="宋体" w:hAnsi="宋体" w:cs="Courier New"/>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3C8CA68D">
            <w:pPr>
              <w:widowControl/>
              <w:jc w:val="left"/>
              <w:rPr>
                <w:rFonts w:ascii="宋体" w:hAnsi="宋体" w:cs="Courier New"/>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02939A74">
            <w:pPr>
              <w:widowControl/>
              <w:jc w:val="left"/>
              <w:rPr>
                <w:rFonts w:ascii="宋体" w:hAnsi="宋体" w:cs="Courier New"/>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372C7F9F">
            <w:pPr>
              <w:widowControl/>
              <w:jc w:val="left"/>
              <w:rPr>
                <w:rFonts w:ascii="宋体" w:hAnsi="宋体" w:cs="Courier New"/>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5AB316FA">
            <w:pPr>
              <w:widowControl/>
              <w:jc w:val="left"/>
              <w:rPr>
                <w:rFonts w:ascii="宋体" w:hAnsi="宋体" w:cs="Courier New"/>
                <w:szCs w:val="21"/>
              </w:rPr>
            </w:pP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1C33E375">
            <w:pPr>
              <w:spacing w:line="160" w:lineRule="atLeast"/>
              <w:jc w:val="left"/>
              <w:textAlignment w:val="baseline"/>
              <w:rPr>
                <w:rFonts w:ascii="宋体" w:hAnsi="宋体" w:cs="Courier New"/>
                <w:szCs w:val="21"/>
              </w:rPr>
            </w:pPr>
            <w:r>
              <w:rPr>
                <w:rFonts w:hint="eastAsia" w:ascii="宋体" w:hAnsi="宋体" w:cs="Courier New"/>
                <w:szCs w:val="21"/>
              </w:rPr>
              <w:t>分析较透彻，对难点、重点把握较准确；处理措施合理，可行，得3.5-4.0分</w:t>
            </w:r>
          </w:p>
        </w:tc>
      </w:tr>
      <w:tr w14:paraId="3733B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320D46FD">
            <w:pPr>
              <w:widowControl/>
              <w:jc w:val="left"/>
              <w:rPr>
                <w:rFonts w:ascii="宋体" w:hAnsi="宋体" w:cs="Courier New"/>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35CFCF3A">
            <w:pPr>
              <w:widowControl/>
              <w:jc w:val="left"/>
              <w:rPr>
                <w:rFonts w:ascii="宋体" w:hAnsi="宋体" w:cs="Courier New"/>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7AA64E28">
            <w:pPr>
              <w:widowControl/>
              <w:jc w:val="left"/>
              <w:rPr>
                <w:rFonts w:ascii="宋体" w:hAnsi="宋体" w:cs="Courier New"/>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1A2BCBBF">
            <w:pPr>
              <w:widowControl/>
              <w:jc w:val="left"/>
              <w:rPr>
                <w:rFonts w:ascii="宋体" w:hAnsi="宋体" w:cs="Courier New"/>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1C84883E">
            <w:pPr>
              <w:widowControl/>
              <w:jc w:val="left"/>
              <w:rPr>
                <w:rFonts w:ascii="宋体" w:hAnsi="宋体" w:cs="Courier New"/>
                <w:szCs w:val="21"/>
              </w:rPr>
            </w:pP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138529DB">
            <w:pPr>
              <w:spacing w:line="160" w:lineRule="atLeast"/>
              <w:jc w:val="left"/>
              <w:textAlignment w:val="baseline"/>
              <w:rPr>
                <w:rFonts w:ascii="宋体" w:hAnsi="宋体" w:cs="Courier New"/>
                <w:szCs w:val="21"/>
              </w:rPr>
            </w:pPr>
            <w:r>
              <w:rPr>
                <w:rFonts w:hint="eastAsia" w:ascii="宋体" w:hAnsi="宋体" w:cs="Courier New"/>
                <w:szCs w:val="21"/>
              </w:rPr>
              <w:t>分析一般，对难点、重点把握一般；处理措施基本合理，基本可行，得3.0-3.5分</w:t>
            </w:r>
          </w:p>
        </w:tc>
      </w:tr>
      <w:tr w14:paraId="51032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18CED5CE">
            <w:pPr>
              <w:widowControl/>
              <w:jc w:val="left"/>
              <w:rPr>
                <w:rFonts w:ascii="宋体" w:hAnsi="宋体" w:cs="Courier New"/>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67F11EAA">
            <w:pPr>
              <w:widowControl/>
              <w:jc w:val="left"/>
              <w:rPr>
                <w:rFonts w:ascii="宋体" w:hAnsi="宋体" w:cs="Courier New"/>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5182B811">
            <w:pPr>
              <w:widowControl/>
              <w:jc w:val="left"/>
              <w:rPr>
                <w:rFonts w:ascii="宋体" w:hAnsi="宋体" w:cs="Courier New"/>
                <w:szCs w:val="21"/>
              </w:rPr>
            </w:pPr>
          </w:p>
        </w:tc>
        <w:tc>
          <w:tcPr>
            <w:tcW w:w="676" w:type="dxa"/>
            <w:vMerge w:val="restart"/>
            <w:tcBorders>
              <w:top w:val="single" w:color="auto" w:sz="4" w:space="0"/>
              <w:left w:val="single" w:color="auto" w:sz="4" w:space="0"/>
              <w:bottom w:val="single" w:color="auto" w:sz="4" w:space="0"/>
              <w:right w:val="single" w:color="auto" w:sz="4" w:space="0"/>
            </w:tcBorders>
            <w:vAlign w:val="center"/>
          </w:tcPr>
          <w:p w14:paraId="01658DA2">
            <w:pPr>
              <w:spacing w:line="160" w:lineRule="atLeast"/>
              <w:jc w:val="center"/>
              <w:textAlignment w:val="baseline"/>
              <w:rPr>
                <w:rFonts w:ascii="宋体" w:hAnsi="宋体" w:cs="Courier New"/>
                <w:szCs w:val="21"/>
              </w:rPr>
            </w:pPr>
            <w:r>
              <w:rPr>
                <w:rFonts w:hint="eastAsia" w:ascii="宋体" w:hAnsi="宋体" w:cs="Courier New"/>
                <w:szCs w:val="21"/>
              </w:rPr>
              <w:t>对本工程的建议</w:t>
            </w:r>
          </w:p>
        </w:tc>
        <w:tc>
          <w:tcPr>
            <w:tcW w:w="600" w:type="dxa"/>
            <w:vMerge w:val="restart"/>
            <w:tcBorders>
              <w:top w:val="single" w:color="auto" w:sz="4" w:space="0"/>
              <w:left w:val="single" w:color="auto" w:sz="4" w:space="0"/>
              <w:bottom w:val="single" w:color="auto" w:sz="4" w:space="0"/>
              <w:right w:val="single" w:color="auto" w:sz="4" w:space="0"/>
            </w:tcBorders>
            <w:vAlign w:val="center"/>
          </w:tcPr>
          <w:p w14:paraId="3F2D6511">
            <w:pPr>
              <w:spacing w:line="160" w:lineRule="atLeast"/>
              <w:jc w:val="center"/>
              <w:textAlignment w:val="baseline"/>
              <w:rPr>
                <w:rFonts w:ascii="宋体" w:hAnsi="宋体" w:cs="Courier New"/>
                <w:szCs w:val="21"/>
              </w:rPr>
            </w:pPr>
            <w:r>
              <w:rPr>
                <w:rFonts w:ascii="宋体" w:hAnsi="宋体" w:cs="Courier New"/>
                <w:szCs w:val="21"/>
              </w:rPr>
              <w:t>5</w:t>
            </w:r>
            <w:r>
              <w:rPr>
                <w:rFonts w:hint="eastAsia" w:ascii="宋体" w:hAnsi="宋体" w:cs="Courier New"/>
                <w:szCs w:val="21"/>
              </w:rPr>
              <w:t>分</w:t>
            </w: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49F38256">
            <w:pPr>
              <w:spacing w:line="160" w:lineRule="atLeast"/>
              <w:jc w:val="left"/>
              <w:textAlignment w:val="baseline"/>
              <w:rPr>
                <w:rFonts w:ascii="宋体" w:hAnsi="宋体" w:cs="Courier New"/>
                <w:szCs w:val="21"/>
              </w:rPr>
            </w:pPr>
            <w:r>
              <w:rPr>
                <w:rFonts w:hint="eastAsia" w:ascii="宋体" w:hAnsi="宋体" w:cs="Courier New"/>
                <w:szCs w:val="21"/>
              </w:rPr>
              <w:t>建议措施具体全面、可靠、合理，可实施性强，4.0-5.0分</w:t>
            </w:r>
          </w:p>
        </w:tc>
      </w:tr>
      <w:tr w14:paraId="435CB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371BCB0E">
            <w:pPr>
              <w:widowControl/>
              <w:jc w:val="left"/>
              <w:rPr>
                <w:rFonts w:ascii="宋体" w:hAnsi="宋体" w:cs="Courier New"/>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2495DD41">
            <w:pPr>
              <w:widowControl/>
              <w:jc w:val="left"/>
              <w:rPr>
                <w:rFonts w:ascii="宋体" w:hAnsi="宋体" w:cs="Courier New"/>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4F559C8B">
            <w:pPr>
              <w:widowControl/>
              <w:jc w:val="left"/>
              <w:rPr>
                <w:rFonts w:ascii="宋体" w:hAnsi="宋体" w:cs="Courier New"/>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75DC63FD">
            <w:pPr>
              <w:widowControl/>
              <w:jc w:val="left"/>
              <w:rPr>
                <w:rFonts w:ascii="宋体" w:hAnsi="宋体" w:cs="Courier New"/>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210D967F">
            <w:pPr>
              <w:widowControl/>
              <w:jc w:val="left"/>
              <w:rPr>
                <w:rFonts w:ascii="宋体" w:hAnsi="宋体" w:cs="Courier New"/>
                <w:szCs w:val="21"/>
              </w:rPr>
            </w:pP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10953A3E">
            <w:pPr>
              <w:spacing w:line="160" w:lineRule="atLeast"/>
              <w:jc w:val="left"/>
              <w:textAlignment w:val="baseline"/>
              <w:rPr>
                <w:rFonts w:ascii="宋体" w:hAnsi="宋体" w:cs="Courier New"/>
                <w:szCs w:val="21"/>
              </w:rPr>
            </w:pPr>
            <w:r>
              <w:rPr>
                <w:rFonts w:hint="eastAsia" w:ascii="宋体" w:hAnsi="宋体" w:cs="Courier New"/>
                <w:szCs w:val="21"/>
              </w:rPr>
              <w:t>建议措施全面、合理，可实施性较好，得3.5-4.0分</w:t>
            </w:r>
          </w:p>
        </w:tc>
      </w:tr>
      <w:tr w14:paraId="6C4A9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6F307226">
            <w:pPr>
              <w:widowControl/>
              <w:jc w:val="left"/>
              <w:rPr>
                <w:rFonts w:ascii="宋体" w:hAnsi="宋体" w:cs="Courier New"/>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4298E89D">
            <w:pPr>
              <w:widowControl/>
              <w:jc w:val="left"/>
              <w:rPr>
                <w:rFonts w:ascii="宋体" w:hAnsi="宋体" w:cs="Courier New"/>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5D59B500">
            <w:pPr>
              <w:widowControl/>
              <w:jc w:val="left"/>
              <w:rPr>
                <w:rFonts w:ascii="宋体" w:hAnsi="宋体" w:cs="Courier New"/>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3616EB51">
            <w:pPr>
              <w:widowControl/>
              <w:jc w:val="left"/>
              <w:rPr>
                <w:rFonts w:ascii="宋体" w:hAnsi="宋体" w:cs="Courier New"/>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35A131E2">
            <w:pPr>
              <w:widowControl/>
              <w:jc w:val="left"/>
              <w:rPr>
                <w:rFonts w:ascii="宋体" w:hAnsi="宋体" w:cs="Courier New"/>
                <w:szCs w:val="21"/>
              </w:rPr>
            </w:pP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4A04371B">
            <w:pPr>
              <w:spacing w:line="160" w:lineRule="atLeast"/>
              <w:jc w:val="left"/>
              <w:textAlignment w:val="baseline"/>
              <w:rPr>
                <w:rFonts w:ascii="宋体" w:hAnsi="宋体" w:cs="Courier New"/>
                <w:szCs w:val="21"/>
              </w:rPr>
            </w:pPr>
            <w:r>
              <w:rPr>
                <w:rFonts w:hint="eastAsia" w:ascii="宋体" w:hAnsi="宋体" w:cs="Courier New"/>
                <w:szCs w:val="21"/>
              </w:rPr>
              <w:t>建议措施基本全面、合理，可实施性一般，得3.0-3.5分</w:t>
            </w:r>
          </w:p>
        </w:tc>
      </w:tr>
      <w:tr w14:paraId="1C775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741" w:type="dxa"/>
            <w:vMerge w:val="restart"/>
            <w:tcBorders>
              <w:top w:val="single" w:color="auto" w:sz="4" w:space="0"/>
              <w:left w:val="single" w:color="auto" w:sz="4" w:space="0"/>
              <w:bottom w:val="single" w:color="auto" w:sz="4" w:space="0"/>
              <w:right w:val="single" w:color="auto" w:sz="4" w:space="0"/>
            </w:tcBorders>
            <w:vAlign w:val="center"/>
          </w:tcPr>
          <w:p w14:paraId="707B4D72">
            <w:pPr>
              <w:spacing w:line="160" w:lineRule="atLeast"/>
              <w:jc w:val="center"/>
              <w:textAlignment w:val="baseline"/>
              <w:rPr>
                <w:rFonts w:ascii="宋体" w:hAnsi="宋体" w:cs="Courier New"/>
                <w:szCs w:val="21"/>
              </w:rPr>
            </w:pPr>
            <w:r>
              <w:rPr>
                <w:rFonts w:hint="eastAsia" w:ascii="宋体" w:hAnsi="宋体" w:cs="Courier New"/>
                <w:szCs w:val="21"/>
              </w:rPr>
              <w:t>2.2.4（2）</w:t>
            </w:r>
          </w:p>
        </w:tc>
        <w:tc>
          <w:tcPr>
            <w:tcW w:w="740" w:type="dxa"/>
            <w:vMerge w:val="restart"/>
            <w:tcBorders>
              <w:top w:val="single" w:color="auto" w:sz="4" w:space="0"/>
              <w:left w:val="single" w:color="auto" w:sz="4" w:space="0"/>
              <w:bottom w:val="single" w:color="auto" w:sz="4" w:space="0"/>
              <w:right w:val="single" w:color="auto" w:sz="4" w:space="0"/>
            </w:tcBorders>
            <w:vAlign w:val="center"/>
          </w:tcPr>
          <w:p w14:paraId="22C64FE0">
            <w:pPr>
              <w:spacing w:line="160" w:lineRule="atLeast"/>
              <w:jc w:val="center"/>
              <w:textAlignment w:val="baseline"/>
              <w:rPr>
                <w:rFonts w:ascii="宋体" w:hAnsi="宋体" w:cs="Courier New"/>
                <w:szCs w:val="21"/>
              </w:rPr>
            </w:pPr>
            <w:r>
              <w:rPr>
                <w:rFonts w:hint="eastAsia" w:ascii="宋体" w:hAnsi="宋体" w:cs="Courier New"/>
                <w:szCs w:val="21"/>
              </w:rPr>
              <w:t>主要人员（明标部分）</w:t>
            </w:r>
          </w:p>
        </w:tc>
        <w:tc>
          <w:tcPr>
            <w:tcW w:w="802" w:type="dxa"/>
            <w:vMerge w:val="restart"/>
            <w:tcBorders>
              <w:top w:val="single" w:color="auto" w:sz="4" w:space="0"/>
              <w:left w:val="single" w:color="auto" w:sz="4" w:space="0"/>
              <w:bottom w:val="single" w:color="auto" w:sz="4" w:space="0"/>
              <w:right w:val="single" w:color="auto" w:sz="4" w:space="0"/>
            </w:tcBorders>
            <w:vAlign w:val="center"/>
          </w:tcPr>
          <w:p w14:paraId="62C3F077">
            <w:pPr>
              <w:spacing w:line="160" w:lineRule="atLeast"/>
              <w:jc w:val="center"/>
              <w:textAlignment w:val="baseline"/>
              <w:rPr>
                <w:rFonts w:ascii="宋体" w:hAnsi="宋体" w:cs="Courier New"/>
                <w:szCs w:val="21"/>
              </w:rPr>
            </w:pPr>
            <w:r>
              <w:rPr>
                <w:rFonts w:hint="eastAsia" w:ascii="宋体" w:hAnsi="宋体" w:cs="Courier New"/>
                <w:szCs w:val="21"/>
              </w:rPr>
              <w:t>30分</w:t>
            </w:r>
          </w:p>
        </w:tc>
        <w:tc>
          <w:tcPr>
            <w:tcW w:w="676" w:type="dxa"/>
            <w:vMerge w:val="restart"/>
            <w:tcBorders>
              <w:top w:val="single" w:color="auto" w:sz="4" w:space="0"/>
              <w:left w:val="single" w:color="auto" w:sz="4" w:space="0"/>
              <w:bottom w:val="single" w:color="auto" w:sz="4" w:space="0"/>
              <w:right w:val="single" w:color="auto" w:sz="4" w:space="0"/>
            </w:tcBorders>
            <w:vAlign w:val="center"/>
          </w:tcPr>
          <w:p w14:paraId="30781240">
            <w:pPr>
              <w:spacing w:line="160" w:lineRule="atLeast"/>
              <w:jc w:val="center"/>
              <w:textAlignment w:val="baseline"/>
              <w:rPr>
                <w:rFonts w:hint="eastAsia" w:ascii="宋体" w:hAnsi="宋体" w:eastAsia="宋体" w:cs="Courier New"/>
                <w:szCs w:val="21"/>
                <w:lang w:eastAsia="zh-CN"/>
              </w:rPr>
            </w:pPr>
            <w:r>
              <w:rPr>
                <w:rFonts w:hint="eastAsia" w:ascii="宋体" w:hAnsi="宋体" w:cs="宋体"/>
                <w:lang w:eastAsia="zh-CN"/>
              </w:rPr>
              <w:t>总监理工程师</w:t>
            </w:r>
          </w:p>
        </w:tc>
        <w:tc>
          <w:tcPr>
            <w:tcW w:w="600" w:type="dxa"/>
            <w:tcBorders>
              <w:top w:val="single" w:color="auto" w:sz="4" w:space="0"/>
              <w:left w:val="single" w:color="auto" w:sz="4" w:space="0"/>
              <w:bottom w:val="single" w:color="auto" w:sz="4" w:space="0"/>
              <w:right w:val="single" w:color="auto" w:sz="4" w:space="0"/>
            </w:tcBorders>
            <w:vAlign w:val="center"/>
          </w:tcPr>
          <w:p w14:paraId="34E1A4DE">
            <w:pPr>
              <w:spacing w:line="160" w:lineRule="atLeast"/>
              <w:ind w:left="33" w:leftChars="-48" w:hanging="134" w:hangingChars="64"/>
              <w:jc w:val="center"/>
              <w:textAlignment w:val="baseline"/>
              <w:rPr>
                <w:rFonts w:ascii="宋体" w:hAnsi="宋体" w:cs="Courier New"/>
                <w:szCs w:val="21"/>
              </w:rPr>
            </w:pPr>
            <w:r>
              <w:rPr>
                <w:rFonts w:hint="eastAsia" w:ascii="宋体" w:hAnsi="宋体" w:cs="Courier New"/>
                <w:szCs w:val="21"/>
              </w:rPr>
              <w:t>18分</w:t>
            </w: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77E91BF5">
            <w:pPr>
              <w:spacing w:line="160" w:lineRule="atLeast"/>
              <w:jc w:val="left"/>
              <w:textAlignment w:val="baseline"/>
              <w:rPr>
                <w:rFonts w:ascii="宋体" w:hAnsi="宋体" w:cs="Courier New"/>
                <w:szCs w:val="21"/>
              </w:rPr>
            </w:pPr>
            <w:r>
              <w:rPr>
                <w:rFonts w:hint="eastAsia" w:ascii="宋体" w:hAnsi="宋体" w:cs="Courier New"/>
                <w:szCs w:val="21"/>
              </w:rPr>
              <w:t>满足附录4资格审查条件(</w:t>
            </w:r>
            <w:r>
              <w:rPr>
                <w:rFonts w:hint="eastAsia" w:ascii="宋体" w:hAnsi="宋体" w:cs="Courier New"/>
                <w:szCs w:val="21"/>
                <w:lang w:eastAsia="zh-CN"/>
              </w:rPr>
              <w:t>总监理工程师</w:t>
            </w:r>
            <w:r>
              <w:rPr>
                <w:rFonts w:hint="eastAsia" w:ascii="宋体" w:hAnsi="宋体" w:cs="Courier New"/>
                <w:szCs w:val="21"/>
              </w:rPr>
              <w:t>的最低要求)</w:t>
            </w:r>
            <w:r>
              <w:rPr>
                <w:rFonts w:hint="eastAsia" w:ascii="宋体" w:hAnsi="宋体" w:cs="Courier New"/>
                <w:szCs w:val="21"/>
                <w:lang w:eastAsia="zh-CN"/>
              </w:rPr>
              <w:t>总监理工程师</w:t>
            </w:r>
            <w:r>
              <w:rPr>
                <w:rFonts w:hint="eastAsia" w:ascii="宋体" w:hAnsi="宋体" w:cs="Courier New"/>
                <w:szCs w:val="21"/>
              </w:rPr>
              <w:t>业绩的得18分；</w:t>
            </w:r>
          </w:p>
        </w:tc>
      </w:tr>
      <w:tr w14:paraId="021F4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1A29C279">
            <w:pPr>
              <w:widowControl/>
              <w:jc w:val="left"/>
              <w:rPr>
                <w:rFonts w:ascii="宋体" w:hAnsi="宋体" w:cs="Courier New"/>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3351556F">
            <w:pPr>
              <w:widowControl/>
              <w:jc w:val="left"/>
              <w:rPr>
                <w:rFonts w:ascii="宋体" w:hAnsi="宋体" w:cs="Courier New"/>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0D4C50EA">
            <w:pPr>
              <w:widowControl/>
              <w:jc w:val="left"/>
              <w:rPr>
                <w:rFonts w:ascii="宋体" w:hAnsi="宋体" w:cs="Courier New"/>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555BFE2E">
            <w:pPr>
              <w:widowControl/>
              <w:jc w:val="left"/>
              <w:rPr>
                <w:rFonts w:ascii="宋体" w:hAnsi="宋体" w:cs="Courier New"/>
                <w:szCs w:val="21"/>
              </w:rPr>
            </w:pPr>
          </w:p>
        </w:tc>
        <w:tc>
          <w:tcPr>
            <w:tcW w:w="600" w:type="dxa"/>
            <w:tcBorders>
              <w:top w:val="single" w:color="auto" w:sz="4" w:space="0"/>
              <w:left w:val="single" w:color="auto" w:sz="4" w:space="0"/>
              <w:bottom w:val="single" w:color="auto" w:sz="4" w:space="0"/>
              <w:right w:val="single" w:color="auto" w:sz="4" w:space="0"/>
            </w:tcBorders>
            <w:vAlign w:val="center"/>
          </w:tcPr>
          <w:p w14:paraId="30AEEEAC">
            <w:pPr>
              <w:spacing w:line="160" w:lineRule="atLeast"/>
              <w:ind w:left="33" w:leftChars="-48" w:hanging="134" w:hangingChars="64"/>
              <w:jc w:val="center"/>
              <w:textAlignment w:val="baseline"/>
              <w:rPr>
                <w:rFonts w:ascii="宋体" w:hAnsi="宋体" w:cs="Courier New"/>
                <w:szCs w:val="21"/>
              </w:rPr>
            </w:pPr>
            <w:r>
              <w:rPr>
                <w:rFonts w:ascii="宋体" w:hAnsi="宋体" w:cs="Courier New"/>
                <w:szCs w:val="21"/>
              </w:rPr>
              <w:t>1</w:t>
            </w:r>
            <w:r>
              <w:rPr>
                <w:rFonts w:hint="eastAsia" w:ascii="宋体" w:hAnsi="宋体" w:cs="Courier New"/>
                <w:szCs w:val="21"/>
              </w:rPr>
              <w:t>2分</w:t>
            </w: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19E041F2">
            <w:pPr>
              <w:spacing w:line="160" w:lineRule="atLeast"/>
              <w:jc w:val="left"/>
              <w:textAlignment w:val="baseline"/>
              <w:rPr>
                <w:rFonts w:ascii="宋体" w:hAnsi="宋体" w:cs="Courier New"/>
                <w:szCs w:val="21"/>
              </w:rPr>
            </w:pPr>
            <w:r>
              <w:rPr>
                <w:rFonts w:hint="eastAsia" w:ascii="宋体" w:hAnsi="宋体" w:cs="Courier New"/>
                <w:szCs w:val="21"/>
              </w:rPr>
              <w:t>每增加 1 项满足附录4资格审查条件(</w:t>
            </w:r>
            <w:r>
              <w:rPr>
                <w:rFonts w:hint="eastAsia" w:ascii="宋体" w:hAnsi="宋体" w:cs="Courier New"/>
                <w:szCs w:val="21"/>
                <w:lang w:eastAsia="zh-CN"/>
              </w:rPr>
              <w:t>总监理工程师</w:t>
            </w:r>
            <w:r>
              <w:rPr>
                <w:rFonts w:hint="eastAsia" w:ascii="宋体" w:hAnsi="宋体" w:cs="Courier New"/>
                <w:szCs w:val="21"/>
              </w:rPr>
              <w:t>的最低要求)</w:t>
            </w:r>
            <w:r>
              <w:rPr>
                <w:rFonts w:hint="eastAsia" w:ascii="宋体" w:hAnsi="宋体" w:cs="Courier New"/>
                <w:szCs w:val="21"/>
                <w:lang w:eastAsia="zh-CN"/>
              </w:rPr>
              <w:t>总监理工程师</w:t>
            </w:r>
            <w:r>
              <w:rPr>
                <w:rFonts w:hint="eastAsia" w:ascii="宋体" w:hAnsi="宋体" w:cs="Courier New"/>
                <w:szCs w:val="21"/>
              </w:rPr>
              <w:t>业绩加12分，最高加 12分。</w:t>
            </w:r>
          </w:p>
        </w:tc>
      </w:tr>
      <w:tr w14:paraId="22E8C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14:paraId="760A8615">
            <w:pPr>
              <w:spacing w:line="160" w:lineRule="atLeast"/>
              <w:jc w:val="center"/>
              <w:textAlignment w:val="baseline"/>
              <w:rPr>
                <w:rFonts w:ascii="宋体" w:hAnsi="宋体" w:cs="Courier New"/>
                <w:szCs w:val="21"/>
              </w:rPr>
            </w:pPr>
            <w:r>
              <w:rPr>
                <w:rFonts w:hint="eastAsia" w:ascii="宋体" w:hAnsi="宋体" w:cs="Courier New"/>
                <w:szCs w:val="21"/>
              </w:rPr>
              <w:t>2.2.4（3）</w:t>
            </w:r>
          </w:p>
        </w:tc>
        <w:tc>
          <w:tcPr>
            <w:tcW w:w="740" w:type="dxa"/>
            <w:tcBorders>
              <w:top w:val="single" w:color="auto" w:sz="4" w:space="0"/>
              <w:left w:val="single" w:color="auto" w:sz="4" w:space="0"/>
              <w:bottom w:val="single" w:color="auto" w:sz="4" w:space="0"/>
              <w:right w:val="single" w:color="auto" w:sz="4" w:space="0"/>
            </w:tcBorders>
            <w:vAlign w:val="center"/>
          </w:tcPr>
          <w:p w14:paraId="50A38EF7">
            <w:pPr>
              <w:spacing w:line="160" w:lineRule="atLeast"/>
              <w:jc w:val="center"/>
              <w:textAlignment w:val="baseline"/>
              <w:rPr>
                <w:rFonts w:ascii="宋体" w:hAnsi="宋体" w:cs="Courier New"/>
                <w:szCs w:val="21"/>
              </w:rPr>
            </w:pPr>
            <w:r>
              <w:rPr>
                <w:rFonts w:hint="eastAsia" w:ascii="宋体" w:hAnsi="宋体" w:cs="Courier New"/>
                <w:szCs w:val="21"/>
              </w:rPr>
              <w:t>评标价（明标部分）</w:t>
            </w:r>
          </w:p>
        </w:tc>
        <w:tc>
          <w:tcPr>
            <w:tcW w:w="802" w:type="dxa"/>
            <w:tcBorders>
              <w:top w:val="single" w:color="auto" w:sz="4" w:space="0"/>
              <w:left w:val="single" w:color="auto" w:sz="4" w:space="0"/>
              <w:bottom w:val="single" w:color="auto" w:sz="4" w:space="0"/>
              <w:right w:val="single" w:color="auto" w:sz="4" w:space="0"/>
            </w:tcBorders>
            <w:vAlign w:val="center"/>
          </w:tcPr>
          <w:p w14:paraId="73323B6E">
            <w:pPr>
              <w:spacing w:line="160" w:lineRule="atLeast"/>
              <w:jc w:val="center"/>
              <w:textAlignment w:val="baseline"/>
              <w:rPr>
                <w:rFonts w:ascii="宋体" w:hAnsi="宋体" w:cs="Courier New"/>
                <w:szCs w:val="21"/>
              </w:rPr>
            </w:pPr>
            <w:r>
              <w:rPr>
                <w:rFonts w:hint="eastAsia" w:ascii="宋体" w:hAnsi="宋体" w:cs="Courier New"/>
                <w:szCs w:val="21"/>
              </w:rPr>
              <w:t>10分</w:t>
            </w:r>
          </w:p>
        </w:tc>
        <w:tc>
          <w:tcPr>
            <w:tcW w:w="7485" w:type="dxa"/>
            <w:gridSpan w:val="4"/>
            <w:tcBorders>
              <w:top w:val="single" w:color="auto" w:sz="4" w:space="0"/>
              <w:left w:val="single" w:color="auto" w:sz="4" w:space="0"/>
              <w:bottom w:val="single" w:color="auto" w:sz="4" w:space="0"/>
              <w:right w:val="single" w:color="auto" w:sz="4" w:space="0"/>
            </w:tcBorders>
            <w:vAlign w:val="center"/>
          </w:tcPr>
          <w:p w14:paraId="73E42C4B">
            <w:pPr>
              <w:spacing w:line="160" w:lineRule="atLeast"/>
              <w:jc w:val="left"/>
              <w:textAlignment w:val="baseline"/>
              <w:rPr>
                <w:rFonts w:ascii="宋体" w:hAnsi="宋体" w:cs="Courier New"/>
                <w:szCs w:val="21"/>
              </w:rPr>
            </w:pPr>
            <w:r>
              <w:rPr>
                <w:rFonts w:hint="eastAsia" w:ascii="宋体" w:hAnsi="宋体" w:cs="Courier New"/>
                <w:szCs w:val="21"/>
              </w:rPr>
              <w:t>评标价得分计算公式示例：</w:t>
            </w:r>
          </w:p>
          <w:p w14:paraId="64B6F9E8">
            <w:pPr>
              <w:spacing w:line="160" w:lineRule="atLeast"/>
              <w:jc w:val="left"/>
              <w:textAlignment w:val="baseline"/>
              <w:rPr>
                <w:rFonts w:ascii="宋体" w:hAnsi="宋体" w:cs="Courier New"/>
                <w:szCs w:val="21"/>
              </w:rPr>
            </w:pPr>
            <w:r>
              <w:rPr>
                <w:rFonts w:hint="eastAsia" w:ascii="宋体" w:hAnsi="宋体" w:cs="Courier New"/>
                <w:szCs w:val="21"/>
              </w:rPr>
              <w:t>（1）如果投标人的评标价＞评标基准价，则评标价得分=F-（投标人评标价-评标基准价）/评标基准价×100×E1；</w:t>
            </w:r>
          </w:p>
          <w:p w14:paraId="67844B97">
            <w:pPr>
              <w:spacing w:line="160" w:lineRule="atLeast"/>
              <w:jc w:val="left"/>
              <w:textAlignment w:val="baseline"/>
              <w:rPr>
                <w:rFonts w:ascii="宋体" w:hAnsi="宋体" w:cs="Courier New"/>
                <w:szCs w:val="21"/>
              </w:rPr>
            </w:pPr>
            <w:r>
              <w:rPr>
                <w:rFonts w:hint="eastAsia" w:ascii="宋体" w:hAnsi="宋体" w:cs="Courier New"/>
                <w:szCs w:val="21"/>
              </w:rPr>
              <w:t>（2）如果投标人的评标价≤评标基准价，则评标价得分=F+(投标人评标价-评标基准价)/评标基准价×100×E2。</w:t>
            </w:r>
          </w:p>
          <w:p w14:paraId="722B60B0">
            <w:pPr>
              <w:spacing w:line="160" w:lineRule="atLeast"/>
              <w:jc w:val="left"/>
              <w:textAlignment w:val="baseline"/>
              <w:rPr>
                <w:rFonts w:ascii="宋体" w:hAnsi="宋体" w:cs="Courier New"/>
                <w:szCs w:val="21"/>
              </w:rPr>
            </w:pPr>
            <w:r>
              <w:rPr>
                <w:rFonts w:hint="eastAsia" w:ascii="宋体" w:hAnsi="宋体" w:cs="Courier New"/>
                <w:szCs w:val="21"/>
              </w:rPr>
              <w:t>其中，F=10；E1=0.</w:t>
            </w:r>
            <w:r>
              <w:rPr>
                <w:rFonts w:ascii="宋体" w:hAnsi="宋体" w:cs="Courier New"/>
                <w:szCs w:val="21"/>
              </w:rPr>
              <w:t>2</w:t>
            </w:r>
            <w:r>
              <w:rPr>
                <w:rFonts w:hint="eastAsia" w:ascii="宋体" w:hAnsi="宋体" w:cs="Courier New"/>
                <w:szCs w:val="21"/>
              </w:rPr>
              <w:t>；E2=0.</w:t>
            </w:r>
            <w:r>
              <w:rPr>
                <w:rFonts w:ascii="宋体" w:hAnsi="宋体" w:cs="Courier New"/>
                <w:szCs w:val="21"/>
              </w:rPr>
              <w:t>1</w:t>
            </w:r>
            <w:r>
              <w:rPr>
                <w:rFonts w:hint="eastAsia" w:ascii="宋体" w:hAnsi="宋体" w:cs="Courier New"/>
                <w:szCs w:val="21"/>
              </w:rPr>
              <w:t>；评标价最低得分为0分。</w:t>
            </w:r>
          </w:p>
          <w:p w14:paraId="0DA14099">
            <w:pPr>
              <w:pStyle w:val="4"/>
              <w:ind w:left="420" w:firstLine="420"/>
            </w:pPr>
            <w:r>
              <w:rPr>
                <w:rFonts w:hint="eastAsia" w:ascii="宋体" w:hAnsi="宋体" w:cs="Courier New" w:eastAsiaTheme="minorEastAsia"/>
                <w:szCs w:val="21"/>
              </w:rPr>
              <w:t>评标价得分保留2位小数，</w:t>
            </w:r>
            <w:r>
              <w:rPr>
                <w:rFonts w:hint="eastAsia" w:ascii="宋体" w:hAnsi="宋体"/>
                <w:spacing w:val="-4"/>
                <w:szCs w:val="21"/>
              </w:rPr>
              <w:t>第三位四舍五入</w:t>
            </w:r>
            <w:r>
              <w:rPr>
                <w:rFonts w:hint="eastAsia" w:ascii="宋体" w:hAnsi="宋体" w:cs="Courier New" w:eastAsiaTheme="minorEastAsia"/>
                <w:szCs w:val="21"/>
              </w:rPr>
              <w:t>。</w:t>
            </w:r>
          </w:p>
        </w:tc>
      </w:tr>
      <w:tr w14:paraId="4E219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741" w:type="dxa"/>
            <w:vMerge w:val="restart"/>
            <w:tcBorders>
              <w:top w:val="single" w:color="auto" w:sz="4" w:space="0"/>
              <w:left w:val="single" w:color="auto" w:sz="4" w:space="0"/>
              <w:bottom w:val="single" w:color="auto" w:sz="4" w:space="0"/>
              <w:right w:val="single" w:color="auto" w:sz="4" w:space="0"/>
            </w:tcBorders>
            <w:vAlign w:val="center"/>
          </w:tcPr>
          <w:p w14:paraId="24B6CDFF">
            <w:pPr>
              <w:spacing w:line="160" w:lineRule="atLeast"/>
              <w:jc w:val="center"/>
              <w:textAlignment w:val="baseline"/>
              <w:rPr>
                <w:rFonts w:ascii="宋体" w:hAnsi="宋体" w:cs="Courier New"/>
                <w:szCs w:val="21"/>
              </w:rPr>
            </w:pPr>
            <w:r>
              <w:rPr>
                <w:rFonts w:hint="eastAsia" w:ascii="宋体" w:hAnsi="宋体" w:cs="Courier New"/>
                <w:szCs w:val="21"/>
              </w:rPr>
              <w:t>2.2.4（4）</w:t>
            </w:r>
          </w:p>
        </w:tc>
        <w:tc>
          <w:tcPr>
            <w:tcW w:w="740" w:type="dxa"/>
            <w:vMerge w:val="restart"/>
            <w:tcBorders>
              <w:top w:val="single" w:color="auto" w:sz="4" w:space="0"/>
              <w:left w:val="single" w:color="auto" w:sz="4" w:space="0"/>
              <w:bottom w:val="single" w:color="auto" w:sz="4" w:space="0"/>
              <w:right w:val="single" w:color="auto" w:sz="4" w:space="0"/>
            </w:tcBorders>
            <w:vAlign w:val="center"/>
          </w:tcPr>
          <w:p w14:paraId="054554EA">
            <w:pPr>
              <w:spacing w:line="160" w:lineRule="atLeast"/>
              <w:jc w:val="center"/>
              <w:textAlignment w:val="baseline"/>
              <w:rPr>
                <w:rFonts w:ascii="宋体" w:hAnsi="宋体" w:cs="Courier New"/>
                <w:szCs w:val="21"/>
              </w:rPr>
            </w:pPr>
            <w:r>
              <w:rPr>
                <w:rFonts w:hint="eastAsia" w:ascii="宋体" w:hAnsi="宋体" w:cs="Courier New"/>
                <w:szCs w:val="21"/>
              </w:rPr>
              <w:t>其他因素（明标部分）</w:t>
            </w:r>
          </w:p>
        </w:tc>
        <w:tc>
          <w:tcPr>
            <w:tcW w:w="802" w:type="dxa"/>
            <w:vMerge w:val="restart"/>
            <w:tcBorders>
              <w:top w:val="single" w:color="auto" w:sz="4" w:space="0"/>
              <w:left w:val="single" w:color="auto" w:sz="4" w:space="0"/>
              <w:bottom w:val="single" w:color="auto" w:sz="4" w:space="0"/>
              <w:right w:val="single" w:color="auto" w:sz="4" w:space="0"/>
            </w:tcBorders>
            <w:vAlign w:val="center"/>
          </w:tcPr>
          <w:p w14:paraId="73AC2658">
            <w:pPr>
              <w:spacing w:line="160" w:lineRule="atLeast"/>
              <w:jc w:val="center"/>
              <w:textAlignment w:val="baseline"/>
              <w:rPr>
                <w:rFonts w:ascii="宋体" w:hAnsi="宋体" w:cs="Courier New"/>
                <w:szCs w:val="21"/>
              </w:rPr>
            </w:pPr>
            <w:r>
              <w:rPr>
                <w:rFonts w:hint="eastAsia" w:ascii="宋体" w:hAnsi="宋体" w:cs="Courier New"/>
                <w:szCs w:val="21"/>
              </w:rPr>
              <w:t>25分</w:t>
            </w:r>
          </w:p>
        </w:tc>
        <w:tc>
          <w:tcPr>
            <w:tcW w:w="676" w:type="dxa"/>
            <w:vMerge w:val="restart"/>
            <w:tcBorders>
              <w:top w:val="single" w:color="auto" w:sz="4" w:space="0"/>
              <w:left w:val="single" w:color="auto" w:sz="4" w:space="0"/>
              <w:bottom w:val="single" w:color="auto" w:sz="4" w:space="0"/>
              <w:right w:val="single" w:color="auto" w:sz="4" w:space="0"/>
            </w:tcBorders>
            <w:vAlign w:val="center"/>
          </w:tcPr>
          <w:p w14:paraId="2186B823">
            <w:pPr>
              <w:spacing w:line="160" w:lineRule="atLeast"/>
              <w:jc w:val="center"/>
              <w:textAlignment w:val="baseline"/>
              <w:rPr>
                <w:rFonts w:ascii="宋体" w:hAnsi="宋体" w:cs="Courier New"/>
                <w:szCs w:val="21"/>
              </w:rPr>
            </w:pPr>
            <w:r>
              <w:rPr>
                <w:rFonts w:hint="eastAsia" w:ascii="宋体" w:hAnsi="宋体" w:cs="宋体"/>
              </w:rPr>
              <w:t>企业业绩</w:t>
            </w:r>
          </w:p>
        </w:tc>
        <w:tc>
          <w:tcPr>
            <w:tcW w:w="600" w:type="dxa"/>
            <w:tcBorders>
              <w:top w:val="single" w:color="auto" w:sz="4" w:space="0"/>
              <w:left w:val="single" w:color="auto" w:sz="4" w:space="0"/>
              <w:bottom w:val="single" w:color="auto" w:sz="4" w:space="0"/>
              <w:right w:val="single" w:color="auto" w:sz="4" w:space="0"/>
            </w:tcBorders>
            <w:vAlign w:val="center"/>
          </w:tcPr>
          <w:p w14:paraId="7AF7F21F">
            <w:pPr>
              <w:spacing w:line="160" w:lineRule="atLeast"/>
              <w:ind w:right="-71" w:rightChars="-34"/>
              <w:jc w:val="center"/>
              <w:textAlignment w:val="baseline"/>
              <w:rPr>
                <w:rFonts w:ascii="宋体" w:hAnsi="宋体" w:cs="Courier New"/>
                <w:szCs w:val="21"/>
              </w:rPr>
            </w:pPr>
            <w:r>
              <w:rPr>
                <w:rFonts w:hint="eastAsia" w:ascii="宋体" w:hAnsi="宋体" w:cs="Courier New"/>
                <w:szCs w:val="21"/>
              </w:rPr>
              <w:t>15分</w:t>
            </w: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4B3D6E10">
            <w:pPr>
              <w:spacing w:line="160" w:lineRule="atLeast"/>
              <w:jc w:val="left"/>
              <w:textAlignment w:val="baseline"/>
              <w:rPr>
                <w:rFonts w:ascii="宋体" w:hAnsi="宋体" w:cs="Courier New"/>
                <w:szCs w:val="21"/>
              </w:rPr>
            </w:pPr>
            <w:r>
              <w:rPr>
                <w:rFonts w:hint="eastAsia" w:ascii="宋体" w:hAnsi="宋体" w:cs="Courier New"/>
                <w:szCs w:val="21"/>
              </w:rPr>
              <w:t>满足附录2资格审查条件(业绩最低要求)的，得15分；</w:t>
            </w:r>
          </w:p>
        </w:tc>
      </w:tr>
      <w:tr w14:paraId="6554C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71755741">
            <w:pPr>
              <w:widowControl/>
              <w:jc w:val="left"/>
              <w:rPr>
                <w:rFonts w:ascii="宋体" w:hAnsi="宋体" w:cs="Courier New"/>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4E3BA8F7">
            <w:pPr>
              <w:widowControl/>
              <w:jc w:val="left"/>
              <w:rPr>
                <w:rFonts w:ascii="宋体" w:hAnsi="宋体" w:cs="Courier New"/>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15AD465E">
            <w:pPr>
              <w:widowControl/>
              <w:jc w:val="left"/>
              <w:rPr>
                <w:rFonts w:ascii="宋体" w:hAnsi="宋体" w:cs="Courier New"/>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6DC1D11D">
            <w:pPr>
              <w:widowControl/>
              <w:jc w:val="left"/>
              <w:rPr>
                <w:rFonts w:ascii="宋体" w:hAnsi="宋体" w:cs="Courier New"/>
                <w:szCs w:val="21"/>
              </w:rPr>
            </w:pPr>
          </w:p>
        </w:tc>
        <w:tc>
          <w:tcPr>
            <w:tcW w:w="600" w:type="dxa"/>
            <w:tcBorders>
              <w:top w:val="single" w:color="auto" w:sz="4" w:space="0"/>
              <w:left w:val="single" w:color="auto" w:sz="4" w:space="0"/>
              <w:bottom w:val="single" w:color="auto" w:sz="4" w:space="0"/>
              <w:right w:val="single" w:color="auto" w:sz="4" w:space="0"/>
            </w:tcBorders>
            <w:vAlign w:val="center"/>
          </w:tcPr>
          <w:p w14:paraId="1FDF71B9">
            <w:pPr>
              <w:spacing w:line="160" w:lineRule="atLeast"/>
              <w:ind w:right="-71" w:rightChars="-34"/>
              <w:jc w:val="center"/>
              <w:textAlignment w:val="baseline"/>
              <w:rPr>
                <w:rFonts w:ascii="宋体" w:hAnsi="宋体" w:cs="Courier New"/>
                <w:szCs w:val="21"/>
              </w:rPr>
            </w:pPr>
            <w:r>
              <w:rPr>
                <w:rFonts w:hint="eastAsia" w:ascii="宋体" w:hAnsi="宋体" w:cs="Courier New"/>
                <w:szCs w:val="21"/>
              </w:rPr>
              <w:t>10分</w:t>
            </w: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6DB5AAC3">
            <w:pPr>
              <w:spacing w:line="160" w:lineRule="atLeast"/>
              <w:jc w:val="left"/>
              <w:textAlignment w:val="baseline"/>
              <w:rPr>
                <w:rFonts w:ascii="宋体" w:hAnsi="宋体" w:cs="Courier New"/>
                <w:szCs w:val="21"/>
              </w:rPr>
            </w:pPr>
            <w:r>
              <w:rPr>
                <w:rFonts w:hint="eastAsia" w:ascii="宋体" w:hAnsi="宋体" w:cs="Courier New"/>
                <w:szCs w:val="21"/>
              </w:rPr>
              <w:t>每增加 1 项满足附录2资格审查条件(业绩最低要求)的监理业绩加5分，本项最多加 10 分</w:t>
            </w:r>
          </w:p>
        </w:tc>
      </w:tr>
    </w:tbl>
    <w:p w14:paraId="13D80730">
      <w:pPr>
        <w:ind w:firstLine="420" w:firstLineChars="200"/>
        <w:textAlignment w:val="baseline"/>
        <w:rPr>
          <w:rFonts w:ascii="宋体" w:hAnsi="宋体" w:cs="Courier New"/>
          <w:szCs w:val="21"/>
        </w:rPr>
      </w:pPr>
    </w:p>
    <w:p w14:paraId="0A94893B">
      <w:pPr>
        <w:ind w:firstLine="420" w:firstLineChars="200"/>
        <w:textAlignment w:val="baseline"/>
        <w:rPr>
          <w:rFonts w:ascii="宋体" w:hAnsi="宋体" w:cs="Courier New"/>
          <w:szCs w:val="21"/>
        </w:rPr>
      </w:pPr>
      <w:r>
        <w:rPr>
          <w:rFonts w:hint="eastAsia" w:ascii="宋体" w:hAnsi="宋体" w:cs="Courier New"/>
          <w:szCs w:val="21"/>
        </w:rPr>
        <w:t>注：1、第2.2.4（1）项各评委打分保留1位小数，投标人该项得分以各评委打分平均值计算所得，保留两位小数，第三位小数四舍五入。</w:t>
      </w:r>
    </w:p>
    <w:p w14:paraId="33EB5D56">
      <w:r>
        <w:rPr>
          <w:rFonts w:hint="eastAsia" w:ascii="Times New Roman" w:hAnsi="宋体"/>
          <w:szCs w:val="24"/>
        </w:rPr>
        <w:t>2、第2.2.4（1）项评标委员会成员对某一项评分因素的评分低于权重分值 60%的，应在评标报告中作出说明。评审因素缺项则该项得0分。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021DDB"/>
    <w:rsid w:val="024576DD"/>
    <w:rsid w:val="5A021D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spacing w:before="260" w:after="260" w:line="412" w:lineRule="auto"/>
      <w:outlineLvl w:val="2"/>
    </w:pPr>
    <w:rPr>
      <w:b/>
      <w:bCs/>
      <w:sz w:val="32"/>
      <w:szCs w:val="32"/>
    </w:rPr>
  </w:style>
  <w:style w:type="paragraph" w:styleId="3">
    <w:name w:val="heading 6"/>
    <w:basedOn w:val="1"/>
    <w:next w:val="1"/>
    <w:qFormat/>
    <w:uiPriority w:val="0"/>
    <w:pPr>
      <w:keepNext/>
      <w:keepLines/>
      <w:spacing w:before="240" w:after="64" w:line="320" w:lineRule="auto"/>
      <w:outlineLvl w:val="5"/>
    </w:pPr>
    <w:rPr>
      <w:rFonts w:ascii="等线 Light" w:hAnsi="等线 Light" w:eastAsia="等线 Light"/>
      <w:b/>
      <w:bCs/>
      <w:kern w:val="28"/>
      <w:sz w:val="24"/>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Body Text"/>
    <w:basedOn w:val="1"/>
    <w:next w:val="5"/>
    <w:qFormat/>
    <w:uiPriority w:val="1"/>
    <w:pPr>
      <w:spacing w:after="120"/>
    </w:pPr>
  </w:style>
  <w:style w:type="paragraph" w:styleId="5">
    <w:name w:val="Body Text 2"/>
    <w:basedOn w:val="1"/>
    <w:qFormat/>
    <w:uiPriority w:val="0"/>
    <w:pPr>
      <w:spacing w:line="540" w:lineRule="exact"/>
    </w:pPr>
    <w:rPr>
      <w:color w:val="FF0000"/>
    </w:rPr>
  </w:style>
  <w:style w:type="paragraph" w:styleId="6">
    <w:name w:val="Plain Text"/>
    <w:basedOn w:val="1"/>
    <w:qFormat/>
    <w:uiPriority w:val="0"/>
    <w:rPr>
      <w:rFonts w:ascii="宋体"/>
      <w:szCs w:val="21"/>
    </w:rPr>
  </w:style>
  <w:style w:type="character" w:styleId="9">
    <w:name w:val="Strong"/>
    <w:basedOn w:val="8"/>
    <w:qFormat/>
    <w:uiPriority w:val="22"/>
    <w:rPr>
      <w:b/>
      <w:bCs/>
    </w:rPr>
  </w:style>
  <w:style w:type="character" w:customStyle="1" w:styleId="10">
    <w:name w:val="NormalCharacter"/>
    <w:link w:val="11"/>
    <w:autoRedefine/>
    <w:qFormat/>
    <w:uiPriority w:val="0"/>
    <w:rPr>
      <w:kern w:val="0"/>
      <w:sz w:val="20"/>
      <w:szCs w:val="20"/>
    </w:rPr>
  </w:style>
  <w:style w:type="paragraph" w:customStyle="1" w:styleId="11">
    <w:name w:val="UserStyle_24"/>
    <w:basedOn w:val="1"/>
    <w:link w:val="10"/>
    <w:qFormat/>
    <w:uiPriority w:val="0"/>
    <w:pPr>
      <w:widowControl/>
      <w:spacing w:line="360" w:lineRule="auto"/>
      <w:ind w:firstLine="200" w:firstLineChars="200"/>
      <w:jc w:val="left"/>
    </w:pPr>
    <w:rPr>
      <w:kern w:val="0"/>
      <w:sz w:val="20"/>
      <w:szCs w:val="20"/>
    </w:rPr>
  </w:style>
  <w:style w:type="paragraph" w:customStyle="1" w:styleId="12">
    <w:name w:val="UserStyle_340"/>
    <w:basedOn w:val="1"/>
    <w:autoRedefine/>
    <w:qFormat/>
    <w:uiPriority w:val="0"/>
    <w:pPr>
      <w:widowControl/>
      <w:spacing w:line="340" w:lineRule="exact"/>
      <w:jc w:val="center"/>
    </w:pPr>
    <w:rPr>
      <w:rFonts w:ascii="宋体" w:hAnsi="Calibri"/>
      <w:bCs/>
      <w:color w:val="000000"/>
      <w:kern w:val="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4680</Words>
  <Characters>5331</Characters>
  <Lines>0</Lines>
  <Paragraphs>0</Paragraphs>
  <TotalTime>0</TotalTime>
  <ScaleCrop>false</ScaleCrop>
  <LinksUpToDate>false</LinksUpToDate>
  <CharactersWithSpaces>5405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2026-07-30T08:19:00Z</dcterms:created>
  <dc:creator>哈哈哈</dc:creator>
  <cp:lastModifiedBy>冯士峰</cp:lastModifiedBy>
  <dcterms:modified xsi:type="dcterms:W3CDTF">2026-07-30T09:34:29Z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FC51CE14D767469D806E531DBC6194CE_11</vt:lpwstr>
  </property>
  <property fmtid="{D5CDD505-2E9C-101B-9397-08002B2CF9AE}" pid="4" name="KSOTemplateDocerSaveRecord">
    <vt:lpwstr>eyJoZGlkIjoiMjNhMGNiNzBmYzRmYmU1YWU1ZDVjYzI3MTI0YTIzZjQiLCJ1c2VySWQiOiIxNjg3ODQzOTczIn0=</vt:lpwstr>
  </property>
</Properties>
</file>