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F44E9">
      <w:pPr>
        <w:adjustRightInd w:val="0"/>
        <w:snapToGrid w:val="0"/>
        <w:spacing w:before="120" w:beforeLines="50" w:line="276" w:lineRule="auto"/>
        <w:rPr>
          <w:rFonts w:ascii="宋体" w:hAnsi="宋体"/>
          <w:b/>
          <w:color w:val="auto"/>
          <w:sz w:val="28"/>
          <w:szCs w:val="21"/>
          <w:highlight w:val="none"/>
        </w:rPr>
      </w:pPr>
      <w:bookmarkStart w:id="0" w:name="_Toc514238201"/>
      <w:bookmarkStart w:id="7" w:name="_GoBack"/>
      <w:bookmarkEnd w:id="7"/>
      <w:r>
        <w:rPr>
          <w:rFonts w:ascii="宋体" w:hAnsi="宋体"/>
          <w:b/>
          <w:color w:val="auto"/>
          <w:sz w:val="28"/>
          <w:szCs w:val="21"/>
          <w:highlight w:val="none"/>
        </w:rPr>
        <w:t>附件1：资格审查条件</w:t>
      </w:r>
      <w:bookmarkEnd w:id="0"/>
    </w:p>
    <w:p w14:paraId="67548C12">
      <w:pPr>
        <w:adjustRightInd w:val="0"/>
        <w:snapToGrid w:val="0"/>
        <w:spacing w:before="120" w:beforeLines="50" w:line="276" w:lineRule="auto"/>
        <w:jc w:val="center"/>
        <w:rPr>
          <w:rFonts w:ascii="宋体" w:hAnsi="宋体"/>
          <w:b/>
          <w:color w:val="auto"/>
          <w:highlight w:val="none"/>
        </w:rPr>
      </w:pPr>
    </w:p>
    <w:p w14:paraId="5654DDD4">
      <w:pPr>
        <w:adjustRightInd w:val="0"/>
        <w:spacing w:line="360" w:lineRule="auto"/>
        <w:jc w:val="center"/>
        <w:rPr>
          <w:rFonts w:ascii="宋体" w:hAnsi="宋体"/>
          <w:b/>
          <w:color w:val="auto"/>
          <w:sz w:val="24"/>
          <w:szCs w:val="24"/>
          <w:highlight w:val="none"/>
        </w:rPr>
      </w:pPr>
      <w:r>
        <w:rPr>
          <w:rFonts w:ascii="宋体" w:hAnsi="宋体"/>
          <w:b/>
          <w:color w:val="auto"/>
          <w:sz w:val="24"/>
          <w:szCs w:val="24"/>
          <w:highlight w:val="none"/>
        </w:rPr>
        <w:t xml:space="preserve">附录1 </w:t>
      </w:r>
      <w:bookmarkStart w:id="1" w:name="_Hlk515531673"/>
      <w:r>
        <w:rPr>
          <w:rFonts w:ascii="宋体" w:hAnsi="宋体"/>
          <w:b/>
          <w:color w:val="auto"/>
          <w:sz w:val="24"/>
          <w:szCs w:val="24"/>
          <w:highlight w:val="none"/>
        </w:rPr>
        <w:t>资格审查条件（</w:t>
      </w:r>
      <w:bookmarkStart w:id="2" w:name="_Hlk93741047"/>
      <w:r>
        <w:rPr>
          <w:rFonts w:ascii="宋体" w:hAnsi="宋体"/>
          <w:b/>
          <w:color w:val="auto"/>
          <w:sz w:val="24"/>
          <w:szCs w:val="24"/>
          <w:highlight w:val="none"/>
        </w:rPr>
        <w:t>资质最低要求</w:t>
      </w:r>
      <w:bookmarkEnd w:id="2"/>
      <w:r>
        <w:rPr>
          <w:rFonts w:ascii="宋体" w:hAnsi="宋体"/>
          <w:b/>
          <w:color w:val="auto"/>
          <w:sz w:val="24"/>
          <w:szCs w:val="24"/>
          <w:highlight w:val="none"/>
        </w:rPr>
        <w:t>）</w:t>
      </w:r>
      <w:bookmarkEnd w:id="1"/>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53A36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noWrap w:val="0"/>
            <w:vAlign w:val="center"/>
          </w:tcPr>
          <w:p w14:paraId="18EF3B13">
            <w:pPr>
              <w:pStyle w:val="7"/>
              <w:spacing w:before="0" w:beforeAutospacing="0" w:after="0" w:afterAutospacing="0" w:line="360" w:lineRule="auto"/>
              <w:contextualSpacing/>
              <w:jc w:val="center"/>
              <w:rPr>
                <w:rFonts w:hint="eastAsia"/>
                <w:color w:val="auto"/>
                <w:highlight w:val="none"/>
              </w:rPr>
            </w:pPr>
            <w:r>
              <w:rPr>
                <w:color w:val="auto"/>
                <w:highlight w:val="none"/>
              </w:rPr>
              <w:t>资质等级要求</w:t>
            </w:r>
          </w:p>
        </w:tc>
      </w:tr>
      <w:tr w14:paraId="744C8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9286" w:type="dxa"/>
            <w:noWrap w:val="0"/>
            <w:vAlign w:val="center"/>
          </w:tcPr>
          <w:p w14:paraId="1C1036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olor w:val="auto"/>
                <w:sz w:val="24"/>
                <w:szCs w:val="22"/>
                <w:highlight w:val="none"/>
                <w:lang w:val="en-US" w:eastAsia="zh-CN"/>
              </w:rPr>
            </w:pPr>
            <w:r>
              <w:rPr>
                <w:rFonts w:hint="eastAsia" w:ascii="宋体" w:hAnsi="宋体" w:eastAsia="宋体" w:cs="Times New Roman"/>
                <w:snapToGrid w:val="0"/>
                <w:color w:val="auto"/>
                <w:sz w:val="24"/>
                <w:szCs w:val="24"/>
                <w:highlight w:val="none"/>
                <w:lang w:val="en-US" w:eastAsia="zh-CN"/>
              </w:rPr>
              <w:t>投标人为</w:t>
            </w:r>
            <w:r>
              <w:rPr>
                <w:rFonts w:hint="eastAsia" w:ascii="宋体" w:hAnsi="宋体" w:eastAsia="宋体" w:cs="Times New Roman"/>
                <w:snapToGrid w:val="0"/>
                <w:color w:val="auto"/>
                <w:sz w:val="24"/>
                <w:szCs w:val="24"/>
                <w:highlight w:val="none"/>
              </w:rPr>
              <w:t>中华人民共和国境内的法人或其他组织，持有有效的营业执照或事业单位法人</w:t>
            </w:r>
            <w:r>
              <w:rPr>
                <w:rFonts w:hint="eastAsia" w:ascii="宋体" w:hAnsi="宋体" w:eastAsia="宋体" w:cs="Times New Roman"/>
                <w:snapToGrid w:val="0"/>
                <w:color w:val="auto"/>
                <w:sz w:val="24"/>
                <w:szCs w:val="24"/>
                <w:highlight w:val="none"/>
                <w:lang w:val="en-US" w:eastAsia="zh-CN"/>
              </w:rPr>
              <w:t>登记</w:t>
            </w:r>
            <w:r>
              <w:rPr>
                <w:rFonts w:hint="eastAsia" w:ascii="宋体" w:hAnsi="宋体" w:eastAsia="宋体" w:cs="Times New Roman"/>
                <w:snapToGrid w:val="0"/>
                <w:color w:val="auto"/>
                <w:sz w:val="24"/>
                <w:szCs w:val="24"/>
                <w:highlight w:val="none"/>
              </w:rPr>
              <w:t>证书。</w:t>
            </w:r>
          </w:p>
        </w:tc>
      </w:tr>
    </w:tbl>
    <w:p w14:paraId="47EB6DB8">
      <w:pPr>
        <w:adjustRightInd w:val="0"/>
        <w:spacing w:line="360" w:lineRule="auto"/>
        <w:jc w:val="center"/>
        <w:rPr>
          <w:rFonts w:ascii="宋体" w:hAnsi="宋体"/>
          <w:b/>
          <w:color w:val="auto"/>
          <w:sz w:val="24"/>
          <w:szCs w:val="24"/>
          <w:highlight w:val="none"/>
        </w:rPr>
      </w:pPr>
    </w:p>
    <w:p w14:paraId="5C2F0040">
      <w:pPr>
        <w:adjustRightInd w:val="0"/>
        <w:spacing w:line="360" w:lineRule="auto"/>
        <w:jc w:val="center"/>
        <w:rPr>
          <w:rFonts w:ascii="宋体" w:hAnsi="宋体"/>
          <w:b/>
          <w:color w:val="auto"/>
          <w:sz w:val="24"/>
          <w:szCs w:val="24"/>
          <w:highlight w:val="none"/>
        </w:rPr>
      </w:pPr>
      <w:r>
        <w:rPr>
          <w:rFonts w:ascii="宋体" w:hAnsi="宋体"/>
          <w:b/>
          <w:color w:val="auto"/>
          <w:sz w:val="24"/>
          <w:szCs w:val="24"/>
          <w:highlight w:val="none"/>
        </w:rPr>
        <w:t>附录2 资格审查条件（</w:t>
      </w:r>
      <w:bookmarkStart w:id="3" w:name="_Hlk93740530"/>
      <w:r>
        <w:rPr>
          <w:rFonts w:ascii="宋体" w:hAnsi="宋体"/>
          <w:b/>
          <w:color w:val="auto"/>
          <w:sz w:val="24"/>
          <w:szCs w:val="24"/>
          <w:highlight w:val="none"/>
        </w:rPr>
        <w:t>业绩最低要求</w:t>
      </w:r>
      <w:bookmarkEnd w:id="3"/>
      <w:r>
        <w:rPr>
          <w:rFonts w:ascii="宋体" w:hAnsi="宋体"/>
          <w:b/>
          <w:color w:val="auto"/>
          <w:sz w:val="24"/>
          <w:szCs w:val="24"/>
          <w:highlight w:val="none"/>
        </w:rPr>
        <w:t>）</w:t>
      </w:r>
    </w:p>
    <w:tbl>
      <w:tblPr>
        <w:tblStyle w:val="9"/>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7EB55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9286" w:type="dxa"/>
            <w:noWrap w:val="0"/>
            <w:vAlign w:val="center"/>
          </w:tcPr>
          <w:p w14:paraId="5A112154">
            <w:pPr>
              <w:pStyle w:val="7"/>
              <w:spacing w:before="0" w:beforeAutospacing="0" w:after="0" w:afterAutospacing="0" w:line="360" w:lineRule="auto"/>
              <w:contextualSpacing/>
              <w:jc w:val="center"/>
              <w:rPr>
                <w:color w:val="auto"/>
                <w:highlight w:val="none"/>
              </w:rPr>
            </w:pPr>
            <w:r>
              <w:rPr>
                <w:color w:val="auto"/>
                <w:highlight w:val="none"/>
              </w:rPr>
              <w:t>业绩要求</w:t>
            </w:r>
          </w:p>
        </w:tc>
      </w:tr>
      <w:tr w14:paraId="1B1C3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9286" w:type="dxa"/>
            <w:noWrap w:val="0"/>
            <w:vAlign w:val="center"/>
          </w:tcPr>
          <w:p w14:paraId="121850F1">
            <w:pPr>
              <w:spacing w:line="360" w:lineRule="auto"/>
              <w:ind w:firstLine="420"/>
              <w:rPr>
                <w:rFonts w:hint="eastAsia" w:ascii="宋体" w:hAnsi="宋体" w:eastAsia="宋体" w:cs="Times New Roman"/>
                <w:snapToGrid w:val="0"/>
                <w:color w:val="auto"/>
                <w:sz w:val="24"/>
                <w:szCs w:val="24"/>
                <w:highlight w:val="none"/>
              </w:rPr>
            </w:pPr>
            <w:r>
              <w:rPr>
                <w:rFonts w:hint="eastAsia" w:ascii="宋体" w:hAnsi="宋体" w:eastAsia="宋体" w:cs="Times New Roman"/>
                <w:snapToGrid w:val="0"/>
                <w:color w:val="auto"/>
                <w:sz w:val="24"/>
                <w:szCs w:val="24"/>
                <w:highlight w:val="none"/>
              </w:rPr>
              <w:t>近3年内（202</w:t>
            </w:r>
            <w:r>
              <w:rPr>
                <w:rFonts w:hint="eastAsia" w:ascii="宋体" w:hAnsi="宋体" w:eastAsia="宋体" w:cs="Times New Roman"/>
                <w:snapToGrid w:val="0"/>
                <w:color w:val="auto"/>
                <w:sz w:val="24"/>
                <w:szCs w:val="24"/>
                <w:highlight w:val="none"/>
                <w:lang w:val="en-US" w:eastAsia="zh-CN"/>
              </w:rPr>
              <w:t>3</w:t>
            </w:r>
            <w:r>
              <w:rPr>
                <w:rFonts w:hint="eastAsia" w:ascii="宋体" w:hAnsi="宋体" w:eastAsia="宋体" w:cs="Times New Roman"/>
                <w:snapToGrid w:val="0"/>
                <w:color w:val="auto"/>
                <w:sz w:val="24"/>
                <w:szCs w:val="24"/>
                <w:highlight w:val="none"/>
              </w:rPr>
              <w:t>年</w:t>
            </w:r>
            <w:r>
              <w:rPr>
                <w:rFonts w:hint="eastAsia" w:ascii="宋体" w:hAnsi="宋体" w:eastAsia="宋体" w:cs="Times New Roman"/>
                <w:snapToGrid w:val="0"/>
                <w:color w:val="auto"/>
                <w:sz w:val="24"/>
                <w:szCs w:val="24"/>
                <w:highlight w:val="none"/>
                <w:lang w:val="en-US" w:eastAsia="zh-CN"/>
              </w:rPr>
              <w:t>7</w:t>
            </w:r>
            <w:r>
              <w:rPr>
                <w:rFonts w:hint="eastAsia" w:ascii="宋体" w:hAnsi="宋体" w:eastAsia="宋体" w:cs="Times New Roman"/>
                <w:snapToGrid w:val="0"/>
                <w:color w:val="auto"/>
                <w:sz w:val="24"/>
                <w:szCs w:val="24"/>
                <w:highlight w:val="none"/>
              </w:rPr>
              <w:t>月</w:t>
            </w:r>
            <w:r>
              <w:rPr>
                <w:rFonts w:hint="eastAsia" w:ascii="宋体" w:hAnsi="宋体" w:eastAsia="宋体" w:cs="Times New Roman"/>
                <w:snapToGrid w:val="0"/>
                <w:color w:val="auto"/>
                <w:sz w:val="24"/>
                <w:szCs w:val="24"/>
                <w:highlight w:val="none"/>
                <w:lang w:val="en-US" w:eastAsia="zh-CN"/>
              </w:rPr>
              <w:t>1日</w:t>
            </w:r>
            <w:r>
              <w:rPr>
                <w:rFonts w:hint="eastAsia" w:ascii="宋体" w:hAnsi="宋体" w:eastAsia="宋体" w:cs="Times New Roman"/>
                <w:snapToGrid w:val="0"/>
                <w:color w:val="auto"/>
                <w:sz w:val="24"/>
                <w:szCs w:val="24"/>
                <w:highlight w:val="none"/>
              </w:rPr>
              <w:t>至投标截止日，以合同签订时间为准）至少须</w:t>
            </w:r>
            <w:r>
              <w:rPr>
                <w:rFonts w:hint="eastAsia" w:ascii="宋体" w:hAnsi="宋体" w:eastAsia="宋体" w:cs="Times New Roman"/>
                <w:snapToGrid w:val="0"/>
                <w:color w:val="auto"/>
                <w:sz w:val="24"/>
                <w:szCs w:val="24"/>
                <w:highlight w:val="none"/>
                <w:lang w:val="en-US" w:eastAsia="zh-CN"/>
              </w:rPr>
              <w:t>具有1项</w:t>
            </w:r>
            <w:r>
              <w:rPr>
                <w:rFonts w:hint="eastAsia" w:ascii="宋体" w:hAnsi="宋体" w:eastAsia="宋体" w:cs="Times New Roman"/>
                <w:snapToGrid w:val="0"/>
                <w:color w:val="auto"/>
                <w:sz w:val="24"/>
                <w:szCs w:val="24"/>
                <w:highlight w:val="none"/>
                <w:lang w:eastAsia="zh-CN"/>
              </w:rPr>
              <w:t>不低于</w:t>
            </w:r>
            <w:r>
              <w:rPr>
                <w:rFonts w:hint="eastAsia" w:ascii="宋体" w:hAnsi="宋体" w:eastAsia="宋体" w:cs="Times New Roman"/>
                <w:snapToGrid w:val="0"/>
                <w:color w:val="auto"/>
                <w:sz w:val="24"/>
                <w:szCs w:val="24"/>
                <w:highlight w:val="none"/>
                <w:lang w:val="en-US" w:eastAsia="zh-CN"/>
              </w:rPr>
              <w:t>100MW</w:t>
            </w:r>
            <w:r>
              <w:rPr>
                <w:rFonts w:hint="eastAsia" w:ascii="宋体" w:hAnsi="宋体" w:eastAsia="宋体" w:cs="Times New Roman"/>
                <w:color w:val="auto"/>
                <w:sz w:val="24"/>
                <w:szCs w:val="22"/>
                <w:highlight w:val="none"/>
                <w:lang w:val="en-US" w:eastAsia="zh-CN"/>
              </w:rPr>
              <w:t>风电</w:t>
            </w:r>
            <w:r>
              <w:rPr>
                <w:rFonts w:hint="eastAsia" w:ascii="宋体" w:hAnsi="宋体" w:eastAsia="宋体" w:cs="Times New Roman"/>
                <w:color w:val="auto"/>
                <w:sz w:val="24"/>
                <w:szCs w:val="22"/>
                <w:highlight w:val="none"/>
              </w:rPr>
              <w:t>项目</w:t>
            </w:r>
            <w:r>
              <w:rPr>
                <w:rFonts w:hint="eastAsia" w:ascii="宋体" w:hAnsi="宋体"/>
                <w:color w:val="auto"/>
                <w:sz w:val="24"/>
                <w:szCs w:val="24"/>
                <w:highlight w:val="none"/>
              </w:rPr>
              <w:t>前期</w:t>
            </w:r>
            <w:r>
              <w:rPr>
                <w:rFonts w:hint="eastAsia" w:ascii="宋体" w:hAnsi="宋体" w:eastAsia="宋体" w:cs="Times New Roman"/>
                <w:color w:val="auto"/>
                <w:sz w:val="24"/>
                <w:szCs w:val="22"/>
                <w:highlight w:val="none"/>
                <w:lang w:val="en-US" w:eastAsia="zh-CN"/>
              </w:rPr>
              <w:t>技术</w:t>
            </w:r>
            <w:r>
              <w:rPr>
                <w:rFonts w:hint="eastAsia" w:ascii="宋体" w:hAnsi="宋体" w:eastAsia="宋体" w:cs="Times New Roman"/>
                <w:color w:val="auto"/>
                <w:sz w:val="24"/>
                <w:szCs w:val="22"/>
                <w:highlight w:val="none"/>
              </w:rPr>
              <w:t>咨询服务（</w:t>
            </w:r>
            <w:r>
              <w:rPr>
                <w:rFonts w:hint="eastAsia" w:ascii="宋体" w:hAnsi="宋体" w:eastAsia="宋体" w:cs="Times New Roman"/>
                <w:color w:val="auto"/>
                <w:sz w:val="24"/>
                <w:szCs w:val="22"/>
                <w:highlight w:val="none"/>
                <w:lang w:val="en-US" w:eastAsia="zh-CN"/>
              </w:rPr>
              <w:t>或可</w:t>
            </w:r>
            <w:r>
              <w:rPr>
                <w:rFonts w:hint="eastAsia" w:ascii="宋体" w:hAnsi="宋体"/>
                <w:color w:val="auto"/>
                <w:sz w:val="24"/>
                <w:szCs w:val="22"/>
                <w:highlight w:val="none"/>
                <w:lang w:val="en-US" w:eastAsia="zh-CN"/>
              </w:rPr>
              <w:t>行性研究报告</w:t>
            </w:r>
            <w:r>
              <w:rPr>
                <w:rFonts w:hint="eastAsia" w:ascii="宋体" w:hAnsi="宋体" w:eastAsia="宋体" w:cs="Times New Roman"/>
                <w:color w:val="auto"/>
                <w:sz w:val="24"/>
                <w:szCs w:val="22"/>
                <w:highlight w:val="none"/>
                <w:lang w:val="en-US" w:eastAsia="zh-CN"/>
              </w:rPr>
              <w:t>编制</w:t>
            </w:r>
            <w:r>
              <w:rPr>
                <w:rFonts w:hint="eastAsia" w:ascii="宋体" w:hAnsi="宋体"/>
                <w:color w:val="auto"/>
                <w:sz w:val="24"/>
                <w:szCs w:val="22"/>
                <w:highlight w:val="none"/>
              </w:rPr>
              <w:t>）</w:t>
            </w:r>
            <w:r>
              <w:rPr>
                <w:rFonts w:hint="eastAsia" w:ascii="宋体" w:hAnsi="宋体"/>
                <w:snapToGrid w:val="0"/>
                <w:color w:val="auto"/>
                <w:sz w:val="24"/>
                <w:szCs w:val="24"/>
                <w:highlight w:val="none"/>
              </w:rPr>
              <w:t>业绩</w:t>
            </w:r>
            <w:r>
              <w:rPr>
                <w:rFonts w:hint="eastAsia" w:ascii="宋体" w:hAnsi="宋体" w:eastAsia="宋体" w:cs="Times New Roman"/>
                <w:snapToGrid w:val="0"/>
                <w:color w:val="auto"/>
                <w:sz w:val="24"/>
                <w:szCs w:val="24"/>
                <w:highlight w:val="none"/>
              </w:rPr>
              <w:t>。</w:t>
            </w:r>
          </w:p>
        </w:tc>
      </w:tr>
    </w:tbl>
    <w:p w14:paraId="26A87D6D">
      <w:pPr>
        <w:adjustRightInd w:val="0"/>
        <w:spacing w:line="360" w:lineRule="auto"/>
        <w:jc w:val="center"/>
        <w:rPr>
          <w:rFonts w:ascii="宋体" w:hAnsi="宋体"/>
          <w:b/>
          <w:color w:val="auto"/>
          <w:sz w:val="24"/>
          <w:szCs w:val="24"/>
          <w:highlight w:val="none"/>
        </w:rPr>
      </w:pPr>
    </w:p>
    <w:p w14:paraId="6037BD5D">
      <w:pPr>
        <w:adjustRightInd w:val="0"/>
        <w:spacing w:line="360" w:lineRule="auto"/>
        <w:jc w:val="center"/>
        <w:rPr>
          <w:rFonts w:ascii="宋体" w:hAnsi="宋体"/>
          <w:b/>
          <w:color w:val="auto"/>
          <w:sz w:val="24"/>
          <w:szCs w:val="24"/>
          <w:highlight w:val="none"/>
        </w:rPr>
      </w:pPr>
      <w:r>
        <w:rPr>
          <w:rFonts w:ascii="宋体" w:hAnsi="宋体"/>
          <w:b/>
          <w:color w:val="auto"/>
          <w:sz w:val="24"/>
          <w:szCs w:val="24"/>
          <w:highlight w:val="none"/>
        </w:rPr>
        <w:t>附录3 资格审查条件（</w:t>
      </w:r>
      <w:bookmarkStart w:id="4" w:name="_Hlk93740552"/>
      <w:r>
        <w:rPr>
          <w:rFonts w:ascii="宋体" w:hAnsi="宋体"/>
          <w:b/>
          <w:color w:val="auto"/>
          <w:sz w:val="24"/>
          <w:szCs w:val="24"/>
          <w:highlight w:val="none"/>
        </w:rPr>
        <w:t>信誉最低要求</w:t>
      </w:r>
      <w:bookmarkEnd w:id="4"/>
      <w:r>
        <w:rPr>
          <w:rFonts w:ascii="宋体" w:hAnsi="宋体"/>
          <w:b/>
          <w:color w:val="auto"/>
          <w:sz w:val="24"/>
          <w:szCs w:val="24"/>
          <w:highlight w:val="none"/>
        </w:rPr>
        <w:t>）</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5983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704983C0">
            <w:pPr>
              <w:pStyle w:val="7"/>
              <w:spacing w:before="0" w:beforeAutospacing="0" w:after="0" w:afterAutospacing="0" w:line="360" w:lineRule="auto"/>
              <w:contextualSpacing/>
              <w:jc w:val="center"/>
              <w:rPr>
                <w:color w:val="auto"/>
                <w:highlight w:val="none"/>
              </w:rPr>
            </w:pPr>
            <w:r>
              <w:rPr>
                <w:color w:val="auto"/>
                <w:highlight w:val="none"/>
              </w:rPr>
              <w:t>信誉要求</w:t>
            </w:r>
          </w:p>
        </w:tc>
      </w:tr>
      <w:tr w14:paraId="4087F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jc w:val="center"/>
        </w:trPr>
        <w:tc>
          <w:tcPr>
            <w:tcW w:w="9286" w:type="dxa"/>
            <w:noWrap w:val="0"/>
            <w:vAlign w:val="center"/>
          </w:tcPr>
          <w:p w14:paraId="2BCF901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投标人在近1年内</w:t>
            </w:r>
            <w:r>
              <w:rPr>
                <w:rFonts w:hint="eastAsia" w:ascii="宋体" w:hAnsi="宋体" w:eastAsia="宋体" w:cs="Times New Roman"/>
                <w:snapToGrid w:val="0"/>
                <w:color w:val="auto"/>
                <w:sz w:val="24"/>
                <w:szCs w:val="24"/>
                <w:highlight w:val="none"/>
              </w:rPr>
              <w:t>（202</w:t>
            </w:r>
            <w:r>
              <w:rPr>
                <w:rFonts w:hint="eastAsia" w:ascii="宋体" w:hAnsi="宋体" w:eastAsia="宋体" w:cs="Times New Roman"/>
                <w:snapToGrid w:val="0"/>
                <w:color w:val="auto"/>
                <w:sz w:val="24"/>
                <w:szCs w:val="24"/>
                <w:highlight w:val="none"/>
                <w:lang w:val="en-US" w:eastAsia="zh-CN"/>
              </w:rPr>
              <w:t>5</w:t>
            </w:r>
            <w:r>
              <w:rPr>
                <w:rFonts w:hint="eastAsia" w:ascii="宋体" w:hAnsi="宋体" w:eastAsia="宋体" w:cs="Times New Roman"/>
                <w:snapToGrid w:val="0"/>
                <w:color w:val="auto"/>
                <w:sz w:val="24"/>
                <w:szCs w:val="24"/>
                <w:highlight w:val="none"/>
              </w:rPr>
              <w:t>年</w:t>
            </w:r>
            <w:r>
              <w:rPr>
                <w:rFonts w:hint="eastAsia" w:ascii="宋体" w:hAnsi="宋体" w:eastAsia="宋体" w:cs="Times New Roman"/>
                <w:snapToGrid w:val="0"/>
                <w:color w:val="auto"/>
                <w:sz w:val="24"/>
                <w:szCs w:val="24"/>
                <w:highlight w:val="none"/>
                <w:lang w:val="en-US" w:eastAsia="zh-CN"/>
              </w:rPr>
              <w:t>7</w:t>
            </w:r>
            <w:r>
              <w:rPr>
                <w:rFonts w:hint="eastAsia" w:ascii="宋体" w:hAnsi="宋体" w:eastAsia="宋体" w:cs="Times New Roman"/>
                <w:snapToGrid w:val="0"/>
                <w:color w:val="auto"/>
                <w:sz w:val="24"/>
                <w:szCs w:val="24"/>
                <w:highlight w:val="none"/>
              </w:rPr>
              <w:t>月</w:t>
            </w:r>
            <w:r>
              <w:rPr>
                <w:rFonts w:hint="eastAsia" w:ascii="宋体" w:hAnsi="宋体" w:eastAsia="宋体" w:cs="Times New Roman"/>
                <w:snapToGrid w:val="0"/>
                <w:color w:val="auto"/>
                <w:sz w:val="24"/>
                <w:szCs w:val="24"/>
                <w:highlight w:val="none"/>
                <w:lang w:val="en-US" w:eastAsia="zh-CN"/>
              </w:rPr>
              <w:t>1</w:t>
            </w:r>
            <w:r>
              <w:rPr>
                <w:rFonts w:hint="eastAsia" w:ascii="宋体" w:hAnsi="宋体" w:eastAsia="宋体" w:cs="Times New Roman"/>
                <w:snapToGrid w:val="0"/>
                <w:color w:val="auto"/>
                <w:sz w:val="24"/>
                <w:szCs w:val="24"/>
                <w:highlight w:val="none"/>
              </w:rPr>
              <w:t>日至今）不</w:t>
            </w:r>
            <w:r>
              <w:rPr>
                <w:rFonts w:hint="eastAsia" w:ascii="宋体" w:hAnsi="宋体"/>
                <w:color w:val="auto"/>
                <w:sz w:val="24"/>
                <w:szCs w:val="24"/>
                <w:highlight w:val="none"/>
              </w:rPr>
              <w:t>曾在</w:t>
            </w:r>
            <w:r>
              <w:rPr>
                <w:rFonts w:hint="eastAsia" w:ascii="宋体" w:hAnsi="宋体"/>
                <w:color w:val="auto"/>
                <w:sz w:val="24"/>
                <w:szCs w:val="24"/>
                <w:highlight w:val="none"/>
                <w:lang w:val="en-US" w:eastAsia="zh-CN"/>
              </w:rPr>
              <w:t>风电</w:t>
            </w:r>
            <w:r>
              <w:rPr>
                <w:rFonts w:hint="eastAsia" w:ascii="宋体" w:hAnsi="宋体"/>
                <w:color w:val="auto"/>
                <w:sz w:val="24"/>
                <w:szCs w:val="24"/>
                <w:highlight w:val="none"/>
              </w:rPr>
              <w:t>项目前期</w:t>
            </w:r>
            <w:r>
              <w:rPr>
                <w:rFonts w:hint="eastAsia" w:ascii="宋体" w:hAnsi="宋体"/>
                <w:color w:val="auto"/>
                <w:sz w:val="24"/>
                <w:szCs w:val="24"/>
                <w:highlight w:val="none"/>
                <w:lang w:val="en-US" w:eastAsia="zh-CN"/>
              </w:rPr>
              <w:t>技术</w:t>
            </w:r>
            <w:r>
              <w:rPr>
                <w:rFonts w:hint="eastAsia" w:ascii="宋体" w:hAnsi="宋体"/>
                <w:color w:val="auto"/>
                <w:sz w:val="24"/>
                <w:szCs w:val="24"/>
                <w:highlight w:val="none"/>
              </w:rPr>
              <w:t>咨询服务</w:t>
            </w:r>
            <w:r>
              <w:rPr>
                <w:rFonts w:hint="eastAsia" w:ascii="宋体" w:hAnsi="宋体"/>
                <w:color w:val="auto"/>
                <w:sz w:val="24"/>
                <w:szCs w:val="24"/>
                <w:highlight w:val="none"/>
                <w:lang w:val="en-US" w:eastAsia="zh-CN"/>
              </w:rPr>
              <w:t>或可行性研究报告</w:t>
            </w:r>
            <w:r>
              <w:rPr>
                <w:rFonts w:hint="eastAsia" w:ascii="宋体" w:hAnsi="宋体" w:eastAsia="宋体" w:cs="Times New Roman"/>
                <w:color w:val="auto"/>
                <w:sz w:val="24"/>
                <w:szCs w:val="22"/>
                <w:highlight w:val="none"/>
                <w:lang w:val="en-US" w:eastAsia="zh-CN"/>
              </w:rPr>
              <w:t>编制</w:t>
            </w:r>
            <w:r>
              <w:rPr>
                <w:rFonts w:hint="eastAsia" w:ascii="宋体" w:hAnsi="宋体"/>
                <w:color w:val="auto"/>
                <w:sz w:val="24"/>
                <w:szCs w:val="24"/>
                <w:highlight w:val="none"/>
              </w:rPr>
              <w:t>合同中违约而被驱逐或因投标人自身的原因而使</w:t>
            </w:r>
            <w:r>
              <w:rPr>
                <w:rFonts w:hint="eastAsia" w:ascii="宋体" w:hAnsi="宋体"/>
                <w:color w:val="auto"/>
                <w:sz w:val="24"/>
                <w:szCs w:val="24"/>
                <w:highlight w:val="none"/>
                <w:lang w:val="en-US" w:eastAsia="zh-CN"/>
              </w:rPr>
              <w:t>风电</w:t>
            </w:r>
            <w:r>
              <w:rPr>
                <w:rFonts w:hint="eastAsia" w:ascii="宋体" w:hAnsi="宋体"/>
                <w:color w:val="auto"/>
                <w:sz w:val="24"/>
                <w:szCs w:val="24"/>
                <w:highlight w:val="none"/>
              </w:rPr>
              <w:t>项目前期</w:t>
            </w:r>
            <w:r>
              <w:rPr>
                <w:rFonts w:hint="eastAsia" w:ascii="宋体" w:hAnsi="宋体"/>
                <w:color w:val="auto"/>
                <w:sz w:val="24"/>
                <w:szCs w:val="24"/>
                <w:highlight w:val="none"/>
                <w:lang w:val="en-US" w:eastAsia="zh-CN"/>
              </w:rPr>
              <w:t>技术</w:t>
            </w:r>
            <w:r>
              <w:rPr>
                <w:rFonts w:hint="eastAsia" w:ascii="宋体" w:hAnsi="宋体"/>
                <w:color w:val="auto"/>
                <w:sz w:val="24"/>
                <w:szCs w:val="24"/>
                <w:highlight w:val="none"/>
              </w:rPr>
              <w:t>咨询服务</w:t>
            </w:r>
            <w:r>
              <w:rPr>
                <w:rFonts w:hint="eastAsia" w:ascii="宋体" w:hAnsi="宋体"/>
                <w:color w:val="auto"/>
                <w:sz w:val="24"/>
                <w:szCs w:val="24"/>
                <w:highlight w:val="none"/>
                <w:lang w:val="en-US" w:eastAsia="zh-CN"/>
              </w:rPr>
              <w:t>或可行性研究报告</w:t>
            </w:r>
            <w:r>
              <w:rPr>
                <w:rFonts w:hint="eastAsia" w:ascii="宋体" w:hAnsi="宋体" w:eastAsia="宋体" w:cs="Times New Roman"/>
                <w:color w:val="auto"/>
                <w:sz w:val="24"/>
                <w:szCs w:val="22"/>
                <w:highlight w:val="none"/>
                <w:lang w:val="en-US" w:eastAsia="zh-CN"/>
              </w:rPr>
              <w:t>编制</w:t>
            </w:r>
            <w:r>
              <w:rPr>
                <w:rFonts w:hint="eastAsia" w:ascii="宋体" w:hAnsi="宋体"/>
                <w:color w:val="auto"/>
                <w:sz w:val="24"/>
                <w:szCs w:val="24"/>
                <w:highlight w:val="none"/>
              </w:rPr>
              <w:t>合同被解除。</w:t>
            </w:r>
          </w:p>
        </w:tc>
      </w:tr>
    </w:tbl>
    <w:p w14:paraId="687423AF">
      <w:pPr>
        <w:adjustRightInd w:val="0"/>
        <w:spacing w:line="360" w:lineRule="auto"/>
        <w:jc w:val="center"/>
        <w:rPr>
          <w:rFonts w:ascii="宋体" w:hAnsi="宋体"/>
          <w:b/>
          <w:color w:val="auto"/>
          <w:sz w:val="24"/>
          <w:szCs w:val="24"/>
          <w:highlight w:val="none"/>
        </w:rPr>
      </w:pPr>
    </w:p>
    <w:p w14:paraId="75DD14F9">
      <w:pPr>
        <w:adjustRightInd w:val="0"/>
        <w:spacing w:line="360" w:lineRule="auto"/>
        <w:jc w:val="center"/>
        <w:rPr>
          <w:rFonts w:ascii="宋体" w:hAnsi="宋体"/>
          <w:b/>
          <w:color w:val="auto"/>
          <w:sz w:val="24"/>
          <w:szCs w:val="24"/>
          <w:highlight w:val="none"/>
        </w:rPr>
      </w:pPr>
      <w:r>
        <w:rPr>
          <w:rFonts w:ascii="宋体" w:hAnsi="宋体"/>
          <w:b/>
          <w:color w:val="auto"/>
          <w:sz w:val="24"/>
          <w:szCs w:val="24"/>
          <w:highlight w:val="none"/>
        </w:rPr>
        <w:t xml:space="preserve">附录4 </w:t>
      </w:r>
      <w:bookmarkStart w:id="5" w:name="_Hlk515531639"/>
      <w:r>
        <w:rPr>
          <w:rFonts w:ascii="宋体" w:hAnsi="宋体"/>
          <w:b/>
          <w:color w:val="auto"/>
          <w:sz w:val="24"/>
          <w:szCs w:val="24"/>
          <w:highlight w:val="none"/>
        </w:rPr>
        <w:t>资格审查条件（</w:t>
      </w:r>
      <w:bookmarkStart w:id="6" w:name="_Hlk93740569"/>
      <w:r>
        <w:rPr>
          <w:rFonts w:hint="eastAsia" w:ascii="宋体" w:hAnsi="宋体"/>
          <w:b/>
          <w:color w:val="auto"/>
          <w:sz w:val="24"/>
          <w:szCs w:val="24"/>
          <w:highlight w:val="none"/>
        </w:rPr>
        <w:t>项目负责人</w:t>
      </w:r>
      <w:r>
        <w:rPr>
          <w:rFonts w:ascii="宋体" w:hAnsi="宋体"/>
          <w:b/>
          <w:color w:val="auto"/>
          <w:sz w:val="24"/>
          <w:szCs w:val="24"/>
          <w:highlight w:val="none"/>
        </w:rPr>
        <w:t>最低要求</w:t>
      </w:r>
      <w:bookmarkEnd w:id="6"/>
      <w:r>
        <w:rPr>
          <w:rFonts w:ascii="宋体" w:hAnsi="宋体"/>
          <w:b/>
          <w:color w:val="auto"/>
          <w:sz w:val="24"/>
          <w:szCs w:val="24"/>
          <w:highlight w:val="none"/>
        </w:rPr>
        <w:t>）</w:t>
      </w:r>
      <w:bookmarkEnd w:id="5"/>
    </w:p>
    <w:tbl>
      <w:tblPr>
        <w:tblStyle w:val="9"/>
        <w:tblW w:w="92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999"/>
        <w:gridCol w:w="6619"/>
      </w:tblGrid>
      <w:tr w14:paraId="41977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668" w:type="dxa"/>
            <w:noWrap w:val="0"/>
            <w:vAlign w:val="center"/>
          </w:tcPr>
          <w:p w14:paraId="3F218B1D">
            <w:pPr>
              <w:spacing w:line="360" w:lineRule="auto"/>
              <w:jc w:val="center"/>
              <w:rPr>
                <w:rFonts w:ascii="宋体" w:hAnsi="宋体"/>
                <w:color w:val="auto"/>
                <w:sz w:val="24"/>
                <w:szCs w:val="22"/>
                <w:highlight w:val="none"/>
              </w:rPr>
            </w:pPr>
            <w:r>
              <w:rPr>
                <w:rFonts w:ascii="宋体" w:hAnsi="宋体"/>
                <w:color w:val="auto"/>
                <w:sz w:val="24"/>
                <w:szCs w:val="22"/>
                <w:highlight w:val="none"/>
              </w:rPr>
              <w:t>人   员</w:t>
            </w:r>
          </w:p>
        </w:tc>
        <w:tc>
          <w:tcPr>
            <w:tcW w:w="999" w:type="dxa"/>
            <w:noWrap w:val="0"/>
            <w:vAlign w:val="center"/>
          </w:tcPr>
          <w:p w14:paraId="050D546F">
            <w:pPr>
              <w:spacing w:line="360" w:lineRule="auto"/>
              <w:jc w:val="center"/>
              <w:rPr>
                <w:rFonts w:ascii="宋体" w:hAnsi="宋体"/>
                <w:color w:val="auto"/>
                <w:sz w:val="24"/>
                <w:szCs w:val="22"/>
                <w:highlight w:val="none"/>
              </w:rPr>
            </w:pPr>
            <w:r>
              <w:rPr>
                <w:rFonts w:ascii="宋体" w:hAnsi="宋体"/>
                <w:color w:val="auto"/>
                <w:sz w:val="24"/>
                <w:szCs w:val="22"/>
                <w:highlight w:val="none"/>
              </w:rPr>
              <w:t>数量</w:t>
            </w:r>
          </w:p>
        </w:tc>
        <w:tc>
          <w:tcPr>
            <w:tcW w:w="6619" w:type="dxa"/>
            <w:noWrap w:val="0"/>
            <w:vAlign w:val="center"/>
          </w:tcPr>
          <w:p w14:paraId="7A5A3BCF">
            <w:pPr>
              <w:spacing w:line="360" w:lineRule="auto"/>
              <w:jc w:val="center"/>
              <w:rPr>
                <w:rFonts w:ascii="宋体" w:hAnsi="宋体"/>
                <w:color w:val="auto"/>
                <w:sz w:val="24"/>
                <w:szCs w:val="22"/>
                <w:highlight w:val="none"/>
              </w:rPr>
            </w:pPr>
            <w:r>
              <w:rPr>
                <w:rFonts w:ascii="宋体" w:hAnsi="宋体"/>
                <w:color w:val="auto"/>
                <w:sz w:val="24"/>
                <w:szCs w:val="22"/>
                <w:highlight w:val="none"/>
              </w:rPr>
              <w:t>资格要求</w:t>
            </w:r>
          </w:p>
        </w:tc>
      </w:tr>
      <w:tr w14:paraId="45202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5" w:hRule="atLeast"/>
          <w:jc w:val="center"/>
        </w:trPr>
        <w:tc>
          <w:tcPr>
            <w:tcW w:w="1668" w:type="dxa"/>
            <w:noWrap w:val="0"/>
            <w:vAlign w:val="center"/>
          </w:tcPr>
          <w:p w14:paraId="53FA6E4C">
            <w:pPr>
              <w:spacing w:line="360" w:lineRule="auto"/>
              <w:jc w:val="center"/>
              <w:rPr>
                <w:rFonts w:hint="eastAsia" w:ascii="宋体" w:hAnsi="宋体" w:eastAsia="宋体"/>
                <w:color w:val="auto"/>
                <w:sz w:val="24"/>
                <w:szCs w:val="22"/>
                <w:highlight w:val="none"/>
                <w:lang w:eastAsia="zh-CN"/>
              </w:rPr>
            </w:pPr>
            <w:r>
              <w:rPr>
                <w:rFonts w:hint="eastAsia" w:ascii="宋体" w:hAnsi="宋体"/>
                <w:color w:val="auto"/>
                <w:sz w:val="24"/>
                <w:szCs w:val="22"/>
                <w:highlight w:val="none"/>
              </w:rPr>
              <w:t>项目负责人</w:t>
            </w:r>
          </w:p>
        </w:tc>
        <w:tc>
          <w:tcPr>
            <w:tcW w:w="999" w:type="dxa"/>
            <w:noWrap w:val="0"/>
            <w:vAlign w:val="center"/>
          </w:tcPr>
          <w:p w14:paraId="317DFCAB">
            <w:pPr>
              <w:spacing w:line="360" w:lineRule="auto"/>
              <w:jc w:val="center"/>
              <w:rPr>
                <w:rFonts w:ascii="宋体" w:hAnsi="宋体"/>
                <w:color w:val="auto"/>
                <w:sz w:val="24"/>
                <w:szCs w:val="22"/>
                <w:highlight w:val="none"/>
              </w:rPr>
            </w:pPr>
            <w:r>
              <w:rPr>
                <w:rFonts w:ascii="宋体" w:hAnsi="宋体"/>
                <w:color w:val="auto"/>
                <w:sz w:val="24"/>
                <w:szCs w:val="22"/>
                <w:highlight w:val="none"/>
              </w:rPr>
              <w:t>1</w:t>
            </w:r>
          </w:p>
        </w:tc>
        <w:tc>
          <w:tcPr>
            <w:tcW w:w="6619" w:type="dxa"/>
            <w:noWrap w:val="0"/>
            <w:vAlign w:val="center"/>
          </w:tcPr>
          <w:p w14:paraId="685AEA4A">
            <w:pPr>
              <w:widowControl/>
              <w:snapToGrid/>
              <w:spacing w:line="360" w:lineRule="auto"/>
              <w:ind w:firstLine="0" w:firstLineChars="0"/>
              <w:jc w:val="left"/>
              <w:rPr>
                <w:rFonts w:hint="eastAsia" w:ascii="宋体" w:hAnsi="宋体" w:eastAsia="宋体" w:cs="Times New Roman"/>
                <w:snapToGrid w:val="0"/>
                <w:color w:val="auto"/>
                <w:sz w:val="24"/>
                <w:szCs w:val="24"/>
                <w:highlight w:val="none"/>
              </w:rPr>
            </w:pPr>
            <w:r>
              <w:rPr>
                <w:rFonts w:hint="eastAsia" w:ascii="宋体" w:hAnsi="宋体" w:eastAsia="宋体" w:cs="Times New Roman"/>
                <w:snapToGrid w:val="0"/>
                <w:color w:val="auto"/>
                <w:sz w:val="24"/>
                <w:szCs w:val="24"/>
                <w:highlight w:val="none"/>
              </w:rPr>
              <w:t>具有高级工程师及以上</w:t>
            </w:r>
            <w:r>
              <w:rPr>
                <w:rFonts w:hint="eastAsia" w:ascii="宋体" w:hAnsi="宋体" w:eastAsia="宋体" w:cs="Times New Roman"/>
                <w:snapToGrid w:val="0"/>
                <w:color w:val="auto"/>
                <w:sz w:val="24"/>
                <w:szCs w:val="24"/>
                <w:highlight w:val="none"/>
                <w:lang w:val="en-US" w:eastAsia="zh-CN"/>
              </w:rPr>
              <w:t>职称</w:t>
            </w:r>
            <w:r>
              <w:rPr>
                <w:rFonts w:hint="eastAsia" w:ascii="宋体" w:hAnsi="宋体" w:eastAsia="宋体" w:cs="Times New Roman"/>
                <w:snapToGrid w:val="0"/>
                <w:color w:val="auto"/>
                <w:sz w:val="24"/>
                <w:szCs w:val="24"/>
                <w:highlight w:val="none"/>
              </w:rPr>
              <w:t>（</w:t>
            </w:r>
            <w:r>
              <w:rPr>
                <w:rFonts w:hint="eastAsia" w:ascii="宋体" w:hAnsi="宋体" w:eastAsia="宋体" w:cs="Times New Roman"/>
                <w:snapToGrid w:val="0"/>
                <w:color w:val="auto"/>
                <w:sz w:val="24"/>
                <w:szCs w:val="24"/>
                <w:highlight w:val="none"/>
                <w:lang w:val="en-US" w:eastAsia="zh-CN"/>
              </w:rPr>
              <w:t>电气专业或电力工程</w:t>
            </w:r>
            <w:r>
              <w:rPr>
                <w:rFonts w:hint="eastAsia" w:ascii="宋体" w:hAnsi="宋体" w:eastAsia="宋体" w:cs="Times New Roman"/>
                <w:snapToGrid w:val="0"/>
                <w:color w:val="auto"/>
                <w:sz w:val="24"/>
                <w:szCs w:val="24"/>
                <w:highlight w:val="none"/>
              </w:rPr>
              <w:t>）；</w:t>
            </w:r>
          </w:p>
          <w:p w14:paraId="0C9F6663">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hint="default" w:ascii="宋体" w:hAnsi="宋体"/>
                <w:color w:val="auto"/>
                <w:sz w:val="24"/>
                <w:szCs w:val="22"/>
                <w:highlight w:val="none"/>
                <w:lang w:val="en-US"/>
              </w:rPr>
            </w:pPr>
            <w:r>
              <w:rPr>
                <w:rFonts w:hint="eastAsia" w:ascii="宋体" w:hAnsi="宋体" w:eastAsia="宋体" w:cs="Times New Roman"/>
                <w:snapToGrid w:val="0"/>
                <w:color w:val="auto"/>
                <w:sz w:val="24"/>
                <w:szCs w:val="24"/>
                <w:highlight w:val="none"/>
              </w:rPr>
              <w:t>近3年内（2023年</w:t>
            </w:r>
            <w:r>
              <w:rPr>
                <w:rFonts w:hint="eastAsia" w:ascii="宋体" w:hAnsi="宋体" w:eastAsia="宋体" w:cs="Times New Roman"/>
                <w:snapToGrid w:val="0"/>
                <w:color w:val="auto"/>
                <w:sz w:val="24"/>
                <w:szCs w:val="24"/>
                <w:highlight w:val="none"/>
                <w:lang w:val="en-US" w:eastAsia="zh-CN"/>
              </w:rPr>
              <w:t>7</w:t>
            </w:r>
            <w:r>
              <w:rPr>
                <w:rFonts w:hint="eastAsia" w:ascii="宋体" w:hAnsi="宋体" w:eastAsia="宋体" w:cs="Times New Roman"/>
                <w:snapToGrid w:val="0"/>
                <w:color w:val="auto"/>
                <w:sz w:val="24"/>
                <w:szCs w:val="24"/>
                <w:highlight w:val="none"/>
              </w:rPr>
              <w:t>月1日至投标截止日，以合同签订时间为准）作为项目负责人</w:t>
            </w:r>
            <w:r>
              <w:rPr>
                <w:rFonts w:hint="eastAsia" w:ascii="宋体" w:hAnsi="宋体" w:eastAsia="宋体"/>
                <w:snapToGrid w:val="0"/>
                <w:color w:val="auto"/>
                <w:sz w:val="24"/>
                <w:szCs w:val="24"/>
                <w:highlight w:val="none"/>
                <w:lang w:val="en-US" w:eastAsia="zh-CN"/>
              </w:rPr>
              <w:t>具有</w:t>
            </w:r>
            <w:r>
              <w:rPr>
                <w:rFonts w:hint="eastAsia" w:ascii="宋体" w:hAnsi="宋体"/>
                <w:snapToGrid w:val="0"/>
                <w:color w:val="auto"/>
                <w:sz w:val="24"/>
                <w:szCs w:val="24"/>
                <w:highlight w:val="none"/>
                <w:lang w:val="en-US" w:eastAsia="zh-CN"/>
              </w:rPr>
              <w:t>1</w:t>
            </w:r>
            <w:r>
              <w:rPr>
                <w:rFonts w:hint="eastAsia" w:ascii="宋体" w:hAnsi="宋体" w:eastAsia="宋体" w:cs="Times New Roman"/>
                <w:color w:val="auto"/>
                <w:sz w:val="24"/>
                <w:szCs w:val="22"/>
                <w:highlight w:val="none"/>
                <w:lang w:val="en-US" w:eastAsia="zh-CN"/>
              </w:rPr>
              <w:t>项</w:t>
            </w:r>
            <w:r>
              <w:rPr>
                <w:rFonts w:hint="eastAsia" w:ascii="宋体" w:hAnsi="宋体" w:eastAsia="宋体" w:cs="Times New Roman"/>
                <w:color w:val="auto"/>
                <w:sz w:val="24"/>
                <w:szCs w:val="22"/>
                <w:highlight w:val="none"/>
                <w:lang w:eastAsia="zh-CN"/>
              </w:rPr>
              <w:t>不低于</w:t>
            </w:r>
            <w:r>
              <w:rPr>
                <w:rFonts w:hint="eastAsia" w:ascii="宋体" w:hAnsi="宋体" w:eastAsia="宋体" w:cs="Times New Roman"/>
                <w:color w:val="auto"/>
                <w:sz w:val="24"/>
                <w:szCs w:val="22"/>
                <w:highlight w:val="none"/>
                <w:lang w:val="en-US" w:eastAsia="zh-CN"/>
              </w:rPr>
              <w:t>100MW风电</w:t>
            </w:r>
            <w:r>
              <w:rPr>
                <w:rFonts w:hint="eastAsia" w:ascii="宋体" w:hAnsi="宋体" w:eastAsia="宋体" w:cs="Times New Roman"/>
                <w:color w:val="auto"/>
                <w:sz w:val="24"/>
                <w:szCs w:val="22"/>
                <w:highlight w:val="none"/>
              </w:rPr>
              <w:t>项目</w:t>
            </w:r>
            <w:r>
              <w:rPr>
                <w:rFonts w:hint="eastAsia" w:ascii="宋体" w:hAnsi="宋体"/>
                <w:color w:val="auto"/>
                <w:sz w:val="24"/>
                <w:szCs w:val="24"/>
                <w:highlight w:val="none"/>
              </w:rPr>
              <w:t>前期</w:t>
            </w:r>
            <w:r>
              <w:rPr>
                <w:rFonts w:hint="eastAsia" w:ascii="宋体" w:hAnsi="宋体" w:eastAsia="宋体" w:cs="Times New Roman"/>
                <w:color w:val="auto"/>
                <w:sz w:val="24"/>
                <w:szCs w:val="22"/>
                <w:highlight w:val="none"/>
                <w:lang w:val="en-US" w:eastAsia="zh-CN"/>
              </w:rPr>
              <w:t>技术</w:t>
            </w:r>
            <w:r>
              <w:rPr>
                <w:rFonts w:hint="eastAsia" w:ascii="宋体" w:hAnsi="宋体" w:eastAsia="宋体" w:cs="Times New Roman"/>
                <w:color w:val="auto"/>
                <w:sz w:val="24"/>
                <w:szCs w:val="22"/>
                <w:highlight w:val="none"/>
              </w:rPr>
              <w:t>咨询服务（</w:t>
            </w:r>
            <w:r>
              <w:rPr>
                <w:rFonts w:hint="eastAsia" w:ascii="宋体" w:hAnsi="宋体" w:eastAsia="宋体" w:cs="Times New Roman"/>
                <w:color w:val="auto"/>
                <w:sz w:val="24"/>
                <w:szCs w:val="22"/>
                <w:highlight w:val="none"/>
                <w:lang w:val="en-US" w:eastAsia="zh-CN"/>
              </w:rPr>
              <w:t>或可</w:t>
            </w:r>
            <w:r>
              <w:rPr>
                <w:rFonts w:hint="eastAsia" w:ascii="宋体" w:hAnsi="宋体"/>
                <w:color w:val="auto"/>
                <w:sz w:val="24"/>
                <w:szCs w:val="22"/>
                <w:highlight w:val="none"/>
                <w:lang w:val="en-US" w:eastAsia="zh-CN"/>
              </w:rPr>
              <w:t>行性研究报告</w:t>
            </w:r>
            <w:r>
              <w:rPr>
                <w:rFonts w:hint="eastAsia" w:ascii="宋体" w:hAnsi="宋体" w:eastAsia="宋体" w:cs="Times New Roman"/>
                <w:color w:val="auto"/>
                <w:sz w:val="24"/>
                <w:szCs w:val="22"/>
                <w:highlight w:val="none"/>
                <w:lang w:val="en-US" w:eastAsia="zh-CN"/>
              </w:rPr>
              <w:t>编制</w:t>
            </w:r>
            <w:r>
              <w:rPr>
                <w:rFonts w:hint="eastAsia" w:ascii="宋体" w:hAnsi="宋体"/>
                <w:color w:val="auto"/>
                <w:sz w:val="24"/>
                <w:szCs w:val="22"/>
                <w:highlight w:val="none"/>
              </w:rPr>
              <w:t>）</w:t>
            </w:r>
            <w:r>
              <w:rPr>
                <w:rFonts w:hint="eastAsia" w:ascii="宋体" w:hAnsi="宋体"/>
                <w:snapToGrid w:val="0"/>
                <w:color w:val="auto"/>
                <w:sz w:val="24"/>
                <w:szCs w:val="24"/>
                <w:highlight w:val="none"/>
              </w:rPr>
              <w:t>业绩。</w:t>
            </w:r>
          </w:p>
        </w:tc>
      </w:tr>
    </w:tbl>
    <w:p w14:paraId="76EE8CA2">
      <w:pPr>
        <w:adjustRightInd w:val="0"/>
        <w:spacing w:line="360" w:lineRule="auto"/>
        <w:jc w:val="center"/>
        <w:rPr>
          <w:rFonts w:ascii="宋体" w:hAnsi="宋体"/>
          <w:b/>
          <w:color w:val="auto"/>
          <w:sz w:val="24"/>
          <w:szCs w:val="24"/>
          <w:highlight w:val="none"/>
        </w:rPr>
      </w:pPr>
    </w:p>
    <w:p w14:paraId="15FCE1BA">
      <w:pPr>
        <w:spacing w:line="360" w:lineRule="auto"/>
        <w:rPr>
          <w:rFonts w:ascii="宋体" w:hAnsi="宋体"/>
          <w:b/>
          <w:color w:val="auto"/>
          <w:sz w:val="28"/>
          <w:szCs w:val="21"/>
          <w:highlight w:val="none"/>
        </w:rPr>
      </w:pPr>
      <w:r>
        <w:rPr>
          <w:rFonts w:ascii="宋体" w:hAnsi="宋体"/>
          <w:b/>
          <w:color w:val="auto"/>
          <w:sz w:val="28"/>
          <w:szCs w:val="21"/>
          <w:highlight w:val="none"/>
        </w:rPr>
        <w:br w:type="page"/>
      </w:r>
      <w:r>
        <w:rPr>
          <w:rFonts w:ascii="宋体" w:hAnsi="宋体"/>
          <w:b/>
          <w:color w:val="auto"/>
          <w:sz w:val="28"/>
          <w:szCs w:val="21"/>
          <w:highlight w:val="none"/>
        </w:rPr>
        <w:t>附件</w:t>
      </w:r>
      <w:r>
        <w:rPr>
          <w:rFonts w:hint="eastAsia" w:ascii="宋体" w:hAnsi="宋体"/>
          <w:b/>
          <w:color w:val="auto"/>
          <w:sz w:val="28"/>
          <w:szCs w:val="21"/>
          <w:highlight w:val="none"/>
          <w:lang w:val="en-US" w:eastAsia="zh-CN"/>
        </w:rPr>
        <w:t>2</w:t>
      </w:r>
      <w:r>
        <w:rPr>
          <w:rFonts w:ascii="宋体" w:hAnsi="宋体"/>
          <w:b/>
          <w:color w:val="auto"/>
          <w:sz w:val="28"/>
          <w:szCs w:val="21"/>
          <w:highlight w:val="none"/>
        </w:rPr>
        <w:t>：评标办法</w:t>
      </w:r>
    </w:p>
    <w:p w14:paraId="48709278">
      <w:pPr>
        <w:pStyle w:val="15"/>
        <w:rPr>
          <w:rFonts w:ascii="宋体" w:hAnsi="宋体" w:eastAsia="宋体"/>
          <w:color w:val="auto"/>
          <w:sz w:val="24"/>
          <w:szCs w:val="24"/>
          <w:highlight w:val="none"/>
        </w:rPr>
      </w:pPr>
      <w:r>
        <w:rPr>
          <w:rFonts w:ascii="宋体" w:hAnsi="宋体" w:eastAsia="宋体"/>
          <w:color w:val="auto"/>
          <w:sz w:val="24"/>
          <w:szCs w:val="24"/>
          <w:highlight w:val="none"/>
        </w:rPr>
        <w:t>评标办法前附表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279"/>
        <w:gridCol w:w="7370"/>
      </w:tblGrid>
      <w:tr w14:paraId="481A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397B8095">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条款号</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640D4AB9">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条款名称</w:t>
            </w:r>
          </w:p>
        </w:tc>
        <w:tc>
          <w:tcPr>
            <w:tcW w:w="7370" w:type="dxa"/>
            <w:tcBorders>
              <w:top w:val="single" w:color="auto" w:sz="4" w:space="0"/>
              <w:left w:val="single" w:color="auto" w:sz="4" w:space="0"/>
              <w:bottom w:val="single" w:color="auto" w:sz="4" w:space="0"/>
              <w:right w:val="single" w:color="auto" w:sz="4" w:space="0"/>
            </w:tcBorders>
            <w:noWrap w:val="0"/>
            <w:vAlign w:val="center"/>
          </w:tcPr>
          <w:p w14:paraId="673F30F0">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评审因素与评审标准</w:t>
            </w:r>
          </w:p>
        </w:tc>
      </w:tr>
      <w:tr w14:paraId="1E23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11649CBA">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1</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11FD19A2">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评标办法</w:t>
            </w:r>
          </w:p>
        </w:tc>
        <w:tc>
          <w:tcPr>
            <w:tcW w:w="7370" w:type="dxa"/>
            <w:tcBorders>
              <w:top w:val="single" w:color="auto" w:sz="4" w:space="0"/>
              <w:left w:val="single" w:color="auto" w:sz="4" w:space="0"/>
              <w:bottom w:val="single" w:color="auto" w:sz="4" w:space="0"/>
              <w:right w:val="single" w:color="auto" w:sz="4" w:space="0"/>
            </w:tcBorders>
            <w:noWrap w:val="0"/>
            <w:vAlign w:val="center"/>
          </w:tcPr>
          <w:p w14:paraId="5D36591D">
            <w:pPr>
              <w:rPr>
                <w:rFonts w:ascii="宋体" w:hAnsi="宋体"/>
                <w:color w:val="auto"/>
                <w:sz w:val="24"/>
                <w:szCs w:val="24"/>
                <w:highlight w:val="none"/>
              </w:rPr>
            </w:pPr>
            <w:r>
              <w:rPr>
                <w:rFonts w:hint="eastAsia" w:ascii="宋体" w:hAnsi="宋体"/>
                <w:color w:val="auto"/>
                <w:sz w:val="24"/>
                <w:szCs w:val="24"/>
                <w:highlight w:val="none"/>
              </w:rPr>
              <w:t>本次评标采用综合评估法。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2B472638">
            <w:pPr>
              <w:rPr>
                <w:rFonts w:ascii="宋体" w:hAnsi="宋体"/>
                <w:color w:val="auto"/>
                <w:sz w:val="24"/>
                <w:szCs w:val="24"/>
                <w:highlight w:val="none"/>
              </w:rPr>
            </w:pPr>
            <w:r>
              <w:rPr>
                <w:rFonts w:hint="eastAsia" w:ascii="宋体" w:hAnsi="宋体"/>
                <w:color w:val="auto"/>
                <w:sz w:val="24"/>
                <w:szCs w:val="24"/>
                <w:highlight w:val="none"/>
              </w:rPr>
              <w:t>（1）评标价低的投标人优先；</w:t>
            </w:r>
          </w:p>
          <w:p w14:paraId="067C1F11">
            <w:pPr>
              <w:rPr>
                <w:rFonts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eastAsia="zh-CN"/>
              </w:rPr>
              <w:t>服务方案</w:t>
            </w:r>
            <w:r>
              <w:rPr>
                <w:rFonts w:hint="eastAsia" w:ascii="宋体" w:hAnsi="宋体"/>
                <w:color w:val="auto"/>
                <w:sz w:val="24"/>
                <w:szCs w:val="24"/>
                <w:highlight w:val="none"/>
              </w:rPr>
              <w:t>评分较高的投标人优先；</w:t>
            </w:r>
          </w:p>
          <w:p w14:paraId="3A44B830">
            <w:pPr>
              <w:rPr>
                <w:rFonts w:ascii="宋体" w:hAnsi="宋体"/>
                <w:color w:val="auto"/>
                <w:sz w:val="24"/>
                <w:szCs w:val="24"/>
                <w:highlight w:val="none"/>
              </w:rPr>
            </w:pPr>
            <w:r>
              <w:rPr>
                <w:rFonts w:hint="eastAsia" w:ascii="宋体" w:hAnsi="宋体"/>
                <w:color w:val="auto"/>
                <w:sz w:val="24"/>
                <w:szCs w:val="24"/>
                <w:highlight w:val="none"/>
              </w:rPr>
              <w:t>（3）满足资格审查条件（业绩最低要求）要求的业绩累计合同金额高的优先。</w:t>
            </w:r>
          </w:p>
        </w:tc>
      </w:tr>
      <w:tr w14:paraId="7C14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754FE033">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2.1.1</w:t>
            </w:r>
          </w:p>
          <w:p w14:paraId="0233F6C2">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2.1.3</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6CE91FD0">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形式评审与响应性评审标准</w:t>
            </w:r>
          </w:p>
        </w:tc>
        <w:tc>
          <w:tcPr>
            <w:tcW w:w="7370" w:type="dxa"/>
            <w:tcBorders>
              <w:top w:val="single" w:color="auto" w:sz="4" w:space="0"/>
              <w:left w:val="single" w:color="auto" w:sz="4" w:space="0"/>
              <w:bottom w:val="single" w:color="auto" w:sz="4" w:space="0"/>
              <w:right w:val="single" w:color="auto" w:sz="4" w:space="0"/>
            </w:tcBorders>
            <w:noWrap w:val="0"/>
            <w:vAlign w:val="center"/>
          </w:tcPr>
          <w:p w14:paraId="32EB2EDC">
            <w:pPr>
              <w:tabs>
                <w:tab w:val="left" w:pos="3060"/>
              </w:tabs>
              <w:spacing w:line="276" w:lineRule="auto"/>
              <w:ind w:firstLine="241" w:firstLineChars="100"/>
              <w:rPr>
                <w:rFonts w:hint="eastAsia" w:ascii="宋体" w:hAnsi="宋体"/>
                <w:b/>
                <w:color w:val="auto"/>
                <w:sz w:val="24"/>
                <w:szCs w:val="24"/>
                <w:highlight w:val="none"/>
              </w:rPr>
            </w:pPr>
            <w:r>
              <w:rPr>
                <w:rFonts w:hint="eastAsia" w:ascii="宋体" w:hAnsi="宋体"/>
                <w:b/>
                <w:color w:val="auto"/>
                <w:sz w:val="24"/>
                <w:szCs w:val="24"/>
                <w:highlight w:val="none"/>
                <w:lang w:eastAsia="zh-CN"/>
              </w:rPr>
              <w:t>商务</w:t>
            </w:r>
            <w:r>
              <w:rPr>
                <w:rFonts w:hint="eastAsia" w:ascii="宋体" w:hAnsi="宋体"/>
                <w:b/>
                <w:color w:val="auto"/>
                <w:sz w:val="24"/>
                <w:szCs w:val="24"/>
                <w:highlight w:val="none"/>
              </w:rPr>
              <w:t>文件评审标准：</w:t>
            </w:r>
          </w:p>
          <w:p w14:paraId="05DBBF27">
            <w:pPr>
              <w:tabs>
                <w:tab w:val="left" w:pos="3060"/>
              </w:tabs>
              <w:spacing w:line="276" w:lineRule="auto"/>
              <w:ind w:firstLine="240" w:firstLineChars="100"/>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1）投标文件按照招标文件规定的格式、内容填写，字迹清晰可辩：</w:t>
            </w:r>
          </w:p>
          <w:p w14:paraId="69B572FD">
            <w:pPr>
              <w:shd w:val="clear" w:color="auto" w:fill="auto"/>
              <w:tabs>
                <w:tab w:val="left" w:pos="3060"/>
              </w:tabs>
              <w:spacing w:line="276" w:lineRule="auto"/>
              <w:ind w:firstLine="480" w:firstLineChars="200"/>
              <w:rPr>
                <w:rFonts w:hint="eastAsia" w:ascii="宋体" w:hAnsi="宋体" w:eastAsia="宋体"/>
                <w:color w:val="auto"/>
                <w:sz w:val="24"/>
                <w:szCs w:val="24"/>
                <w:highlight w:val="none"/>
                <w:lang w:eastAsia="zh-CN"/>
              </w:rPr>
            </w:pPr>
            <w:r>
              <w:rPr>
                <w:rFonts w:ascii="宋体" w:hAnsi="宋体"/>
                <w:color w:val="auto"/>
                <w:sz w:val="24"/>
                <w:szCs w:val="24"/>
                <w:highlight w:val="none"/>
              </w:rPr>
              <w:t>a、</w:t>
            </w:r>
            <w:r>
              <w:rPr>
                <w:rFonts w:hint="eastAsia" w:ascii="宋体" w:hAnsi="宋体"/>
                <w:color w:val="auto"/>
                <w:sz w:val="24"/>
                <w:szCs w:val="24"/>
                <w:highlight w:val="none"/>
              </w:rPr>
              <w:t>投标函按招标文件规定填报了项目名称、项目负责人信息、补遗书编号（如有）、服务期限、质量要求</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服务期限</w:t>
            </w:r>
            <w:r>
              <w:rPr>
                <w:rFonts w:hint="eastAsia" w:ascii="宋体" w:hAnsi="宋体"/>
                <w:color w:val="auto"/>
                <w:sz w:val="24"/>
                <w:szCs w:val="24"/>
                <w:highlight w:val="none"/>
              </w:rPr>
              <w:t>；</w:t>
            </w:r>
          </w:p>
          <w:p w14:paraId="25229E84">
            <w:pPr>
              <w:tabs>
                <w:tab w:val="left" w:pos="3060"/>
              </w:tabs>
              <w:spacing w:line="276" w:lineRule="auto"/>
              <w:ind w:firstLine="480" w:firstLineChars="200"/>
              <w:rPr>
                <w:rFonts w:hint="eastAsia" w:ascii="宋体" w:hAnsi="宋体"/>
                <w:color w:val="auto"/>
                <w:sz w:val="24"/>
                <w:szCs w:val="24"/>
                <w:highlight w:val="none"/>
              </w:rPr>
            </w:pPr>
            <w:r>
              <w:rPr>
                <w:rFonts w:ascii="宋体" w:hAnsi="宋体"/>
                <w:color w:val="auto"/>
                <w:sz w:val="24"/>
                <w:szCs w:val="24"/>
                <w:highlight w:val="none"/>
              </w:rPr>
              <w:t>b、投</w:t>
            </w:r>
            <w:r>
              <w:rPr>
                <w:rFonts w:hint="eastAsia" w:ascii="宋体" w:hAnsi="宋体"/>
                <w:color w:val="auto"/>
                <w:sz w:val="24"/>
                <w:szCs w:val="24"/>
                <w:highlight w:val="none"/>
              </w:rPr>
              <w:t>标文件组成齐全完整，内容均按规定填写。</w:t>
            </w:r>
          </w:p>
          <w:p w14:paraId="20FD034A">
            <w:pPr>
              <w:tabs>
                <w:tab w:val="left" w:pos="3060"/>
              </w:tabs>
              <w:spacing w:line="276" w:lineRule="auto"/>
              <w:ind w:firstLine="240" w:firstLineChars="100"/>
              <w:rPr>
                <w:rFonts w:hint="eastAsia" w:ascii="宋体" w:hAnsi="宋体"/>
                <w:b/>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2）投标文件上法定代表人或其委托代理人的签字、投标人的单位章盖章齐全，符合招标文件规定。</w:t>
            </w:r>
          </w:p>
          <w:p w14:paraId="09926AB8">
            <w:pPr>
              <w:tabs>
                <w:tab w:val="left" w:pos="3060"/>
              </w:tabs>
              <w:spacing w:line="320" w:lineRule="exact"/>
              <w:ind w:firstLine="240" w:firstLineChars="100"/>
              <w:rPr>
                <w:rFonts w:hint="eastAsia" w:ascii="宋体" w:hAnsi="宋体"/>
                <w:color w:val="auto"/>
                <w:sz w:val="24"/>
                <w:szCs w:val="24"/>
                <w:highlight w:val="none"/>
              </w:rPr>
            </w:pPr>
            <w:r>
              <w:rPr>
                <w:rFonts w:hint="eastAsia" w:ascii="宋体" w:hAnsi="宋体" w:cs="宋体"/>
                <w:color w:val="auto"/>
                <w:sz w:val="24"/>
                <w:szCs w:val="24"/>
                <w:highlight w:val="none"/>
              </w:rPr>
              <w:t>（3）投标人按照招标文件的规定提供了投标保证金，满足招标文件投标人须知前附表第3.4.1款。</w:t>
            </w:r>
          </w:p>
          <w:p w14:paraId="413DB6A4">
            <w:pPr>
              <w:tabs>
                <w:tab w:val="left" w:pos="3060"/>
              </w:tabs>
              <w:spacing w:line="276" w:lineRule="auto"/>
              <w:ind w:firstLine="240" w:firstLineChars="100"/>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4）投标人法定代表人的授权委托代理人签署投标文件的，需提交授权委托书，且符合招标文件规定。</w:t>
            </w:r>
          </w:p>
          <w:p w14:paraId="61EF58B9">
            <w:pPr>
              <w:tabs>
                <w:tab w:val="left" w:pos="3060"/>
              </w:tabs>
              <w:spacing w:line="276" w:lineRule="auto"/>
              <w:ind w:firstLine="240" w:firstLineChars="100"/>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5）投标人法定代表人亲自签署投标文件的，需提交法定代表人身份证明，</w:t>
            </w:r>
            <w:r>
              <w:rPr>
                <w:rFonts w:hint="eastAsia" w:ascii="宋体" w:hAnsi="宋体"/>
                <w:color w:val="auto"/>
                <w:sz w:val="24"/>
                <w:szCs w:val="24"/>
                <w:highlight w:val="none"/>
              </w:rPr>
              <w:t>且符合招标文件规定。</w:t>
            </w:r>
          </w:p>
          <w:p w14:paraId="321BFAFD">
            <w:pPr>
              <w:tabs>
                <w:tab w:val="left" w:pos="3060"/>
              </w:tabs>
              <w:spacing w:line="276" w:lineRule="auto"/>
              <w:ind w:firstLine="240" w:firstLineChars="100"/>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6）投标人未以联合体形式投标。</w:t>
            </w:r>
          </w:p>
          <w:p w14:paraId="4B4E4AE1">
            <w:pPr>
              <w:tabs>
                <w:tab w:val="left" w:pos="3060"/>
              </w:tabs>
              <w:spacing w:line="276" w:lineRule="auto"/>
              <w:ind w:firstLine="240" w:firstLineChars="100"/>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7）</w:t>
            </w:r>
            <w:r>
              <w:rPr>
                <w:rFonts w:hint="eastAsia" w:ascii="宋体" w:hAnsi="宋体"/>
                <w:color w:val="auto"/>
                <w:sz w:val="24"/>
                <w:szCs w:val="24"/>
                <w:highlight w:val="none"/>
              </w:rPr>
              <w:t>投标人未对本项目提出分包计划。</w:t>
            </w:r>
          </w:p>
          <w:p w14:paraId="7C7CCA0C">
            <w:pPr>
              <w:tabs>
                <w:tab w:val="left" w:pos="3060"/>
              </w:tabs>
              <w:spacing w:line="276" w:lineRule="auto"/>
              <w:ind w:firstLine="240" w:firstLineChars="100"/>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8）同一投标人未提交两个以上不同的投标文件。</w:t>
            </w:r>
          </w:p>
          <w:p w14:paraId="2866F094">
            <w:pPr>
              <w:tabs>
                <w:tab w:val="left" w:pos="3060"/>
              </w:tabs>
              <w:spacing w:line="276" w:lineRule="auto"/>
              <w:ind w:firstLine="240" w:firstLineChars="100"/>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9）投标文件载明的招标项目完成期限未超过招标文件规定的时限。</w:t>
            </w:r>
          </w:p>
          <w:p w14:paraId="69E0AA44">
            <w:pPr>
              <w:tabs>
                <w:tab w:val="left" w:pos="3060"/>
              </w:tabs>
              <w:spacing w:line="276" w:lineRule="auto"/>
              <w:ind w:firstLine="240" w:firstLineChars="100"/>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lang w:val="en-US" w:eastAsia="zh-CN"/>
              </w:rPr>
              <w:t>0</w:t>
            </w:r>
            <w:r>
              <w:rPr>
                <w:rFonts w:ascii="宋体" w:hAnsi="宋体"/>
                <w:color w:val="auto"/>
                <w:sz w:val="24"/>
                <w:szCs w:val="24"/>
                <w:highlight w:val="none"/>
              </w:rPr>
              <w:t>）投标文件对招标文件的实质性要求和条件</w:t>
            </w:r>
            <w:r>
              <w:rPr>
                <w:rFonts w:hint="eastAsia" w:ascii="宋体" w:hAnsi="宋体"/>
                <w:color w:val="auto"/>
                <w:sz w:val="24"/>
                <w:szCs w:val="24"/>
                <w:highlight w:val="none"/>
              </w:rPr>
              <w:t>作出响应。</w:t>
            </w:r>
          </w:p>
          <w:p w14:paraId="7AE22508">
            <w:pPr>
              <w:tabs>
                <w:tab w:val="left" w:pos="3060"/>
              </w:tabs>
              <w:spacing w:line="276" w:lineRule="auto"/>
              <w:ind w:firstLine="240" w:firstLineChars="100"/>
              <w:rPr>
                <w:rFonts w:hint="eastAsia" w:ascii="宋体" w:hAnsi="宋体"/>
                <w:color w:val="auto"/>
                <w:sz w:val="24"/>
                <w:szCs w:val="24"/>
                <w:highlight w:val="none"/>
              </w:rPr>
            </w:pPr>
            <w:r>
              <w:rPr>
                <w:rFonts w:hint="eastAsia" w:ascii="宋体" w:hAnsi="宋体"/>
                <w:color w:val="auto"/>
                <w:sz w:val="24"/>
                <w:szCs w:val="24"/>
                <w:highlight w:val="none"/>
              </w:rPr>
              <w:t>（</w:t>
            </w:r>
            <w:r>
              <w:rPr>
                <w:rFonts w:ascii="宋体" w:hAnsi="宋体"/>
                <w:color w:val="auto"/>
                <w:sz w:val="24"/>
                <w:szCs w:val="24"/>
                <w:highlight w:val="none"/>
              </w:rPr>
              <w:t>1</w:t>
            </w:r>
            <w:r>
              <w:rPr>
                <w:rFonts w:hint="eastAsia" w:ascii="宋体" w:hAnsi="宋体"/>
                <w:color w:val="auto"/>
                <w:sz w:val="24"/>
                <w:szCs w:val="24"/>
                <w:highlight w:val="none"/>
                <w:lang w:val="en-US" w:eastAsia="zh-CN"/>
              </w:rPr>
              <w:t>1</w:t>
            </w:r>
            <w:r>
              <w:rPr>
                <w:rFonts w:ascii="宋体" w:hAnsi="宋体"/>
                <w:color w:val="auto"/>
                <w:sz w:val="24"/>
                <w:szCs w:val="24"/>
                <w:highlight w:val="none"/>
              </w:rPr>
              <w:t>）权利义务符合招标文件规定：</w:t>
            </w:r>
          </w:p>
          <w:p w14:paraId="6E2D9F27">
            <w:pPr>
              <w:tabs>
                <w:tab w:val="left" w:pos="3060"/>
              </w:tabs>
              <w:spacing w:line="276" w:lineRule="auto"/>
              <w:ind w:firstLine="240" w:firstLineChars="100"/>
              <w:rPr>
                <w:rFonts w:hint="eastAsia" w:ascii="宋体" w:hAnsi="宋体"/>
                <w:color w:val="auto"/>
                <w:sz w:val="24"/>
                <w:szCs w:val="24"/>
                <w:highlight w:val="none"/>
              </w:rPr>
            </w:pPr>
            <w:r>
              <w:rPr>
                <w:rFonts w:ascii="宋体" w:hAnsi="宋体"/>
                <w:color w:val="auto"/>
                <w:sz w:val="24"/>
                <w:szCs w:val="24"/>
                <w:highlight w:val="none"/>
              </w:rPr>
              <w:t>a.投标人应接受招标文件规定的风险划分原则，未提出新的风险划分办法；</w:t>
            </w:r>
          </w:p>
          <w:p w14:paraId="4CD33492">
            <w:pPr>
              <w:tabs>
                <w:tab w:val="left" w:pos="3060"/>
              </w:tabs>
              <w:spacing w:line="276" w:lineRule="auto"/>
              <w:ind w:firstLine="240" w:firstLineChars="100"/>
              <w:rPr>
                <w:rFonts w:hint="eastAsia" w:ascii="宋体" w:hAnsi="宋体"/>
                <w:color w:val="auto"/>
                <w:sz w:val="24"/>
                <w:szCs w:val="24"/>
                <w:highlight w:val="none"/>
              </w:rPr>
            </w:pPr>
            <w:r>
              <w:rPr>
                <w:rFonts w:ascii="宋体" w:hAnsi="宋体"/>
                <w:color w:val="auto"/>
                <w:sz w:val="24"/>
                <w:szCs w:val="24"/>
                <w:highlight w:val="none"/>
              </w:rPr>
              <w:t>b.投标人未增加发包人的责任范围，或减少投标人义务；</w:t>
            </w:r>
          </w:p>
          <w:p w14:paraId="29147BAC">
            <w:pPr>
              <w:tabs>
                <w:tab w:val="left" w:pos="3060"/>
              </w:tabs>
              <w:spacing w:line="276" w:lineRule="auto"/>
              <w:ind w:firstLine="240" w:firstLineChars="100"/>
              <w:rPr>
                <w:rFonts w:hint="eastAsia" w:ascii="宋体" w:hAnsi="宋体"/>
                <w:color w:val="auto"/>
                <w:sz w:val="24"/>
                <w:szCs w:val="24"/>
                <w:highlight w:val="none"/>
              </w:rPr>
            </w:pPr>
            <w:r>
              <w:rPr>
                <w:rFonts w:ascii="宋体" w:hAnsi="宋体"/>
                <w:color w:val="auto"/>
                <w:sz w:val="24"/>
                <w:szCs w:val="24"/>
                <w:highlight w:val="none"/>
              </w:rPr>
              <w:t>c.投标人未提出不同的工程验收、计量、支付办法；</w:t>
            </w:r>
          </w:p>
          <w:p w14:paraId="247F11A5">
            <w:pPr>
              <w:tabs>
                <w:tab w:val="left" w:pos="3060"/>
              </w:tabs>
              <w:spacing w:line="276" w:lineRule="auto"/>
              <w:ind w:firstLine="240" w:firstLineChars="100"/>
              <w:rPr>
                <w:rFonts w:hint="eastAsia" w:ascii="宋体" w:hAnsi="宋体"/>
                <w:color w:val="auto"/>
                <w:sz w:val="24"/>
                <w:szCs w:val="24"/>
                <w:highlight w:val="none"/>
              </w:rPr>
            </w:pPr>
            <w:r>
              <w:rPr>
                <w:rFonts w:ascii="宋体" w:hAnsi="宋体"/>
                <w:color w:val="auto"/>
                <w:sz w:val="24"/>
                <w:szCs w:val="24"/>
                <w:highlight w:val="none"/>
              </w:rPr>
              <w:t>d.投标人对合同纠纷、事故处理办法未提出异议；</w:t>
            </w:r>
          </w:p>
          <w:p w14:paraId="6D5C176B">
            <w:pPr>
              <w:tabs>
                <w:tab w:val="left" w:pos="3060"/>
              </w:tabs>
              <w:spacing w:line="276" w:lineRule="auto"/>
              <w:ind w:firstLine="240" w:firstLineChars="100"/>
              <w:rPr>
                <w:rFonts w:hint="eastAsia" w:ascii="宋体" w:hAnsi="宋体"/>
                <w:color w:val="auto"/>
                <w:sz w:val="24"/>
                <w:szCs w:val="24"/>
                <w:highlight w:val="none"/>
              </w:rPr>
            </w:pPr>
            <w:r>
              <w:rPr>
                <w:rFonts w:ascii="宋体" w:hAnsi="宋体"/>
                <w:color w:val="auto"/>
                <w:sz w:val="24"/>
                <w:szCs w:val="24"/>
                <w:highlight w:val="none"/>
              </w:rPr>
              <w:t>e.投标人在投标活动中无欺诈行为；</w:t>
            </w:r>
          </w:p>
          <w:p w14:paraId="3086908B">
            <w:pPr>
              <w:tabs>
                <w:tab w:val="left" w:pos="3060"/>
              </w:tabs>
              <w:spacing w:line="276" w:lineRule="auto"/>
              <w:ind w:firstLine="240" w:firstLineChars="100"/>
              <w:rPr>
                <w:rFonts w:ascii="宋体" w:hAnsi="宋体"/>
                <w:color w:val="auto"/>
                <w:sz w:val="24"/>
                <w:szCs w:val="24"/>
                <w:highlight w:val="none"/>
              </w:rPr>
            </w:pPr>
            <w:r>
              <w:rPr>
                <w:rFonts w:ascii="宋体" w:hAnsi="宋体"/>
                <w:color w:val="auto"/>
                <w:sz w:val="24"/>
                <w:szCs w:val="24"/>
                <w:highlight w:val="none"/>
              </w:rPr>
              <w:t>f.投标人未对合同条款有重要保留。</w:t>
            </w:r>
          </w:p>
          <w:p w14:paraId="22A40C05">
            <w:pPr>
              <w:tabs>
                <w:tab w:val="left" w:pos="3060"/>
              </w:tabs>
              <w:spacing w:line="276" w:lineRule="auto"/>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）投标人不存在投标人须知前附表4.4(1)、(3)项规定的情形</w:t>
            </w:r>
            <w:r>
              <w:rPr>
                <w:rFonts w:hint="eastAsia" w:ascii="宋体" w:hAnsi="宋体"/>
                <w:color w:val="auto"/>
                <w:sz w:val="24"/>
                <w:szCs w:val="24"/>
                <w:highlight w:val="none"/>
                <w:lang w:eastAsia="zh-CN"/>
              </w:rPr>
              <w:t>。</w:t>
            </w:r>
          </w:p>
          <w:p w14:paraId="782189B1">
            <w:pPr>
              <w:tabs>
                <w:tab w:val="left" w:pos="3060"/>
              </w:tabs>
              <w:spacing w:line="276" w:lineRule="auto"/>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13</w:t>
            </w:r>
            <w:r>
              <w:rPr>
                <w:rFonts w:hint="eastAsia" w:ascii="宋体" w:hAnsi="宋体"/>
                <w:color w:val="auto"/>
                <w:sz w:val="24"/>
                <w:szCs w:val="24"/>
                <w:highlight w:val="none"/>
              </w:rPr>
              <w:t>）</w:t>
            </w:r>
            <w:r>
              <w:rPr>
                <w:rFonts w:hint="eastAsia" w:ascii="宋体" w:hAnsi="宋体"/>
                <w:color w:val="auto"/>
                <w:sz w:val="24"/>
                <w:szCs w:val="24"/>
                <w:highlight w:val="none"/>
                <w:lang w:val="en-US" w:eastAsia="zh-CN"/>
              </w:rPr>
              <w:t>投标人不存在因投标人须知前附表4.4(2)项规定的情形被评标委员会认定为其他异常投标情形</w:t>
            </w:r>
            <w:r>
              <w:rPr>
                <w:rFonts w:hint="eastAsia" w:ascii="宋体" w:hAnsi="宋体"/>
                <w:color w:val="auto"/>
                <w:sz w:val="24"/>
                <w:szCs w:val="24"/>
                <w:highlight w:val="none"/>
              </w:rPr>
              <w:t>。</w:t>
            </w:r>
          </w:p>
          <w:p w14:paraId="6D353821">
            <w:pPr>
              <w:tabs>
                <w:tab w:val="left" w:pos="3060"/>
              </w:tabs>
              <w:spacing w:line="276" w:lineRule="auto"/>
              <w:ind w:firstLine="240" w:firstLineChars="100"/>
              <w:rPr>
                <w:rFonts w:hint="eastAsia" w:ascii="宋体" w:hAnsi="宋体"/>
                <w:color w:val="auto"/>
                <w:sz w:val="24"/>
                <w:szCs w:val="24"/>
                <w:highlight w:val="none"/>
              </w:rPr>
            </w:pPr>
            <w:r>
              <w:rPr>
                <w:rFonts w:ascii="宋体" w:hAnsi="宋体"/>
                <w:color w:val="auto"/>
                <w:sz w:val="24"/>
                <w:szCs w:val="24"/>
                <w:highlight w:val="none"/>
              </w:rPr>
              <w:t>(</w:t>
            </w:r>
            <w:r>
              <w:rPr>
                <w:rFonts w:hint="eastAsia" w:ascii="宋体" w:hAnsi="宋体"/>
                <w:color w:val="auto"/>
                <w:sz w:val="24"/>
                <w:szCs w:val="24"/>
                <w:highlight w:val="none"/>
                <w:lang w:val="en-US" w:eastAsia="zh-CN"/>
              </w:rPr>
              <w:t>14</w:t>
            </w:r>
            <w:r>
              <w:rPr>
                <w:rFonts w:ascii="宋体" w:hAnsi="宋体"/>
                <w:color w:val="auto"/>
                <w:sz w:val="24"/>
                <w:szCs w:val="24"/>
                <w:highlight w:val="none"/>
              </w:rPr>
              <w:t>)投标报价未超过招标文件设定的最高投标限价。</w:t>
            </w:r>
          </w:p>
          <w:p w14:paraId="3FCF4C79">
            <w:pPr>
              <w:tabs>
                <w:tab w:val="left" w:pos="3060"/>
              </w:tabs>
              <w:spacing w:line="276" w:lineRule="auto"/>
              <w:ind w:firstLine="240" w:firstLineChars="100"/>
              <w:rPr>
                <w:rFonts w:hint="eastAsia" w:ascii="宋体" w:hAnsi="宋体"/>
                <w:color w:val="auto"/>
                <w:sz w:val="24"/>
                <w:szCs w:val="24"/>
                <w:highlight w:val="none"/>
              </w:rPr>
            </w:pPr>
            <w:r>
              <w:rPr>
                <w:rFonts w:ascii="宋体" w:hAnsi="宋体"/>
                <w:color w:val="auto"/>
                <w:sz w:val="24"/>
                <w:szCs w:val="24"/>
                <w:highlight w:val="none"/>
              </w:rPr>
              <w:t>(</w:t>
            </w:r>
            <w:r>
              <w:rPr>
                <w:rFonts w:hint="eastAsia" w:ascii="宋体" w:hAnsi="宋体"/>
                <w:color w:val="auto"/>
                <w:sz w:val="24"/>
                <w:szCs w:val="24"/>
                <w:highlight w:val="none"/>
                <w:lang w:val="en-US" w:eastAsia="zh-CN"/>
              </w:rPr>
              <w:t>15</w:t>
            </w:r>
            <w:r>
              <w:rPr>
                <w:rFonts w:ascii="宋体" w:hAnsi="宋体"/>
                <w:color w:val="auto"/>
                <w:sz w:val="24"/>
                <w:szCs w:val="24"/>
                <w:highlight w:val="none"/>
              </w:rPr>
              <w:t>)投标报价的大写金额能够确定具体数值。</w:t>
            </w:r>
          </w:p>
          <w:p w14:paraId="0D1FABB7">
            <w:pPr>
              <w:tabs>
                <w:tab w:val="left" w:pos="3060"/>
              </w:tabs>
              <w:spacing w:line="276" w:lineRule="auto"/>
              <w:ind w:firstLine="240" w:firstLineChars="100"/>
              <w:rPr>
                <w:rFonts w:hint="eastAsia" w:ascii="宋体" w:hAnsi="宋体"/>
                <w:color w:val="auto"/>
                <w:sz w:val="24"/>
                <w:szCs w:val="24"/>
                <w:highlight w:val="none"/>
              </w:rPr>
            </w:pPr>
            <w:r>
              <w:rPr>
                <w:rFonts w:ascii="宋体" w:hAnsi="宋体"/>
                <w:color w:val="auto"/>
                <w:sz w:val="24"/>
                <w:szCs w:val="24"/>
                <w:highlight w:val="none"/>
              </w:rPr>
              <w:t>(</w:t>
            </w:r>
            <w:r>
              <w:rPr>
                <w:rFonts w:hint="eastAsia" w:ascii="宋体" w:hAnsi="宋体"/>
                <w:color w:val="auto"/>
                <w:sz w:val="24"/>
                <w:szCs w:val="24"/>
                <w:highlight w:val="none"/>
                <w:lang w:val="en-US" w:eastAsia="zh-CN"/>
              </w:rPr>
              <w:t>16</w:t>
            </w:r>
            <w:r>
              <w:rPr>
                <w:rFonts w:ascii="宋体" w:hAnsi="宋体"/>
                <w:color w:val="auto"/>
                <w:sz w:val="24"/>
                <w:szCs w:val="24"/>
                <w:highlight w:val="none"/>
              </w:rPr>
              <w:t>)同一投标人未提交两个以上不同的投标报价。</w:t>
            </w:r>
          </w:p>
          <w:p w14:paraId="21AAF986">
            <w:pPr>
              <w:tabs>
                <w:tab w:val="left" w:pos="3060"/>
              </w:tabs>
              <w:spacing w:line="276" w:lineRule="auto"/>
              <w:ind w:firstLine="240" w:firstLineChars="100"/>
              <w:rPr>
                <w:rFonts w:hint="eastAsia" w:ascii="宋体" w:hAnsi="宋体"/>
                <w:color w:val="auto"/>
                <w:sz w:val="24"/>
                <w:szCs w:val="24"/>
                <w:highlight w:val="none"/>
              </w:rPr>
            </w:pP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17</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分项报价表</w:t>
            </w:r>
            <w:r>
              <w:rPr>
                <w:rFonts w:hint="eastAsia" w:ascii="宋体" w:hAnsi="宋体" w:eastAsia="宋体" w:cs="Times New Roman"/>
                <w:color w:val="auto"/>
                <w:sz w:val="24"/>
                <w:szCs w:val="24"/>
                <w:highlight w:val="none"/>
              </w:rPr>
              <w:t>中</w:t>
            </w:r>
            <w:r>
              <w:rPr>
                <w:rFonts w:hint="eastAsia" w:ascii="宋体" w:hAnsi="宋体"/>
                <w:color w:val="auto"/>
                <w:sz w:val="24"/>
                <w:szCs w:val="24"/>
                <w:highlight w:val="none"/>
              </w:rPr>
              <w:t>的投标报价和投标函大写金额报价一致。</w:t>
            </w:r>
          </w:p>
          <w:p w14:paraId="5EEACC30">
            <w:pPr>
              <w:tabs>
                <w:tab w:val="left" w:pos="3060"/>
              </w:tabs>
              <w:spacing w:line="276" w:lineRule="auto"/>
              <w:ind w:firstLine="241" w:firstLineChars="100"/>
              <w:rPr>
                <w:rFonts w:hint="eastAsia" w:ascii="宋体" w:hAnsi="宋体"/>
                <w:b/>
                <w:color w:val="auto"/>
                <w:sz w:val="24"/>
                <w:szCs w:val="24"/>
                <w:highlight w:val="none"/>
              </w:rPr>
            </w:pPr>
            <w:r>
              <w:rPr>
                <w:rFonts w:hint="eastAsia" w:ascii="宋体" w:hAnsi="宋体"/>
                <w:b/>
                <w:color w:val="auto"/>
                <w:sz w:val="24"/>
                <w:szCs w:val="24"/>
                <w:highlight w:val="none"/>
              </w:rPr>
              <w:t>技术文件评审标准</w:t>
            </w:r>
            <w:r>
              <w:rPr>
                <w:rFonts w:ascii="宋体" w:hAnsi="宋体"/>
                <w:b/>
                <w:color w:val="auto"/>
                <w:sz w:val="24"/>
                <w:szCs w:val="24"/>
                <w:highlight w:val="none"/>
              </w:rPr>
              <w:t>:</w:t>
            </w:r>
          </w:p>
          <w:p w14:paraId="0A691B32">
            <w:pPr>
              <w:tabs>
                <w:tab w:val="left" w:pos="3060"/>
              </w:tabs>
              <w:spacing w:line="276" w:lineRule="auto"/>
              <w:ind w:firstLine="241"/>
              <w:rPr>
                <w:rFonts w:ascii="宋体" w:hAnsi="宋体"/>
                <w:color w:val="auto"/>
                <w:sz w:val="24"/>
                <w:szCs w:val="24"/>
                <w:highlight w:val="none"/>
              </w:rPr>
            </w:pPr>
            <w:r>
              <w:rPr>
                <w:rFonts w:hint="eastAsia" w:ascii="宋体" w:hAnsi="宋体"/>
                <w:color w:val="auto"/>
                <w:sz w:val="24"/>
                <w:szCs w:val="24"/>
                <w:highlight w:val="none"/>
              </w:rPr>
              <w:t>（1）技术建议书（暗标）</w:t>
            </w:r>
            <w:r>
              <w:rPr>
                <w:rFonts w:hint="eastAsia" w:ascii="宋体" w:hAnsi="宋体"/>
                <w:color w:val="auto"/>
                <w:sz w:val="24"/>
                <w:szCs w:val="24"/>
                <w:highlight w:val="none"/>
                <w:lang w:val="en-US" w:eastAsia="zh-CN"/>
              </w:rPr>
              <w:t>编制</w:t>
            </w:r>
            <w:r>
              <w:rPr>
                <w:rFonts w:hint="eastAsia" w:ascii="宋体" w:hAnsi="宋体"/>
                <w:color w:val="auto"/>
                <w:sz w:val="24"/>
                <w:szCs w:val="24"/>
                <w:highlight w:val="none"/>
              </w:rPr>
              <w:t>符合招标文件第二章“投标人须知”第10.2款的规定。</w:t>
            </w:r>
          </w:p>
        </w:tc>
      </w:tr>
      <w:tr w14:paraId="122B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7809DE9F">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2.1.2</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5487CD4F">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资格评审标准</w:t>
            </w:r>
          </w:p>
        </w:tc>
        <w:tc>
          <w:tcPr>
            <w:tcW w:w="7370" w:type="dxa"/>
            <w:tcBorders>
              <w:top w:val="single" w:color="auto" w:sz="4" w:space="0"/>
              <w:left w:val="single" w:color="auto" w:sz="4" w:space="0"/>
              <w:bottom w:val="single" w:color="auto" w:sz="4" w:space="0"/>
              <w:right w:val="single" w:color="auto" w:sz="4" w:space="0"/>
            </w:tcBorders>
            <w:noWrap w:val="0"/>
            <w:vAlign w:val="center"/>
          </w:tcPr>
          <w:p w14:paraId="4D27999B">
            <w:pPr>
              <w:adjustRightInd w:val="0"/>
              <w:snapToGrid w:val="0"/>
              <w:textAlignment w:val="baseline"/>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lang w:eastAsia="zh-CN"/>
              </w:rPr>
              <w:t>（</w:t>
            </w:r>
            <w:r>
              <w:rPr>
                <w:rFonts w:ascii="宋体" w:hAnsi="宋体"/>
                <w:snapToGrid w:val="0"/>
                <w:color w:val="auto"/>
                <w:kern w:val="0"/>
                <w:sz w:val="24"/>
                <w:szCs w:val="24"/>
                <w:highlight w:val="none"/>
              </w:rPr>
              <w:t>1）</w:t>
            </w:r>
            <w:r>
              <w:rPr>
                <w:rFonts w:hint="eastAsia" w:ascii="宋体" w:hAnsi="宋体"/>
                <w:snapToGrid w:val="0"/>
                <w:color w:val="auto"/>
                <w:kern w:val="0"/>
                <w:sz w:val="24"/>
                <w:szCs w:val="24"/>
                <w:highlight w:val="none"/>
              </w:rPr>
              <w:t>投标人具备有效的营业执照</w:t>
            </w:r>
            <w:r>
              <w:rPr>
                <w:rFonts w:hint="eastAsia" w:ascii="宋体" w:hAnsi="宋体"/>
                <w:snapToGrid w:val="0"/>
                <w:color w:val="auto"/>
                <w:kern w:val="0"/>
                <w:sz w:val="24"/>
                <w:szCs w:val="24"/>
                <w:highlight w:val="none"/>
                <w:lang w:val="en-US" w:eastAsia="zh-CN"/>
              </w:rPr>
              <w:t>或</w:t>
            </w:r>
            <w:r>
              <w:rPr>
                <w:rFonts w:hint="eastAsia" w:ascii="宋体" w:hAnsi="宋体" w:eastAsia="宋体" w:cs="Times New Roman"/>
                <w:snapToGrid w:val="0"/>
                <w:color w:val="auto"/>
                <w:sz w:val="24"/>
                <w:szCs w:val="24"/>
                <w:highlight w:val="none"/>
              </w:rPr>
              <w:t>事业单位法人</w:t>
            </w:r>
            <w:r>
              <w:rPr>
                <w:rFonts w:hint="eastAsia" w:ascii="宋体" w:hAnsi="宋体" w:eastAsia="宋体" w:cs="Times New Roman"/>
                <w:snapToGrid w:val="0"/>
                <w:color w:val="auto"/>
                <w:sz w:val="24"/>
                <w:szCs w:val="24"/>
                <w:highlight w:val="none"/>
                <w:lang w:val="en-US" w:eastAsia="zh-CN"/>
              </w:rPr>
              <w:t>登记</w:t>
            </w:r>
            <w:r>
              <w:rPr>
                <w:rFonts w:hint="eastAsia" w:ascii="宋体" w:hAnsi="宋体" w:eastAsia="宋体" w:cs="Times New Roman"/>
                <w:snapToGrid w:val="0"/>
                <w:color w:val="auto"/>
                <w:sz w:val="24"/>
                <w:szCs w:val="24"/>
                <w:highlight w:val="none"/>
              </w:rPr>
              <w:t>证书</w:t>
            </w:r>
            <w:r>
              <w:rPr>
                <w:rFonts w:hint="eastAsia" w:ascii="宋体" w:hAnsi="宋体"/>
                <w:color w:val="auto"/>
                <w:sz w:val="24"/>
                <w:szCs w:val="22"/>
                <w:highlight w:val="none"/>
                <w:lang w:val="en-US" w:eastAsia="zh-CN"/>
              </w:rPr>
              <w:t>。</w:t>
            </w:r>
            <w:r>
              <w:rPr>
                <w:rFonts w:hint="eastAsia" w:ascii="宋体" w:hAnsi="宋体"/>
                <w:snapToGrid w:val="0"/>
                <w:color w:val="auto"/>
                <w:kern w:val="0"/>
                <w:sz w:val="24"/>
                <w:szCs w:val="24"/>
                <w:highlight w:val="none"/>
              </w:rPr>
              <w:t>基本账户开户许可证（或基本存款账户信息）</w:t>
            </w:r>
          </w:p>
          <w:p w14:paraId="736BE6AB">
            <w:pPr>
              <w:adjustRightInd w:val="0"/>
              <w:snapToGrid w:val="0"/>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w:t>
            </w:r>
            <w:r>
              <w:rPr>
                <w:rFonts w:hint="eastAsia" w:ascii="宋体" w:hAnsi="宋体"/>
                <w:snapToGrid w:val="0"/>
                <w:color w:val="auto"/>
                <w:kern w:val="0"/>
                <w:sz w:val="24"/>
                <w:szCs w:val="24"/>
                <w:highlight w:val="none"/>
                <w:lang w:val="en-US" w:eastAsia="zh-CN"/>
              </w:rPr>
              <w:t>2</w:t>
            </w:r>
            <w:r>
              <w:rPr>
                <w:rFonts w:ascii="宋体" w:hAnsi="宋体"/>
                <w:snapToGrid w:val="0"/>
                <w:color w:val="auto"/>
                <w:kern w:val="0"/>
                <w:sz w:val="24"/>
                <w:szCs w:val="24"/>
                <w:highlight w:val="none"/>
              </w:rPr>
              <w:t>）投标人的类似项目业绩符合招标文件的规定。</w:t>
            </w:r>
          </w:p>
          <w:p w14:paraId="5FA28B2B">
            <w:pPr>
              <w:adjustRightInd w:val="0"/>
              <w:snapToGrid w:val="0"/>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w:t>
            </w:r>
            <w:r>
              <w:rPr>
                <w:rFonts w:hint="eastAsia" w:ascii="宋体" w:hAnsi="宋体"/>
                <w:snapToGrid w:val="0"/>
                <w:color w:val="auto"/>
                <w:kern w:val="0"/>
                <w:sz w:val="24"/>
                <w:szCs w:val="24"/>
                <w:highlight w:val="none"/>
                <w:lang w:val="en-US" w:eastAsia="zh-CN"/>
              </w:rPr>
              <w:t>3</w:t>
            </w:r>
            <w:r>
              <w:rPr>
                <w:rFonts w:ascii="宋体" w:hAnsi="宋体"/>
                <w:snapToGrid w:val="0"/>
                <w:color w:val="auto"/>
                <w:kern w:val="0"/>
                <w:sz w:val="24"/>
                <w:szCs w:val="24"/>
                <w:highlight w:val="none"/>
              </w:rPr>
              <w:t>）投标人的信誉符合招标文件规定。</w:t>
            </w:r>
          </w:p>
          <w:p w14:paraId="55DAFE3A">
            <w:pPr>
              <w:adjustRightInd w:val="0"/>
              <w:snapToGrid w:val="0"/>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w:t>
            </w:r>
            <w:r>
              <w:rPr>
                <w:rFonts w:hint="eastAsia" w:ascii="宋体" w:hAnsi="宋体"/>
                <w:snapToGrid w:val="0"/>
                <w:color w:val="auto"/>
                <w:kern w:val="0"/>
                <w:sz w:val="24"/>
                <w:szCs w:val="24"/>
                <w:highlight w:val="none"/>
                <w:lang w:val="en-US" w:eastAsia="zh-CN"/>
              </w:rPr>
              <w:t>4</w:t>
            </w:r>
            <w:r>
              <w:rPr>
                <w:rFonts w:ascii="宋体" w:hAnsi="宋体"/>
                <w:snapToGrid w:val="0"/>
                <w:color w:val="auto"/>
                <w:kern w:val="0"/>
                <w:sz w:val="24"/>
                <w:szCs w:val="24"/>
                <w:highlight w:val="none"/>
              </w:rPr>
              <w:t>）投标人的</w:t>
            </w:r>
            <w:r>
              <w:rPr>
                <w:rFonts w:hint="eastAsia" w:ascii="宋体" w:hAnsi="宋体"/>
                <w:snapToGrid w:val="0"/>
                <w:color w:val="auto"/>
                <w:kern w:val="0"/>
                <w:sz w:val="24"/>
                <w:szCs w:val="24"/>
                <w:highlight w:val="none"/>
              </w:rPr>
              <w:t>项目负责人</w:t>
            </w:r>
            <w:r>
              <w:rPr>
                <w:rFonts w:ascii="宋体" w:hAnsi="宋体"/>
                <w:snapToGrid w:val="0"/>
                <w:color w:val="auto"/>
                <w:kern w:val="0"/>
                <w:sz w:val="24"/>
                <w:szCs w:val="24"/>
                <w:highlight w:val="none"/>
              </w:rPr>
              <w:t>资格符合招标文件规定。</w:t>
            </w:r>
          </w:p>
          <w:p w14:paraId="167B3933">
            <w:pPr>
              <w:adjustRightInd w:val="0"/>
              <w:snapToGrid w:val="0"/>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w:t>
            </w:r>
            <w:r>
              <w:rPr>
                <w:rFonts w:hint="eastAsia" w:ascii="宋体" w:hAnsi="宋体"/>
                <w:snapToGrid w:val="0"/>
                <w:color w:val="auto"/>
                <w:kern w:val="0"/>
                <w:sz w:val="24"/>
                <w:szCs w:val="24"/>
                <w:highlight w:val="none"/>
                <w:lang w:val="en-US" w:eastAsia="zh-CN"/>
              </w:rPr>
              <w:t>5</w:t>
            </w:r>
            <w:r>
              <w:rPr>
                <w:rFonts w:ascii="宋体" w:hAnsi="宋体"/>
                <w:snapToGrid w:val="0"/>
                <w:color w:val="auto"/>
                <w:kern w:val="0"/>
                <w:sz w:val="24"/>
                <w:szCs w:val="24"/>
                <w:highlight w:val="none"/>
              </w:rPr>
              <w:t>）投标人的其他要求符合招标文件规定。</w:t>
            </w:r>
          </w:p>
          <w:p w14:paraId="0A1938D5">
            <w:pPr>
              <w:adjustRightInd w:val="0"/>
              <w:snapToGrid w:val="0"/>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w:t>
            </w:r>
            <w:r>
              <w:rPr>
                <w:rFonts w:hint="eastAsia" w:ascii="宋体" w:hAnsi="宋体"/>
                <w:snapToGrid w:val="0"/>
                <w:color w:val="auto"/>
                <w:kern w:val="0"/>
                <w:sz w:val="24"/>
                <w:szCs w:val="24"/>
                <w:highlight w:val="none"/>
                <w:lang w:val="en-US" w:eastAsia="zh-CN"/>
              </w:rPr>
              <w:t>6</w:t>
            </w:r>
            <w:r>
              <w:rPr>
                <w:rFonts w:ascii="宋体" w:hAnsi="宋体"/>
                <w:snapToGrid w:val="0"/>
                <w:color w:val="auto"/>
                <w:kern w:val="0"/>
                <w:sz w:val="24"/>
                <w:szCs w:val="24"/>
                <w:highlight w:val="none"/>
              </w:rPr>
              <w:t>）投标人不存在第二章“投标人须知”第1.4.3项或1.4.4项规定的任何一种情形。</w:t>
            </w:r>
          </w:p>
        </w:tc>
      </w:tr>
      <w:tr w14:paraId="45F2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036B4A7B">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2.2.1</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7855A3EF">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分值构成</w:t>
            </w:r>
          </w:p>
        </w:tc>
        <w:tc>
          <w:tcPr>
            <w:tcW w:w="7370" w:type="dxa"/>
            <w:tcBorders>
              <w:top w:val="single" w:color="auto" w:sz="4" w:space="0"/>
              <w:left w:val="single" w:color="auto" w:sz="4" w:space="0"/>
              <w:bottom w:val="single" w:color="auto" w:sz="4" w:space="0"/>
              <w:right w:val="single" w:color="auto" w:sz="4" w:space="0"/>
            </w:tcBorders>
            <w:noWrap w:val="0"/>
            <w:vAlign w:val="center"/>
          </w:tcPr>
          <w:p w14:paraId="30AD506F">
            <w:pPr>
              <w:adjustRightInd w:val="0"/>
              <w:snapToGrid w:val="0"/>
              <w:rPr>
                <w:rFonts w:ascii="宋体" w:hAnsi="宋体"/>
                <w:snapToGrid w:val="0"/>
                <w:color w:val="auto"/>
                <w:kern w:val="0"/>
                <w:sz w:val="24"/>
                <w:szCs w:val="24"/>
                <w:highlight w:val="none"/>
              </w:rPr>
            </w:pPr>
            <w:r>
              <w:rPr>
                <w:rFonts w:hint="eastAsia" w:ascii="宋体" w:hAnsi="宋体"/>
                <w:snapToGrid w:val="0"/>
                <w:color w:val="auto"/>
                <w:spacing w:val="40"/>
                <w:kern w:val="0"/>
                <w:sz w:val="24"/>
                <w:szCs w:val="24"/>
                <w:highlight w:val="none"/>
                <w:fitText w:val="1200" w:id="702682568"/>
              </w:rPr>
              <w:t>服务方</w:t>
            </w:r>
            <w:r>
              <w:rPr>
                <w:rFonts w:hint="eastAsia" w:ascii="宋体" w:hAnsi="宋体"/>
                <w:snapToGrid w:val="0"/>
                <w:color w:val="auto"/>
                <w:spacing w:val="0"/>
                <w:kern w:val="0"/>
                <w:sz w:val="24"/>
                <w:szCs w:val="24"/>
                <w:highlight w:val="none"/>
                <w:fitText w:val="1200" w:id="702682568"/>
              </w:rPr>
              <w:t>案</w:t>
            </w:r>
            <w:r>
              <w:rPr>
                <w:rFonts w:hint="eastAsia" w:ascii="宋体" w:hAnsi="宋体"/>
                <w:snapToGrid w:val="0"/>
                <w:color w:val="auto"/>
                <w:kern w:val="0"/>
                <w:sz w:val="24"/>
                <w:szCs w:val="24"/>
                <w:highlight w:val="none"/>
                <w:lang w:eastAsia="zh-CN"/>
              </w:rPr>
              <w:t>（</w:t>
            </w:r>
            <w:r>
              <w:rPr>
                <w:rFonts w:hint="eastAsia" w:ascii="宋体" w:hAnsi="宋体"/>
                <w:snapToGrid w:val="0"/>
                <w:color w:val="auto"/>
                <w:kern w:val="0"/>
                <w:sz w:val="24"/>
                <w:szCs w:val="24"/>
                <w:highlight w:val="none"/>
                <w:lang w:val="en-US" w:eastAsia="zh-CN"/>
              </w:rPr>
              <w:t>暗标</w:t>
            </w:r>
            <w:r>
              <w:rPr>
                <w:rFonts w:hint="eastAsia" w:ascii="宋体" w:hAnsi="宋体"/>
                <w:snapToGrid w:val="0"/>
                <w:color w:val="auto"/>
                <w:kern w:val="0"/>
                <w:sz w:val="24"/>
                <w:szCs w:val="24"/>
                <w:highlight w:val="none"/>
                <w:lang w:eastAsia="zh-CN"/>
              </w:rPr>
              <w:t>）</w:t>
            </w:r>
            <w:r>
              <w:rPr>
                <w:rFonts w:ascii="宋体" w:hAnsi="宋体"/>
                <w:snapToGrid w:val="0"/>
                <w:color w:val="auto"/>
                <w:kern w:val="0"/>
                <w:sz w:val="24"/>
                <w:szCs w:val="24"/>
                <w:highlight w:val="none"/>
              </w:rPr>
              <w:t>：</w:t>
            </w:r>
            <w:r>
              <w:rPr>
                <w:rFonts w:hint="eastAsia" w:ascii="宋体" w:hAnsi="宋体"/>
                <w:snapToGrid w:val="0"/>
                <w:color w:val="auto"/>
                <w:kern w:val="0"/>
                <w:sz w:val="24"/>
                <w:szCs w:val="24"/>
                <w:highlight w:val="none"/>
                <w:u w:val="single"/>
                <w:lang w:val="en-US" w:eastAsia="zh-CN"/>
              </w:rPr>
              <w:t>40</w:t>
            </w:r>
            <w:r>
              <w:rPr>
                <w:rFonts w:ascii="宋体" w:hAnsi="宋体"/>
                <w:snapToGrid w:val="0"/>
                <w:color w:val="auto"/>
                <w:kern w:val="0"/>
                <w:sz w:val="24"/>
                <w:szCs w:val="24"/>
                <w:highlight w:val="none"/>
              </w:rPr>
              <w:t>分</w:t>
            </w:r>
            <w:r>
              <w:rPr>
                <w:rFonts w:hint="eastAsia" w:ascii="宋体" w:hAnsi="宋体"/>
                <w:snapToGrid w:val="0"/>
                <w:color w:val="auto"/>
                <w:kern w:val="0"/>
                <w:sz w:val="24"/>
                <w:szCs w:val="24"/>
                <w:highlight w:val="none"/>
              </w:rPr>
              <w:t>；</w:t>
            </w:r>
          </w:p>
          <w:p w14:paraId="07081BCF">
            <w:pPr>
              <w:pStyle w:val="5"/>
              <w:spacing w:after="0"/>
              <w:rPr>
                <w:rFonts w:ascii="宋体" w:hAnsi="宋体"/>
                <w:color w:val="auto"/>
                <w:sz w:val="24"/>
                <w:szCs w:val="24"/>
                <w:highlight w:val="none"/>
              </w:rPr>
            </w:pPr>
            <w:r>
              <w:rPr>
                <w:rFonts w:hint="eastAsia" w:ascii="宋体" w:hAnsi="宋体"/>
                <w:color w:val="auto"/>
                <w:sz w:val="24"/>
                <w:szCs w:val="24"/>
                <w:highlight w:val="none"/>
              </w:rPr>
              <w:t>项目负责人：</w:t>
            </w:r>
            <w:r>
              <w:rPr>
                <w:rFonts w:hint="eastAsia" w:ascii="宋体" w:hAnsi="宋体"/>
                <w:color w:val="auto"/>
                <w:sz w:val="24"/>
                <w:szCs w:val="24"/>
                <w:highlight w:val="none"/>
                <w:u w:val="single"/>
                <w:lang w:val="en-US" w:eastAsia="zh-CN"/>
              </w:rPr>
              <w:t>15</w:t>
            </w:r>
            <w:r>
              <w:rPr>
                <w:rFonts w:ascii="宋体" w:hAnsi="宋体"/>
                <w:snapToGrid w:val="0"/>
                <w:color w:val="auto"/>
                <w:sz w:val="24"/>
                <w:szCs w:val="24"/>
                <w:highlight w:val="none"/>
              </w:rPr>
              <w:t>分</w:t>
            </w:r>
            <w:r>
              <w:rPr>
                <w:rFonts w:hint="eastAsia" w:ascii="宋体" w:hAnsi="宋体"/>
                <w:snapToGrid w:val="0"/>
                <w:color w:val="auto"/>
                <w:sz w:val="24"/>
                <w:szCs w:val="24"/>
                <w:highlight w:val="none"/>
              </w:rPr>
              <w:t>；</w:t>
            </w:r>
          </w:p>
          <w:p w14:paraId="1B9A35AE">
            <w:pPr>
              <w:adjustRightInd w:val="0"/>
              <w:snapToGrid w:val="0"/>
              <w:rPr>
                <w:rFonts w:ascii="宋体" w:hAnsi="宋体"/>
                <w:snapToGrid w:val="0"/>
                <w:color w:val="auto"/>
                <w:kern w:val="0"/>
                <w:sz w:val="24"/>
                <w:szCs w:val="24"/>
                <w:highlight w:val="none"/>
              </w:rPr>
            </w:pPr>
            <w:r>
              <w:rPr>
                <w:rFonts w:hint="eastAsia" w:ascii="宋体" w:hAnsi="宋体"/>
                <w:snapToGrid w:val="0"/>
                <w:color w:val="auto"/>
                <w:spacing w:val="40"/>
                <w:kern w:val="0"/>
                <w:sz w:val="24"/>
                <w:szCs w:val="24"/>
                <w:highlight w:val="none"/>
                <w:fitText w:val="1200" w:id="1997021877"/>
              </w:rPr>
              <w:t>其他因</w:t>
            </w:r>
            <w:r>
              <w:rPr>
                <w:rFonts w:hint="eastAsia" w:ascii="宋体" w:hAnsi="宋体"/>
                <w:snapToGrid w:val="0"/>
                <w:color w:val="auto"/>
                <w:spacing w:val="0"/>
                <w:kern w:val="0"/>
                <w:sz w:val="24"/>
                <w:szCs w:val="24"/>
                <w:highlight w:val="none"/>
                <w:fitText w:val="1200" w:id="1997021877"/>
              </w:rPr>
              <w:t>素</w:t>
            </w:r>
            <w:r>
              <w:rPr>
                <w:rFonts w:ascii="宋体" w:hAnsi="宋体"/>
                <w:snapToGrid w:val="0"/>
                <w:color w:val="auto"/>
                <w:kern w:val="0"/>
                <w:sz w:val="24"/>
                <w:szCs w:val="24"/>
                <w:highlight w:val="none"/>
              </w:rPr>
              <w:t>：</w:t>
            </w:r>
            <w:r>
              <w:rPr>
                <w:rFonts w:hint="eastAsia" w:ascii="宋体" w:hAnsi="宋体"/>
                <w:snapToGrid w:val="0"/>
                <w:color w:val="auto"/>
                <w:kern w:val="0"/>
                <w:sz w:val="24"/>
                <w:szCs w:val="24"/>
                <w:highlight w:val="none"/>
                <w:u w:val="single"/>
                <w:lang w:val="en-US" w:eastAsia="zh-CN"/>
              </w:rPr>
              <w:t>15</w:t>
            </w:r>
            <w:r>
              <w:rPr>
                <w:rFonts w:ascii="宋体" w:hAnsi="宋体"/>
                <w:snapToGrid w:val="0"/>
                <w:color w:val="auto"/>
                <w:kern w:val="0"/>
                <w:sz w:val="24"/>
                <w:szCs w:val="24"/>
                <w:highlight w:val="none"/>
              </w:rPr>
              <w:t>分</w:t>
            </w:r>
            <w:r>
              <w:rPr>
                <w:rFonts w:hint="eastAsia" w:ascii="宋体" w:hAnsi="宋体"/>
                <w:snapToGrid w:val="0"/>
                <w:color w:val="auto"/>
                <w:kern w:val="0"/>
                <w:sz w:val="24"/>
                <w:szCs w:val="24"/>
                <w:highlight w:val="none"/>
              </w:rPr>
              <w:t>。</w:t>
            </w:r>
          </w:p>
          <w:p w14:paraId="68C426E8">
            <w:pPr>
              <w:adjustRightInd w:val="0"/>
              <w:snapToGrid w:val="0"/>
              <w:textAlignment w:val="baseline"/>
              <w:rPr>
                <w:rFonts w:ascii="宋体" w:hAnsi="宋体"/>
                <w:snapToGrid w:val="0"/>
                <w:color w:val="auto"/>
                <w:kern w:val="0"/>
                <w:sz w:val="24"/>
                <w:szCs w:val="24"/>
                <w:highlight w:val="none"/>
              </w:rPr>
            </w:pPr>
            <w:r>
              <w:rPr>
                <w:rFonts w:ascii="宋体" w:hAnsi="宋体"/>
                <w:snapToGrid w:val="0"/>
                <w:color w:val="auto"/>
                <w:spacing w:val="120"/>
                <w:kern w:val="0"/>
                <w:sz w:val="24"/>
                <w:szCs w:val="24"/>
                <w:highlight w:val="none"/>
                <w:fitText w:val="1200" w:id="861430559"/>
              </w:rPr>
              <w:t>评标</w:t>
            </w:r>
            <w:r>
              <w:rPr>
                <w:rFonts w:ascii="宋体" w:hAnsi="宋体"/>
                <w:snapToGrid w:val="0"/>
                <w:color w:val="auto"/>
                <w:spacing w:val="0"/>
                <w:kern w:val="0"/>
                <w:sz w:val="24"/>
                <w:szCs w:val="24"/>
                <w:highlight w:val="none"/>
                <w:fitText w:val="1200" w:id="861430559"/>
              </w:rPr>
              <w:t>价</w:t>
            </w:r>
            <w:r>
              <w:rPr>
                <w:rFonts w:ascii="宋体" w:hAnsi="宋体"/>
                <w:snapToGrid w:val="0"/>
                <w:color w:val="auto"/>
                <w:kern w:val="0"/>
                <w:sz w:val="24"/>
                <w:szCs w:val="24"/>
                <w:highlight w:val="none"/>
              </w:rPr>
              <w:t>：</w:t>
            </w:r>
            <w:r>
              <w:rPr>
                <w:rFonts w:hint="eastAsia" w:ascii="宋体" w:hAnsi="宋体"/>
                <w:snapToGrid w:val="0"/>
                <w:color w:val="auto"/>
                <w:kern w:val="0"/>
                <w:sz w:val="24"/>
                <w:szCs w:val="24"/>
                <w:highlight w:val="none"/>
                <w:lang w:val="en-US" w:eastAsia="zh-CN"/>
              </w:rPr>
              <w:t>3</w:t>
            </w:r>
            <w:r>
              <w:rPr>
                <w:rFonts w:ascii="宋体" w:hAnsi="宋体"/>
                <w:snapToGrid w:val="0"/>
                <w:color w:val="auto"/>
                <w:kern w:val="0"/>
                <w:sz w:val="24"/>
                <w:szCs w:val="24"/>
                <w:highlight w:val="none"/>
                <w:u w:val="single"/>
              </w:rPr>
              <w:t>0</w:t>
            </w:r>
            <w:r>
              <w:rPr>
                <w:rFonts w:ascii="宋体" w:hAnsi="宋体"/>
                <w:snapToGrid w:val="0"/>
                <w:color w:val="auto"/>
                <w:kern w:val="0"/>
                <w:sz w:val="24"/>
                <w:szCs w:val="24"/>
                <w:highlight w:val="none"/>
              </w:rPr>
              <w:t>分</w:t>
            </w:r>
            <w:r>
              <w:rPr>
                <w:rFonts w:hint="eastAsia" w:ascii="宋体" w:hAnsi="宋体"/>
                <w:snapToGrid w:val="0"/>
                <w:color w:val="auto"/>
                <w:kern w:val="0"/>
                <w:sz w:val="24"/>
                <w:szCs w:val="24"/>
                <w:highlight w:val="none"/>
              </w:rPr>
              <w:t>。</w:t>
            </w:r>
          </w:p>
        </w:tc>
      </w:tr>
      <w:tr w14:paraId="71CB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3342F873">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2.2.2</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9DE3D61">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评标基准价计算方法</w:t>
            </w:r>
          </w:p>
        </w:tc>
        <w:tc>
          <w:tcPr>
            <w:tcW w:w="7370" w:type="dxa"/>
            <w:tcBorders>
              <w:top w:val="single" w:color="auto" w:sz="4" w:space="0"/>
              <w:left w:val="single" w:color="auto" w:sz="4" w:space="0"/>
              <w:bottom w:val="single" w:color="auto" w:sz="4" w:space="0"/>
              <w:right w:val="single" w:color="auto" w:sz="4" w:space="0"/>
            </w:tcBorders>
            <w:noWrap w:val="0"/>
            <w:vAlign w:val="center"/>
          </w:tcPr>
          <w:p w14:paraId="49DC15E0">
            <w:pPr>
              <w:adjustRightInd w:val="0"/>
              <w:snapToGrid w:val="0"/>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 xml:space="preserve">评标基准价的计算： </w:t>
            </w:r>
          </w:p>
          <w:p w14:paraId="7C66D2DF">
            <w:pPr>
              <w:adjustRightInd w:val="0"/>
              <w:snapToGrid w:val="0"/>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在开标现场，招标人将当场计算并宣布评标基准价。</w:t>
            </w:r>
          </w:p>
          <w:p w14:paraId="7CE7FD6A">
            <w:pPr>
              <w:adjustRightInd w:val="0"/>
              <w:snapToGrid w:val="0"/>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(1)评标价的确定：</w:t>
            </w:r>
          </w:p>
          <w:p w14:paraId="0586270D">
            <w:pPr>
              <w:adjustRightInd w:val="0"/>
              <w:snapToGrid w:val="0"/>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评标价=投标函文字报价</w:t>
            </w:r>
          </w:p>
          <w:p w14:paraId="30033219">
            <w:pPr>
              <w:adjustRightInd w:val="0"/>
              <w:snapToGrid w:val="0"/>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(2)评标价平均值的计算：</w:t>
            </w:r>
          </w:p>
          <w:p w14:paraId="26F774E5">
            <w:pPr>
              <w:adjustRightInd w:val="0"/>
              <w:snapToGrid w:val="0"/>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除按第二章“投标人须知”第5.2.</w:t>
            </w:r>
            <w:r>
              <w:rPr>
                <w:rFonts w:hint="eastAsia" w:ascii="宋体" w:hAnsi="宋体"/>
                <w:snapToGrid w:val="0"/>
                <w:color w:val="auto"/>
                <w:kern w:val="0"/>
                <w:sz w:val="24"/>
                <w:szCs w:val="24"/>
                <w:highlight w:val="none"/>
                <w:lang w:val="en-US" w:eastAsia="zh-CN"/>
              </w:rPr>
              <w:t>2</w:t>
            </w:r>
            <w:r>
              <w:rPr>
                <w:rFonts w:hint="eastAsia" w:ascii="宋体" w:hAnsi="宋体"/>
                <w:snapToGrid w:val="0"/>
                <w:color w:val="auto"/>
                <w:kern w:val="0"/>
                <w:sz w:val="24"/>
                <w:szCs w:val="24"/>
                <w:highlight w:val="none"/>
              </w:rPr>
              <w:t xml:space="preserve">项规定开标现场被宣布为不进入评标基准价计算的投标报价之外，所有投标人评标价的算术平均值即为评标价平均值。 </w:t>
            </w:r>
          </w:p>
          <w:p w14:paraId="29DDB778">
            <w:pPr>
              <w:adjustRightInd w:val="0"/>
              <w:snapToGrid w:val="0"/>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(3)评标基准价的确定：</w:t>
            </w:r>
          </w:p>
          <w:p w14:paraId="666E456A">
            <w:pPr>
              <w:adjustRightInd w:val="0"/>
              <w:snapToGrid w:val="0"/>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 xml:space="preserve">将评标价平均值直接作为评标基准价。 </w:t>
            </w:r>
          </w:p>
          <w:p w14:paraId="38017351">
            <w:pPr>
              <w:adjustRightInd w:val="0"/>
              <w:snapToGrid w:val="0"/>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026FFF8B">
            <w:pPr>
              <w:adjustRightInd w:val="0"/>
              <w:snapToGrid w:val="0"/>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注：评标基准价保留小数点后两位，小数点后第三位四舍五入。</w:t>
            </w:r>
          </w:p>
        </w:tc>
      </w:tr>
      <w:tr w14:paraId="0AAE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17A74565">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2.2.3</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0DCCF277">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评标价的偏差率计算公式</w:t>
            </w:r>
          </w:p>
        </w:tc>
        <w:tc>
          <w:tcPr>
            <w:tcW w:w="7370" w:type="dxa"/>
            <w:tcBorders>
              <w:top w:val="single" w:color="auto" w:sz="4" w:space="0"/>
              <w:left w:val="single" w:color="auto" w:sz="4" w:space="0"/>
              <w:bottom w:val="single" w:color="auto" w:sz="4" w:space="0"/>
              <w:right w:val="single" w:color="auto" w:sz="4" w:space="0"/>
            </w:tcBorders>
            <w:noWrap w:val="0"/>
            <w:vAlign w:val="center"/>
          </w:tcPr>
          <w:p w14:paraId="64E48F89">
            <w:pPr>
              <w:widowControl/>
              <w:adjustRightInd w:val="0"/>
              <w:snapToGrid w:val="0"/>
              <w:textAlignment w:val="center"/>
              <w:rPr>
                <w:rFonts w:ascii="宋体" w:hAnsi="宋体"/>
                <w:strike/>
                <w:snapToGrid w:val="0"/>
                <w:color w:val="auto"/>
                <w:kern w:val="0"/>
                <w:sz w:val="24"/>
                <w:szCs w:val="24"/>
                <w:highlight w:val="none"/>
              </w:rPr>
            </w:pPr>
            <w:r>
              <w:rPr>
                <w:rFonts w:ascii="宋体" w:hAnsi="宋体"/>
                <w:snapToGrid w:val="0"/>
                <w:color w:val="auto"/>
                <w:kern w:val="0"/>
                <w:sz w:val="24"/>
                <w:szCs w:val="24"/>
                <w:highlight w:val="none"/>
                <w:lang w:bidi="ar"/>
              </w:rPr>
              <w:t>偏差率=100%×</w:t>
            </w:r>
            <w:r>
              <w:rPr>
                <w:rFonts w:hint="eastAsia" w:ascii="宋体" w:hAnsi="宋体"/>
                <w:snapToGrid w:val="0"/>
                <w:color w:val="auto"/>
                <w:kern w:val="0"/>
                <w:sz w:val="24"/>
                <w:szCs w:val="24"/>
                <w:highlight w:val="none"/>
                <w:lang w:bidi="ar"/>
              </w:rPr>
              <w:t>（评标价-</w:t>
            </w:r>
            <w:r>
              <w:rPr>
                <w:rFonts w:ascii="宋体" w:hAnsi="宋体"/>
                <w:snapToGrid w:val="0"/>
                <w:color w:val="auto"/>
                <w:kern w:val="0"/>
                <w:sz w:val="24"/>
                <w:szCs w:val="24"/>
                <w:highlight w:val="none"/>
                <w:lang w:bidi="ar"/>
              </w:rPr>
              <w:t>评标基准价</w:t>
            </w:r>
            <w:r>
              <w:rPr>
                <w:rFonts w:hint="eastAsia" w:ascii="宋体" w:hAnsi="宋体"/>
                <w:snapToGrid w:val="0"/>
                <w:color w:val="auto"/>
                <w:kern w:val="0"/>
                <w:sz w:val="24"/>
                <w:szCs w:val="24"/>
                <w:highlight w:val="none"/>
                <w:lang w:bidi="ar"/>
              </w:rPr>
              <w:t>）</w:t>
            </w:r>
            <w:r>
              <w:rPr>
                <w:rFonts w:ascii="宋体" w:hAnsi="宋体"/>
                <w:snapToGrid w:val="0"/>
                <w:color w:val="auto"/>
                <w:kern w:val="0"/>
                <w:sz w:val="24"/>
                <w:szCs w:val="24"/>
                <w:highlight w:val="none"/>
                <w:lang w:bidi="ar"/>
              </w:rPr>
              <w:t>/评标基准价</w:t>
            </w:r>
            <w:r>
              <w:rPr>
                <w:rFonts w:hint="eastAsia" w:ascii="宋体" w:hAnsi="宋体"/>
                <w:snapToGrid w:val="0"/>
                <w:color w:val="auto"/>
                <w:kern w:val="0"/>
                <w:sz w:val="24"/>
                <w:szCs w:val="24"/>
                <w:highlight w:val="none"/>
                <w:lang w:bidi="ar"/>
              </w:rPr>
              <w:t>；</w:t>
            </w:r>
          </w:p>
        </w:tc>
      </w:tr>
      <w:tr w14:paraId="3F25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61E6C113">
            <w:pPr>
              <w:widowControl/>
              <w:adjustRightInd w:val="0"/>
              <w:snapToGrid w:val="0"/>
              <w:textAlignment w:val="center"/>
              <w:rPr>
                <w:rFonts w:hint="eastAsia" w:ascii="宋体" w:hAnsi="宋体" w:eastAsia="宋体" w:cs="Times New Roman"/>
                <w:snapToGrid w:val="0"/>
                <w:color w:val="auto"/>
                <w:kern w:val="0"/>
                <w:sz w:val="24"/>
                <w:szCs w:val="24"/>
                <w:highlight w:val="none"/>
                <w:lang w:bidi="ar"/>
              </w:rPr>
            </w:pPr>
            <w:r>
              <w:rPr>
                <w:rFonts w:hint="eastAsia" w:ascii="宋体" w:hAnsi="宋体" w:eastAsia="宋体" w:cs="Times New Roman"/>
                <w:snapToGrid w:val="0"/>
                <w:color w:val="auto"/>
                <w:kern w:val="0"/>
                <w:sz w:val="24"/>
                <w:szCs w:val="24"/>
                <w:highlight w:val="none"/>
                <w:lang w:val="en-US" w:eastAsia="zh-CN" w:bidi="ar"/>
              </w:rPr>
              <w:t>3</w:t>
            </w:r>
            <w:r>
              <w:rPr>
                <w:rFonts w:hint="eastAsia" w:ascii="宋体" w:hAnsi="宋体" w:eastAsia="宋体" w:cs="Times New Roman"/>
                <w:snapToGrid w:val="0"/>
                <w:color w:val="auto"/>
                <w:kern w:val="0"/>
                <w:sz w:val="24"/>
                <w:szCs w:val="24"/>
                <w:highlight w:val="none"/>
                <w:lang w:bidi="ar"/>
              </w:rPr>
              <w:t>.5.</w:t>
            </w:r>
            <w:r>
              <w:rPr>
                <w:rFonts w:hint="eastAsia" w:ascii="宋体" w:hAnsi="宋体" w:eastAsia="宋体" w:cs="Times New Roman"/>
                <w:snapToGrid w:val="0"/>
                <w:color w:val="auto"/>
                <w:kern w:val="0"/>
                <w:sz w:val="24"/>
                <w:szCs w:val="24"/>
                <w:highlight w:val="none"/>
                <w:lang w:val="en-US" w:eastAsia="zh-CN" w:bidi="ar"/>
              </w:rPr>
              <w:t>3</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3FAC6F00">
            <w:pPr>
              <w:widowControl/>
              <w:adjustRightInd w:val="0"/>
              <w:snapToGrid w:val="0"/>
              <w:textAlignment w:val="center"/>
              <w:rPr>
                <w:rFonts w:hint="eastAsia" w:ascii="宋体" w:hAnsi="宋体" w:eastAsia="宋体" w:cs="Times New Roman"/>
                <w:snapToGrid w:val="0"/>
                <w:color w:val="auto"/>
                <w:kern w:val="0"/>
                <w:sz w:val="24"/>
                <w:szCs w:val="24"/>
                <w:highlight w:val="none"/>
                <w:lang w:bidi="ar"/>
              </w:rPr>
            </w:pPr>
            <w:r>
              <w:rPr>
                <w:rFonts w:hint="eastAsia" w:ascii="宋体" w:hAnsi="宋体" w:eastAsia="宋体" w:cs="Times New Roman"/>
                <w:snapToGrid w:val="0"/>
                <w:color w:val="auto"/>
                <w:kern w:val="0"/>
                <w:sz w:val="24"/>
                <w:szCs w:val="24"/>
                <w:highlight w:val="none"/>
                <w:lang w:val="en-US" w:eastAsia="zh-CN" w:bidi="ar"/>
              </w:rPr>
              <w:t>异常低价情形</w:t>
            </w:r>
          </w:p>
        </w:tc>
        <w:tc>
          <w:tcPr>
            <w:tcW w:w="7370" w:type="dxa"/>
            <w:tcBorders>
              <w:top w:val="single" w:color="auto" w:sz="4" w:space="0"/>
              <w:left w:val="single" w:color="auto" w:sz="4" w:space="0"/>
              <w:bottom w:val="single" w:color="auto" w:sz="4" w:space="0"/>
              <w:right w:val="single" w:color="auto" w:sz="4" w:space="0"/>
            </w:tcBorders>
            <w:noWrap w:val="0"/>
            <w:vAlign w:val="center"/>
          </w:tcPr>
          <w:p w14:paraId="30685C3B">
            <w:pPr>
              <w:widowControl/>
              <w:adjustRightInd w:val="0"/>
              <w:snapToGrid w:val="0"/>
              <w:textAlignment w:val="center"/>
              <w:rPr>
                <w:rFonts w:hint="default" w:ascii="宋体" w:hAnsi="宋体" w:eastAsia="宋体" w:cs="Times New Roman"/>
                <w:snapToGrid w:val="0"/>
                <w:color w:val="auto"/>
                <w:kern w:val="0"/>
                <w:sz w:val="24"/>
                <w:szCs w:val="24"/>
                <w:highlight w:val="none"/>
                <w:lang w:val="en-US" w:eastAsia="zh-CN" w:bidi="ar"/>
              </w:rPr>
            </w:pPr>
            <w:r>
              <w:rPr>
                <w:rFonts w:hint="eastAsia" w:ascii="宋体" w:hAnsi="宋体" w:eastAsia="宋体" w:cs="Times New Roman"/>
                <w:snapToGrid w:val="0"/>
                <w:color w:val="auto"/>
                <w:kern w:val="0"/>
                <w:sz w:val="24"/>
                <w:szCs w:val="24"/>
                <w:highlight w:val="none"/>
                <w:lang w:val="en-US" w:eastAsia="zh-CN" w:bidi="ar"/>
              </w:rPr>
              <w:t>本款修改为：</w:t>
            </w:r>
          </w:p>
          <w:p w14:paraId="743A3D07">
            <w:pPr>
              <w:widowControl/>
              <w:adjustRightInd w:val="0"/>
              <w:snapToGrid w:val="0"/>
              <w:textAlignment w:val="center"/>
              <w:rPr>
                <w:rFonts w:hint="eastAsia" w:ascii="宋体" w:hAnsi="宋体" w:eastAsia="宋体" w:cs="Times New Roman"/>
                <w:snapToGrid w:val="0"/>
                <w:color w:val="auto"/>
                <w:kern w:val="0"/>
                <w:sz w:val="24"/>
                <w:szCs w:val="24"/>
                <w:highlight w:val="none"/>
                <w:lang w:bidi="ar"/>
              </w:rPr>
            </w:pPr>
            <w:r>
              <w:rPr>
                <w:rFonts w:hint="eastAsia" w:ascii="宋体" w:hAnsi="宋体" w:eastAsia="宋体" w:cs="Times New Roman"/>
                <w:snapToGrid w:val="0"/>
                <w:color w:val="auto"/>
                <w:kern w:val="0"/>
                <w:sz w:val="24"/>
                <w:szCs w:val="24"/>
                <w:highlight w:val="none"/>
                <w:lang w:eastAsia="en-US" w:bidi="ar"/>
              </w:rPr>
              <w:t>评标委员会发现投标人的投标报价低于最高投标限价的</w:t>
            </w:r>
            <w:r>
              <w:rPr>
                <w:rFonts w:hint="eastAsia" w:ascii="宋体" w:hAnsi="宋体" w:eastAsia="宋体" w:cs="Times New Roman"/>
                <w:snapToGrid w:val="0"/>
                <w:color w:val="auto"/>
                <w:kern w:val="0"/>
                <w:sz w:val="24"/>
                <w:szCs w:val="24"/>
                <w:highlight w:val="none"/>
                <w:lang w:val="en-US" w:eastAsia="zh-CN" w:bidi="ar"/>
              </w:rPr>
              <w:t>65</w:t>
            </w:r>
            <w:r>
              <w:rPr>
                <w:rFonts w:hint="eastAsia" w:ascii="宋体" w:hAnsi="宋体" w:eastAsia="宋体" w:cs="Times New Roman"/>
                <w:snapToGrid w:val="0"/>
                <w:color w:val="auto"/>
                <w:kern w:val="0"/>
                <w:sz w:val="24"/>
                <w:szCs w:val="24"/>
                <w:highlight w:val="none"/>
                <w:lang w:eastAsia="en-US" w:bidi="ar"/>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22B0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1F7A5559">
            <w:pPr>
              <w:adjustRightInd w:val="0"/>
              <w:snapToGrid w:val="0"/>
              <w:jc w:val="center"/>
              <w:textAlignment w:val="baseline"/>
              <w:rPr>
                <w:rFonts w:ascii="宋体" w:hAnsi="宋体"/>
                <w:snapToGrid w:val="0"/>
                <w:color w:val="auto"/>
                <w:kern w:val="0"/>
                <w:sz w:val="24"/>
                <w:szCs w:val="24"/>
                <w:highlight w:val="none"/>
              </w:rPr>
            </w:pPr>
            <w:r>
              <w:rPr>
                <w:rFonts w:ascii="宋体" w:hAnsi="宋体"/>
                <w:snapToGrid w:val="0"/>
                <w:color w:val="auto"/>
                <w:kern w:val="0"/>
                <w:sz w:val="24"/>
                <w:szCs w:val="24"/>
                <w:highlight w:val="none"/>
              </w:rPr>
              <w:t>3.6.1</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708440B0">
            <w:pPr>
              <w:widowControl/>
              <w:adjustRightInd w:val="0"/>
              <w:snapToGrid w:val="0"/>
              <w:jc w:val="center"/>
              <w:textAlignment w:val="center"/>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lang w:bidi="ar"/>
              </w:rPr>
              <w:t>投标文件相关信息的核查方式</w:t>
            </w:r>
          </w:p>
        </w:tc>
        <w:tc>
          <w:tcPr>
            <w:tcW w:w="7370" w:type="dxa"/>
            <w:tcBorders>
              <w:top w:val="single" w:color="auto" w:sz="4" w:space="0"/>
              <w:left w:val="single" w:color="auto" w:sz="4" w:space="0"/>
              <w:bottom w:val="single" w:color="auto" w:sz="4" w:space="0"/>
              <w:right w:val="single" w:color="auto" w:sz="4" w:space="0"/>
            </w:tcBorders>
            <w:noWrap w:val="0"/>
            <w:vAlign w:val="center"/>
          </w:tcPr>
          <w:p w14:paraId="739EDA91">
            <w:pPr>
              <w:widowControl/>
              <w:adjustRightInd w:val="0"/>
              <w:snapToGrid w:val="0"/>
              <w:textAlignment w:val="center"/>
              <w:rPr>
                <w:rFonts w:hint="eastAsia" w:ascii="宋体" w:hAnsi="宋体"/>
                <w:snapToGrid w:val="0"/>
                <w:color w:val="auto"/>
                <w:kern w:val="0"/>
                <w:sz w:val="24"/>
                <w:szCs w:val="24"/>
                <w:highlight w:val="none"/>
                <w:lang w:bidi="ar"/>
              </w:rPr>
            </w:pPr>
            <w:r>
              <w:rPr>
                <w:rFonts w:hint="eastAsia" w:ascii="宋体" w:hAnsi="宋体"/>
                <w:snapToGrid w:val="0"/>
                <w:color w:val="auto"/>
                <w:kern w:val="0"/>
                <w:sz w:val="24"/>
                <w:szCs w:val="24"/>
                <w:highlight w:val="none"/>
                <w:lang w:bidi="ar"/>
              </w:rPr>
              <w:t>本款修改为:</w:t>
            </w:r>
          </w:p>
          <w:p w14:paraId="5F053FEC">
            <w:pPr>
              <w:widowControl/>
              <w:adjustRightInd w:val="0"/>
              <w:snapToGrid w:val="0"/>
              <w:textAlignment w:val="center"/>
              <w:rPr>
                <w:rFonts w:hint="eastAsia" w:ascii="宋体" w:hAnsi="宋体"/>
                <w:snapToGrid w:val="0"/>
                <w:color w:val="auto"/>
                <w:kern w:val="0"/>
                <w:sz w:val="24"/>
                <w:szCs w:val="24"/>
                <w:highlight w:val="none"/>
                <w:lang w:bidi="ar"/>
              </w:rPr>
            </w:pPr>
            <w:r>
              <w:rPr>
                <w:rFonts w:hint="eastAsia" w:ascii="宋体" w:hAnsi="宋体"/>
                <w:snapToGrid w:val="0"/>
                <w:color w:val="auto"/>
                <w:kern w:val="0"/>
                <w:sz w:val="24"/>
                <w:szCs w:val="24"/>
                <w:highlight w:val="none"/>
                <w:lang w:bidi="ar"/>
              </w:rPr>
              <w:t>1.评标委员会在评标过程中将对投标人的信誉情况进行查询。如投标</w:t>
            </w:r>
          </w:p>
          <w:p w14:paraId="687675B4">
            <w:pPr>
              <w:widowControl/>
              <w:adjustRightInd w:val="0"/>
              <w:snapToGrid w:val="0"/>
              <w:textAlignment w:val="center"/>
              <w:rPr>
                <w:rFonts w:hint="eastAsia" w:ascii="宋体" w:hAnsi="宋体"/>
                <w:snapToGrid w:val="0"/>
                <w:color w:val="auto"/>
                <w:kern w:val="0"/>
                <w:sz w:val="24"/>
                <w:szCs w:val="24"/>
                <w:highlight w:val="none"/>
                <w:lang w:bidi="ar"/>
              </w:rPr>
            </w:pPr>
            <w:r>
              <w:rPr>
                <w:rFonts w:hint="eastAsia" w:ascii="宋体" w:hAnsi="宋体"/>
                <w:snapToGrid w:val="0"/>
                <w:color w:val="auto"/>
                <w:kern w:val="0"/>
                <w:sz w:val="24"/>
                <w:szCs w:val="24"/>
                <w:highlight w:val="none"/>
                <w:lang w:bidi="ar"/>
              </w:rPr>
              <w:t>人存在下列情形之一的，评标委员会应否决其投标。</w:t>
            </w:r>
          </w:p>
          <w:p w14:paraId="5EBA822D">
            <w:pPr>
              <w:widowControl/>
              <w:adjustRightInd w:val="0"/>
              <w:snapToGrid w:val="0"/>
              <w:textAlignment w:val="center"/>
              <w:rPr>
                <w:rFonts w:hint="eastAsia" w:ascii="宋体" w:hAnsi="宋体"/>
                <w:snapToGrid w:val="0"/>
                <w:color w:val="auto"/>
                <w:kern w:val="0"/>
                <w:sz w:val="24"/>
                <w:szCs w:val="24"/>
                <w:highlight w:val="none"/>
                <w:lang w:bidi="ar"/>
              </w:rPr>
            </w:pPr>
            <w:r>
              <w:rPr>
                <w:rFonts w:hint="eastAsia" w:ascii="宋体" w:hAnsi="宋体"/>
                <w:snapToGrid w:val="0"/>
                <w:color w:val="auto"/>
                <w:kern w:val="0"/>
                <w:sz w:val="24"/>
                <w:szCs w:val="24"/>
                <w:highlight w:val="none"/>
                <w:lang w:bidi="ar"/>
              </w:rPr>
              <w:t>(1)在国家企业信用信息公示系统(https://www.gsxt.gov.cn/)中被列入严重违法失信名单(黑名单)(不含分公司，事业单位不适用);</w:t>
            </w:r>
          </w:p>
          <w:p w14:paraId="67F2EB62">
            <w:pPr>
              <w:widowControl/>
              <w:adjustRightInd w:val="0"/>
              <w:snapToGrid w:val="0"/>
              <w:textAlignment w:val="center"/>
              <w:rPr>
                <w:rFonts w:hint="eastAsia" w:ascii="宋体" w:hAnsi="宋体"/>
                <w:snapToGrid w:val="0"/>
                <w:color w:val="auto"/>
                <w:kern w:val="0"/>
                <w:sz w:val="24"/>
                <w:szCs w:val="24"/>
                <w:highlight w:val="none"/>
                <w:lang w:bidi="ar"/>
              </w:rPr>
            </w:pPr>
            <w:r>
              <w:rPr>
                <w:rFonts w:hint="eastAsia" w:ascii="宋体" w:hAnsi="宋体"/>
                <w:snapToGrid w:val="0"/>
                <w:color w:val="auto"/>
                <w:kern w:val="0"/>
                <w:sz w:val="24"/>
                <w:szCs w:val="24"/>
                <w:highlight w:val="none"/>
                <w:lang w:bidi="ar"/>
              </w:rPr>
              <w:t>(2)在“信用中国"网站(http://www.creditchina.gov.cn/)中被列入经营(活动)异常名录、重大税收违法失信主体名单和政府采购严重违法失信行为记录名单(均不含分公司);</w:t>
            </w:r>
          </w:p>
          <w:p w14:paraId="3F25C2CB">
            <w:pPr>
              <w:widowControl/>
              <w:adjustRightInd w:val="0"/>
              <w:snapToGrid w:val="0"/>
              <w:textAlignment w:val="center"/>
              <w:rPr>
                <w:rFonts w:hint="eastAsia" w:ascii="宋体" w:hAnsi="宋体"/>
                <w:snapToGrid w:val="0"/>
                <w:color w:val="auto"/>
                <w:kern w:val="0"/>
                <w:sz w:val="24"/>
                <w:szCs w:val="24"/>
                <w:highlight w:val="none"/>
                <w:lang w:bidi="ar"/>
              </w:rPr>
            </w:pPr>
            <w:r>
              <w:rPr>
                <w:rFonts w:hint="eastAsia" w:ascii="宋体" w:hAnsi="宋体"/>
                <w:snapToGrid w:val="0"/>
                <w:color w:val="auto"/>
                <w:kern w:val="0"/>
                <w:sz w:val="24"/>
                <w:szCs w:val="24"/>
                <w:highlight w:val="none"/>
                <w:lang w:bidi="ar"/>
              </w:rPr>
              <w:t>(3)在中国执行信息公开网(zxgk.court.gov.cn)中被列入失信被执行人(不含分公司)。</w:t>
            </w:r>
          </w:p>
          <w:p w14:paraId="4CF7C6AA">
            <w:pPr>
              <w:widowControl/>
              <w:adjustRightInd w:val="0"/>
              <w:snapToGrid w:val="0"/>
              <w:textAlignment w:val="center"/>
              <w:rPr>
                <w:rFonts w:hint="eastAsia" w:ascii="宋体" w:hAnsi="宋体"/>
                <w:snapToGrid w:val="0"/>
                <w:color w:val="auto"/>
                <w:kern w:val="0"/>
                <w:sz w:val="24"/>
                <w:szCs w:val="24"/>
                <w:highlight w:val="none"/>
                <w:lang w:val="en-US" w:eastAsia="zh-CN" w:bidi="ar"/>
              </w:rPr>
            </w:pPr>
            <w:r>
              <w:rPr>
                <w:rFonts w:hint="eastAsia" w:ascii="宋体" w:hAnsi="宋体"/>
                <w:snapToGrid w:val="0"/>
                <w:color w:val="auto"/>
                <w:kern w:val="0"/>
                <w:sz w:val="24"/>
                <w:szCs w:val="24"/>
                <w:highlight w:val="none"/>
                <w:lang w:val="en-US" w:eastAsia="zh-CN" w:bidi="ar"/>
              </w:rPr>
              <w:t>注：以上查询结果以开标当日查询结果为准。</w:t>
            </w:r>
          </w:p>
          <w:p w14:paraId="05FA4C5C">
            <w:pPr>
              <w:widowControl/>
              <w:adjustRightInd w:val="0"/>
              <w:snapToGrid w:val="0"/>
              <w:textAlignment w:val="center"/>
              <w:rPr>
                <w:rFonts w:ascii="宋体" w:hAnsi="宋体"/>
                <w:snapToGrid w:val="0"/>
                <w:color w:val="auto"/>
                <w:kern w:val="0"/>
                <w:sz w:val="24"/>
                <w:szCs w:val="24"/>
                <w:highlight w:val="none"/>
              </w:rPr>
            </w:pPr>
            <w:r>
              <w:rPr>
                <w:rFonts w:hint="eastAsia" w:ascii="宋体" w:hAnsi="宋体"/>
                <w:snapToGrid w:val="0"/>
                <w:color w:val="auto"/>
                <w:kern w:val="0"/>
                <w:sz w:val="24"/>
                <w:szCs w:val="24"/>
                <w:highlight w:val="none"/>
                <w:lang w:bidi="ar"/>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27EAB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3801FDA3">
            <w:pPr>
              <w:spacing w:line="276" w:lineRule="auto"/>
              <w:ind w:right="113" w:rightChars="0"/>
              <w:rPr>
                <w:rFonts w:ascii="宋体" w:hAnsi="宋体"/>
                <w:snapToGrid w:val="0"/>
                <w:color w:val="auto"/>
                <w:kern w:val="0"/>
                <w:sz w:val="24"/>
                <w:szCs w:val="24"/>
                <w:highlight w:val="none"/>
              </w:rPr>
            </w:pPr>
            <w:r>
              <w:rPr>
                <w:rFonts w:hint="eastAsia" w:ascii="宋体" w:hAnsi="宋体" w:eastAsia="宋体" w:cs="Times New Roman"/>
                <w:color w:val="auto"/>
                <w:sz w:val="24"/>
                <w:szCs w:val="24"/>
                <w:highlight w:val="none"/>
                <w:lang w:val="en-US" w:eastAsia="zh-CN"/>
              </w:rPr>
              <w:t>增加3.6.3</w:t>
            </w:r>
          </w:p>
        </w:tc>
        <w:tc>
          <w:tcPr>
            <w:tcW w:w="1279" w:type="dxa"/>
            <w:tcBorders>
              <w:top w:val="single" w:color="auto" w:sz="4" w:space="0"/>
              <w:left w:val="single" w:color="auto" w:sz="4" w:space="0"/>
              <w:bottom w:val="single" w:color="auto" w:sz="4" w:space="0"/>
              <w:right w:val="single" w:color="auto" w:sz="4" w:space="0"/>
            </w:tcBorders>
            <w:noWrap w:val="0"/>
            <w:vAlign w:val="center"/>
          </w:tcPr>
          <w:p w14:paraId="4937A1A9">
            <w:pPr>
              <w:spacing w:line="276" w:lineRule="auto"/>
              <w:ind w:right="113" w:rightChars="0"/>
              <w:jc w:val="center"/>
              <w:rPr>
                <w:rFonts w:hint="eastAsia" w:ascii="宋体" w:hAnsi="宋体"/>
                <w:snapToGrid w:val="0"/>
                <w:color w:val="auto"/>
                <w:kern w:val="0"/>
                <w:sz w:val="24"/>
                <w:szCs w:val="24"/>
                <w:highlight w:val="none"/>
                <w:lang w:bidi="ar"/>
              </w:rPr>
            </w:pPr>
            <w:r>
              <w:rPr>
                <w:rFonts w:hint="default" w:ascii="宋体" w:hAnsi="宋体" w:eastAsia="宋体" w:cs="Times New Roman"/>
                <w:color w:val="auto"/>
                <w:sz w:val="24"/>
                <w:szCs w:val="24"/>
                <w:highlight w:val="none"/>
                <w:lang w:val="en-US"/>
              </w:rPr>
              <w:t>投标人其他异常投标情形</w:t>
            </w:r>
          </w:p>
        </w:tc>
        <w:tc>
          <w:tcPr>
            <w:tcW w:w="7370" w:type="dxa"/>
            <w:tcBorders>
              <w:top w:val="single" w:color="auto" w:sz="4" w:space="0"/>
              <w:left w:val="single" w:color="auto" w:sz="4" w:space="0"/>
              <w:bottom w:val="single" w:color="auto" w:sz="4" w:space="0"/>
              <w:right w:val="single" w:color="auto" w:sz="4" w:space="0"/>
            </w:tcBorders>
            <w:noWrap w:val="0"/>
            <w:vAlign w:val="center"/>
          </w:tcPr>
          <w:p w14:paraId="484817AF">
            <w:pPr>
              <w:spacing w:line="400" w:lineRule="exact"/>
              <w:rPr>
                <w:rFonts w:hint="eastAsia" w:ascii="宋体" w:hAnsi="宋体"/>
                <w:color w:val="auto"/>
                <w:kern w:val="2"/>
                <w:sz w:val="21"/>
                <w:szCs w:val="21"/>
                <w:highlight w:val="none"/>
                <w:lang w:val="en-US" w:eastAsia="zh-CN"/>
              </w:rPr>
            </w:pPr>
            <w:r>
              <w:rPr>
                <w:rFonts w:hint="eastAsia" w:ascii="宋体" w:hAnsi="宋体"/>
                <w:color w:val="auto"/>
                <w:kern w:val="2"/>
                <w:sz w:val="21"/>
                <w:szCs w:val="21"/>
                <w:highlight w:val="none"/>
                <w:lang w:val="en-US" w:eastAsia="zh-CN"/>
              </w:rPr>
              <w:t>补充本款：</w:t>
            </w:r>
          </w:p>
          <w:p w14:paraId="593E703F">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评标委员会在评标过程中发现存在投标文件异常一致或投标活动异常关联等异常投标情形的，应当要求该投标人在规定时间内作出书面说明并提供相应的证明材料。投标人不能合理说明或者不能提供相应证明材料的，评标委员会应当认定该投标人存在异常投标情形，并否决其投标。</w:t>
            </w:r>
          </w:p>
          <w:p w14:paraId="7EC59BCE">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有下列情形之一的，属于投标文件异常一致或投标活动异常关联等异常投标情形：</w:t>
            </w:r>
          </w:p>
          <w:p w14:paraId="1CFFE845">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（1）投标人投标文件制作机器码雷同；</w:t>
            </w:r>
          </w:p>
          <w:p w14:paraId="3574428D">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（2）投标文件创建标识码雷同；</w:t>
            </w:r>
          </w:p>
          <w:p w14:paraId="5F8C90C1">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（3）投标文件制作计算机MAC地址雷同；</w:t>
            </w:r>
          </w:p>
          <w:p w14:paraId="71B28BFF">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（4）投标文件制作计算机硬盘序列号雷同；</w:t>
            </w:r>
          </w:p>
          <w:p w14:paraId="6C1AB924">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（5）招标文件下载IP地址雷同；</w:t>
            </w:r>
          </w:p>
          <w:p w14:paraId="68962171">
            <w:pPr>
              <w:keepNext w:val="0"/>
              <w:keepLines w:val="0"/>
              <w:pageBreakBefore w:val="0"/>
              <w:widowControl w:val="0"/>
              <w:kinsoku/>
              <w:wordWrap/>
              <w:overflowPunct/>
              <w:topLinePunct w:val="0"/>
              <w:autoSpaceDE w:val="0"/>
              <w:autoSpaceDN w:val="0"/>
              <w:bidi w:val="0"/>
              <w:snapToGrid w:val="0"/>
              <w:spacing w:line="320" w:lineRule="exact"/>
              <w:ind w:firstLine="210" w:firstLineChars="100"/>
              <w:textAlignment w:val="auto"/>
              <w:rPr>
                <w:rFonts w:hint="default" w:ascii="宋体" w:hAnsi="宋体" w:cs="宋体"/>
                <w:color w:val="auto"/>
                <w:sz w:val="21"/>
                <w:szCs w:val="21"/>
                <w:highlight w:val="none"/>
                <w:lang w:val="en-US" w:eastAsia="zh-CN"/>
              </w:rPr>
            </w:pPr>
            <w:r>
              <w:rPr>
                <w:rFonts w:hint="default" w:ascii="宋体" w:hAnsi="宋体" w:cs="宋体"/>
                <w:color w:val="auto"/>
                <w:sz w:val="21"/>
                <w:szCs w:val="21"/>
                <w:highlight w:val="none"/>
                <w:lang w:val="en-US" w:eastAsia="zh-CN"/>
              </w:rPr>
              <w:t>（6）投标文件上传IP地址雷同；</w:t>
            </w:r>
          </w:p>
          <w:p w14:paraId="7EFBFD44">
            <w:pPr>
              <w:spacing w:line="276" w:lineRule="auto"/>
              <w:ind w:right="113" w:rightChars="0"/>
              <w:rPr>
                <w:rFonts w:hint="eastAsia" w:ascii="宋体" w:hAnsi="宋体"/>
                <w:snapToGrid w:val="0"/>
                <w:color w:val="auto"/>
                <w:kern w:val="0"/>
                <w:sz w:val="24"/>
                <w:szCs w:val="24"/>
                <w:highlight w:val="none"/>
                <w:lang w:bidi="ar"/>
              </w:rPr>
            </w:pPr>
            <w:r>
              <w:rPr>
                <w:rFonts w:hint="default" w:ascii="宋体" w:hAnsi="宋体" w:cs="宋体"/>
                <w:color w:val="auto"/>
                <w:sz w:val="21"/>
                <w:szCs w:val="21"/>
                <w:highlight w:val="none"/>
                <w:lang w:val="en-US" w:eastAsia="zh-CN"/>
              </w:rPr>
              <w:t>（7）投标文件解密IP地址雷同。</w:t>
            </w:r>
          </w:p>
        </w:tc>
      </w:tr>
    </w:tbl>
    <w:p w14:paraId="0B26A530">
      <w:pPr>
        <w:ind w:right="960"/>
        <w:rPr>
          <w:rFonts w:ascii="宋体" w:hAnsi="宋体"/>
          <w:color w:val="auto"/>
          <w:szCs w:val="21"/>
          <w:highlight w:val="none"/>
        </w:rPr>
      </w:pPr>
    </w:p>
    <w:p w14:paraId="728AEBC8">
      <w:pPr>
        <w:ind w:right="960"/>
        <w:rPr>
          <w:rFonts w:ascii="宋体" w:hAnsi="宋体"/>
          <w:color w:val="auto"/>
          <w:szCs w:val="21"/>
          <w:highlight w:val="none"/>
        </w:rPr>
      </w:pPr>
      <w:r>
        <w:rPr>
          <w:rFonts w:ascii="宋体" w:hAnsi="宋体"/>
          <w:color w:val="auto"/>
          <w:szCs w:val="21"/>
          <w:highlight w:val="none"/>
        </w:rPr>
        <w:br w:type="page"/>
      </w:r>
    </w:p>
    <w:tbl>
      <w:tblPr>
        <w:tblStyle w:val="9"/>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5"/>
        <w:gridCol w:w="793"/>
        <w:gridCol w:w="992"/>
        <w:gridCol w:w="1034"/>
        <w:gridCol w:w="1378"/>
        <w:gridCol w:w="4385"/>
      </w:tblGrid>
      <w:tr w14:paraId="12BC1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5242" w:type="dxa"/>
            <w:gridSpan w:val="5"/>
            <w:noWrap w:val="0"/>
            <w:vAlign w:val="center"/>
          </w:tcPr>
          <w:p w14:paraId="10CCEB25">
            <w:pPr>
              <w:pStyle w:val="6"/>
              <w:jc w:val="center"/>
              <w:rPr>
                <w:rFonts w:hAnsi="宋体"/>
                <w:color w:val="auto"/>
                <w:sz w:val="24"/>
                <w:szCs w:val="24"/>
                <w:highlight w:val="none"/>
              </w:rPr>
            </w:pPr>
            <w:r>
              <w:rPr>
                <w:rFonts w:hAnsi="宋体"/>
                <w:color w:val="auto"/>
                <w:sz w:val="24"/>
                <w:szCs w:val="24"/>
                <w:highlight w:val="none"/>
              </w:rPr>
              <w:t>评分因素与权重分值</w:t>
            </w:r>
          </w:p>
        </w:tc>
        <w:tc>
          <w:tcPr>
            <w:tcW w:w="4385" w:type="dxa"/>
            <w:vMerge w:val="restart"/>
            <w:noWrap w:val="0"/>
            <w:vAlign w:val="center"/>
          </w:tcPr>
          <w:p w14:paraId="51282731">
            <w:pPr>
              <w:pStyle w:val="6"/>
              <w:jc w:val="center"/>
              <w:rPr>
                <w:rFonts w:hAnsi="宋体"/>
                <w:color w:val="auto"/>
                <w:sz w:val="24"/>
                <w:szCs w:val="24"/>
                <w:highlight w:val="none"/>
              </w:rPr>
            </w:pPr>
            <w:r>
              <w:rPr>
                <w:rFonts w:hAnsi="宋体"/>
                <w:color w:val="auto"/>
                <w:sz w:val="24"/>
                <w:szCs w:val="24"/>
                <w:highlight w:val="none"/>
              </w:rPr>
              <w:t>评分标准</w:t>
            </w:r>
          </w:p>
        </w:tc>
      </w:tr>
      <w:tr w14:paraId="6119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045" w:type="dxa"/>
            <w:tcBorders>
              <w:top w:val="single" w:color="auto" w:sz="4" w:space="0"/>
              <w:left w:val="single" w:color="auto" w:sz="4" w:space="0"/>
              <w:bottom w:val="single" w:color="auto" w:sz="4" w:space="0"/>
              <w:right w:val="single" w:color="auto" w:sz="4" w:space="0"/>
            </w:tcBorders>
            <w:noWrap w:val="0"/>
            <w:vAlign w:val="center"/>
          </w:tcPr>
          <w:p w14:paraId="2838B70D">
            <w:pPr>
              <w:pStyle w:val="6"/>
              <w:jc w:val="center"/>
              <w:rPr>
                <w:rFonts w:hAnsi="宋体"/>
                <w:color w:val="auto"/>
                <w:sz w:val="24"/>
                <w:szCs w:val="24"/>
                <w:highlight w:val="none"/>
              </w:rPr>
            </w:pPr>
            <w:r>
              <w:rPr>
                <w:rFonts w:hAnsi="宋体"/>
                <w:color w:val="auto"/>
                <w:sz w:val="24"/>
                <w:szCs w:val="24"/>
                <w:highlight w:val="none"/>
              </w:rPr>
              <w:t>条款号</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591B52A6">
            <w:pPr>
              <w:pStyle w:val="6"/>
              <w:jc w:val="center"/>
              <w:rPr>
                <w:rFonts w:hAnsi="宋体"/>
                <w:color w:val="auto"/>
                <w:sz w:val="24"/>
                <w:szCs w:val="24"/>
                <w:highlight w:val="none"/>
              </w:rPr>
            </w:pPr>
            <w:r>
              <w:rPr>
                <w:rFonts w:hAnsi="宋体"/>
                <w:color w:val="auto"/>
                <w:sz w:val="24"/>
                <w:szCs w:val="24"/>
                <w:highlight w:val="none"/>
              </w:rPr>
              <w:t>评分因素</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0894B8ED">
            <w:pPr>
              <w:pStyle w:val="6"/>
              <w:ind w:left="-40" w:leftChars="-19" w:right="-31" w:rightChars="-15" w:firstLine="1"/>
              <w:jc w:val="center"/>
              <w:rPr>
                <w:rFonts w:hAnsi="宋体"/>
                <w:color w:val="auto"/>
                <w:sz w:val="24"/>
                <w:szCs w:val="24"/>
                <w:highlight w:val="none"/>
              </w:rPr>
            </w:pPr>
            <w:r>
              <w:rPr>
                <w:rFonts w:hAnsi="宋体"/>
                <w:color w:val="auto"/>
                <w:sz w:val="24"/>
                <w:szCs w:val="24"/>
                <w:highlight w:val="none"/>
              </w:rPr>
              <w:t>评分因素权重分值</w:t>
            </w: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EAFF32A">
            <w:pPr>
              <w:pStyle w:val="6"/>
              <w:jc w:val="center"/>
              <w:rPr>
                <w:rFonts w:hAnsi="宋体"/>
                <w:color w:val="auto"/>
                <w:sz w:val="24"/>
                <w:szCs w:val="24"/>
                <w:highlight w:val="none"/>
              </w:rPr>
            </w:pPr>
            <w:r>
              <w:rPr>
                <w:rStyle w:val="16"/>
                <w:color w:val="auto"/>
                <w:sz w:val="24"/>
                <w:szCs w:val="24"/>
                <w:highlight w:val="none"/>
              </w:rPr>
              <w:t>各评分因素细分项</w:t>
            </w:r>
          </w:p>
        </w:tc>
        <w:tc>
          <w:tcPr>
            <w:tcW w:w="1378" w:type="dxa"/>
            <w:tcBorders>
              <w:left w:val="single" w:color="auto" w:sz="4" w:space="0"/>
            </w:tcBorders>
            <w:noWrap w:val="0"/>
            <w:vAlign w:val="center"/>
          </w:tcPr>
          <w:p w14:paraId="4C18189D">
            <w:pPr>
              <w:pStyle w:val="6"/>
              <w:jc w:val="center"/>
              <w:rPr>
                <w:rFonts w:hAnsi="宋体"/>
                <w:color w:val="auto"/>
                <w:sz w:val="24"/>
                <w:szCs w:val="24"/>
                <w:highlight w:val="none"/>
              </w:rPr>
            </w:pPr>
            <w:r>
              <w:rPr>
                <w:rFonts w:hAnsi="宋体"/>
                <w:color w:val="auto"/>
                <w:sz w:val="24"/>
                <w:szCs w:val="24"/>
                <w:highlight w:val="none"/>
              </w:rPr>
              <w:t>分值</w:t>
            </w:r>
          </w:p>
        </w:tc>
        <w:tc>
          <w:tcPr>
            <w:tcW w:w="4385" w:type="dxa"/>
            <w:vMerge w:val="continue"/>
            <w:noWrap w:val="0"/>
            <w:vAlign w:val="center"/>
          </w:tcPr>
          <w:p w14:paraId="7DC72D24">
            <w:pPr>
              <w:pStyle w:val="6"/>
              <w:jc w:val="center"/>
              <w:rPr>
                <w:rFonts w:hAnsi="宋体"/>
                <w:color w:val="auto"/>
                <w:sz w:val="24"/>
                <w:szCs w:val="24"/>
                <w:highlight w:val="none"/>
              </w:rPr>
            </w:pPr>
          </w:p>
        </w:tc>
      </w:tr>
      <w:tr w14:paraId="388A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045" w:type="dxa"/>
            <w:vMerge w:val="restart"/>
            <w:tcBorders>
              <w:top w:val="single" w:color="auto" w:sz="4" w:space="0"/>
            </w:tcBorders>
            <w:noWrap w:val="0"/>
            <w:vAlign w:val="center"/>
          </w:tcPr>
          <w:p w14:paraId="21A23741">
            <w:pPr>
              <w:pStyle w:val="6"/>
              <w:jc w:val="center"/>
              <w:rPr>
                <w:rFonts w:hAnsi="宋体"/>
                <w:color w:val="auto"/>
                <w:sz w:val="24"/>
                <w:szCs w:val="24"/>
                <w:highlight w:val="none"/>
              </w:rPr>
            </w:pPr>
            <w:r>
              <w:rPr>
                <w:rFonts w:hAnsi="宋体"/>
                <w:color w:val="auto"/>
                <w:sz w:val="24"/>
                <w:szCs w:val="24"/>
                <w:highlight w:val="none"/>
              </w:rPr>
              <w:t>2.2.4（1）</w:t>
            </w:r>
          </w:p>
        </w:tc>
        <w:tc>
          <w:tcPr>
            <w:tcW w:w="793" w:type="dxa"/>
            <w:vMerge w:val="restart"/>
            <w:tcBorders>
              <w:top w:val="single" w:color="auto" w:sz="4" w:space="0"/>
            </w:tcBorders>
            <w:noWrap w:val="0"/>
            <w:vAlign w:val="center"/>
          </w:tcPr>
          <w:p w14:paraId="5434C322">
            <w:pPr>
              <w:rPr>
                <w:rFonts w:hint="eastAsia" w:eastAsia="宋体"/>
                <w:color w:val="auto"/>
                <w:sz w:val="24"/>
                <w:szCs w:val="24"/>
                <w:highlight w:val="none"/>
                <w:lang w:eastAsia="zh-CN"/>
              </w:rPr>
            </w:pPr>
            <w:r>
              <w:rPr>
                <w:color w:val="auto"/>
                <w:sz w:val="24"/>
                <w:szCs w:val="24"/>
                <w:highlight w:val="none"/>
              </w:rPr>
              <w:t>服务方案</w:t>
            </w:r>
            <w:r>
              <w:rPr>
                <w:rFonts w:hint="eastAsia"/>
                <w:color w:val="auto"/>
                <w:sz w:val="24"/>
                <w:szCs w:val="24"/>
                <w:highlight w:val="none"/>
                <w:lang w:eastAsia="zh-CN"/>
              </w:rPr>
              <w:t>（</w:t>
            </w:r>
            <w:r>
              <w:rPr>
                <w:rFonts w:hint="eastAsia"/>
                <w:color w:val="auto"/>
                <w:sz w:val="24"/>
                <w:szCs w:val="24"/>
                <w:highlight w:val="none"/>
                <w:lang w:val="en-US" w:eastAsia="zh-CN"/>
              </w:rPr>
              <w:t>暗标</w:t>
            </w:r>
            <w:r>
              <w:rPr>
                <w:rFonts w:hint="eastAsia"/>
                <w:color w:val="auto"/>
                <w:sz w:val="24"/>
                <w:szCs w:val="24"/>
                <w:highlight w:val="none"/>
                <w:lang w:eastAsia="zh-CN"/>
              </w:rPr>
              <w:t>）</w:t>
            </w:r>
          </w:p>
        </w:tc>
        <w:tc>
          <w:tcPr>
            <w:tcW w:w="992" w:type="dxa"/>
            <w:vMerge w:val="restart"/>
            <w:tcBorders>
              <w:top w:val="single" w:color="auto" w:sz="4" w:space="0"/>
            </w:tcBorders>
            <w:noWrap w:val="0"/>
            <w:vAlign w:val="center"/>
          </w:tcPr>
          <w:p w14:paraId="64636660">
            <w:pPr>
              <w:tabs>
                <w:tab w:val="left" w:pos="3060"/>
              </w:tabs>
              <w:jc w:val="center"/>
              <w:rPr>
                <w:rFonts w:ascii="宋体" w:hAnsi="宋体"/>
                <w:color w:val="auto"/>
                <w:sz w:val="24"/>
                <w:szCs w:val="24"/>
                <w:highlight w:val="none"/>
              </w:rPr>
            </w:pPr>
            <w:r>
              <w:rPr>
                <w:rFonts w:ascii="宋体" w:hAnsi="宋体"/>
                <w:color w:val="auto"/>
                <w:sz w:val="24"/>
                <w:szCs w:val="24"/>
                <w:highlight w:val="none"/>
              </w:rPr>
              <w:t>4</w:t>
            </w:r>
            <w:r>
              <w:rPr>
                <w:rFonts w:hint="eastAsia" w:ascii="宋体" w:hAnsi="宋体"/>
                <w:color w:val="auto"/>
                <w:sz w:val="24"/>
                <w:szCs w:val="24"/>
                <w:highlight w:val="none"/>
                <w:lang w:val="en-US" w:eastAsia="zh-CN"/>
              </w:rPr>
              <w:t>0</w:t>
            </w:r>
            <w:r>
              <w:rPr>
                <w:rFonts w:ascii="宋体" w:hAnsi="宋体"/>
                <w:color w:val="auto"/>
                <w:sz w:val="24"/>
                <w:szCs w:val="24"/>
                <w:highlight w:val="none"/>
              </w:rPr>
              <w:t>分</w:t>
            </w:r>
          </w:p>
        </w:tc>
        <w:tc>
          <w:tcPr>
            <w:tcW w:w="1034" w:type="dxa"/>
            <w:tcBorders>
              <w:top w:val="single" w:color="auto" w:sz="4" w:space="0"/>
            </w:tcBorders>
            <w:noWrap w:val="0"/>
            <w:vAlign w:val="center"/>
          </w:tcPr>
          <w:p w14:paraId="584F0E9A">
            <w:pPr>
              <w:tabs>
                <w:tab w:val="left" w:pos="3060"/>
              </w:tabs>
              <w:jc w:val="center"/>
              <w:rPr>
                <w:rFonts w:ascii="宋体" w:hAnsi="宋体"/>
                <w:color w:val="auto"/>
                <w:sz w:val="24"/>
                <w:szCs w:val="24"/>
                <w:highlight w:val="none"/>
              </w:rPr>
            </w:pPr>
            <w:r>
              <w:rPr>
                <w:rFonts w:hint="eastAsia" w:ascii="宋体" w:hAnsi="宋体"/>
                <w:color w:val="auto"/>
                <w:sz w:val="24"/>
                <w:szCs w:val="24"/>
                <w:highlight w:val="none"/>
              </w:rPr>
              <w:t>项目总体理解和概括</w:t>
            </w:r>
          </w:p>
        </w:tc>
        <w:tc>
          <w:tcPr>
            <w:tcW w:w="1378" w:type="dxa"/>
            <w:noWrap w:val="0"/>
            <w:vAlign w:val="center"/>
          </w:tcPr>
          <w:p w14:paraId="3AE15764">
            <w:pPr>
              <w:tabs>
                <w:tab w:val="left" w:pos="3060"/>
              </w:tabs>
              <w:jc w:val="center"/>
              <w:rPr>
                <w:rFonts w:ascii="宋体" w:hAnsi="宋体"/>
                <w:color w:val="auto"/>
                <w:sz w:val="24"/>
                <w:szCs w:val="24"/>
                <w:highlight w:val="none"/>
              </w:rPr>
            </w:pPr>
            <w:r>
              <w:rPr>
                <w:rFonts w:hint="eastAsia" w:ascii="宋体" w:hAnsi="宋体"/>
                <w:color w:val="auto"/>
                <w:sz w:val="24"/>
                <w:szCs w:val="24"/>
                <w:highlight w:val="none"/>
                <w:lang w:val="en-US" w:eastAsia="zh-CN"/>
              </w:rPr>
              <w:t>5</w:t>
            </w:r>
            <w:r>
              <w:rPr>
                <w:rFonts w:ascii="宋体" w:hAnsi="宋体"/>
                <w:color w:val="auto"/>
                <w:sz w:val="24"/>
                <w:szCs w:val="24"/>
                <w:highlight w:val="none"/>
              </w:rPr>
              <w:t>分</w:t>
            </w:r>
          </w:p>
        </w:tc>
        <w:tc>
          <w:tcPr>
            <w:tcW w:w="4385" w:type="dxa"/>
            <w:noWrap w:val="0"/>
            <w:vAlign w:val="center"/>
          </w:tcPr>
          <w:p w14:paraId="5A618FAA">
            <w:pPr>
              <w:tabs>
                <w:tab w:val="left" w:pos="3060"/>
              </w:tabs>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对项目理解全面深刻，重点难点把握准确</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5</w:t>
            </w:r>
            <w:r>
              <w:rPr>
                <w:rFonts w:ascii="宋体" w:hAnsi="宋体" w:eastAsia="宋体" w:cs="Times New Roman"/>
                <w:color w:val="auto"/>
                <w:sz w:val="24"/>
                <w:szCs w:val="24"/>
                <w:highlight w:val="none"/>
              </w:rPr>
              <w:t>分）；</w:t>
            </w:r>
          </w:p>
          <w:p w14:paraId="74C57DF5">
            <w:pPr>
              <w:tabs>
                <w:tab w:val="left" w:pos="3060"/>
              </w:tabs>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对项目理解比较清楚，掌握项目技术咨询的重点难点</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4</w:t>
            </w:r>
            <w:r>
              <w:rPr>
                <w:rFonts w:ascii="宋体" w:hAnsi="宋体" w:eastAsia="宋体" w:cs="Times New Roman"/>
                <w:color w:val="auto"/>
                <w:sz w:val="24"/>
                <w:szCs w:val="24"/>
                <w:highlight w:val="none"/>
              </w:rPr>
              <w:t>分）；</w:t>
            </w:r>
          </w:p>
          <w:p w14:paraId="4BEB8A4A">
            <w:pPr>
              <w:tabs>
                <w:tab w:val="left" w:pos="3060"/>
              </w:tabs>
              <w:rPr>
                <w:rFonts w:ascii="宋体" w:hAnsi="宋体"/>
                <w:color w:val="auto"/>
                <w:sz w:val="24"/>
                <w:szCs w:val="24"/>
                <w:highlight w:val="none"/>
              </w:rPr>
            </w:pPr>
            <w:r>
              <w:rPr>
                <w:rFonts w:ascii="宋体" w:hAnsi="宋体" w:eastAsia="宋体" w:cs="Times New Roman"/>
                <w:color w:val="auto"/>
                <w:sz w:val="24"/>
                <w:szCs w:val="24"/>
                <w:highlight w:val="none"/>
              </w:rPr>
              <w:t>对项目理解</w:t>
            </w:r>
            <w:r>
              <w:rPr>
                <w:rFonts w:hint="eastAsia" w:ascii="宋体" w:hAnsi="宋体" w:eastAsia="宋体" w:cs="Times New Roman"/>
                <w:color w:val="auto"/>
                <w:sz w:val="24"/>
                <w:szCs w:val="24"/>
                <w:highlight w:val="none"/>
              </w:rPr>
              <w:t>一般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基本</w:t>
            </w:r>
            <w:r>
              <w:rPr>
                <w:rFonts w:ascii="宋体" w:hAnsi="宋体" w:eastAsia="宋体" w:cs="Times New Roman"/>
                <w:color w:val="auto"/>
                <w:sz w:val="24"/>
                <w:szCs w:val="24"/>
                <w:highlight w:val="none"/>
              </w:rPr>
              <w:t>掌握项目技术咨询的重点难点</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3</w:t>
            </w:r>
            <w:r>
              <w:rPr>
                <w:rFonts w:ascii="宋体" w:hAnsi="宋体" w:eastAsia="宋体" w:cs="Times New Roman"/>
                <w:color w:val="auto"/>
                <w:sz w:val="24"/>
                <w:szCs w:val="24"/>
                <w:highlight w:val="none"/>
              </w:rPr>
              <w:t>分）</w:t>
            </w:r>
            <w:r>
              <w:rPr>
                <w:rFonts w:hint="eastAsia" w:ascii="宋体" w:hAnsi="宋体" w:eastAsia="宋体" w:cs="Times New Roman"/>
                <w:color w:val="auto"/>
                <w:sz w:val="24"/>
                <w:szCs w:val="24"/>
                <w:highlight w:val="none"/>
              </w:rPr>
              <w:t>。</w:t>
            </w:r>
          </w:p>
        </w:tc>
      </w:tr>
      <w:tr w14:paraId="7E2C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045" w:type="dxa"/>
            <w:vMerge w:val="continue"/>
            <w:noWrap w:val="0"/>
            <w:vAlign w:val="center"/>
          </w:tcPr>
          <w:p w14:paraId="7DF60D18">
            <w:pPr>
              <w:pStyle w:val="6"/>
              <w:jc w:val="center"/>
              <w:rPr>
                <w:rFonts w:hAnsi="宋体"/>
                <w:color w:val="auto"/>
                <w:sz w:val="24"/>
                <w:szCs w:val="24"/>
                <w:highlight w:val="none"/>
              </w:rPr>
            </w:pPr>
          </w:p>
        </w:tc>
        <w:tc>
          <w:tcPr>
            <w:tcW w:w="793" w:type="dxa"/>
            <w:vMerge w:val="continue"/>
            <w:noWrap w:val="0"/>
            <w:vAlign w:val="center"/>
          </w:tcPr>
          <w:p w14:paraId="5036273F">
            <w:pPr>
              <w:tabs>
                <w:tab w:val="left" w:pos="3060"/>
              </w:tabs>
              <w:rPr>
                <w:rFonts w:ascii="宋体" w:hAnsi="宋体"/>
                <w:color w:val="auto"/>
                <w:sz w:val="24"/>
                <w:szCs w:val="24"/>
                <w:highlight w:val="none"/>
              </w:rPr>
            </w:pPr>
          </w:p>
        </w:tc>
        <w:tc>
          <w:tcPr>
            <w:tcW w:w="992" w:type="dxa"/>
            <w:vMerge w:val="continue"/>
            <w:noWrap w:val="0"/>
            <w:vAlign w:val="center"/>
          </w:tcPr>
          <w:p w14:paraId="42EE16D1">
            <w:pPr>
              <w:tabs>
                <w:tab w:val="left" w:pos="3060"/>
              </w:tabs>
              <w:rPr>
                <w:rFonts w:ascii="宋体" w:hAnsi="宋体"/>
                <w:color w:val="auto"/>
                <w:sz w:val="24"/>
                <w:szCs w:val="24"/>
                <w:highlight w:val="none"/>
              </w:rPr>
            </w:pPr>
          </w:p>
        </w:tc>
        <w:tc>
          <w:tcPr>
            <w:tcW w:w="1034" w:type="dxa"/>
            <w:noWrap w:val="0"/>
            <w:vAlign w:val="center"/>
          </w:tcPr>
          <w:p w14:paraId="7D53FD2E">
            <w:pPr>
              <w:tabs>
                <w:tab w:val="left" w:pos="3060"/>
              </w:tabs>
              <w:jc w:val="center"/>
              <w:rPr>
                <w:rFonts w:ascii="宋体" w:hAnsi="宋体"/>
                <w:color w:val="auto"/>
                <w:sz w:val="24"/>
                <w:szCs w:val="24"/>
                <w:highlight w:val="none"/>
              </w:rPr>
            </w:pPr>
            <w:r>
              <w:rPr>
                <w:rFonts w:hint="eastAsia" w:ascii="宋体" w:hAnsi="宋体"/>
                <w:color w:val="auto"/>
                <w:sz w:val="24"/>
                <w:szCs w:val="24"/>
                <w:highlight w:val="none"/>
              </w:rPr>
              <w:t>项目实施方案</w:t>
            </w:r>
          </w:p>
        </w:tc>
        <w:tc>
          <w:tcPr>
            <w:tcW w:w="1378" w:type="dxa"/>
            <w:noWrap w:val="0"/>
            <w:vAlign w:val="center"/>
          </w:tcPr>
          <w:p w14:paraId="4CF08131">
            <w:pPr>
              <w:tabs>
                <w:tab w:val="left" w:pos="3060"/>
              </w:tabs>
              <w:jc w:val="center"/>
              <w:rPr>
                <w:rFonts w:ascii="宋体" w:hAnsi="宋体"/>
                <w:color w:val="auto"/>
                <w:sz w:val="24"/>
                <w:szCs w:val="24"/>
                <w:highlight w:val="none"/>
              </w:rPr>
            </w:pPr>
            <w:r>
              <w:rPr>
                <w:rFonts w:ascii="宋体" w:hAnsi="宋体"/>
                <w:color w:val="auto"/>
                <w:sz w:val="24"/>
                <w:szCs w:val="24"/>
                <w:highlight w:val="none"/>
              </w:rPr>
              <w:t>10分</w:t>
            </w:r>
          </w:p>
        </w:tc>
        <w:tc>
          <w:tcPr>
            <w:tcW w:w="4385" w:type="dxa"/>
            <w:noWrap w:val="0"/>
            <w:vAlign w:val="center"/>
          </w:tcPr>
          <w:p w14:paraId="4D7CDA42">
            <w:pPr>
              <w:tabs>
                <w:tab w:val="left" w:pos="3060"/>
              </w:tabs>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项目实施方案详实，关键路径清晰，</w:t>
            </w:r>
            <w:r>
              <w:rPr>
                <w:rFonts w:hint="eastAsia" w:ascii="宋体" w:hAnsi="宋体" w:eastAsia="宋体" w:cs="Times New Roman"/>
                <w:color w:val="auto"/>
                <w:sz w:val="24"/>
                <w:szCs w:val="24"/>
                <w:highlight w:val="none"/>
                <w:lang w:val="en-US" w:eastAsia="zh-CN"/>
              </w:rPr>
              <w:t>专题</w:t>
            </w:r>
            <w:r>
              <w:rPr>
                <w:rFonts w:hint="eastAsia" w:ascii="宋体" w:hAnsi="宋体" w:eastAsia="宋体" w:cs="Times New Roman"/>
                <w:color w:val="auto"/>
                <w:sz w:val="24"/>
                <w:szCs w:val="24"/>
                <w:highlight w:val="none"/>
              </w:rPr>
              <w:t>报告等编制大纲等符合设计标准规范、响应招标文件的技术要求，内容详实，就本</w:t>
            </w:r>
            <w:r>
              <w:rPr>
                <w:rFonts w:hint="eastAsia" w:ascii="宋体" w:hAnsi="宋体" w:eastAsia="宋体" w:cs="Times New Roman"/>
                <w:color w:val="auto"/>
                <w:sz w:val="24"/>
                <w:szCs w:val="24"/>
                <w:highlight w:val="none"/>
                <w:lang w:val="en-US" w:eastAsia="zh-CN"/>
              </w:rPr>
              <w:t>项目</w:t>
            </w:r>
            <w:r>
              <w:rPr>
                <w:rFonts w:hint="eastAsia" w:ascii="宋体" w:hAnsi="宋体" w:eastAsia="宋体" w:cs="Times New Roman"/>
                <w:color w:val="auto"/>
                <w:sz w:val="24"/>
                <w:szCs w:val="24"/>
                <w:highlight w:val="none"/>
              </w:rPr>
              <w:t>重点和难点提出合理化建议及针对性的措施，项目实施计划满足</w:t>
            </w:r>
            <w:r>
              <w:rPr>
                <w:rFonts w:hint="eastAsia" w:ascii="宋体" w:hAnsi="宋体" w:eastAsia="宋体" w:cs="Times New Roman"/>
                <w:color w:val="auto"/>
                <w:sz w:val="24"/>
                <w:szCs w:val="24"/>
                <w:highlight w:val="none"/>
                <w:lang w:val="en-US" w:eastAsia="zh-CN"/>
              </w:rPr>
              <w:t>服务期限</w:t>
            </w:r>
            <w:r>
              <w:rPr>
                <w:rFonts w:hint="eastAsia" w:ascii="宋体" w:hAnsi="宋体" w:eastAsia="宋体" w:cs="Times New Roman"/>
                <w:color w:val="auto"/>
                <w:sz w:val="24"/>
                <w:szCs w:val="24"/>
                <w:highlight w:val="none"/>
              </w:rPr>
              <w:t>及高质量要求</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（8</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10分）； </w:t>
            </w:r>
          </w:p>
          <w:p w14:paraId="1B32D06A">
            <w:pPr>
              <w:tabs>
                <w:tab w:val="left" w:pos="3060"/>
              </w:tabs>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项目实施方案内容完整，实施路径较明确，</w:t>
            </w:r>
            <w:r>
              <w:rPr>
                <w:rFonts w:hint="eastAsia" w:ascii="宋体" w:hAnsi="宋体" w:eastAsia="宋体" w:cs="Times New Roman"/>
                <w:color w:val="auto"/>
                <w:sz w:val="24"/>
                <w:szCs w:val="24"/>
                <w:highlight w:val="none"/>
                <w:lang w:val="en-US" w:eastAsia="zh-CN"/>
              </w:rPr>
              <w:t>专题</w:t>
            </w:r>
            <w:r>
              <w:rPr>
                <w:rFonts w:hint="eastAsia" w:ascii="宋体" w:hAnsi="宋体" w:eastAsia="宋体" w:cs="Times New Roman"/>
                <w:color w:val="auto"/>
                <w:sz w:val="24"/>
                <w:szCs w:val="24"/>
                <w:highlight w:val="none"/>
              </w:rPr>
              <w:t>报告等编制大纲等符合设计标准规范、响应招标文件的技术要求，内容具体，就本</w:t>
            </w:r>
            <w:r>
              <w:rPr>
                <w:rFonts w:hint="eastAsia" w:ascii="宋体" w:hAnsi="宋体" w:eastAsia="宋体" w:cs="Times New Roman"/>
                <w:color w:val="auto"/>
                <w:sz w:val="24"/>
                <w:szCs w:val="24"/>
                <w:highlight w:val="none"/>
                <w:lang w:val="en-US" w:eastAsia="zh-CN"/>
              </w:rPr>
              <w:t>项目</w:t>
            </w:r>
            <w:r>
              <w:rPr>
                <w:rFonts w:hint="eastAsia" w:ascii="宋体" w:hAnsi="宋体" w:eastAsia="宋体" w:cs="Times New Roman"/>
                <w:color w:val="auto"/>
                <w:sz w:val="24"/>
                <w:szCs w:val="24"/>
                <w:highlight w:val="none"/>
              </w:rPr>
              <w:t>重点和难点提出建议及针对性的措施，项目实施计划满足</w:t>
            </w:r>
            <w:r>
              <w:rPr>
                <w:rFonts w:hint="eastAsia" w:ascii="宋体" w:hAnsi="宋体" w:eastAsia="宋体" w:cs="Times New Roman"/>
                <w:color w:val="auto"/>
                <w:sz w:val="24"/>
                <w:szCs w:val="24"/>
                <w:highlight w:val="none"/>
                <w:lang w:val="en-US" w:eastAsia="zh-CN"/>
              </w:rPr>
              <w:t>服务期限</w:t>
            </w:r>
            <w:r>
              <w:rPr>
                <w:rFonts w:hint="eastAsia" w:ascii="宋体" w:hAnsi="宋体" w:eastAsia="宋体" w:cs="Times New Roman"/>
                <w:color w:val="auto"/>
                <w:sz w:val="24"/>
                <w:szCs w:val="24"/>
                <w:highlight w:val="none"/>
              </w:rPr>
              <w:t>及质量要求</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8分）； </w:t>
            </w:r>
          </w:p>
          <w:p w14:paraId="5A7761D5">
            <w:pPr>
              <w:tabs>
                <w:tab w:val="left" w:pos="3060"/>
              </w:tabs>
              <w:rPr>
                <w:rFonts w:hint="eastAsia" w:ascii="宋体" w:hAnsi="宋体" w:eastAsia="宋体"/>
                <w:color w:val="auto"/>
                <w:sz w:val="24"/>
                <w:szCs w:val="24"/>
                <w:highlight w:val="none"/>
                <w:lang w:eastAsia="zh-CN"/>
              </w:rPr>
            </w:pPr>
            <w:r>
              <w:rPr>
                <w:rFonts w:hint="eastAsia" w:ascii="宋体" w:hAnsi="宋体" w:eastAsia="宋体" w:cs="Times New Roman"/>
                <w:color w:val="auto"/>
                <w:sz w:val="24"/>
                <w:szCs w:val="24"/>
                <w:highlight w:val="none"/>
              </w:rPr>
              <w:t>项目实施方案要素齐全，</w:t>
            </w:r>
            <w:r>
              <w:rPr>
                <w:rFonts w:hint="eastAsia" w:ascii="宋体" w:hAnsi="宋体" w:eastAsia="宋体" w:cs="Times New Roman"/>
                <w:color w:val="auto"/>
                <w:sz w:val="24"/>
                <w:szCs w:val="24"/>
                <w:highlight w:val="none"/>
                <w:lang w:val="en-US" w:eastAsia="zh-CN"/>
              </w:rPr>
              <w:t>专题</w:t>
            </w:r>
            <w:r>
              <w:rPr>
                <w:rFonts w:hint="eastAsia" w:ascii="宋体" w:hAnsi="宋体" w:eastAsia="宋体" w:cs="Times New Roman"/>
                <w:color w:val="auto"/>
                <w:sz w:val="24"/>
                <w:szCs w:val="24"/>
                <w:highlight w:val="none"/>
              </w:rPr>
              <w:t>报告等编制大纲等符合设计标准规范、响应招标文件的技术要求，项目实施计划满足</w:t>
            </w:r>
            <w:r>
              <w:rPr>
                <w:rFonts w:hint="eastAsia" w:ascii="宋体" w:hAnsi="宋体" w:eastAsia="宋体" w:cs="Times New Roman"/>
                <w:color w:val="auto"/>
                <w:sz w:val="24"/>
                <w:szCs w:val="24"/>
                <w:highlight w:val="none"/>
                <w:lang w:val="en-US" w:eastAsia="zh-CN"/>
              </w:rPr>
              <w:t>服务期限</w:t>
            </w:r>
            <w:r>
              <w:rPr>
                <w:rFonts w:hint="eastAsia" w:ascii="宋体" w:hAnsi="宋体" w:eastAsia="宋体" w:cs="Times New Roman"/>
                <w:color w:val="auto"/>
                <w:sz w:val="24"/>
                <w:szCs w:val="24"/>
                <w:highlight w:val="none"/>
              </w:rPr>
              <w:t>及质量部分要求</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（6.0分）</w:t>
            </w:r>
            <w:r>
              <w:rPr>
                <w:rFonts w:hint="eastAsia" w:ascii="宋体" w:hAnsi="宋体" w:eastAsia="宋体" w:cs="Times New Roman"/>
                <w:color w:val="auto"/>
                <w:sz w:val="24"/>
                <w:szCs w:val="24"/>
                <w:highlight w:val="none"/>
              </w:rPr>
              <w:t>。</w:t>
            </w:r>
          </w:p>
        </w:tc>
      </w:tr>
      <w:tr w14:paraId="6672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5" w:type="dxa"/>
            <w:vMerge w:val="continue"/>
            <w:noWrap w:val="0"/>
            <w:vAlign w:val="center"/>
          </w:tcPr>
          <w:p w14:paraId="1C91EDD0">
            <w:pPr>
              <w:pStyle w:val="6"/>
              <w:jc w:val="center"/>
              <w:rPr>
                <w:rFonts w:hAnsi="宋体"/>
                <w:color w:val="auto"/>
                <w:sz w:val="24"/>
                <w:szCs w:val="24"/>
                <w:highlight w:val="none"/>
              </w:rPr>
            </w:pPr>
          </w:p>
        </w:tc>
        <w:tc>
          <w:tcPr>
            <w:tcW w:w="793" w:type="dxa"/>
            <w:vMerge w:val="continue"/>
            <w:noWrap w:val="0"/>
            <w:vAlign w:val="center"/>
          </w:tcPr>
          <w:p w14:paraId="4DE123A0">
            <w:pPr>
              <w:tabs>
                <w:tab w:val="left" w:pos="3060"/>
              </w:tabs>
              <w:rPr>
                <w:rFonts w:ascii="宋体" w:hAnsi="宋体"/>
                <w:color w:val="auto"/>
                <w:sz w:val="24"/>
                <w:szCs w:val="24"/>
                <w:highlight w:val="none"/>
              </w:rPr>
            </w:pPr>
          </w:p>
        </w:tc>
        <w:tc>
          <w:tcPr>
            <w:tcW w:w="992" w:type="dxa"/>
            <w:vMerge w:val="continue"/>
            <w:noWrap w:val="0"/>
            <w:vAlign w:val="center"/>
          </w:tcPr>
          <w:p w14:paraId="22774F80">
            <w:pPr>
              <w:tabs>
                <w:tab w:val="left" w:pos="3060"/>
              </w:tabs>
              <w:rPr>
                <w:rFonts w:ascii="宋体" w:hAnsi="宋体"/>
                <w:color w:val="auto"/>
                <w:sz w:val="24"/>
                <w:szCs w:val="24"/>
                <w:highlight w:val="none"/>
              </w:rPr>
            </w:pPr>
          </w:p>
        </w:tc>
        <w:tc>
          <w:tcPr>
            <w:tcW w:w="1034" w:type="dxa"/>
            <w:noWrap w:val="0"/>
            <w:vAlign w:val="center"/>
          </w:tcPr>
          <w:p w14:paraId="525837D7">
            <w:pPr>
              <w:tabs>
                <w:tab w:val="left" w:pos="3060"/>
              </w:tabs>
              <w:jc w:val="center"/>
              <w:rPr>
                <w:rFonts w:ascii="宋体" w:hAnsi="宋体"/>
                <w:color w:val="auto"/>
                <w:sz w:val="24"/>
                <w:szCs w:val="24"/>
                <w:highlight w:val="none"/>
              </w:rPr>
            </w:pPr>
            <w:r>
              <w:rPr>
                <w:rFonts w:ascii="宋体" w:hAnsi="宋体"/>
                <w:color w:val="auto"/>
                <w:sz w:val="24"/>
                <w:szCs w:val="24"/>
                <w:highlight w:val="none"/>
              </w:rPr>
              <w:t>技术咨询服务进度的控制措施</w:t>
            </w:r>
          </w:p>
        </w:tc>
        <w:tc>
          <w:tcPr>
            <w:tcW w:w="1378" w:type="dxa"/>
            <w:noWrap w:val="0"/>
            <w:vAlign w:val="center"/>
          </w:tcPr>
          <w:p w14:paraId="51539BA0">
            <w:pPr>
              <w:tabs>
                <w:tab w:val="left" w:pos="3060"/>
              </w:tabs>
              <w:jc w:val="center"/>
              <w:rPr>
                <w:rFonts w:ascii="宋体" w:hAnsi="宋体"/>
                <w:color w:val="auto"/>
                <w:sz w:val="24"/>
                <w:szCs w:val="24"/>
                <w:highlight w:val="none"/>
              </w:rPr>
            </w:pPr>
            <w:r>
              <w:rPr>
                <w:rFonts w:ascii="宋体" w:hAnsi="宋体"/>
                <w:color w:val="auto"/>
                <w:sz w:val="24"/>
                <w:szCs w:val="24"/>
                <w:highlight w:val="none"/>
              </w:rPr>
              <w:t>10分</w:t>
            </w:r>
          </w:p>
        </w:tc>
        <w:tc>
          <w:tcPr>
            <w:tcW w:w="4385" w:type="dxa"/>
            <w:noWrap w:val="0"/>
            <w:vAlign w:val="center"/>
          </w:tcPr>
          <w:p w14:paraId="3D9D2A75">
            <w:pPr>
              <w:tabs>
                <w:tab w:val="left" w:pos="3060"/>
              </w:tabs>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技术咨询服务进度控制措施明确、进度安排合理</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（8</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10分）； </w:t>
            </w:r>
          </w:p>
          <w:p w14:paraId="6E1C4CDE">
            <w:pPr>
              <w:tabs>
                <w:tab w:val="left" w:pos="3060"/>
              </w:tabs>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技术咨询服务进度控制措施</w:t>
            </w:r>
            <w:r>
              <w:rPr>
                <w:rFonts w:hint="eastAsia" w:ascii="宋体" w:hAnsi="宋体" w:eastAsia="宋体" w:cs="Times New Roman"/>
                <w:color w:val="auto"/>
                <w:sz w:val="24"/>
                <w:szCs w:val="24"/>
                <w:highlight w:val="none"/>
              </w:rPr>
              <w:t>较</w:t>
            </w:r>
            <w:r>
              <w:rPr>
                <w:rFonts w:ascii="宋体" w:hAnsi="宋体" w:eastAsia="宋体" w:cs="Times New Roman"/>
                <w:color w:val="auto"/>
                <w:sz w:val="24"/>
                <w:szCs w:val="24"/>
                <w:highlight w:val="none"/>
              </w:rPr>
              <w:t>明确、进度安排</w:t>
            </w:r>
            <w:r>
              <w:rPr>
                <w:rFonts w:hint="eastAsia" w:ascii="宋体" w:hAnsi="宋体" w:eastAsia="宋体" w:cs="Times New Roman"/>
                <w:color w:val="auto"/>
                <w:sz w:val="24"/>
                <w:szCs w:val="24"/>
                <w:highlight w:val="none"/>
              </w:rPr>
              <w:t>较合理</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 xml:space="preserve">8分）； </w:t>
            </w:r>
          </w:p>
          <w:p w14:paraId="792A4111">
            <w:pPr>
              <w:tabs>
                <w:tab w:val="left" w:pos="3060"/>
              </w:tabs>
              <w:rPr>
                <w:rFonts w:ascii="宋体" w:hAnsi="宋体"/>
                <w:color w:val="auto"/>
                <w:sz w:val="24"/>
                <w:szCs w:val="24"/>
                <w:highlight w:val="none"/>
              </w:rPr>
            </w:pPr>
            <w:r>
              <w:rPr>
                <w:rFonts w:ascii="宋体" w:hAnsi="宋体" w:eastAsia="宋体" w:cs="Times New Roman"/>
                <w:color w:val="auto"/>
                <w:sz w:val="24"/>
                <w:szCs w:val="24"/>
                <w:highlight w:val="none"/>
              </w:rPr>
              <w:t>技术咨询服务进度控制措施</w:t>
            </w:r>
            <w:r>
              <w:rPr>
                <w:rFonts w:hint="eastAsia" w:ascii="宋体" w:hAnsi="宋体" w:eastAsia="宋体" w:cs="Times New Roman"/>
                <w:color w:val="auto"/>
                <w:sz w:val="24"/>
                <w:szCs w:val="24"/>
                <w:highlight w:val="none"/>
              </w:rPr>
              <w:t>一般</w:t>
            </w:r>
            <w:r>
              <w:rPr>
                <w:rFonts w:ascii="宋体" w:hAnsi="宋体" w:eastAsia="宋体" w:cs="Times New Roman"/>
                <w:color w:val="auto"/>
                <w:sz w:val="24"/>
                <w:szCs w:val="24"/>
                <w:highlight w:val="none"/>
              </w:rPr>
              <w:t>、进度安排一般</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（6分）</w:t>
            </w:r>
            <w:r>
              <w:rPr>
                <w:rFonts w:hint="eastAsia" w:ascii="宋体" w:hAnsi="宋体" w:eastAsia="宋体" w:cs="Times New Roman"/>
                <w:color w:val="auto"/>
                <w:sz w:val="24"/>
                <w:szCs w:val="24"/>
                <w:highlight w:val="none"/>
              </w:rPr>
              <w:t>。</w:t>
            </w:r>
          </w:p>
        </w:tc>
      </w:tr>
      <w:tr w14:paraId="29C6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45" w:type="dxa"/>
            <w:vMerge w:val="continue"/>
            <w:noWrap w:val="0"/>
            <w:vAlign w:val="center"/>
          </w:tcPr>
          <w:p w14:paraId="031B7AAD">
            <w:pPr>
              <w:pStyle w:val="6"/>
              <w:jc w:val="center"/>
              <w:rPr>
                <w:rFonts w:hAnsi="宋体"/>
                <w:color w:val="auto"/>
                <w:sz w:val="24"/>
                <w:szCs w:val="24"/>
                <w:highlight w:val="none"/>
              </w:rPr>
            </w:pPr>
          </w:p>
        </w:tc>
        <w:tc>
          <w:tcPr>
            <w:tcW w:w="793" w:type="dxa"/>
            <w:vMerge w:val="continue"/>
            <w:noWrap w:val="0"/>
            <w:vAlign w:val="center"/>
          </w:tcPr>
          <w:p w14:paraId="6036BD43">
            <w:pPr>
              <w:tabs>
                <w:tab w:val="left" w:pos="3060"/>
              </w:tabs>
              <w:rPr>
                <w:rFonts w:ascii="宋体" w:hAnsi="宋体"/>
                <w:color w:val="auto"/>
                <w:sz w:val="24"/>
                <w:szCs w:val="24"/>
                <w:highlight w:val="none"/>
              </w:rPr>
            </w:pPr>
          </w:p>
        </w:tc>
        <w:tc>
          <w:tcPr>
            <w:tcW w:w="992" w:type="dxa"/>
            <w:vMerge w:val="continue"/>
            <w:noWrap w:val="0"/>
            <w:vAlign w:val="center"/>
          </w:tcPr>
          <w:p w14:paraId="0A210066">
            <w:pPr>
              <w:tabs>
                <w:tab w:val="left" w:pos="3060"/>
              </w:tabs>
              <w:rPr>
                <w:rFonts w:ascii="宋体" w:hAnsi="宋体"/>
                <w:color w:val="auto"/>
                <w:sz w:val="24"/>
                <w:szCs w:val="24"/>
                <w:highlight w:val="none"/>
              </w:rPr>
            </w:pPr>
          </w:p>
        </w:tc>
        <w:tc>
          <w:tcPr>
            <w:tcW w:w="1034" w:type="dxa"/>
            <w:noWrap w:val="0"/>
            <w:vAlign w:val="center"/>
          </w:tcPr>
          <w:p w14:paraId="63DF5000">
            <w:pPr>
              <w:tabs>
                <w:tab w:val="left" w:pos="3060"/>
              </w:tabs>
              <w:jc w:val="center"/>
              <w:rPr>
                <w:rFonts w:ascii="宋体" w:hAnsi="宋体"/>
                <w:color w:val="auto"/>
                <w:sz w:val="24"/>
                <w:szCs w:val="24"/>
                <w:highlight w:val="none"/>
              </w:rPr>
            </w:pPr>
            <w:r>
              <w:rPr>
                <w:rFonts w:hint="eastAsia" w:ascii="宋体" w:hAnsi="宋体"/>
                <w:color w:val="auto"/>
                <w:sz w:val="24"/>
                <w:szCs w:val="24"/>
                <w:highlight w:val="none"/>
              </w:rPr>
              <w:t>质量目标及质量保证措施</w:t>
            </w:r>
          </w:p>
        </w:tc>
        <w:tc>
          <w:tcPr>
            <w:tcW w:w="1378" w:type="dxa"/>
            <w:noWrap w:val="0"/>
            <w:vAlign w:val="center"/>
          </w:tcPr>
          <w:p w14:paraId="43A310F1">
            <w:pPr>
              <w:tabs>
                <w:tab w:val="left" w:pos="3060"/>
              </w:tabs>
              <w:jc w:val="center"/>
              <w:rPr>
                <w:rFonts w:ascii="宋体" w:hAnsi="宋体"/>
                <w:color w:val="auto"/>
                <w:sz w:val="24"/>
                <w:szCs w:val="24"/>
                <w:highlight w:val="none"/>
              </w:rPr>
            </w:pPr>
            <w:r>
              <w:rPr>
                <w:rFonts w:ascii="宋体" w:hAnsi="宋体"/>
                <w:color w:val="auto"/>
                <w:sz w:val="24"/>
                <w:szCs w:val="24"/>
                <w:highlight w:val="none"/>
              </w:rPr>
              <w:t>10分</w:t>
            </w:r>
          </w:p>
        </w:tc>
        <w:tc>
          <w:tcPr>
            <w:tcW w:w="4385" w:type="dxa"/>
            <w:noWrap w:val="0"/>
            <w:vAlign w:val="center"/>
          </w:tcPr>
          <w:p w14:paraId="6A56E0CA">
            <w:pPr>
              <w:tabs>
                <w:tab w:val="left" w:pos="3060"/>
              </w:tabs>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质量目标及保证</w:t>
            </w:r>
            <w:r>
              <w:rPr>
                <w:rFonts w:ascii="宋体" w:hAnsi="宋体" w:eastAsia="宋体" w:cs="Times New Roman"/>
                <w:color w:val="auto"/>
                <w:sz w:val="24"/>
                <w:szCs w:val="24"/>
                <w:highlight w:val="none"/>
              </w:rPr>
              <w:t>措施合理得当，针对性、可操作性强</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（8</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10分）；</w:t>
            </w:r>
          </w:p>
          <w:p w14:paraId="5B56EC34">
            <w:pPr>
              <w:tabs>
                <w:tab w:val="left" w:pos="3060"/>
              </w:tabs>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质量目标及保证措施</w:t>
            </w:r>
            <w:r>
              <w:rPr>
                <w:rFonts w:ascii="宋体" w:hAnsi="宋体" w:eastAsia="宋体" w:cs="Times New Roman"/>
                <w:color w:val="auto"/>
                <w:sz w:val="24"/>
                <w:szCs w:val="24"/>
                <w:highlight w:val="none"/>
              </w:rPr>
              <w:t>，针对性、可操作性</w:t>
            </w:r>
            <w:r>
              <w:rPr>
                <w:rFonts w:hint="eastAsia" w:ascii="宋体" w:hAnsi="宋体" w:eastAsia="宋体" w:cs="Times New Roman"/>
                <w:color w:val="auto"/>
                <w:sz w:val="24"/>
                <w:szCs w:val="24"/>
                <w:highlight w:val="none"/>
              </w:rPr>
              <w:t>较强</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8分）；</w:t>
            </w:r>
          </w:p>
          <w:p w14:paraId="14495DBB">
            <w:pPr>
              <w:tabs>
                <w:tab w:val="left" w:pos="3060"/>
              </w:tabs>
              <w:rPr>
                <w:rFonts w:ascii="宋体" w:hAnsi="宋体"/>
                <w:color w:val="auto"/>
                <w:sz w:val="24"/>
                <w:szCs w:val="24"/>
                <w:highlight w:val="none"/>
              </w:rPr>
            </w:pPr>
            <w:r>
              <w:rPr>
                <w:rFonts w:hint="eastAsia" w:ascii="宋体" w:hAnsi="宋体" w:eastAsia="宋体" w:cs="Times New Roman"/>
                <w:color w:val="auto"/>
                <w:sz w:val="24"/>
                <w:szCs w:val="24"/>
                <w:highlight w:val="none"/>
              </w:rPr>
              <w:t>质量目标及保证</w:t>
            </w:r>
            <w:r>
              <w:rPr>
                <w:rFonts w:ascii="宋体" w:hAnsi="宋体" w:eastAsia="宋体" w:cs="Times New Roman"/>
                <w:color w:val="auto"/>
                <w:sz w:val="24"/>
                <w:szCs w:val="24"/>
                <w:highlight w:val="none"/>
              </w:rPr>
              <w:t>措施</w:t>
            </w:r>
            <w:r>
              <w:rPr>
                <w:rFonts w:hint="eastAsia" w:ascii="宋体" w:hAnsi="宋体" w:eastAsia="宋体" w:cs="Times New Roman"/>
                <w:color w:val="auto"/>
                <w:sz w:val="24"/>
                <w:szCs w:val="24"/>
                <w:highlight w:val="none"/>
              </w:rPr>
              <w:t>一般</w:t>
            </w:r>
            <w:r>
              <w:rPr>
                <w:rFonts w:ascii="宋体" w:hAnsi="宋体" w:eastAsia="宋体" w:cs="Times New Roman"/>
                <w:color w:val="auto"/>
                <w:sz w:val="24"/>
                <w:szCs w:val="24"/>
                <w:highlight w:val="none"/>
              </w:rPr>
              <w:t>，可操作</w:t>
            </w:r>
            <w:r>
              <w:rPr>
                <w:rFonts w:hint="eastAsia" w:ascii="宋体" w:hAnsi="宋体" w:eastAsia="宋体" w:cs="Times New Roman"/>
                <w:color w:val="auto"/>
                <w:sz w:val="24"/>
                <w:szCs w:val="24"/>
                <w:highlight w:val="none"/>
              </w:rPr>
              <w:t>性一般</w:t>
            </w:r>
            <w:r>
              <w:rPr>
                <w:rFonts w:hint="eastAsia" w:ascii="宋体" w:hAnsi="宋体" w:eastAsia="宋体" w:cs="Times New Roman"/>
                <w:color w:val="auto"/>
                <w:sz w:val="24"/>
                <w:szCs w:val="24"/>
                <w:highlight w:val="none"/>
                <w:lang w:val="en-US" w:eastAsia="zh-CN"/>
              </w:rPr>
              <w:t>得</w:t>
            </w:r>
            <w:r>
              <w:rPr>
                <w:rFonts w:ascii="宋体" w:hAnsi="宋体" w:eastAsia="宋体" w:cs="Times New Roman"/>
                <w:color w:val="auto"/>
                <w:sz w:val="24"/>
                <w:szCs w:val="24"/>
                <w:highlight w:val="none"/>
              </w:rPr>
              <w:t>（6分）</w:t>
            </w:r>
            <w:r>
              <w:rPr>
                <w:rFonts w:hint="eastAsia" w:ascii="宋体" w:hAnsi="宋体" w:eastAsia="宋体" w:cs="Times New Roman"/>
                <w:color w:val="auto"/>
                <w:sz w:val="24"/>
                <w:szCs w:val="24"/>
                <w:highlight w:val="none"/>
              </w:rPr>
              <w:t>。</w:t>
            </w:r>
          </w:p>
        </w:tc>
      </w:tr>
      <w:tr w14:paraId="03EB4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045" w:type="dxa"/>
            <w:vMerge w:val="continue"/>
            <w:noWrap w:val="0"/>
            <w:vAlign w:val="center"/>
          </w:tcPr>
          <w:p w14:paraId="72640B36">
            <w:pPr>
              <w:pStyle w:val="6"/>
              <w:jc w:val="center"/>
              <w:rPr>
                <w:rFonts w:hAnsi="宋体"/>
                <w:color w:val="auto"/>
                <w:sz w:val="24"/>
                <w:szCs w:val="24"/>
                <w:highlight w:val="none"/>
              </w:rPr>
            </w:pPr>
          </w:p>
        </w:tc>
        <w:tc>
          <w:tcPr>
            <w:tcW w:w="793" w:type="dxa"/>
            <w:vMerge w:val="continue"/>
            <w:noWrap w:val="0"/>
            <w:vAlign w:val="center"/>
          </w:tcPr>
          <w:p w14:paraId="32FA11A4">
            <w:pPr>
              <w:tabs>
                <w:tab w:val="left" w:pos="3060"/>
              </w:tabs>
              <w:rPr>
                <w:rFonts w:ascii="宋体" w:hAnsi="宋体"/>
                <w:color w:val="auto"/>
                <w:sz w:val="24"/>
                <w:szCs w:val="24"/>
                <w:highlight w:val="none"/>
              </w:rPr>
            </w:pPr>
          </w:p>
        </w:tc>
        <w:tc>
          <w:tcPr>
            <w:tcW w:w="992" w:type="dxa"/>
            <w:vMerge w:val="continue"/>
            <w:noWrap w:val="0"/>
            <w:vAlign w:val="center"/>
          </w:tcPr>
          <w:p w14:paraId="6E35FB1D">
            <w:pPr>
              <w:tabs>
                <w:tab w:val="left" w:pos="3060"/>
              </w:tabs>
              <w:rPr>
                <w:rFonts w:ascii="宋体" w:hAnsi="宋体"/>
                <w:color w:val="auto"/>
                <w:sz w:val="24"/>
                <w:szCs w:val="24"/>
                <w:highlight w:val="none"/>
              </w:rPr>
            </w:pPr>
          </w:p>
        </w:tc>
        <w:tc>
          <w:tcPr>
            <w:tcW w:w="1034" w:type="dxa"/>
            <w:noWrap w:val="0"/>
            <w:vAlign w:val="center"/>
          </w:tcPr>
          <w:p w14:paraId="1BEEFB3C">
            <w:pPr>
              <w:tabs>
                <w:tab w:val="left" w:pos="3060"/>
              </w:tabs>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服务</w:t>
            </w:r>
          </w:p>
          <w:p w14:paraId="37BD4BE2">
            <w:pPr>
              <w:tabs>
                <w:tab w:val="left" w:pos="3060"/>
              </w:tabs>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承诺</w:t>
            </w:r>
          </w:p>
        </w:tc>
        <w:tc>
          <w:tcPr>
            <w:tcW w:w="1378" w:type="dxa"/>
            <w:noWrap w:val="0"/>
            <w:vAlign w:val="center"/>
          </w:tcPr>
          <w:p w14:paraId="7867D562">
            <w:pPr>
              <w:tabs>
                <w:tab w:val="left" w:pos="3060"/>
              </w:tabs>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分</w:t>
            </w:r>
          </w:p>
        </w:tc>
        <w:tc>
          <w:tcPr>
            <w:tcW w:w="4385" w:type="dxa"/>
            <w:noWrap w:val="0"/>
            <w:vAlign w:val="center"/>
          </w:tcPr>
          <w:p w14:paraId="79F07294">
            <w:pPr>
              <w:tabs>
                <w:tab w:val="left" w:pos="3060"/>
              </w:tabs>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承诺内容科学合理，详尽可行性强</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思路清晰、 内容具体、有针对性</w:t>
            </w:r>
            <w:r>
              <w:rPr>
                <w:rFonts w:hint="eastAsia" w:ascii="宋体" w:hAnsi="宋体" w:eastAsia="宋体" w:cs="Times New Roman"/>
                <w:color w:val="auto"/>
                <w:sz w:val="24"/>
                <w:szCs w:val="24"/>
                <w:highlight w:val="none"/>
                <w:lang w:val="en-US" w:eastAsia="zh-CN"/>
              </w:rPr>
              <w:t>得</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rPr>
              <w:t>分）；</w:t>
            </w:r>
          </w:p>
          <w:p w14:paraId="0593EC65">
            <w:pPr>
              <w:tabs>
                <w:tab w:val="left" w:pos="3060"/>
              </w:tabs>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承诺内容符合招标项目需要，较合理可行</w:t>
            </w:r>
            <w:r>
              <w:rPr>
                <w:rFonts w:hint="eastAsia" w:ascii="宋体" w:hAnsi="宋体" w:eastAsia="宋体" w:cs="Times New Roman"/>
                <w:color w:val="auto"/>
                <w:sz w:val="24"/>
                <w:szCs w:val="24"/>
                <w:highlight w:val="none"/>
                <w:lang w:val="en-US" w:eastAsia="zh-CN"/>
              </w:rPr>
              <w:t>服务内容</w:t>
            </w:r>
            <w:r>
              <w:rPr>
                <w:rFonts w:hint="eastAsia" w:ascii="宋体" w:hAnsi="宋体" w:eastAsia="宋体" w:cs="Times New Roman"/>
                <w:color w:val="auto"/>
                <w:sz w:val="24"/>
                <w:szCs w:val="24"/>
                <w:highlight w:val="none"/>
              </w:rPr>
              <w:t>过于简略或缺项</w:t>
            </w:r>
            <w:r>
              <w:rPr>
                <w:rFonts w:hint="eastAsia" w:ascii="宋体" w:hAnsi="宋体" w:eastAsia="宋体" w:cs="Times New Roman"/>
                <w:color w:val="auto"/>
                <w:sz w:val="24"/>
                <w:szCs w:val="24"/>
                <w:highlight w:val="none"/>
                <w:lang w:val="en-US" w:eastAsia="zh-CN"/>
              </w:rPr>
              <w:t>得</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分）；</w:t>
            </w:r>
          </w:p>
          <w:p w14:paraId="141C94CA">
            <w:pPr>
              <w:tabs>
                <w:tab w:val="left" w:pos="3060"/>
              </w:tabs>
              <w:rPr>
                <w:rFonts w:ascii="宋体" w:hAnsi="宋体"/>
                <w:color w:val="auto"/>
                <w:sz w:val="24"/>
                <w:szCs w:val="24"/>
                <w:highlight w:val="none"/>
              </w:rPr>
            </w:pPr>
            <w:r>
              <w:rPr>
                <w:rFonts w:hint="eastAsia" w:ascii="宋体" w:hAnsi="宋体" w:eastAsia="宋体" w:cs="Times New Roman"/>
                <w:color w:val="auto"/>
                <w:sz w:val="24"/>
                <w:szCs w:val="24"/>
                <w:highlight w:val="none"/>
              </w:rPr>
              <w:t>承诺内容一般、</w:t>
            </w:r>
            <w:r>
              <w:rPr>
                <w:rFonts w:hint="eastAsia" w:ascii="宋体" w:hAnsi="宋体" w:eastAsia="宋体" w:cs="Times New Roman"/>
                <w:color w:val="auto"/>
                <w:sz w:val="24"/>
                <w:szCs w:val="24"/>
                <w:highlight w:val="none"/>
                <w:lang w:val="en-US" w:eastAsia="zh-CN"/>
              </w:rPr>
              <w:t>内容</w:t>
            </w:r>
            <w:r>
              <w:rPr>
                <w:rFonts w:hint="eastAsia" w:ascii="宋体" w:hAnsi="宋体" w:eastAsia="宋体" w:cs="Times New Roman"/>
                <w:color w:val="auto"/>
                <w:sz w:val="24"/>
                <w:szCs w:val="24"/>
                <w:highlight w:val="none"/>
              </w:rPr>
              <w:t>不具体</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内容欠针对性的</w:t>
            </w:r>
            <w:r>
              <w:rPr>
                <w:rFonts w:hint="eastAsia" w:ascii="宋体" w:hAnsi="宋体" w:eastAsia="宋体" w:cs="Times New Roman"/>
                <w:color w:val="auto"/>
                <w:sz w:val="24"/>
                <w:szCs w:val="24"/>
                <w:highlight w:val="none"/>
                <w:lang w:val="en-US" w:eastAsia="zh-CN"/>
              </w:rPr>
              <w:t>得</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分）。</w:t>
            </w:r>
          </w:p>
        </w:tc>
      </w:tr>
      <w:tr w14:paraId="3521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45" w:type="dxa"/>
            <w:vMerge w:val="restart"/>
            <w:noWrap w:val="0"/>
            <w:vAlign w:val="center"/>
          </w:tcPr>
          <w:p w14:paraId="67674E56">
            <w:pPr>
              <w:pStyle w:val="6"/>
              <w:jc w:val="center"/>
              <w:rPr>
                <w:rFonts w:hAnsi="宋体"/>
                <w:color w:val="auto"/>
                <w:sz w:val="24"/>
                <w:szCs w:val="24"/>
                <w:highlight w:val="none"/>
              </w:rPr>
            </w:pPr>
            <w:r>
              <w:rPr>
                <w:rFonts w:hAnsi="宋体"/>
                <w:snapToGrid w:val="0"/>
                <w:color w:val="auto"/>
                <w:sz w:val="24"/>
                <w:szCs w:val="24"/>
                <w:highlight w:val="none"/>
              </w:rPr>
              <w:t>2.2.4（2）</w:t>
            </w:r>
          </w:p>
        </w:tc>
        <w:tc>
          <w:tcPr>
            <w:tcW w:w="793" w:type="dxa"/>
            <w:vMerge w:val="restart"/>
            <w:noWrap w:val="0"/>
            <w:vAlign w:val="center"/>
          </w:tcPr>
          <w:p w14:paraId="16820134">
            <w:pPr>
              <w:pStyle w:val="6"/>
              <w:adjustRightInd w:val="0"/>
              <w:snapToGrid w:val="0"/>
              <w:textAlignment w:val="baseline"/>
              <w:rPr>
                <w:rFonts w:hAnsi="宋体"/>
                <w:color w:val="auto"/>
                <w:sz w:val="24"/>
                <w:szCs w:val="24"/>
                <w:highlight w:val="none"/>
              </w:rPr>
            </w:pPr>
            <w:r>
              <w:rPr>
                <w:rFonts w:hAnsi="宋体"/>
                <w:snapToGrid w:val="0"/>
                <w:color w:val="auto"/>
                <w:sz w:val="24"/>
                <w:szCs w:val="24"/>
                <w:highlight w:val="none"/>
              </w:rPr>
              <w:t>主要人员</w:t>
            </w:r>
          </w:p>
        </w:tc>
        <w:tc>
          <w:tcPr>
            <w:tcW w:w="992" w:type="dxa"/>
            <w:vMerge w:val="restart"/>
            <w:noWrap w:val="0"/>
            <w:vAlign w:val="center"/>
          </w:tcPr>
          <w:p w14:paraId="026D824B">
            <w:pPr>
              <w:tabs>
                <w:tab w:val="left" w:pos="3060"/>
              </w:tabs>
              <w:jc w:val="center"/>
              <w:rPr>
                <w:rFonts w:ascii="宋体" w:hAnsi="宋体"/>
                <w:color w:val="auto"/>
                <w:sz w:val="24"/>
                <w:szCs w:val="24"/>
                <w:highlight w:val="none"/>
              </w:rPr>
            </w:pPr>
            <w:r>
              <w:rPr>
                <w:rFonts w:hint="eastAsia" w:ascii="宋体" w:hAnsi="宋体"/>
                <w:snapToGrid w:val="0"/>
                <w:color w:val="auto"/>
                <w:kern w:val="0"/>
                <w:sz w:val="24"/>
                <w:szCs w:val="24"/>
                <w:highlight w:val="none"/>
                <w:lang w:val="en-US" w:eastAsia="zh-CN"/>
              </w:rPr>
              <w:t>15</w:t>
            </w:r>
            <w:r>
              <w:rPr>
                <w:rFonts w:ascii="宋体" w:hAnsi="宋体"/>
                <w:snapToGrid w:val="0"/>
                <w:color w:val="auto"/>
                <w:kern w:val="0"/>
                <w:sz w:val="24"/>
                <w:szCs w:val="24"/>
                <w:highlight w:val="none"/>
              </w:rPr>
              <w:t>分</w:t>
            </w:r>
          </w:p>
        </w:tc>
        <w:tc>
          <w:tcPr>
            <w:tcW w:w="1034" w:type="dxa"/>
            <w:vMerge w:val="restart"/>
            <w:noWrap w:val="0"/>
            <w:vAlign w:val="center"/>
          </w:tcPr>
          <w:p w14:paraId="0CF306DF">
            <w:pPr>
              <w:tabs>
                <w:tab w:val="left" w:pos="3060"/>
              </w:tabs>
              <w:jc w:val="center"/>
              <w:rPr>
                <w:rFonts w:hint="eastAsia" w:ascii="宋体" w:hAnsi="宋体"/>
                <w:snapToGrid w:val="0"/>
                <w:color w:val="auto"/>
                <w:kern w:val="0"/>
                <w:sz w:val="24"/>
                <w:szCs w:val="24"/>
                <w:highlight w:val="none"/>
              </w:rPr>
            </w:pPr>
            <w:r>
              <w:rPr>
                <w:rFonts w:hint="eastAsia" w:ascii="宋体" w:hAnsi="宋体"/>
                <w:snapToGrid w:val="0"/>
                <w:color w:val="auto"/>
                <w:kern w:val="0"/>
                <w:sz w:val="24"/>
                <w:szCs w:val="24"/>
                <w:highlight w:val="none"/>
              </w:rPr>
              <w:t>项目</w:t>
            </w:r>
          </w:p>
          <w:p w14:paraId="2F12EBC1">
            <w:pPr>
              <w:tabs>
                <w:tab w:val="left" w:pos="3060"/>
              </w:tabs>
              <w:jc w:val="center"/>
              <w:rPr>
                <w:rFonts w:ascii="宋体" w:hAnsi="宋体"/>
                <w:color w:val="auto"/>
                <w:sz w:val="24"/>
                <w:szCs w:val="24"/>
                <w:highlight w:val="none"/>
              </w:rPr>
            </w:pPr>
            <w:r>
              <w:rPr>
                <w:rFonts w:hint="eastAsia" w:ascii="宋体" w:hAnsi="宋体"/>
                <w:snapToGrid w:val="0"/>
                <w:color w:val="auto"/>
                <w:kern w:val="0"/>
                <w:sz w:val="24"/>
                <w:szCs w:val="24"/>
                <w:highlight w:val="none"/>
              </w:rPr>
              <w:t>负责人</w:t>
            </w:r>
          </w:p>
        </w:tc>
        <w:tc>
          <w:tcPr>
            <w:tcW w:w="1378" w:type="dxa"/>
            <w:noWrap w:val="0"/>
            <w:vAlign w:val="center"/>
          </w:tcPr>
          <w:p w14:paraId="1ACD996A">
            <w:pPr>
              <w:tabs>
                <w:tab w:val="left" w:pos="3060"/>
              </w:tabs>
              <w:jc w:val="center"/>
              <w:rPr>
                <w:rFonts w:ascii="宋体" w:hAnsi="宋体"/>
                <w:color w:val="auto"/>
                <w:sz w:val="24"/>
                <w:szCs w:val="24"/>
                <w:highlight w:val="none"/>
              </w:rPr>
            </w:pPr>
            <w:r>
              <w:rPr>
                <w:rFonts w:hint="eastAsia" w:ascii="宋体" w:hAnsi="宋体"/>
                <w:snapToGrid w:val="0"/>
                <w:color w:val="auto"/>
                <w:kern w:val="0"/>
                <w:sz w:val="24"/>
                <w:szCs w:val="24"/>
                <w:highlight w:val="none"/>
                <w:lang w:val="en-US" w:eastAsia="zh-CN"/>
              </w:rPr>
              <w:t>9</w:t>
            </w:r>
            <w:r>
              <w:rPr>
                <w:rFonts w:ascii="宋体" w:hAnsi="宋体"/>
                <w:snapToGrid w:val="0"/>
                <w:color w:val="auto"/>
                <w:kern w:val="0"/>
                <w:sz w:val="24"/>
                <w:szCs w:val="24"/>
                <w:highlight w:val="none"/>
              </w:rPr>
              <w:t>分</w:t>
            </w:r>
          </w:p>
        </w:tc>
        <w:tc>
          <w:tcPr>
            <w:tcW w:w="4385" w:type="dxa"/>
            <w:noWrap w:val="0"/>
            <w:vAlign w:val="center"/>
          </w:tcPr>
          <w:p w14:paraId="2C4076BF">
            <w:pPr>
              <w:tabs>
                <w:tab w:val="left" w:pos="3060"/>
              </w:tabs>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满足附录4资格审查条件（项目负责人最低要求）得</w:t>
            </w: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color w:val="auto"/>
                <w:sz w:val="24"/>
                <w:szCs w:val="24"/>
                <w:highlight w:val="none"/>
              </w:rPr>
              <w:t>分</w:t>
            </w:r>
          </w:p>
        </w:tc>
      </w:tr>
      <w:tr w14:paraId="67B1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45" w:type="dxa"/>
            <w:vMerge w:val="continue"/>
            <w:noWrap w:val="0"/>
            <w:vAlign w:val="center"/>
          </w:tcPr>
          <w:p w14:paraId="72765ACA">
            <w:pPr>
              <w:pStyle w:val="6"/>
              <w:jc w:val="center"/>
              <w:rPr>
                <w:rFonts w:hAnsi="宋体"/>
                <w:color w:val="auto"/>
                <w:sz w:val="24"/>
                <w:szCs w:val="24"/>
                <w:highlight w:val="none"/>
              </w:rPr>
            </w:pPr>
          </w:p>
        </w:tc>
        <w:tc>
          <w:tcPr>
            <w:tcW w:w="793" w:type="dxa"/>
            <w:vMerge w:val="continue"/>
            <w:noWrap w:val="0"/>
            <w:vAlign w:val="center"/>
          </w:tcPr>
          <w:p w14:paraId="2303945A">
            <w:pPr>
              <w:tabs>
                <w:tab w:val="left" w:pos="3060"/>
              </w:tabs>
              <w:rPr>
                <w:rFonts w:ascii="宋体" w:hAnsi="宋体"/>
                <w:color w:val="auto"/>
                <w:sz w:val="24"/>
                <w:szCs w:val="24"/>
                <w:highlight w:val="none"/>
              </w:rPr>
            </w:pPr>
          </w:p>
        </w:tc>
        <w:tc>
          <w:tcPr>
            <w:tcW w:w="992" w:type="dxa"/>
            <w:vMerge w:val="continue"/>
            <w:noWrap w:val="0"/>
            <w:vAlign w:val="center"/>
          </w:tcPr>
          <w:p w14:paraId="469638D8">
            <w:pPr>
              <w:tabs>
                <w:tab w:val="left" w:pos="3060"/>
              </w:tabs>
              <w:rPr>
                <w:rFonts w:ascii="宋体" w:hAnsi="宋体"/>
                <w:color w:val="auto"/>
                <w:sz w:val="24"/>
                <w:szCs w:val="24"/>
                <w:highlight w:val="none"/>
              </w:rPr>
            </w:pPr>
          </w:p>
        </w:tc>
        <w:tc>
          <w:tcPr>
            <w:tcW w:w="1034" w:type="dxa"/>
            <w:vMerge w:val="continue"/>
            <w:noWrap w:val="0"/>
            <w:vAlign w:val="center"/>
          </w:tcPr>
          <w:p w14:paraId="22897428">
            <w:pPr>
              <w:tabs>
                <w:tab w:val="left" w:pos="3060"/>
              </w:tabs>
              <w:jc w:val="center"/>
              <w:rPr>
                <w:rFonts w:ascii="宋体" w:hAnsi="宋体"/>
                <w:color w:val="auto"/>
                <w:sz w:val="24"/>
                <w:szCs w:val="24"/>
                <w:highlight w:val="none"/>
              </w:rPr>
            </w:pPr>
          </w:p>
        </w:tc>
        <w:tc>
          <w:tcPr>
            <w:tcW w:w="1378" w:type="dxa"/>
            <w:noWrap w:val="0"/>
            <w:vAlign w:val="center"/>
          </w:tcPr>
          <w:p w14:paraId="5615DAEE">
            <w:pPr>
              <w:tabs>
                <w:tab w:val="left" w:pos="3060"/>
              </w:tabs>
              <w:jc w:val="center"/>
              <w:rPr>
                <w:rFonts w:ascii="宋体" w:hAnsi="宋体"/>
                <w:color w:val="auto"/>
                <w:sz w:val="24"/>
                <w:szCs w:val="24"/>
                <w:highlight w:val="none"/>
              </w:rPr>
            </w:pPr>
            <w:r>
              <w:rPr>
                <w:rFonts w:hint="eastAsia" w:ascii="宋体" w:hAnsi="宋体"/>
                <w:snapToGrid w:val="0"/>
                <w:color w:val="auto"/>
                <w:kern w:val="0"/>
                <w:sz w:val="24"/>
                <w:szCs w:val="24"/>
                <w:highlight w:val="none"/>
                <w:lang w:val="en-US" w:eastAsia="zh-CN"/>
              </w:rPr>
              <w:t>6</w:t>
            </w:r>
            <w:r>
              <w:rPr>
                <w:rFonts w:ascii="宋体" w:hAnsi="宋体"/>
                <w:snapToGrid w:val="0"/>
                <w:color w:val="auto"/>
                <w:kern w:val="0"/>
                <w:sz w:val="24"/>
                <w:szCs w:val="24"/>
                <w:highlight w:val="none"/>
              </w:rPr>
              <w:t>分</w:t>
            </w:r>
          </w:p>
        </w:tc>
        <w:tc>
          <w:tcPr>
            <w:tcW w:w="4385" w:type="dxa"/>
            <w:noWrap w:val="0"/>
            <w:vAlign w:val="center"/>
          </w:tcPr>
          <w:p w14:paraId="4B3CD70A">
            <w:pPr>
              <w:tabs>
                <w:tab w:val="left" w:pos="3060"/>
              </w:tabs>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每增加1项</w:t>
            </w:r>
            <w:r>
              <w:rPr>
                <w:rFonts w:hint="eastAsia" w:ascii="宋体" w:hAnsi="宋体" w:eastAsia="宋体" w:cs="Times New Roman"/>
                <w:color w:val="auto"/>
                <w:sz w:val="24"/>
                <w:szCs w:val="24"/>
                <w:highlight w:val="none"/>
                <w:lang w:val="en-US" w:eastAsia="zh-CN"/>
              </w:rPr>
              <w:t>满足资格审查条件附录4（项目负责人最低要求）业绩</w:t>
            </w:r>
            <w:r>
              <w:rPr>
                <w:rFonts w:hint="eastAsia" w:ascii="宋体" w:hAnsi="宋体" w:eastAsia="宋体" w:cs="Times New Roman"/>
                <w:color w:val="auto"/>
                <w:sz w:val="24"/>
                <w:szCs w:val="24"/>
                <w:highlight w:val="none"/>
              </w:rPr>
              <w:t>的加</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分，本项总计可得</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rPr>
              <w:t>分。</w:t>
            </w:r>
          </w:p>
        </w:tc>
      </w:tr>
      <w:tr w14:paraId="0350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45" w:type="dxa"/>
            <w:vMerge w:val="restart"/>
            <w:noWrap w:val="0"/>
            <w:vAlign w:val="center"/>
          </w:tcPr>
          <w:p w14:paraId="3E06BDFB">
            <w:pPr>
              <w:pStyle w:val="6"/>
              <w:jc w:val="center"/>
              <w:rPr>
                <w:rFonts w:hAnsi="宋体"/>
                <w:color w:val="auto"/>
                <w:sz w:val="24"/>
                <w:szCs w:val="24"/>
                <w:highlight w:val="none"/>
              </w:rPr>
            </w:pPr>
            <w:r>
              <w:rPr>
                <w:rFonts w:hAnsi="宋体"/>
                <w:color w:val="auto"/>
                <w:sz w:val="24"/>
                <w:szCs w:val="24"/>
                <w:highlight w:val="none"/>
              </w:rPr>
              <w:t>2.2.4（4）</w:t>
            </w:r>
          </w:p>
        </w:tc>
        <w:tc>
          <w:tcPr>
            <w:tcW w:w="793" w:type="dxa"/>
            <w:vMerge w:val="restart"/>
            <w:noWrap w:val="0"/>
            <w:vAlign w:val="center"/>
          </w:tcPr>
          <w:p w14:paraId="6814D8F0">
            <w:pPr>
              <w:pStyle w:val="6"/>
              <w:jc w:val="center"/>
              <w:rPr>
                <w:rFonts w:hAnsi="宋体"/>
                <w:color w:val="auto"/>
                <w:sz w:val="24"/>
                <w:szCs w:val="24"/>
                <w:highlight w:val="none"/>
              </w:rPr>
            </w:pPr>
          </w:p>
          <w:p w14:paraId="33BA97F7">
            <w:pPr>
              <w:pStyle w:val="6"/>
              <w:jc w:val="center"/>
              <w:rPr>
                <w:rFonts w:hAnsi="宋体"/>
                <w:color w:val="auto"/>
                <w:sz w:val="24"/>
                <w:szCs w:val="24"/>
                <w:highlight w:val="none"/>
              </w:rPr>
            </w:pPr>
            <w:r>
              <w:rPr>
                <w:rFonts w:hAnsi="宋体"/>
                <w:color w:val="auto"/>
                <w:sz w:val="24"/>
                <w:szCs w:val="24"/>
                <w:highlight w:val="none"/>
              </w:rPr>
              <w:t>其他因素</w:t>
            </w:r>
          </w:p>
        </w:tc>
        <w:tc>
          <w:tcPr>
            <w:tcW w:w="992" w:type="dxa"/>
            <w:vMerge w:val="restart"/>
            <w:tcBorders>
              <w:top w:val="single" w:color="auto" w:sz="4" w:space="0"/>
            </w:tcBorders>
            <w:noWrap w:val="0"/>
            <w:vAlign w:val="center"/>
          </w:tcPr>
          <w:p w14:paraId="05B8EE49">
            <w:pPr>
              <w:pStyle w:val="6"/>
              <w:jc w:val="center"/>
              <w:rPr>
                <w:rFonts w:hAnsi="宋体"/>
                <w:color w:val="auto"/>
                <w:sz w:val="24"/>
                <w:szCs w:val="24"/>
                <w:highlight w:val="none"/>
              </w:rPr>
            </w:pPr>
            <w:r>
              <w:rPr>
                <w:rFonts w:hint="eastAsia" w:hAnsi="宋体"/>
                <w:color w:val="auto"/>
                <w:sz w:val="24"/>
                <w:szCs w:val="24"/>
                <w:highlight w:val="none"/>
                <w:lang w:val="en-US" w:eastAsia="zh-CN"/>
              </w:rPr>
              <w:t>15</w:t>
            </w:r>
            <w:r>
              <w:rPr>
                <w:rFonts w:hAnsi="宋体"/>
                <w:color w:val="auto"/>
                <w:sz w:val="24"/>
                <w:szCs w:val="24"/>
                <w:highlight w:val="none"/>
              </w:rPr>
              <w:t>分</w:t>
            </w:r>
          </w:p>
        </w:tc>
        <w:tc>
          <w:tcPr>
            <w:tcW w:w="1034" w:type="dxa"/>
            <w:vMerge w:val="restart"/>
            <w:tcBorders>
              <w:top w:val="single" w:color="auto" w:sz="4" w:space="0"/>
            </w:tcBorders>
            <w:noWrap w:val="0"/>
            <w:vAlign w:val="center"/>
          </w:tcPr>
          <w:p w14:paraId="6CCB4741">
            <w:pPr>
              <w:pStyle w:val="6"/>
              <w:jc w:val="center"/>
              <w:rPr>
                <w:rFonts w:hint="eastAsia" w:hAnsi="宋体"/>
                <w:color w:val="auto"/>
                <w:sz w:val="24"/>
                <w:szCs w:val="24"/>
                <w:highlight w:val="none"/>
              </w:rPr>
            </w:pPr>
            <w:r>
              <w:rPr>
                <w:rFonts w:hint="eastAsia" w:hAnsi="宋体"/>
                <w:color w:val="auto"/>
                <w:sz w:val="24"/>
                <w:szCs w:val="24"/>
                <w:highlight w:val="none"/>
              </w:rPr>
              <w:t>企业</w:t>
            </w:r>
          </w:p>
          <w:p w14:paraId="7D66E931">
            <w:pPr>
              <w:pStyle w:val="6"/>
              <w:jc w:val="center"/>
              <w:rPr>
                <w:rFonts w:hAnsi="宋体"/>
                <w:color w:val="auto"/>
                <w:sz w:val="24"/>
                <w:szCs w:val="24"/>
                <w:highlight w:val="none"/>
              </w:rPr>
            </w:pPr>
            <w:r>
              <w:rPr>
                <w:rFonts w:hAnsi="宋体"/>
                <w:color w:val="auto"/>
                <w:sz w:val="24"/>
                <w:szCs w:val="24"/>
                <w:highlight w:val="none"/>
              </w:rPr>
              <w:t>业绩</w:t>
            </w:r>
          </w:p>
        </w:tc>
        <w:tc>
          <w:tcPr>
            <w:tcW w:w="1378" w:type="dxa"/>
            <w:tcBorders>
              <w:top w:val="single" w:color="auto" w:sz="4" w:space="0"/>
            </w:tcBorders>
            <w:noWrap w:val="0"/>
            <w:vAlign w:val="center"/>
          </w:tcPr>
          <w:p w14:paraId="4863E3F7">
            <w:pPr>
              <w:jc w:val="center"/>
              <w:rPr>
                <w:rFonts w:ascii="宋体" w:hAnsi="宋体"/>
                <w:color w:val="auto"/>
                <w:sz w:val="24"/>
                <w:szCs w:val="24"/>
                <w:highlight w:val="none"/>
              </w:rPr>
            </w:pPr>
            <w:r>
              <w:rPr>
                <w:rFonts w:hint="eastAsia" w:ascii="宋体" w:hAnsi="宋体"/>
                <w:color w:val="auto"/>
                <w:sz w:val="24"/>
                <w:szCs w:val="24"/>
                <w:highlight w:val="none"/>
                <w:lang w:val="en-US" w:eastAsia="zh-CN"/>
              </w:rPr>
              <w:t>9</w:t>
            </w:r>
            <w:r>
              <w:rPr>
                <w:rFonts w:ascii="宋体" w:hAnsi="宋体"/>
                <w:color w:val="auto"/>
                <w:sz w:val="24"/>
                <w:szCs w:val="24"/>
                <w:highlight w:val="none"/>
              </w:rPr>
              <w:t>分</w:t>
            </w:r>
          </w:p>
        </w:tc>
        <w:tc>
          <w:tcPr>
            <w:tcW w:w="4385" w:type="dxa"/>
            <w:tcBorders>
              <w:top w:val="single" w:color="auto" w:sz="4" w:space="0"/>
              <w:bottom w:val="single" w:color="auto" w:sz="4" w:space="0"/>
            </w:tcBorders>
            <w:noWrap w:val="0"/>
            <w:vAlign w:val="center"/>
          </w:tcPr>
          <w:p w14:paraId="7E7DCD16">
            <w:pPr>
              <w:tabs>
                <w:tab w:val="left" w:pos="3060"/>
              </w:tabs>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snapToGrid/>
                <w:color w:val="auto"/>
                <w:kern w:val="2"/>
                <w:sz w:val="24"/>
                <w:szCs w:val="24"/>
                <w:highlight w:val="none"/>
              </w:rPr>
              <w:t>满足附录2资格审查条件(业绩最低要求）得</w:t>
            </w: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snapToGrid/>
                <w:color w:val="auto"/>
                <w:kern w:val="2"/>
                <w:sz w:val="24"/>
                <w:szCs w:val="24"/>
                <w:highlight w:val="none"/>
              </w:rPr>
              <w:t>分</w:t>
            </w:r>
            <w:r>
              <w:rPr>
                <w:rFonts w:hint="eastAsia" w:ascii="宋体" w:hAnsi="宋体" w:eastAsia="宋体" w:cs="Times New Roman"/>
                <w:snapToGrid/>
                <w:color w:val="auto"/>
                <w:kern w:val="2"/>
                <w:sz w:val="24"/>
                <w:szCs w:val="24"/>
                <w:highlight w:val="none"/>
                <w:lang w:val="en-US" w:eastAsia="zh-CN"/>
              </w:rPr>
              <w:t>。</w:t>
            </w:r>
          </w:p>
        </w:tc>
      </w:tr>
      <w:tr w14:paraId="73A8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5" w:type="dxa"/>
            <w:vMerge w:val="continue"/>
            <w:noWrap w:val="0"/>
            <w:vAlign w:val="center"/>
          </w:tcPr>
          <w:p w14:paraId="6D4B69CF">
            <w:pPr>
              <w:pStyle w:val="6"/>
              <w:jc w:val="center"/>
              <w:rPr>
                <w:rFonts w:hAnsi="宋体"/>
                <w:color w:val="auto"/>
                <w:sz w:val="24"/>
                <w:szCs w:val="24"/>
                <w:highlight w:val="none"/>
              </w:rPr>
            </w:pPr>
          </w:p>
        </w:tc>
        <w:tc>
          <w:tcPr>
            <w:tcW w:w="793" w:type="dxa"/>
            <w:vMerge w:val="continue"/>
            <w:noWrap w:val="0"/>
            <w:vAlign w:val="center"/>
          </w:tcPr>
          <w:p w14:paraId="4E4FEB57">
            <w:pPr>
              <w:pStyle w:val="6"/>
              <w:jc w:val="center"/>
              <w:rPr>
                <w:rFonts w:hAnsi="宋体"/>
                <w:color w:val="auto"/>
                <w:sz w:val="24"/>
                <w:szCs w:val="24"/>
                <w:highlight w:val="none"/>
              </w:rPr>
            </w:pPr>
          </w:p>
        </w:tc>
        <w:tc>
          <w:tcPr>
            <w:tcW w:w="992" w:type="dxa"/>
            <w:vMerge w:val="continue"/>
            <w:noWrap w:val="0"/>
            <w:vAlign w:val="center"/>
          </w:tcPr>
          <w:p w14:paraId="4CEA04CF">
            <w:pPr>
              <w:pStyle w:val="6"/>
              <w:jc w:val="center"/>
              <w:rPr>
                <w:rFonts w:hAnsi="宋体"/>
                <w:color w:val="auto"/>
                <w:sz w:val="24"/>
                <w:szCs w:val="24"/>
                <w:highlight w:val="none"/>
              </w:rPr>
            </w:pPr>
          </w:p>
        </w:tc>
        <w:tc>
          <w:tcPr>
            <w:tcW w:w="1034" w:type="dxa"/>
            <w:vMerge w:val="continue"/>
            <w:noWrap w:val="0"/>
            <w:vAlign w:val="center"/>
          </w:tcPr>
          <w:p w14:paraId="2BA22348">
            <w:pPr>
              <w:pStyle w:val="6"/>
              <w:jc w:val="center"/>
              <w:rPr>
                <w:rFonts w:hAnsi="宋体"/>
                <w:color w:val="auto"/>
                <w:sz w:val="24"/>
                <w:szCs w:val="24"/>
                <w:highlight w:val="none"/>
              </w:rPr>
            </w:pPr>
          </w:p>
        </w:tc>
        <w:tc>
          <w:tcPr>
            <w:tcW w:w="1378" w:type="dxa"/>
            <w:noWrap w:val="0"/>
            <w:vAlign w:val="center"/>
          </w:tcPr>
          <w:p w14:paraId="44979305">
            <w:pPr>
              <w:jc w:val="center"/>
              <w:rPr>
                <w:rFonts w:ascii="宋体" w:hAnsi="宋体"/>
                <w:color w:val="auto"/>
                <w:sz w:val="24"/>
                <w:szCs w:val="24"/>
                <w:highlight w:val="none"/>
              </w:rPr>
            </w:pPr>
            <w:r>
              <w:rPr>
                <w:rFonts w:hint="eastAsia" w:ascii="宋体" w:hAnsi="宋体"/>
                <w:color w:val="auto"/>
                <w:sz w:val="24"/>
                <w:szCs w:val="24"/>
                <w:highlight w:val="none"/>
                <w:lang w:val="en-US" w:eastAsia="zh-CN"/>
              </w:rPr>
              <w:t>6</w:t>
            </w:r>
            <w:r>
              <w:rPr>
                <w:rFonts w:ascii="宋体" w:hAnsi="宋体"/>
                <w:color w:val="auto"/>
                <w:sz w:val="24"/>
                <w:szCs w:val="24"/>
                <w:highlight w:val="none"/>
              </w:rPr>
              <w:t>分</w:t>
            </w:r>
          </w:p>
        </w:tc>
        <w:tc>
          <w:tcPr>
            <w:tcW w:w="4385" w:type="dxa"/>
            <w:tcBorders>
              <w:top w:val="single" w:color="auto" w:sz="4" w:space="0"/>
              <w:bottom w:val="single" w:color="auto" w:sz="4" w:space="0"/>
            </w:tcBorders>
            <w:noWrap w:val="0"/>
            <w:vAlign w:val="center"/>
          </w:tcPr>
          <w:p w14:paraId="25D1DD42">
            <w:pPr>
              <w:tabs>
                <w:tab w:val="left" w:pos="3060"/>
              </w:tabs>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每增加1项</w:t>
            </w:r>
            <w:r>
              <w:rPr>
                <w:rFonts w:hint="eastAsia" w:ascii="宋体" w:hAnsi="宋体" w:eastAsia="宋体" w:cs="Times New Roman"/>
                <w:color w:val="auto"/>
                <w:sz w:val="24"/>
                <w:szCs w:val="24"/>
                <w:highlight w:val="none"/>
                <w:lang w:val="en-US" w:eastAsia="zh-CN"/>
              </w:rPr>
              <w:t>满足</w:t>
            </w:r>
            <w:r>
              <w:rPr>
                <w:rFonts w:hint="eastAsia" w:ascii="宋体" w:hAnsi="宋体" w:eastAsia="宋体" w:cs="Times New Roman"/>
                <w:snapToGrid/>
                <w:color w:val="auto"/>
                <w:kern w:val="2"/>
                <w:sz w:val="24"/>
                <w:szCs w:val="24"/>
                <w:highlight w:val="none"/>
              </w:rPr>
              <w:t>附录2资格审查条件(业绩最低要求）</w:t>
            </w:r>
            <w:r>
              <w:rPr>
                <w:rFonts w:hint="eastAsia" w:ascii="宋体" w:hAnsi="宋体" w:eastAsia="宋体" w:cs="Times New Roman"/>
                <w:color w:val="auto"/>
                <w:sz w:val="24"/>
                <w:szCs w:val="24"/>
                <w:highlight w:val="none"/>
              </w:rPr>
              <w:t>业绩的加</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分，本项总计可得</w:t>
            </w:r>
            <w:r>
              <w:rPr>
                <w:rFonts w:hint="eastAsia" w:ascii="宋体" w:hAnsi="宋体" w:eastAsia="宋体" w:cs="Times New Roman"/>
                <w:color w:val="auto"/>
                <w:sz w:val="24"/>
                <w:szCs w:val="24"/>
                <w:highlight w:val="none"/>
                <w:lang w:val="en-US" w:eastAsia="zh-CN"/>
              </w:rPr>
              <w:t>6</w:t>
            </w:r>
            <w:r>
              <w:rPr>
                <w:rFonts w:hint="eastAsia" w:ascii="宋体" w:hAnsi="宋体" w:eastAsia="宋体" w:cs="Times New Roman"/>
                <w:color w:val="auto"/>
                <w:sz w:val="24"/>
                <w:szCs w:val="24"/>
                <w:highlight w:val="none"/>
              </w:rPr>
              <w:t>分。</w:t>
            </w:r>
          </w:p>
        </w:tc>
      </w:tr>
      <w:tr w14:paraId="4711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1045" w:type="dxa"/>
            <w:noWrap w:val="0"/>
            <w:vAlign w:val="center"/>
          </w:tcPr>
          <w:p w14:paraId="455EB89F">
            <w:pPr>
              <w:pStyle w:val="6"/>
              <w:jc w:val="center"/>
              <w:rPr>
                <w:rFonts w:ascii="宋体" w:hAnsi="宋体"/>
                <w:color w:val="auto"/>
                <w:kern w:val="0"/>
                <w:sz w:val="24"/>
                <w:szCs w:val="24"/>
                <w:highlight w:val="none"/>
                <w:lang w:val="en-US" w:eastAsia="zh-CN" w:bidi="ar-SA"/>
              </w:rPr>
            </w:pPr>
            <w:r>
              <w:rPr>
                <w:rFonts w:hAnsi="宋体"/>
                <w:color w:val="auto"/>
                <w:sz w:val="24"/>
                <w:szCs w:val="24"/>
                <w:highlight w:val="none"/>
              </w:rPr>
              <w:t>2.2.4（3）</w:t>
            </w:r>
          </w:p>
        </w:tc>
        <w:tc>
          <w:tcPr>
            <w:tcW w:w="793" w:type="dxa"/>
            <w:noWrap w:val="0"/>
            <w:vAlign w:val="center"/>
          </w:tcPr>
          <w:p w14:paraId="2835E30B">
            <w:pPr>
              <w:pStyle w:val="6"/>
              <w:jc w:val="center"/>
              <w:rPr>
                <w:rFonts w:ascii="宋体" w:hAnsi="宋体"/>
                <w:color w:val="auto"/>
                <w:kern w:val="0"/>
                <w:sz w:val="24"/>
                <w:szCs w:val="24"/>
                <w:highlight w:val="none"/>
                <w:lang w:val="en-US" w:eastAsia="zh-CN" w:bidi="ar-SA"/>
              </w:rPr>
            </w:pPr>
            <w:r>
              <w:rPr>
                <w:rFonts w:hAnsi="宋体"/>
                <w:color w:val="auto"/>
                <w:sz w:val="24"/>
                <w:szCs w:val="24"/>
                <w:highlight w:val="none"/>
              </w:rPr>
              <w:t>评标价</w:t>
            </w:r>
          </w:p>
        </w:tc>
        <w:tc>
          <w:tcPr>
            <w:tcW w:w="992" w:type="dxa"/>
            <w:noWrap w:val="0"/>
            <w:vAlign w:val="center"/>
          </w:tcPr>
          <w:p w14:paraId="1B8A7332">
            <w:pPr>
              <w:pStyle w:val="6"/>
              <w:jc w:val="center"/>
              <w:rPr>
                <w:rFonts w:ascii="宋体" w:hAnsi="宋体"/>
                <w:color w:val="auto"/>
                <w:kern w:val="0"/>
                <w:sz w:val="24"/>
                <w:szCs w:val="24"/>
                <w:highlight w:val="none"/>
                <w:lang w:val="en-US" w:eastAsia="zh-CN" w:bidi="ar-SA"/>
              </w:rPr>
            </w:pPr>
            <w:r>
              <w:rPr>
                <w:rFonts w:hint="eastAsia" w:hAnsi="宋体"/>
                <w:color w:val="auto"/>
                <w:sz w:val="24"/>
                <w:szCs w:val="24"/>
                <w:highlight w:val="none"/>
                <w:lang w:val="en-US" w:eastAsia="zh-CN"/>
              </w:rPr>
              <w:t>3</w:t>
            </w:r>
            <w:r>
              <w:rPr>
                <w:rFonts w:hint="eastAsia" w:hAnsi="宋体"/>
                <w:color w:val="auto"/>
                <w:sz w:val="24"/>
                <w:szCs w:val="24"/>
                <w:highlight w:val="none"/>
              </w:rPr>
              <w:t>0</w:t>
            </w:r>
            <w:r>
              <w:rPr>
                <w:rFonts w:hAnsi="宋体"/>
                <w:color w:val="auto"/>
                <w:sz w:val="24"/>
                <w:szCs w:val="24"/>
                <w:highlight w:val="none"/>
              </w:rPr>
              <w:t>分</w:t>
            </w:r>
          </w:p>
        </w:tc>
        <w:tc>
          <w:tcPr>
            <w:tcW w:w="6797" w:type="dxa"/>
            <w:gridSpan w:val="3"/>
            <w:noWrap w:val="0"/>
            <w:vAlign w:val="center"/>
          </w:tcPr>
          <w:p w14:paraId="79516807">
            <w:pPr>
              <w:rPr>
                <w:rFonts w:ascii="宋体" w:hAnsi="宋体"/>
                <w:color w:val="auto"/>
                <w:sz w:val="24"/>
                <w:szCs w:val="24"/>
                <w:highlight w:val="none"/>
              </w:rPr>
            </w:pPr>
            <w:r>
              <w:rPr>
                <w:rFonts w:ascii="宋体" w:hAnsi="宋体"/>
                <w:color w:val="auto"/>
                <w:sz w:val="24"/>
                <w:szCs w:val="24"/>
                <w:highlight w:val="none"/>
              </w:rPr>
              <w:t>评标价得分计算公式示例：</w:t>
            </w:r>
          </w:p>
          <w:p w14:paraId="0156B8FB">
            <w:pPr>
              <w:rPr>
                <w:rFonts w:ascii="宋体" w:hAnsi="宋体"/>
                <w:color w:val="auto"/>
                <w:sz w:val="24"/>
                <w:szCs w:val="24"/>
                <w:highlight w:val="none"/>
              </w:rPr>
            </w:pPr>
            <w:r>
              <w:rPr>
                <w:rFonts w:ascii="宋体" w:hAnsi="宋体"/>
                <w:color w:val="auto"/>
                <w:sz w:val="24"/>
                <w:szCs w:val="24"/>
                <w:highlight w:val="none"/>
              </w:rPr>
              <w:t>（1）如果投标人的评标价＞评标基准价，则评标价得分=F-（投标人评标价-评标基准价）/评标基准价×100×E1；</w:t>
            </w:r>
          </w:p>
          <w:p w14:paraId="3C7316F7">
            <w:pPr>
              <w:rPr>
                <w:rFonts w:ascii="宋体" w:hAnsi="宋体"/>
                <w:color w:val="auto"/>
                <w:sz w:val="24"/>
                <w:szCs w:val="24"/>
                <w:highlight w:val="none"/>
              </w:rPr>
            </w:pPr>
            <w:r>
              <w:rPr>
                <w:rFonts w:ascii="宋体" w:hAnsi="宋体"/>
                <w:color w:val="auto"/>
                <w:sz w:val="24"/>
                <w:szCs w:val="24"/>
                <w:highlight w:val="none"/>
              </w:rPr>
              <w:t>（2）如果投标人的评标价≤评标基准价，则评标价得分=F+(投标人评标价-评标基准价)/评标基准价×100×E2。</w:t>
            </w:r>
          </w:p>
          <w:p w14:paraId="6388D540">
            <w:pPr>
              <w:jc w:val="left"/>
              <w:rPr>
                <w:rFonts w:ascii="宋体" w:hAnsi="宋体"/>
                <w:color w:val="auto"/>
                <w:sz w:val="24"/>
                <w:szCs w:val="24"/>
                <w:highlight w:val="none"/>
              </w:rPr>
            </w:pPr>
            <w:r>
              <w:rPr>
                <w:rFonts w:ascii="宋体" w:hAnsi="宋体"/>
                <w:color w:val="auto"/>
                <w:sz w:val="24"/>
                <w:szCs w:val="24"/>
                <w:highlight w:val="none"/>
              </w:rPr>
              <w:t>其中，F=</w:t>
            </w:r>
            <w:r>
              <w:rPr>
                <w:rFonts w:hint="eastAsia" w:ascii="宋体" w:hAnsi="宋体"/>
                <w:color w:val="auto"/>
                <w:sz w:val="24"/>
                <w:szCs w:val="24"/>
                <w:highlight w:val="none"/>
                <w:lang w:val="en-US" w:eastAsia="zh-CN"/>
              </w:rPr>
              <w:t>3</w:t>
            </w:r>
            <w:r>
              <w:rPr>
                <w:rFonts w:ascii="宋体" w:hAnsi="宋体"/>
                <w:color w:val="auto"/>
                <w:sz w:val="24"/>
                <w:szCs w:val="24"/>
                <w:highlight w:val="none"/>
              </w:rPr>
              <w:t>0；E1=0.</w:t>
            </w:r>
            <w:r>
              <w:rPr>
                <w:rFonts w:hint="eastAsia" w:ascii="宋体" w:hAnsi="宋体"/>
                <w:color w:val="auto"/>
                <w:sz w:val="24"/>
                <w:szCs w:val="24"/>
                <w:highlight w:val="none"/>
                <w:lang w:val="en-US" w:eastAsia="zh-CN"/>
              </w:rPr>
              <w:t>4</w:t>
            </w:r>
            <w:r>
              <w:rPr>
                <w:rFonts w:ascii="宋体" w:hAnsi="宋体"/>
                <w:color w:val="auto"/>
                <w:sz w:val="24"/>
                <w:szCs w:val="24"/>
                <w:highlight w:val="none"/>
              </w:rPr>
              <w:t>；E2=0.</w:t>
            </w:r>
            <w:r>
              <w:rPr>
                <w:rFonts w:hint="eastAsia" w:ascii="宋体" w:hAnsi="宋体"/>
                <w:color w:val="auto"/>
                <w:sz w:val="24"/>
                <w:szCs w:val="24"/>
                <w:highlight w:val="none"/>
                <w:lang w:val="en-US" w:eastAsia="zh-CN"/>
              </w:rPr>
              <w:t>2</w:t>
            </w:r>
            <w:r>
              <w:rPr>
                <w:rFonts w:ascii="宋体" w:hAnsi="宋体"/>
                <w:color w:val="auto"/>
                <w:sz w:val="24"/>
                <w:szCs w:val="24"/>
                <w:highlight w:val="none"/>
              </w:rPr>
              <w:t>；评标价最低得分为0分。</w:t>
            </w:r>
          </w:p>
          <w:p w14:paraId="261DE518">
            <w:pPr>
              <w:keepNext w:val="0"/>
              <w:keepLines w:val="0"/>
              <w:widowControl/>
              <w:suppressLineNumbers w:val="0"/>
              <w:jc w:val="left"/>
              <w:rPr>
                <w:rFonts w:hint="eastAsia" w:ascii="宋体" w:hAnsi="宋体" w:eastAsia="宋体" w:cs="Times New Roman"/>
                <w:snapToGrid w:val="0"/>
                <w:color w:val="auto"/>
                <w:kern w:val="0"/>
                <w:sz w:val="24"/>
                <w:szCs w:val="24"/>
                <w:highlight w:val="none"/>
                <w:lang w:val="en-US" w:eastAsia="zh-CN"/>
              </w:rPr>
            </w:pPr>
            <w:r>
              <w:rPr>
                <w:rFonts w:ascii="宋体" w:hAnsi="宋体"/>
                <w:color w:val="auto"/>
                <w:sz w:val="24"/>
                <w:szCs w:val="24"/>
                <w:highlight w:val="none"/>
              </w:rPr>
              <w:t>评标价得分保留两位小数，第三位四舍五入。</w:t>
            </w:r>
          </w:p>
        </w:tc>
      </w:tr>
    </w:tbl>
    <w:p w14:paraId="619FD13D">
      <w:pPr>
        <w:pStyle w:val="6"/>
        <w:adjustRightInd w:val="0"/>
        <w:snapToGrid w:val="0"/>
        <w:spacing w:line="360" w:lineRule="auto"/>
        <w:textAlignment w:val="baseline"/>
        <w:rPr>
          <w:rFonts w:hAnsi="宋体"/>
          <w:snapToGrid w:val="0"/>
          <w:color w:val="auto"/>
          <w:sz w:val="24"/>
          <w:szCs w:val="24"/>
          <w:highlight w:val="none"/>
        </w:rPr>
      </w:pPr>
      <w:r>
        <w:rPr>
          <w:rFonts w:hAnsi="宋体"/>
          <w:snapToGrid w:val="0"/>
          <w:color w:val="auto"/>
          <w:sz w:val="24"/>
          <w:szCs w:val="24"/>
          <w:highlight w:val="none"/>
        </w:rPr>
        <w:t>注：</w:t>
      </w:r>
    </w:p>
    <w:p w14:paraId="337376C7">
      <w:pPr>
        <w:pStyle w:val="6"/>
        <w:adjustRightInd w:val="0"/>
        <w:snapToGrid w:val="0"/>
        <w:spacing w:line="360" w:lineRule="auto"/>
        <w:textAlignment w:val="baseline"/>
        <w:rPr>
          <w:rFonts w:hAnsi="宋体"/>
          <w:snapToGrid w:val="0"/>
          <w:color w:val="auto"/>
          <w:sz w:val="24"/>
          <w:szCs w:val="24"/>
          <w:highlight w:val="none"/>
        </w:rPr>
      </w:pPr>
      <w:r>
        <w:rPr>
          <w:rFonts w:hint="eastAsia" w:hAnsi="宋体"/>
          <w:snapToGrid w:val="0"/>
          <w:color w:val="auto"/>
          <w:sz w:val="24"/>
          <w:szCs w:val="24"/>
          <w:highlight w:val="none"/>
        </w:rPr>
        <w:t>1、评委打分保留1位小数；</w:t>
      </w:r>
    </w:p>
    <w:p w14:paraId="54D891DD">
      <w:pPr>
        <w:pStyle w:val="6"/>
        <w:adjustRightInd w:val="0"/>
        <w:snapToGrid w:val="0"/>
        <w:spacing w:line="360" w:lineRule="auto"/>
        <w:textAlignment w:val="baseline"/>
        <w:rPr>
          <w:rFonts w:hAnsi="宋体"/>
          <w:snapToGrid w:val="0"/>
          <w:color w:val="auto"/>
          <w:sz w:val="24"/>
          <w:szCs w:val="24"/>
          <w:highlight w:val="none"/>
        </w:rPr>
      </w:pPr>
      <w:r>
        <w:rPr>
          <w:rFonts w:hint="eastAsia" w:hAnsi="宋体"/>
          <w:snapToGrid w:val="0"/>
          <w:color w:val="auto"/>
          <w:sz w:val="24"/>
          <w:szCs w:val="24"/>
          <w:highlight w:val="none"/>
        </w:rPr>
        <w:t>2、各评分因素得分以评标委员会各成员的打分平均值确定，保留2位小数；</w:t>
      </w:r>
    </w:p>
    <w:p w14:paraId="1674ACFF">
      <w:pPr>
        <w:pStyle w:val="6"/>
        <w:adjustRightInd w:val="0"/>
        <w:snapToGrid w:val="0"/>
        <w:spacing w:line="360" w:lineRule="auto"/>
        <w:textAlignment w:val="baseline"/>
        <w:rPr>
          <w:rFonts w:hAnsi="宋体"/>
          <w:color w:val="auto"/>
          <w:highlight w:val="none"/>
        </w:rPr>
      </w:pPr>
      <w:r>
        <w:rPr>
          <w:rFonts w:hAnsi="宋体"/>
          <w:snapToGrid w:val="0"/>
          <w:color w:val="auto"/>
          <w:sz w:val="24"/>
          <w:szCs w:val="24"/>
          <w:highlight w:val="none"/>
        </w:rPr>
        <w:t>3</w:t>
      </w:r>
      <w:r>
        <w:rPr>
          <w:rFonts w:hint="eastAsia" w:hAnsi="宋体"/>
          <w:snapToGrid w:val="0"/>
          <w:color w:val="auto"/>
          <w:sz w:val="24"/>
          <w:szCs w:val="24"/>
          <w:highlight w:val="none"/>
        </w:rPr>
        <w:t>、服务方案各评分因素细分项缺项，则该项得0分。</w:t>
      </w:r>
    </w:p>
    <w:p w14:paraId="25DD3B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0045E"/>
    <w:rsid w:val="723F3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jc w:val="center"/>
      <w:outlineLvl w:val="0"/>
    </w:pPr>
    <w:rPr>
      <w:b/>
      <w:kern w:val="44"/>
      <w:sz w:val="44"/>
    </w:rPr>
  </w:style>
  <w:style w:type="paragraph" w:styleId="3">
    <w:name w:val="heading 2"/>
    <w:basedOn w:val="1"/>
    <w:next w:val="1"/>
    <w:qFormat/>
    <w:uiPriority w:val="0"/>
    <w:pPr>
      <w:keepNext/>
      <w:keepLines/>
      <w:topLinePunct/>
      <w:adjustRightInd w:val="0"/>
      <w:snapToGrid w:val="0"/>
      <w:spacing w:beforeLines="80" w:afterLines="80"/>
      <w:outlineLvl w:val="1"/>
    </w:pPr>
    <w:rPr>
      <w:rFonts w:ascii="Arial" w:hAnsi="Arial" w:eastAsia="黑体"/>
    </w:rPr>
  </w:style>
  <w:style w:type="paragraph" w:styleId="4">
    <w:name w:val="heading 3"/>
    <w:basedOn w:val="1"/>
    <w:next w:val="1"/>
    <w:qFormat/>
    <w:uiPriority w:val="0"/>
    <w:pPr>
      <w:keepNext/>
      <w:keepLines/>
      <w:topLinePunct/>
      <w:spacing w:before="260" w:after="260" w:line="413" w:lineRule="auto"/>
      <w:outlineLvl w:val="2"/>
    </w:pPr>
    <w:rPr>
      <w:b/>
      <w:sz w:val="32"/>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ody Text"/>
    <w:basedOn w:val="1"/>
    <w:next w:val="1"/>
    <w:qFormat/>
    <w:uiPriority w:val="99"/>
    <w:pPr>
      <w:topLinePunct/>
      <w:spacing w:after="120"/>
    </w:pPr>
    <w:rPr>
      <w:kern w:val="0"/>
      <w:sz w:val="20"/>
    </w:rPr>
  </w:style>
  <w:style w:type="paragraph" w:styleId="6">
    <w:name w:val="Plain Text"/>
    <w:basedOn w:val="1"/>
    <w:next w:val="1"/>
    <w:qFormat/>
    <w:uiPriority w:val="0"/>
    <w:pPr>
      <w:topLinePunct/>
    </w:pPr>
    <w:rPr>
      <w:rFonts w:ascii="宋体" w:hAnsi="Courier New"/>
      <w:kern w:val="0"/>
      <w:sz w:val="20"/>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8">
    <w:name w:val="Title"/>
    <w:basedOn w:val="1"/>
    <w:next w:val="1"/>
    <w:qFormat/>
    <w:uiPriority w:val="0"/>
    <w:pPr>
      <w:adjustRightInd w:val="0"/>
      <w:spacing w:before="240" w:after="60" w:line="420" w:lineRule="atLeast"/>
      <w:jc w:val="center"/>
      <w:textAlignment w:val="baseline"/>
      <w:outlineLvl w:val="0"/>
    </w:pPr>
    <w:rPr>
      <w:rFonts w:ascii="Arial" w:hAnsi="Arial" w:eastAsia="方正仿宋_GBK"/>
      <w:b/>
      <w:kern w:val="0"/>
      <w:sz w:val="32"/>
    </w:rPr>
  </w:style>
  <w:style w:type="paragraph" w:customStyle="1" w:styleId="11">
    <w:name w:val="Fließtext"/>
    <w:basedOn w:val="1"/>
    <w:qFormat/>
    <w:uiPriority w:val="0"/>
    <w:pPr>
      <w:overflowPunct w:val="0"/>
      <w:autoSpaceDE w:val="0"/>
      <w:autoSpaceDN w:val="0"/>
      <w:adjustRightInd w:val="0"/>
      <w:textAlignment w:val="baseline"/>
    </w:pPr>
    <w:rPr>
      <w:kern w:val="28"/>
    </w:rPr>
  </w:style>
  <w:style w:type="paragraph" w:customStyle="1" w:styleId="12">
    <w:name w:val="样式25"/>
    <w:basedOn w:val="1"/>
    <w:qFormat/>
    <w:uiPriority w:val="0"/>
    <w:pPr>
      <w:keepNext/>
      <w:keepLines/>
      <w:spacing w:line="360" w:lineRule="auto"/>
      <w:ind w:firstLine="200" w:firstLineChars="200"/>
      <w:outlineLvl w:val="2"/>
    </w:pPr>
    <w:rPr>
      <w:b/>
      <w:bCs/>
      <w:kern w:val="28"/>
      <w:sz w:val="24"/>
      <w:szCs w:val="32"/>
    </w:rPr>
  </w:style>
  <w:style w:type="paragraph" w:customStyle="1" w:styleId="13">
    <w:name w:val="样式27"/>
    <w:basedOn w:val="4"/>
    <w:qFormat/>
    <w:uiPriority w:val="0"/>
    <w:pPr>
      <w:topLinePunct w:val="0"/>
      <w:spacing w:before="0" w:after="0" w:line="360" w:lineRule="auto"/>
      <w:ind w:firstLine="200" w:firstLineChars="200"/>
    </w:pPr>
    <w:rPr>
      <w:bCs/>
      <w:kern w:val="28"/>
      <w:sz w:val="24"/>
      <w:szCs w:val="32"/>
    </w:rPr>
  </w:style>
  <w:style w:type="paragraph" w:customStyle="1" w:styleId="14">
    <w:name w:val="样式124"/>
    <w:basedOn w:val="4"/>
    <w:qFormat/>
    <w:uiPriority w:val="0"/>
    <w:pPr>
      <w:topLinePunct w:val="0"/>
      <w:spacing w:before="0" w:after="0" w:line="360" w:lineRule="auto"/>
      <w:ind w:firstLine="200" w:firstLineChars="200"/>
    </w:pPr>
    <w:rPr>
      <w:bCs/>
      <w:kern w:val="28"/>
      <w:sz w:val="24"/>
      <w:szCs w:val="32"/>
    </w:rPr>
  </w:style>
  <w:style w:type="paragraph" w:customStyle="1" w:styleId="15">
    <w:name w:val="样式54"/>
    <w:basedOn w:val="3"/>
    <w:qFormat/>
    <w:uiPriority w:val="0"/>
    <w:pPr>
      <w:topLinePunct w:val="0"/>
      <w:adjustRightInd/>
      <w:snapToGrid/>
      <w:spacing w:beforeLines="0" w:afterLines="0" w:line="360" w:lineRule="auto"/>
      <w:jc w:val="center"/>
    </w:pPr>
    <w:rPr>
      <w:b/>
      <w:bCs/>
      <w:kern w:val="28"/>
      <w:sz w:val="32"/>
      <w:szCs w:val="32"/>
    </w:rPr>
  </w:style>
  <w:style w:type="character" w:customStyle="1" w:styleId="16">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6118</Words>
  <Characters>6709</Characters>
  <Lines>0</Lines>
  <Paragraphs>0</Paragraphs>
  <TotalTime>0</TotalTime>
  <ScaleCrop>false</ScaleCrop>
  <LinksUpToDate>false</LinksUpToDate>
  <CharactersWithSpaces>6790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2026-07-30T08:21:00Z</dcterms:created>
  <dc:creator>Administrator</dc:creator>
  <cp:lastModifiedBy>冯士峰</cp:lastModifiedBy>
  <dcterms:modified xsi:type="dcterms:W3CDTF">2026-07-30T09:30:12Z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eyJoZGlkIjoiMjNhMGNiNzBmYzRmYmU1YWU1ZDVjYzI3MTI0YTIzZjQiLCJ1c2VySWQiOiIxNjg3ODQzOTczIn0=</vt:lpwstr>
  </property>
  <property fmtid="{D5CDD505-2E9C-101B-9397-08002B2CF9AE}" pid="4" name="ICV">
    <vt:lpwstr>2EC859325465456CBC34CB893B060B6B_12</vt:lpwstr>
  </property>
</Properties>
</file>