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1F929">
      <w:pPr>
        <w:rPr>
          <w:rFonts w:hint="eastAsia" w:ascii="宋体" w:hAnsi="宋体" w:cs="宋体"/>
          <w:b/>
          <w:color w:val="auto"/>
          <w:sz w:val="28"/>
          <w:szCs w:val="28"/>
          <w:highlight w:val="none"/>
        </w:rPr>
      </w:pPr>
      <w:bookmarkStart w:id="19" w:name="_GoBack"/>
      <w:bookmarkEnd w:id="19"/>
      <w:r>
        <w:rPr>
          <w:rFonts w:hint="eastAsia" w:ascii="宋体" w:hAnsi="宋体" w:cs="宋体"/>
          <w:b/>
          <w:color w:val="auto"/>
          <w:sz w:val="28"/>
          <w:szCs w:val="28"/>
          <w:highlight w:val="none"/>
        </w:rPr>
        <w:t>附件1：资格审查条件</w:t>
      </w:r>
    </w:p>
    <w:p w14:paraId="19639AD3">
      <w:pPr>
        <w:pStyle w:val="14"/>
        <w:rPr>
          <w:rFonts w:hint="eastAsia"/>
          <w:color w:val="auto"/>
          <w:highlight w:val="none"/>
        </w:rPr>
      </w:pPr>
    </w:p>
    <w:p w14:paraId="54EFB1F6">
      <w:pPr>
        <w:adjustRightInd w:val="0"/>
        <w:snapToGrid w:val="0"/>
        <w:spacing w:line="360" w:lineRule="auto"/>
        <w:jc w:val="center"/>
        <w:rPr>
          <w:rFonts w:ascii="宋体" w:hAnsi="宋体"/>
          <w:b/>
          <w:bCs/>
          <w:snapToGrid w:val="0"/>
          <w:color w:val="auto"/>
          <w:kern w:val="0"/>
          <w:sz w:val="24"/>
          <w:szCs w:val="24"/>
          <w:highlight w:val="none"/>
        </w:rPr>
      </w:pPr>
    </w:p>
    <w:p w14:paraId="27962F0B">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1"/>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425"/>
        <w:gridCol w:w="7651"/>
      </w:tblGrid>
      <w:tr w14:paraId="7BCB8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1425" w:type="dxa"/>
            <w:tcBorders>
              <w:top w:val="single" w:color="000000" w:sz="2" w:space="0"/>
              <w:left w:val="single" w:color="auto" w:sz="4" w:space="0"/>
              <w:bottom w:val="single" w:color="000000" w:sz="4" w:space="0"/>
              <w:right w:val="single" w:color="000000" w:sz="2" w:space="0"/>
            </w:tcBorders>
            <w:noWrap w:val="0"/>
            <w:vAlign w:val="center"/>
          </w:tcPr>
          <w:p w14:paraId="4E6D284E">
            <w:pPr>
              <w:adjustRightInd w:val="0"/>
              <w:snapToGrid w:val="0"/>
              <w:spacing w:line="240" w:lineRule="auto"/>
              <w:jc w:val="center"/>
              <w:textAlignment w:val="baseline"/>
              <w:rPr>
                <w:rStyle w:val="15"/>
                <w:rFonts w:hint="eastAsia" w:ascii="宋体" w:hAnsi="宋体" w:eastAsia="宋体"/>
                <w:b w:val="0"/>
                <w:bCs w:val="0"/>
                <w:snapToGrid w:val="0"/>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标段号</w:t>
            </w:r>
          </w:p>
        </w:tc>
        <w:tc>
          <w:tcPr>
            <w:tcW w:w="7651" w:type="dxa"/>
            <w:tcBorders>
              <w:top w:val="single" w:color="000000" w:sz="2" w:space="0"/>
              <w:left w:val="single" w:color="auto" w:sz="4" w:space="0"/>
              <w:bottom w:val="single" w:color="000000" w:sz="4" w:space="0"/>
              <w:right w:val="single" w:color="000000" w:sz="2" w:space="0"/>
            </w:tcBorders>
            <w:noWrap w:val="0"/>
            <w:vAlign w:val="center"/>
          </w:tcPr>
          <w:p w14:paraId="71D46251">
            <w:pPr>
              <w:adjustRightInd w:val="0"/>
              <w:snapToGrid w:val="0"/>
              <w:spacing w:line="240" w:lineRule="auto"/>
              <w:jc w:val="center"/>
              <w:textAlignment w:val="baseline"/>
              <w:rPr>
                <w:rStyle w:val="15"/>
                <w:rFonts w:ascii="宋体" w:hAnsi="宋体"/>
                <w:b w:val="0"/>
                <w:bCs w:val="0"/>
                <w:snapToGrid w:val="0"/>
                <w:color w:val="auto"/>
                <w:kern w:val="0"/>
                <w:sz w:val="24"/>
                <w:szCs w:val="24"/>
                <w:highlight w:val="none"/>
              </w:rPr>
            </w:pPr>
            <w:r>
              <w:rPr>
                <w:rStyle w:val="15"/>
                <w:rFonts w:ascii="宋体" w:hAnsi="宋体"/>
                <w:b w:val="0"/>
                <w:bCs w:val="0"/>
                <w:snapToGrid w:val="0"/>
                <w:color w:val="auto"/>
                <w:kern w:val="0"/>
                <w:sz w:val="24"/>
                <w:szCs w:val="24"/>
                <w:highlight w:val="none"/>
              </w:rPr>
              <w:t>资质要求</w:t>
            </w:r>
          </w:p>
        </w:tc>
      </w:tr>
      <w:tr w14:paraId="64BBF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31" w:hRule="atLeast"/>
          <w:jc w:val="center"/>
        </w:trPr>
        <w:tc>
          <w:tcPr>
            <w:tcW w:w="1425" w:type="dxa"/>
            <w:tcBorders>
              <w:top w:val="single" w:color="000000" w:sz="2" w:space="0"/>
              <w:left w:val="single" w:color="auto" w:sz="4" w:space="0"/>
              <w:bottom w:val="single" w:color="000000" w:sz="2" w:space="0"/>
              <w:right w:val="single" w:color="000000" w:sz="2" w:space="0"/>
            </w:tcBorders>
            <w:noWrap w:val="0"/>
            <w:vAlign w:val="center"/>
          </w:tcPr>
          <w:p w14:paraId="7680BF9A">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三标段</w:t>
            </w:r>
          </w:p>
          <w:p w14:paraId="09D23C7F">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四标段</w:t>
            </w:r>
          </w:p>
          <w:p w14:paraId="15A2A6EB">
            <w:pPr>
              <w:pStyle w:val="17"/>
              <w:adjustRightInd w:val="0"/>
              <w:snapToGrid w:val="0"/>
              <w:spacing w:line="240" w:lineRule="auto"/>
              <w:jc w:val="center"/>
              <w:rPr>
                <w:rStyle w:val="15"/>
                <w:rFonts w:hint="eastAsia" w:hAnsi="宋体" w:eastAsia="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七标段</w:t>
            </w:r>
          </w:p>
        </w:tc>
        <w:tc>
          <w:tcPr>
            <w:tcW w:w="7651" w:type="dxa"/>
            <w:tcBorders>
              <w:top w:val="single" w:color="000000" w:sz="2" w:space="0"/>
              <w:left w:val="single" w:color="auto" w:sz="4" w:space="0"/>
              <w:bottom w:val="single" w:color="000000" w:sz="2" w:space="0"/>
              <w:right w:val="single" w:color="000000" w:sz="2" w:space="0"/>
            </w:tcBorders>
            <w:noWrap w:val="0"/>
            <w:vAlign w:val="center"/>
          </w:tcPr>
          <w:p w14:paraId="5DD0B503">
            <w:pPr>
              <w:pStyle w:val="17"/>
              <w:adjustRightInd w:val="0"/>
              <w:snapToGrid w:val="0"/>
              <w:spacing w:line="240" w:lineRule="auto"/>
              <w:jc w:val="both"/>
              <w:rPr>
                <w:rStyle w:val="15"/>
                <w:rFonts w:hint="eastAsia" w:hAnsi="宋体"/>
                <w:bCs w:val="0"/>
                <w:snapToGrid w:val="0"/>
                <w:color w:val="auto"/>
                <w:sz w:val="24"/>
                <w:szCs w:val="24"/>
                <w:highlight w:val="none"/>
              </w:rPr>
            </w:pPr>
            <w:r>
              <w:rPr>
                <w:rFonts w:hint="eastAsia" w:hAnsi="宋体"/>
                <w:color w:val="auto"/>
                <w:sz w:val="24"/>
                <w:szCs w:val="24"/>
                <w:highlight w:val="none"/>
              </w:rPr>
              <w:t>投标人为中华人民共和国境内合法注册的独立法人或其他组织，具有独立承担民事责任能力，具有独立订立合同的权利</w:t>
            </w:r>
            <w:r>
              <w:rPr>
                <w:rFonts w:hint="eastAsia" w:hAnsi="宋体"/>
                <w:color w:val="auto"/>
                <w:sz w:val="24"/>
                <w:szCs w:val="24"/>
                <w:highlight w:val="none"/>
                <w:lang w:val="en-US" w:eastAsia="zh-CN"/>
              </w:rPr>
              <w:t>的设备制造商</w:t>
            </w:r>
            <w:r>
              <w:rPr>
                <w:rFonts w:hint="eastAsia" w:hAnsi="宋体"/>
                <w:color w:val="auto"/>
                <w:sz w:val="24"/>
                <w:szCs w:val="24"/>
                <w:highlight w:val="none"/>
              </w:rPr>
              <w:t>。</w:t>
            </w:r>
          </w:p>
        </w:tc>
      </w:tr>
      <w:tr w14:paraId="5BE6E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31" w:hRule="atLeast"/>
          <w:jc w:val="center"/>
        </w:trPr>
        <w:tc>
          <w:tcPr>
            <w:tcW w:w="1425" w:type="dxa"/>
            <w:tcBorders>
              <w:top w:val="single" w:color="000000" w:sz="2" w:space="0"/>
              <w:left w:val="single" w:color="auto" w:sz="4" w:space="0"/>
              <w:bottom w:val="single" w:color="000000" w:sz="2" w:space="0"/>
              <w:right w:val="single" w:color="000000" w:sz="2" w:space="0"/>
            </w:tcBorders>
            <w:noWrap w:val="0"/>
            <w:vAlign w:val="center"/>
          </w:tcPr>
          <w:p w14:paraId="20B5C37F">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一标段</w:t>
            </w:r>
          </w:p>
          <w:p w14:paraId="6C0BDB2A">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二标段</w:t>
            </w:r>
          </w:p>
          <w:p w14:paraId="36DA8ADF">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五标段</w:t>
            </w:r>
          </w:p>
          <w:p w14:paraId="791EC771">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六标段</w:t>
            </w:r>
          </w:p>
          <w:p w14:paraId="19A9F788">
            <w:pPr>
              <w:pStyle w:val="17"/>
              <w:adjustRightInd w:val="0"/>
              <w:snapToGrid w:val="0"/>
              <w:spacing w:line="240" w:lineRule="auto"/>
              <w:jc w:val="center"/>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八标段</w:t>
            </w:r>
          </w:p>
        </w:tc>
        <w:tc>
          <w:tcPr>
            <w:tcW w:w="7651" w:type="dxa"/>
            <w:tcBorders>
              <w:top w:val="single" w:color="000000" w:sz="2" w:space="0"/>
              <w:left w:val="single" w:color="auto" w:sz="4" w:space="0"/>
              <w:bottom w:val="single" w:color="000000" w:sz="2" w:space="0"/>
              <w:right w:val="single" w:color="000000" w:sz="2" w:space="0"/>
            </w:tcBorders>
            <w:noWrap w:val="0"/>
            <w:vAlign w:val="center"/>
          </w:tcPr>
          <w:p w14:paraId="7057BED7">
            <w:pPr>
              <w:pStyle w:val="17"/>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制造商:</w:t>
            </w:r>
            <w:r>
              <w:rPr>
                <w:rFonts w:hint="eastAsia" w:hAnsi="宋体"/>
                <w:color w:val="auto"/>
                <w:sz w:val="24"/>
                <w:szCs w:val="24"/>
                <w:highlight w:val="none"/>
              </w:rPr>
              <w:t>投标人为中华人民共和国境内合法注册的独立法人或其他组织，具有独立承担民事责任能力，具有独立订立合同的权利</w:t>
            </w:r>
            <w:r>
              <w:rPr>
                <w:rFonts w:hint="eastAsia" w:hAnsi="宋体"/>
                <w:color w:val="auto"/>
                <w:sz w:val="24"/>
                <w:szCs w:val="24"/>
                <w:highlight w:val="none"/>
                <w:lang w:val="en-US" w:eastAsia="zh-CN"/>
              </w:rPr>
              <w:t>的设备制造商</w:t>
            </w:r>
            <w:r>
              <w:rPr>
                <w:rStyle w:val="15"/>
                <w:rFonts w:hint="eastAsia" w:hAnsi="宋体"/>
                <w:bCs w:val="0"/>
                <w:snapToGrid w:val="0"/>
                <w:color w:val="auto"/>
                <w:sz w:val="24"/>
                <w:szCs w:val="24"/>
                <w:highlight w:val="none"/>
                <w:lang w:val="en-US" w:eastAsia="zh-CN"/>
              </w:rPr>
              <w:t>。</w:t>
            </w:r>
          </w:p>
          <w:p w14:paraId="05A8743F">
            <w:pPr>
              <w:pStyle w:val="17"/>
              <w:adjustRightInd w:val="0"/>
              <w:snapToGrid w:val="0"/>
              <w:spacing w:line="240" w:lineRule="auto"/>
              <w:jc w:val="both"/>
              <w:rPr>
                <w:rFonts w:hint="eastAsia" w:hAnsi="宋体"/>
                <w:color w:val="auto"/>
                <w:sz w:val="24"/>
                <w:szCs w:val="24"/>
                <w:highlight w:val="none"/>
              </w:rPr>
            </w:pPr>
            <w:r>
              <w:rPr>
                <w:rStyle w:val="15"/>
                <w:rFonts w:hint="eastAsia" w:hAnsi="宋体"/>
                <w:bCs w:val="0"/>
                <w:snapToGrid w:val="0"/>
                <w:color w:val="auto"/>
                <w:sz w:val="24"/>
                <w:szCs w:val="24"/>
                <w:highlight w:val="none"/>
                <w:lang w:val="en-US" w:eastAsia="zh-CN"/>
              </w:rPr>
              <w:t>代理商:投标人为中华人民共和国境内合法注册的独立法人或其他组织，具有独立承担民事责任能力的，具有独立订立合同的权利；具有制造商出具的针对本招标项目所投设备的唯一授权书，且该制造商满足前述关于“制造商”的要求。</w:t>
            </w:r>
          </w:p>
        </w:tc>
      </w:tr>
    </w:tbl>
    <w:p w14:paraId="62B55D15">
      <w:pPr>
        <w:pStyle w:val="6"/>
        <w:spacing w:line="240" w:lineRule="auto"/>
        <w:ind w:left="0" w:leftChars="0" w:firstLine="0" w:firstLineChars="0"/>
        <w:jc w:val="center"/>
        <w:rPr>
          <w:rFonts w:hint="eastAsia"/>
          <w:color w:val="auto"/>
          <w:sz w:val="24"/>
          <w:szCs w:val="24"/>
          <w:highlight w:val="none"/>
        </w:rPr>
      </w:pPr>
    </w:p>
    <w:p w14:paraId="440DCFD6">
      <w:pPr>
        <w:spacing w:line="240" w:lineRule="auto"/>
        <w:jc w:val="center"/>
        <w:rPr>
          <w:rFonts w:ascii="宋体" w:hAnsi="宋体"/>
          <w:b/>
          <w:bCs/>
          <w:snapToGrid w:val="0"/>
          <w:color w:val="auto"/>
          <w:kern w:val="0"/>
          <w:sz w:val="24"/>
          <w:szCs w:val="24"/>
          <w:highlight w:val="none"/>
        </w:rPr>
      </w:pPr>
    </w:p>
    <w:p w14:paraId="2312B167">
      <w:pPr>
        <w:spacing w:line="240" w:lineRule="auto"/>
        <w:jc w:val="center"/>
        <w:rPr>
          <w:rFonts w:ascii="宋体" w:hAnsi="宋体"/>
          <w:b/>
          <w:bCs/>
          <w:snapToGrid w:val="0"/>
          <w:color w:val="auto"/>
          <w:kern w:val="0"/>
          <w:sz w:val="24"/>
          <w:szCs w:val="24"/>
          <w:highlight w:val="none"/>
        </w:rPr>
      </w:pPr>
    </w:p>
    <w:p w14:paraId="01050738">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1"/>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75"/>
        <w:gridCol w:w="8101"/>
      </w:tblGrid>
      <w:tr w14:paraId="7E7A7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37" w:type="pct"/>
            <w:tcBorders>
              <w:top w:val="single" w:color="000000" w:sz="2" w:space="0"/>
              <w:left w:val="single" w:color="auto" w:sz="4" w:space="0"/>
              <w:bottom w:val="single" w:color="000000" w:sz="4" w:space="0"/>
              <w:right w:val="single" w:color="000000" w:sz="2" w:space="0"/>
            </w:tcBorders>
            <w:noWrap w:val="0"/>
            <w:vAlign w:val="center"/>
          </w:tcPr>
          <w:p w14:paraId="5692F734">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Fonts w:hint="eastAsia" w:ascii="宋体" w:hAnsi="宋体" w:cs="宋体"/>
                <w:b w:val="0"/>
                <w:bCs w:val="0"/>
                <w:color w:val="auto"/>
                <w:sz w:val="24"/>
                <w:szCs w:val="24"/>
                <w:highlight w:val="none"/>
                <w:lang w:val="en-US" w:eastAsia="zh-CN"/>
              </w:rPr>
              <w:t>标段号</w:t>
            </w:r>
          </w:p>
        </w:tc>
        <w:tc>
          <w:tcPr>
            <w:tcW w:w="4462" w:type="pct"/>
            <w:tcBorders>
              <w:top w:val="single" w:color="000000" w:sz="2" w:space="0"/>
              <w:left w:val="single" w:color="auto" w:sz="4" w:space="0"/>
              <w:bottom w:val="single" w:color="000000" w:sz="4" w:space="0"/>
              <w:right w:val="single" w:color="000000" w:sz="2" w:space="0"/>
            </w:tcBorders>
            <w:noWrap w:val="0"/>
            <w:vAlign w:val="center"/>
          </w:tcPr>
          <w:p w14:paraId="43266013">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Style w:val="15"/>
                <w:rFonts w:ascii="宋体" w:hAnsi="宋体"/>
                <w:snapToGrid w:val="0"/>
                <w:color w:val="auto"/>
                <w:kern w:val="0"/>
                <w:sz w:val="24"/>
                <w:szCs w:val="24"/>
                <w:highlight w:val="none"/>
              </w:rPr>
              <w:t>业绩要求</w:t>
            </w:r>
          </w:p>
        </w:tc>
      </w:tr>
      <w:tr w14:paraId="2951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67EDDE6A">
            <w:pPr>
              <w:adjustRightInd w:val="0"/>
              <w:snapToGrid w:val="0"/>
              <w:spacing w:line="240" w:lineRule="auto"/>
              <w:jc w:val="both"/>
              <w:rPr>
                <w:rFonts w:hint="default" w:ascii="Times New Roman" w:hAnsi="宋体" w:eastAsia="宋体" w:cs="Times New Roman"/>
                <w:bCs w:val="0"/>
                <w:snapToGrid w:val="0"/>
                <w:color w:val="auto"/>
                <w:kern w:val="0"/>
                <w:sz w:val="24"/>
                <w:szCs w:val="24"/>
                <w:highlight w:val="none"/>
                <w:lang w:val="en-US" w:eastAsia="zh-CN" w:bidi="ar-SA"/>
              </w:rPr>
            </w:pPr>
            <w:r>
              <w:rPr>
                <w:rStyle w:val="15"/>
                <w:rFonts w:hint="eastAsia" w:hAnsi="宋体"/>
                <w:bCs w:val="0"/>
                <w:snapToGrid w:val="0"/>
                <w:color w:val="auto"/>
                <w:sz w:val="24"/>
                <w:szCs w:val="24"/>
                <w:highlight w:val="none"/>
                <w:lang w:val="en-US" w:eastAsia="zh-CN"/>
              </w:rPr>
              <w:t>一标段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6EF778A">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承揽过一项所投品牌服务器</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53576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14732B93">
            <w:pPr>
              <w:adjustRightInd w:val="0"/>
              <w:snapToGrid w:val="0"/>
              <w:spacing w:line="240" w:lineRule="auto"/>
              <w:jc w:val="both"/>
              <w:rPr>
                <w:rFonts w:hint="default" w:ascii="Times New Roman" w:hAnsi="宋体" w:eastAsia="宋体" w:cs="Times New Roman"/>
                <w:bCs w:val="0"/>
                <w:snapToGrid w:val="0"/>
                <w:color w:val="auto"/>
                <w:kern w:val="0"/>
                <w:sz w:val="24"/>
                <w:szCs w:val="24"/>
                <w:highlight w:val="none"/>
                <w:lang w:val="en-US" w:eastAsia="zh-CN" w:bidi="ar-SA"/>
              </w:rPr>
            </w:pPr>
            <w:r>
              <w:rPr>
                <w:rStyle w:val="15"/>
                <w:rFonts w:hint="eastAsia" w:hAnsi="宋体"/>
                <w:bCs w:val="0"/>
                <w:snapToGrid w:val="0"/>
                <w:color w:val="auto"/>
                <w:sz w:val="24"/>
                <w:szCs w:val="24"/>
                <w:highlight w:val="none"/>
                <w:lang w:val="en-US" w:eastAsia="zh-CN"/>
              </w:rPr>
              <w:t>二标段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413ED703">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承揽过一项所投品牌交换机</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0F888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341A7B5">
            <w:pPr>
              <w:adjustRightInd w:val="0"/>
              <w:snapToGrid w:val="0"/>
              <w:spacing w:line="240" w:lineRule="auto"/>
              <w:jc w:val="both"/>
              <w:rPr>
                <w:rFonts w:hint="default" w:ascii="Times New Roman" w:hAnsi="宋体" w:eastAsia="宋体" w:cs="Times New Roman"/>
                <w:bCs w:val="0"/>
                <w:snapToGrid w:val="0"/>
                <w:color w:val="auto"/>
                <w:kern w:val="0"/>
                <w:sz w:val="24"/>
                <w:szCs w:val="24"/>
                <w:highlight w:val="none"/>
                <w:lang w:val="en-US" w:eastAsia="zh-CN" w:bidi="ar-SA"/>
              </w:rPr>
            </w:pPr>
            <w:r>
              <w:rPr>
                <w:rStyle w:val="15"/>
                <w:rFonts w:hint="eastAsia" w:hAnsi="宋体"/>
                <w:bCs w:val="0"/>
                <w:snapToGrid w:val="0"/>
                <w:color w:val="auto"/>
                <w:sz w:val="24"/>
                <w:szCs w:val="24"/>
                <w:highlight w:val="none"/>
                <w:lang w:val="en-US" w:eastAsia="zh-CN"/>
              </w:rPr>
              <w:t>三标段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38CBDAD1">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承揽过一项所投品牌室外智能机箱</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4C824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581D9EEE">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四标段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4630FFBA">
            <w:pPr>
              <w:adjustRightInd w:val="0"/>
              <w:snapToGrid w:val="0"/>
              <w:spacing w:line="240" w:lineRule="auto"/>
              <w:ind w:firstLine="480" w:firstLineChars="200"/>
              <w:jc w:val="left"/>
              <w:rPr>
                <w:rStyle w:val="15"/>
                <w:rFonts w:hint="eastAsia" w:ascii="Times New Roman" w:hAnsi="宋体" w:eastAsia="宋体" w:cs="Times New Roman"/>
                <w:bCs w:val="0"/>
                <w:snapToGrid w:val="0"/>
                <w:color w:val="auto"/>
                <w:sz w:val="24"/>
                <w:szCs w:val="24"/>
                <w:highlight w:val="none"/>
                <w:lang w:eastAsia="zh-CN"/>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承揽过一项所投品牌摄像机</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24839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06B8E98">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五标段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76C9F1BF">
            <w:pPr>
              <w:adjustRightInd w:val="0"/>
              <w:snapToGrid w:val="0"/>
              <w:spacing w:line="240" w:lineRule="auto"/>
              <w:ind w:firstLine="480" w:firstLineChars="200"/>
              <w:jc w:val="left"/>
              <w:rPr>
                <w:rStyle w:val="15"/>
                <w:rFonts w:hint="eastAsia" w:ascii="Times New Roman" w:hAnsi="宋体" w:eastAsia="宋体" w:cs="Times New Roman"/>
                <w:bCs w:val="0"/>
                <w:snapToGrid w:val="0"/>
                <w:color w:val="auto"/>
                <w:sz w:val="24"/>
                <w:szCs w:val="24"/>
                <w:highlight w:val="none"/>
                <w:lang w:eastAsia="zh-CN"/>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承揽过一项所投品牌无人机（含机巢）</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3A65B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7B92A3F8">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六标段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256BA80E">
            <w:pPr>
              <w:adjustRightInd w:val="0"/>
              <w:snapToGrid w:val="0"/>
              <w:spacing w:line="240" w:lineRule="auto"/>
              <w:ind w:firstLine="480" w:firstLineChars="200"/>
              <w:jc w:val="left"/>
              <w:rPr>
                <w:rStyle w:val="15"/>
                <w:rFonts w:hint="eastAsia" w:ascii="Times New Roman" w:hAnsi="宋体" w:eastAsia="宋体" w:cs="Times New Roman"/>
                <w:bCs w:val="0"/>
                <w:snapToGrid w:val="0"/>
                <w:color w:val="auto"/>
                <w:sz w:val="24"/>
                <w:szCs w:val="24"/>
                <w:highlight w:val="none"/>
                <w:lang w:eastAsia="zh-CN"/>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承揽过一项所投品牌OTN光传输设备</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54385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77A0362B">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七标段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4BFFBEF9">
            <w:pPr>
              <w:adjustRightInd w:val="0"/>
              <w:snapToGrid w:val="0"/>
              <w:spacing w:line="240" w:lineRule="auto"/>
              <w:ind w:firstLine="480" w:firstLineChars="200"/>
              <w:jc w:val="left"/>
              <w:rPr>
                <w:rStyle w:val="15"/>
                <w:rFonts w:hint="eastAsia" w:ascii="Times New Roman" w:hAnsi="宋体" w:eastAsia="宋体" w:cs="Times New Roman"/>
                <w:bCs w:val="0"/>
                <w:snapToGrid w:val="0"/>
                <w:color w:val="auto"/>
                <w:sz w:val="24"/>
                <w:szCs w:val="24"/>
                <w:highlight w:val="none"/>
                <w:lang w:eastAsia="zh-CN"/>
              </w:rPr>
            </w:pPr>
            <w:r>
              <w:rPr>
                <w:rStyle w:val="15"/>
                <w:rFonts w:hint="eastAsia" w:ascii="Times New Roman" w:hAnsi="宋体" w:eastAsia="宋体" w:cs="Times New Roman"/>
                <w:bCs w:val="0"/>
                <w:snapToGrid w:val="0"/>
                <w:color w:val="auto"/>
                <w:sz w:val="24"/>
                <w:szCs w:val="24"/>
                <w:highlight w:val="none"/>
                <w:lang w:eastAsia="zh-CN"/>
              </w:rPr>
              <w:t>近</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年内（202</w:t>
            </w:r>
            <w:r>
              <w:rPr>
                <w:rStyle w:val="15"/>
                <w:rFonts w:hint="eastAsia" w:hAnsi="宋体" w:cs="Times New Roman"/>
                <w:bCs w:val="0"/>
                <w:snapToGrid w:val="0"/>
                <w:color w:val="auto"/>
                <w:sz w:val="24"/>
                <w:szCs w:val="24"/>
                <w:highlight w:val="none"/>
                <w:lang w:val="en-US" w:eastAsia="zh-CN"/>
              </w:rPr>
              <w:t>3</w:t>
            </w:r>
            <w:r>
              <w:rPr>
                <w:rStyle w:val="15"/>
                <w:rFonts w:hint="eastAsia" w:ascii="Times New Roman" w:hAnsi="宋体" w:eastAsia="宋体" w:cs="Times New Roman"/>
                <w:bCs w:val="0"/>
                <w:snapToGrid w:val="0"/>
                <w:color w:val="auto"/>
                <w:sz w:val="24"/>
                <w:szCs w:val="24"/>
                <w:highlight w:val="none"/>
                <w:lang w:eastAsia="zh-CN"/>
              </w:rPr>
              <w:t>年</w:t>
            </w:r>
            <w:r>
              <w:rPr>
                <w:rStyle w:val="15"/>
                <w:rFonts w:hint="eastAsia" w:hAnsi="宋体" w:cs="Times New Roman"/>
                <w:bCs w:val="0"/>
                <w:snapToGrid w:val="0"/>
                <w:color w:val="auto"/>
                <w:sz w:val="24"/>
                <w:szCs w:val="24"/>
                <w:highlight w:val="none"/>
                <w:lang w:val="en-US" w:eastAsia="zh-CN"/>
              </w:rPr>
              <w:t>7月1日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承揽过一项所投品牌可变信息标志</w:t>
            </w:r>
            <w:r>
              <w:rPr>
                <w:rStyle w:val="15"/>
                <w:rFonts w:hint="eastAsia" w:ascii="Times New Roman" w:hAnsi="宋体" w:eastAsia="宋体" w:cs="Times New Roman"/>
                <w:bCs w:val="0"/>
                <w:snapToGrid w:val="0"/>
                <w:color w:val="auto"/>
                <w:sz w:val="24"/>
                <w:szCs w:val="24"/>
                <w:highlight w:val="none"/>
                <w:lang w:val="en-US" w:eastAsia="zh-CN"/>
              </w:rPr>
              <w:t>的</w:t>
            </w:r>
            <w:r>
              <w:rPr>
                <w:rStyle w:val="15"/>
                <w:rFonts w:hint="eastAsia" w:ascii="Times New Roman" w:hAnsi="宋体" w:eastAsia="宋体" w:cs="Times New Roman"/>
                <w:bCs w:val="0"/>
                <w:snapToGrid w:val="0"/>
                <w:color w:val="auto"/>
                <w:sz w:val="24"/>
                <w:szCs w:val="24"/>
                <w:highlight w:val="none"/>
                <w:lang w:eastAsia="zh-CN"/>
              </w:rPr>
              <w:t>供货业绩。</w:t>
            </w:r>
          </w:p>
        </w:tc>
      </w:tr>
      <w:tr w14:paraId="4C1E0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975"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78D6CBA1">
            <w:pPr>
              <w:adjustRightInd w:val="0"/>
              <w:snapToGrid w:val="0"/>
              <w:spacing w:line="240" w:lineRule="auto"/>
              <w:jc w:val="both"/>
              <w:rPr>
                <w:rStyle w:val="15"/>
                <w:rFonts w:hint="eastAsia" w:hAnsi="宋体"/>
                <w:bCs w:val="0"/>
                <w:snapToGrid w:val="0"/>
                <w:color w:val="auto"/>
                <w:sz w:val="24"/>
                <w:szCs w:val="24"/>
                <w:highlight w:val="none"/>
                <w:lang w:val="en-US" w:eastAsia="zh-CN"/>
              </w:rPr>
            </w:pPr>
            <w:r>
              <w:rPr>
                <w:rStyle w:val="15"/>
                <w:rFonts w:hint="eastAsia" w:hAnsi="宋体"/>
                <w:bCs w:val="0"/>
                <w:snapToGrid w:val="0"/>
                <w:color w:val="auto"/>
                <w:sz w:val="24"/>
                <w:szCs w:val="24"/>
                <w:highlight w:val="none"/>
                <w:lang w:val="en-US" w:eastAsia="zh-CN"/>
              </w:rPr>
              <w:t>八标段</w:t>
            </w:r>
          </w:p>
        </w:tc>
        <w:tc>
          <w:tcPr>
            <w:tcW w:w="8101"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2B58B6C2">
            <w:pPr>
              <w:adjustRightInd w:val="0"/>
              <w:snapToGrid w:val="0"/>
              <w:spacing w:line="240" w:lineRule="auto"/>
              <w:ind w:firstLine="480" w:firstLineChars="200"/>
              <w:jc w:val="left"/>
              <w:rPr>
                <w:rStyle w:val="15"/>
                <w:rFonts w:hint="eastAsia" w:ascii="Times New Roman" w:hAnsi="宋体" w:eastAsia="宋体" w:cs="Times New Roman"/>
                <w:bCs w:val="0"/>
                <w:snapToGrid w:val="0"/>
                <w:color w:val="auto"/>
                <w:sz w:val="24"/>
                <w:szCs w:val="24"/>
                <w:highlight w:val="none"/>
                <w:lang w:eastAsia="zh-CN"/>
              </w:rPr>
            </w:pPr>
            <w:r>
              <w:rPr>
                <w:rStyle w:val="15"/>
                <w:rFonts w:hint="eastAsia" w:ascii="Times New Roman" w:hAnsi="宋体" w:eastAsia="宋体" w:cs="Times New Roman"/>
                <w:bCs w:val="0"/>
                <w:snapToGrid w:val="0"/>
                <w:color w:val="auto"/>
                <w:sz w:val="24"/>
                <w:szCs w:val="24"/>
                <w:highlight w:val="none"/>
                <w:lang w:eastAsia="zh-CN"/>
              </w:rPr>
              <w:t>近3年内（2023年</w:t>
            </w:r>
            <w:r>
              <w:rPr>
                <w:rStyle w:val="15"/>
                <w:rFonts w:hint="eastAsia" w:hAnsi="宋体" w:cs="Times New Roman"/>
                <w:bCs w:val="0"/>
                <w:snapToGrid w:val="0"/>
                <w:color w:val="auto"/>
                <w:sz w:val="24"/>
                <w:szCs w:val="24"/>
                <w:highlight w:val="none"/>
                <w:lang w:val="en-US" w:eastAsia="zh-CN"/>
              </w:rPr>
              <w:t>7</w:t>
            </w:r>
            <w:r>
              <w:rPr>
                <w:rStyle w:val="15"/>
                <w:rFonts w:hint="eastAsia" w:hAnsi="宋体" w:cs="Times New Roman"/>
                <w:bCs w:val="0"/>
                <w:snapToGrid w:val="0"/>
                <w:color w:val="auto"/>
                <w:sz w:val="24"/>
                <w:szCs w:val="24"/>
                <w:highlight w:val="none"/>
                <w:lang w:eastAsia="zh-CN"/>
              </w:rPr>
              <w:t>月1日</w:t>
            </w:r>
            <w:r>
              <w:rPr>
                <w:rStyle w:val="15"/>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5"/>
                <w:rFonts w:hint="eastAsia" w:hAnsi="宋体" w:cs="Times New Roman"/>
                <w:bCs w:val="0"/>
                <w:snapToGrid w:val="0"/>
                <w:color w:val="auto"/>
                <w:sz w:val="24"/>
                <w:szCs w:val="24"/>
                <w:highlight w:val="none"/>
                <w:lang w:val="en-US" w:eastAsia="zh-CN"/>
              </w:rPr>
              <w:t>承揽过一项所投品牌</w:t>
            </w:r>
            <w:r>
              <w:rPr>
                <w:rStyle w:val="15"/>
                <w:rFonts w:hint="eastAsia" w:hAnsi="宋体" w:cs="Times New Roman"/>
                <w:bCs w:val="0"/>
                <w:snapToGrid w:val="0"/>
                <w:color w:val="auto"/>
                <w:sz w:val="24"/>
                <w:szCs w:val="24"/>
                <w:highlight w:val="none"/>
                <w:lang w:eastAsia="zh-CN"/>
              </w:rPr>
              <w:t>ETC天线设备</w:t>
            </w:r>
            <w:r>
              <w:rPr>
                <w:rStyle w:val="15"/>
                <w:rFonts w:hint="eastAsia" w:ascii="Times New Roman" w:hAnsi="宋体" w:eastAsia="宋体" w:cs="Times New Roman"/>
                <w:bCs w:val="0"/>
                <w:snapToGrid w:val="0"/>
                <w:color w:val="auto"/>
                <w:sz w:val="24"/>
                <w:szCs w:val="24"/>
                <w:highlight w:val="none"/>
                <w:lang w:eastAsia="zh-CN"/>
              </w:rPr>
              <w:t>供货业绩。</w:t>
            </w:r>
          </w:p>
        </w:tc>
      </w:tr>
    </w:tbl>
    <w:p w14:paraId="4DBCF2ED">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kern w:val="0"/>
          <w:sz w:val="24"/>
          <w:szCs w:val="24"/>
          <w:highlight w:val="none"/>
          <w:lang w:val="en-US" w:eastAsia="zh-CN" w:bidi="ar"/>
        </w:rPr>
      </w:pPr>
      <w:r>
        <w:rPr>
          <w:rFonts w:hint="eastAsia" w:ascii="宋体" w:hAnsi="宋体" w:eastAsia="宋体" w:cs="宋体"/>
          <w:b/>
          <w:bCs/>
          <w:kern w:val="0"/>
          <w:sz w:val="24"/>
          <w:szCs w:val="24"/>
          <w:highlight w:val="none"/>
          <w:lang w:val="en-US" w:eastAsia="zh-CN" w:bidi="ar"/>
        </w:rPr>
        <w:t>注：</w:t>
      </w:r>
      <w:r>
        <w:rPr>
          <w:rFonts w:hint="eastAsia" w:ascii="宋体" w:hAnsi="宋体" w:cs="宋体"/>
          <w:b/>
          <w:bCs/>
          <w:kern w:val="0"/>
          <w:sz w:val="24"/>
          <w:szCs w:val="24"/>
          <w:highlight w:val="none"/>
          <w:lang w:val="en-US" w:eastAsia="zh-CN" w:bidi="ar"/>
        </w:rPr>
        <w:t>（1）一、二、五、六、八标段</w:t>
      </w:r>
      <w:r>
        <w:rPr>
          <w:rFonts w:hint="eastAsia" w:ascii="宋体" w:hAnsi="宋体" w:eastAsia="宋体" w:cs="宋体"/>
          <w:b/>
          <w:bCs/>
          <w:kern w:val="0"/>
          <w:sz w:val="24"/>
          <w:szCs w:val="24"/>
          <w:highlight w:val="none"/>
          <w:lang w:val="en-US" w:eastAsia="zh-CN" w:bidi="ar"/>
        </w:rPr>
        <w:t>代理商和制造商的业绩不可互用</w:t>
      </w:r>
      <w:r>
        <w:rPr>
          <w:rFonts w:hint="eastAsia" w:ascii="宋体" w:hAnsi="宋体" w:cs="宋体"/>
          <w:b/>
          <w:bCs/>
          <w:kern w:val="0"/>
          <w:sz w:val="24"/>
          <w:szCs w:val="24"/>
          <w:highlight w:val="none"/>
          <w:lang w:val="en-US" w:eastAsia="zh-CN" w:bidi="ar"/>
        </w:rPr>
        <w:t>。</w:t>
      </w:r>
    </w:p>
    <w:p w14:paraId="25260E5D">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kern w:val="0"/>
          <w:sz w:val="24"/>
          <w:szCs w:val="24"/>
          <w:highlight w:val="none"/>
          <w:lang w:val="en-US" w:eastAsia="zh-CN" w:bidi="ar"/>
        </w:rPr>
      </w:pPr>
    </w:p>
    <w:p w14:paraId="77EBE237">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Times New Roman"/>
          <w:b/>
          <w:bCs/>
          <w:strike/>
          <w:dstrike w:val="0"/>
          <w:kern w:val="0"/>
          <w:sz w:val="24"/>
          <w:szCs w:val="24"/>
          <w:highlight w:val="none"/>
        </w:rPr>
      </w:pPr>
    </w:p>
    <w:p w14:paraId="5A98957C">
      <w:pPr>
        <w:adjustRightInd w:val="0"/>
        <w:snapToGrid w:val="0"/>
        <w:spacing w:line="360" w:lineRule="auto"/>
        <w:jc w:val="center"/>
        <w:rPr>
          <w:rFonts w:ascii="宋体" w:hAnsi="宋体"/>
          <w:b/>
          <w:bCs/>
          <w:snapToGrid w:val="0"/>
          <w:color w:val="auto"/>
          <w:kern w:val="0"/>
          <w:sz w:val="24"/>
          <w:szCs w:val="24"/>
          <w:highlight w:val="none"/>
        </w:rPr>
      </w:pPr>
    </w:p>
    <w:p w14:paraId="5758ADE0">
      <w:pPr>
        <w:adjustRightInd w:val="0"/>
        <w:snapToGrid w:val="0"/>
        <w:spacing w:line="360" w:lineRule="auto"/>
        <w:jc w:val="center"/>
        <w:rPr>
          <w:rFonts w:ascii="宋体" w:hAnsi="宋体"/>
          <w:b/>
          <w:bCs/>
          <w:snapToGrid w:val="0"/>
          <w:color w:val="auto"/>
          <w:kern w:val="0"/>
          <w:sz w:val="24"/>
          <w:szCs w:val="24"/>
          <w:highlight w:val="none"/>
        </w:rPr>
        <w:sectPr>
          <w:footerReference r:id="rId3" w:type="default"/>
          <w:pgSz w:w="12240" w:h="15840"/>
          <w:pgMar w:top="1400" w:right="1680" w:bottom="1120" w:left="1700" w:header="0" w:footer="921" w:gutter="0"/>
          <w:pgNumType w:fmt="decimal"/>
          <w:cols w:space="720" w:num="1"/>
        </w:sectPr>
      </w:pPr>
    </w:p>
    <w:p w14:paraId="320FE75A">
      <w:pPr>
        <w:adjustRightInd w:val="0"/>
        <w:snapToGrid w:val="0"/>
        <w:spacing w:line="360" w:lineRule="auto"/>
        <w:jc w:val="center"/>
        <w:rPr>
          <w:rFonts w:ascii="宋体" w:hAnsi="宋体"/>
          <w:b/>
          <w:bCs/>
          <w:snapToGrid w:val="0"/>
          <w:color w:val="auto"/>
          <w:kern w:val="0"/>
          <w:sz w:val="24"/>
          <w:szCs w:val="24"/>
          <w:highlight w:val="none"/>
        </w:rPr>
      </w:pPr>
    </w:p>
    <w:p w14:paraId="62E5D905">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1"/>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5EC5F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541" w:type="dxa"/>
            <w:tcBorders>
              <w:top w:val="single" w:color="000000" w:sz="2" w:space="0"/>
              <w:left w:val="single" w:color="auto" w:sz="4" w:space="0"/>
              <w:bottom w:val="single" w:color="000000" w:sz="4" w:space="0"/>
              <w:right w:val="single" w:color="000000" w:sz="2" w:space="0"/>
            </w:tcBorders>
            <w:noWrap w:val="0"/>
            <w:vAlign w:val="center"/>
          </w:tcPr>
          <w:p w14:paraId="24C35864">
            <w:pPr>
              <w:adjustRightInd w:val="0"/>
              <w:snapToGrid w:val="0"/>
              <w:spacing w:line="240" w:lineRule="auto"/>
              <w:jc w:val="center"/>
              <w:textAlignment w:val="baseline"/>
              <w:rPr>
                <w:rStyle w:val="15"/>
                <w:rFonts w:ascii="宋体" w:hAnsi="宋体"/>
                <w:snapToGrid w:val="0"/>
                <w:color w:val="auto"/>
                <w:kern w:val="0"/>
                <w:sz w:val="24"/>
                <w:szCs w:val="24"/>
                <w:highlight w:val="none"/>
              </w:rPr>
            </w:pPr>
            <w:r>
              <w:rPr>
                <w:rStyle w:val="15"/>
                <w:rFonts w:ascii="宋体" w:hAnsi="宋体"/>
                <w:snapToGrid w:val="0"/>
                <w:color w:val="auto"/>
                <w:kern w:val="0"/>
                <w:sz w:val="24"/>
                <w:szCs w:val="24"/>
                <w:highlight w:val="none"/>
              </w:rPr>
              <w:t>信誉要求</w:t>
            </w:r>
          </w:p>
        </w:tc>
      </w:tr>
      <w:tr w14:paraId="00426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541" w:type="dxa"/>
            <w:tcBorders>
              <w:top w:val="single" w:color="000000" w:sz="2" w:space="0"/>
              <w:left w:val="single" w:color="auto" w:sz="4" w:space="0"/>
              <w:right w:val="single" w:color="000000" w:sz="2" w:space="0"/>
            </w:tcBorders>
            <w:noWrap w:val="0"/>
            <w:vAlign w:val="center"/>
          </w:tcPr>
          <w:p w14:paraId="31E71AB0">
            <w:pPr>
              <w:pStyle w:val="13"/>
              <w:spacing w:line="240" w:lineRule="auto"/>
              <w:ind w:firstLineChars="200"/>
              <w:rPr>
                <w:rStyle w:val="15"/>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w:t>
            </w:r>
            <w:r>
              <w:rPr>
                <w:rFonts w:hint="eastAsia" w:ascii="宋体" w:hAnsi="宋体"/>
                <w:snapToGrid w:val="0"/>
                <w:color w:val="auto"/>
                <w:sz w:val="24"/>
                <w:szCs w:val="24"/>
                <w:highlight w:val="none"/>
                <w:shd w:val="clear"/>
                <w:lang w:bidi="ar"/>
              </w:rPr>
              <w:t>内（202</w:t>
            </w:r>
            <w:r>
              <w:rPr>
                <w:rFonts w:hint="eastAsia" w:ascii="宋体" w:hAnsi="宋体"/>
                <w:snapToGrid w:val="0"/>
                <w:color w:val="auto"/>
                <w:sz w:val="24"/>
                <w:szCs w:val="24"/>
                <w:highlight w:val="none"/>
                <w:shd w:val="clear"/>
                <w:lang w:val="en-US" w:eastAsia="zh-CN" w:bidi="ar"/>
              </w:rPr>
              <w:t>5</w:t>
            </w:r>
            <w:r>
              <w:rPr>
                <w:rFonts w:hint="eastAsia" w:ascii="宋体" w:hAnsi="宋体"/>
                <w:snapToGrid w:val="0"/>
                <w:color w:val="auto"/>
                <w:sz w:val="24"/>
                <w:szCs w:val="24"/>
                <w:highlight w:val="none"/>
                <w:shd w:val="clear"/>
                <w:lang w:bidi="ar"/>
              </w:rPr>
              <w:t>年</w:t>
            </w:r>
            <w:r>
              <w:rPr>
                <w:rFonts w:hint="eastAsia" w:ascii="宋体" w:hAnsi="宋体"/>
                <w:snapToGrid w:val="0"/>
                <w:color w:val="auto"/>
                <w:sz w:val="24"/>
                <w:szCs w:val="24"/>
                <w:highlight w:val="none"/>
                <w:shd w:val="clear"/>
                <w:lang w:val="en-US" w:eastAsia="zh-CN" w:bidi="ar"/>
              </w:rPr>
              <w:t>7月1日</w:t>
            </w:r>
            <w:r>
              <w:rPr>
                <w:rFonts w:hint="eastAsia" w:ascii="宋体" w:hAnsi="宋体"/>
                <w:snapToGrid w:val="0"/>
                <w:color w:val="auto"/>
                <w:sz w:val="24"/>
                <w:szCs w:val="24"/>
                <w:highlight w:val="none"/>
                <w:shd w:val="clear"/>
                <w:lang w:bidi="ar"/>
              </w:rPr>
              <w:t>至</w:t>
            </w:r>
            <w:r>
              <w:rPr>
                <w:rFonts w:hint="eastAsia" w:ascii="宋体" w:hAnsi="宋体"/>
                <w:snapToGrid w:val="0"/>
                <w:color w:val="auto"/>
                <w:sz w:val="24"/>
                <w:szCs w:val="24"/>
                <w:highlight w:val="none"/>
                <w:shd w:val="clear"/>
                <w:lang w:val="en-US" w:eastAsia="zh-CN" w:bidi="ar"/>
              </w:rPr>
              <w:t>投标截止时间</w:t>
            </w:r>
            <w:r>
              <w:rPr>
                <w:rFonts w:hint="eastAsia" w:ascii="宋体" w:hAnsi="宋体"/>
                <w:snapToGrid w:val="0"/>
                <w:color w:val="auto"/>
                <w:sz w:val="24"/>
                <w:szCs w:val="24"/>
                <w:highlight w:val="none"/>
                <w:shd w:val="clear"/>
                <w:lang w:bidi="ar"/>
              </w:rPr>
              <w:t>）不曾在</w:t>
            </w:r>
            <w:r>
              <w:rPr>
                <w:rFonts w:hint="eastAsia" w:ascii="宋体" w:hAnsi="宋体"/>
                <w:snapToGrid w:val="0"/>
                <w:color w:val="auto"/>
                <w:sz w:val="24"/>
                <w:szCs w:val="24"/>
                <w:highlight w:val="none"/>
                <w:shd w:val="clear"/>
                <w:lang w:val="en-US" w:eastAsia="zh-CN" w:bidi="ar"/>
              </w:rPr>
              <w:t>所投品牌</w:t>
            </w:r>
            <w:r>
              <w:rPr>
                <w:rFonts w:hint="eastAsia" w:ascii="宋体" w:hAnsi="宋体"/>
                <w:snapToGrid w:val="0"/>
                <w:color w:val="auto"/>
                <w:sz w:val="24"/>
                <w:szCs w:val="24"/>
                <w:highlight w:val="none"/>
                <w:shd w:val="clear"/>
                <w:lang w:bidi="ar"/>
              </w:rPr>
              <w:t>设备供货合同中违约而被驱逐或因投标人自身的原因而使</w:t>
            </w:r>
            <w:r>
              <w:rPr>
                <w:rFonts w:hint="eastAsia" w:ascii="宋体" w:hAnsi="宋体"/>
                <w:snapToGrid w:val="0"/>
                <w:color w:val="auto"/>
                <w:sz w:val="24"/>
                <w:szCs w:val="24"/>
                <w:highlight w:val="none"/>
                <w:shd w:val="clear"/>
                <w:lang w:val="en-US" w:eastAsia="zh-CN" w:bidi="ar"/>
              </w:rPr>
              <w:t>所投品牌</w:t>
            </w:r>
            <w:r>
              <w:rPr>
                <w:rFonts w:hint="eastAsia" w:ascii="宋体" w:hAnsi="宋体"/>
                <w:snapToGrid w:val="0"/>
                <w:color w:val="auto"/>
                <w:sz w:val="24"/>
                <w:szCs w:val="24"/>
                <w:highlight w:val="none"/>
                <w:shd w:val="clear"/>
                <w:lang w:bidi="ar"/>
              </w:rPr>
              <w:t>设备供货合同被解除。</w:t>
            </w:r>
          </w:p>
        </w:tc>
      </w:tr>
    </w:tbl>
    <w:p w14:paraId="6A03DBA2">
      <w:pPr>
        <w:jc w:val="center"/>
        <w:rPr>
          <w:rFonts w:hint="eastAsia" w:ascii="黑体" w:hAnsi="黑体" w:eastAsia="黑体" w:cs="黑体"/>
          <w:bCs/>
          <w:sz w:val="24"/>
          <w:highlight w:val="none"/>
        </w:rPr>
      </w:pPr>
    </w:p>
    <w:p w14:paraId="12833400">
      <w:pPr>
        <w:jc w:val="center"/>
        <w:rPr>
          <w:rFonts w:hint="eastAsia" w:ascii="黑体" w:hAnsi="黑体" w:eastAsia="黑体" w:cs="黑体"/>
          <w:bCs/>
          <w:sz w:val="24"/>
          <w:highlight w:val="none"/>
        </w:rPr>
      </w:pPr>
    </w:p>
    <w:p w14:paraId="2F215673">
      <w:pPr>
        <w:widowControl/>
        <w:jc w:val="left"/>
        <w:rPr>
          <w:rFonts w:ascii="宋体" w:hAnsi="宋体"/>
          <w:b/>
          <w:sz w:val="24"/>
          <w:highlight w:val="none"/>
        </w:rPr>
      </w:pPr>
    </w:p>
    <w:p w14:paraId="04B13BA1">
      <w:pPr>
        <w:pStyle w:val="2"/>
        <w:rPr>
          <w:rFonts w:hint="eastAsia"/>
          <w:highlight w:val="none"/>
        </w:rPr>
      </w:pPr>
    </w:p>
    <w:p w14:paraId="0D5E5E6D">
      <w:pPr>
        <w:pStyle w:val="4"/>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47943860"/>
      <w:bookmarkStart w:id="1" w:name="_Toc136511007"/>
      <w:bookmarkStart w:id="2" w:name="_Toc16918"/>
      <w:bookmarkStart w:id="3" w:name="_Toc10475"/>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6EFE227B">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134792892"/>
      <w:bookmarkStart w:id="5" w:name="_Toc459307890"/>
      <w:bookmarkStart w:id="6" w:name="_Toc134792341"/>
      <w:bookmarkStart w:id="7" w:name="_Toc509660966"/>
      <w:bookmarkStart w:id="8" w:name="_Toc531949857"/>
      <w:bookmarkStart w:id="9" w:name="_Toc134890444"/>
      <w:bookmarkStart w:id="10" w:name="_Toc509659998"/>
      <w:bookmarkStart w:id="11" w:name="_Toc134890522"/>
      <w:bookmarkStart w:id="12" w:name="_Toc450319202"/>
      <w:bookmarkStart w:id="13" w:name="_Toc134792409"/>
      <w:bookmarkStart w:id="14" w:name="_Toc502992691"/>
      <w:bookmarkStart w:id="15" w:name="_Toc444088432"/>
      <w:bookmarkStart w:id="16" w:name="_Toc445382083"/>
      <w:bookmarkStart w:id="17" w:name="_Toc444271617"/>
      <w:bookmarkStart w:id="18" w:name="_Toc445222503"/>
      <w:r>
        <w:rPr>
          <w:rFonts w:ascii="宋体" w:hAnsi="宋体"/>
          <w:b/>
          <w:bCs/>
          <w:snapToGrid w:val="0"/>
          <w:color w:val="auto"/>
          <w:kern w:val="0"/>
          <w:sz w:val="24"/>
          <w:highlight w:val="none"/>
        </w:rPr>
        <w:t>评标办法（技术评分最低标价法）</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65C4702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1"/>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9D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0C63BD4F">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61F2D9D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6E62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A66E8DE">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2E75C0C1">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1F7AC81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本次评标采用技术评分最低标价法，双信封形式。</w:t>
            </w:r>
          </w:p>
          <w:p w14:paraId="0E49677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评标委员会对满足招标文件实质性要求的投标文件第一个信封，按照本章第2.2款规定的评分标准进行打分，并按</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得分由高到低顺序确定</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3名投标人进入第二个信封评审。若</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得分相同，以技术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得分高的投标人优先</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得分也相同的，以</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得分高的投标人优先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w:t>
            </w:r>
            <w:r>
              <w:rPr>
                <w:rFonts w:hint="eastAsia" w:ascii="宋体" w:hAnsi="宋体" w:eastAsia="宋体" w:cs="宋体"/>
                <w:color w:val="auto"/>
                <w:sz w:val="24"/>
                <w:szCs w:val="24"/>
                <w:highlight w:val="none"/>
                <w:lang w:eastAsia="zh-CN"/>
              </w:rPr>
              <w:t>也相同的，</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合同金额高的</w:t>
            </w:r>
            <w:r>
              <w:rPr>
                <w:rFonts w:hint="eastAsia" w:ascii="宋体" w:hAnsi="宋体" w:eastAsia="宋体" w:cs="宋体"/>
                <w:color w:val="auto"/>
                <w:sz w:val="24"/>
                <w:szCs w:val="24"/>
                <w:highlight w:val="none"/>
              </w:rPr>
              <w:t>投标人优先。未通过第一信封评审</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highlight w:val="none"/>
                <w:lang w:val="en-US" w:eastAsia="zh-CN"/>
              </w:rPr>
              <w:t>综合得分</w:t>
            </w:r>
            <w:r>
              <w:rPr>
                <w:rFonts w:hint="eastAsia" w:ascii="宋体" w:hAnsi="宋体" w:eastAsia="宋体" w:cs="宋体"/>
                <w:color w:val="auto"/>
                <w:sz w:val="24"/>
                <w:szCs w:val="24"/>
                <w:highlight w:val="none"/>
              </w:rPr>
              <w:t>未进入前3名的投标人，其第二信</w:t>
            </w:r>
            <w:r>
              <w:rPr>
                <w:rFonts w:hint="eastAsia" w:ascii="宋体" w:hAnsi="宋体" w:cs="宋体"/>
                <w:color w:val="auto"/>
                <w:sz w:val="24"/>
                <w:szCs w:val="24"/>
                <w:highlight w:val="none"/>
                <w:lang w:val="en-US" w:eastAsia="zh-CN"/>
              </w:rPr>
              <w:t>封在整个评标期间不再开封，不随任何因素发生变化</w:t>
            </w:r>
            <w:r>
              <w:rPr>
                <w:rFonts w:hint="eastAsia" w:ascii="宋体" w:hAnsi="宋体" w:eastAsia="宋体" w:cs="宋体"/>
                <w:color w:val="auto"/>
                <w:sz w:val="24"/>
                <w:szCs w:val="24"/>
                <w:highlight w:val="none"/>
              </w:rPr>
              <w:t>。</w:t>
            </w:r>
          </w:p>
          <w:p w14:paraId="77080A1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w:t>
            </w:r>
            <w:r>
              <w:rPr>
                <w:rFonts w:hint="eastAsia" w:ascii="宋体" w:hAnsi="宋体" w:cs="宋体"/>
                <w:color w:val="auto"/>
                <w:sz w:val="24"/>
                <w:szCs w:val="24"/>
                <w:highlight w:val="none"/>
                <w:lang w:val="en-US" w:eastAsia="zh-CN"/>
              </w:rPr>
              <w:t>对投标文件第二个信封进行评审，并</w:t>
            </w:r>
            <w:r>
              <w:rPr>
                <w:rFonts w:hint="eastAsia" w:ascii="宋体" w:hAnsi="宋体" w:eastAsia="宋体" w:cs="宋体"/>
                <w:color w:val="auto"/>
                <w:sz w:val="24"/>
                <w:szCs w:val="24"/>
                <w:highlight w:val="none"/>
              </w:rPr>
              <w:t>按评标价由低到高的顺序，向招标人推荐1-3名中标候选人。</w:t>
            </w:r>
          </w:p>
          <w:p w14:paraId="1486138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评标价相等时，评标委员会依次按照以下优先顺序推荐中标候选人：</w:t>
            </w:r>
          </w:p>
          <w:p w14:paraId="51AAD898">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第一个信封技术</w:t>
            </w:r>
            <w:r>
              <w:rPr>
                <w:rFonts w:hint="eastAsia" w:ascii="宋体" w:hAnsi="宋体" w:cs="宋体"/>
                <w:color w:val="auto"/>
                <w:sz w:val="24"/>
                <w:szCs w:val="24"/>
                <w:highlight w:val="none"/>
                <w:lang w:eastAsia="zh-CN"/>
              </w:rPr>
              <w:t>部分</w:t>
            </w:r>
            <w:r>
              <w:rPr>
                <w:rFonts w:hint="eastAsia" w:ascii="宋体" w:hAnsi="宋体" w:eastAsia="宋体" w:cs="宋体"/>
                <w:color w:val="auto"/>
                <w:sz w:val="24"/>
                <w:szCs w:val="24"/>
                <w:highlight w:val="none"/>
              </w:rPr>
              <w:t>得分较高的</w:t>
            </w:r>
            <w:r>
              <w:rPr>
                <w:rFonts w:hint="eastAsia" w:ascii="宋体" w:hAnsi="宋体" w:cs="宋体"/>
                <w:color w:val="auto"/>
                <w:sz w:val="24"/>
                <w:szCs w:val="24"/>
                <w:highlight w:val="none"/>
                <w:lang w:val="en-US" w:eastAsia="zh-CN"/>
              </w:rPr>
              <w:t>投标人</w:t>
            </w:r>
            <w:r>
              <w:rPr>
                <w:rFonts w:hint="eastAsia" w:ascii="宋体" w:hAnsi="宋体" w:eastAsia="宋体" w:cs="宋体"/>
                <w:color w:val="auto"/>
                <w:sz w:val="24"/>
                <w:szCs w:val="24"/>
                <w:highlight w:val="none"/>
              </w:rPr>
              <w:t>优先；</w:t>
            </w:r>
          </w:p>
          <w:p w14:paraId="5344035D">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第一个信封技术部分（明标）得分较高的</w:t>
            </w:r>
            <w:r>
              <w:rPr>
                <w:rFonts w:hint="eastAsia" w:ascii="宋体" w:hAnsi="宋体" w:cs="宋体"/>
                <w:color w:val="auto"/>
                <w:sz w:val="24"/>
                <w:szCs w:val="24"/>
                <w:highlight w:val="none"/>
                <w:lang w:val="en-US" w:eastAsia="zh-CN"/>
              </w:rPr>
              <w:t>投标人</w:t>
            </w:r>
            <w:r>
              <w:rPr>
                <w:rFonts w:hint="eastAsia" w:ascii="宋体" w:hAnsi="宋体" w:cs="宋体"/>
                <w:color w:val="auto"/>
                <w:sz w:val="24"/>
                <w:szCs w:val="24"/>
                <w:highlight w:val="none"/>
                <w:lang w:eastAsia="zh-CN"/>
              </w:rPr>
              <w:t>优先；</w:t>
            </w:r>
          </w:p>
          <w:p w14:paraId="0D2824D1">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w:t>
            </w:r>
            <w:r>
              <w:rPr>
                <w:rFonts w:hint="eastAsia" w:ascii="宋体" w:hAnsi="宋体" w:eastAsia="宋体" w:cs="宋体"/>
                <w:color w:val="auto"/>
                <w:sz w:val="24"/>
                <w:szCs w:val="24"/>
                <w:highlight w:val="none"/>
              </w:rPr>
              <w:t>的投标人优先；</w:t>
            </w:r>
          </w:p>
        </w:tc>
      </w:tr>
      <w:tr w14:paraId="0F9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0129EE1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6736A365">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3321A62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06847FDC">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第一个信封（商务文件）评审标准：</w:t>
            </w:r>
          </w:p>
          <w:p w14:paraId="5CCE8DC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356ACE5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标段号、</w:t>
            </w:r>
            <w:r>
              <w:rPr>
                <w:rFonts w:hint="eastAsia" w:ascii="宋体" w:hAnsi="宋体" w:eastAsia="宋体" w:cs="宋体"/>
                <w:color w:val="auto"/>
                <w:sz w:val="24"/>
                <w:szCs w:val="24"/>
                <w:highlight w:val="none"/>
              </w:rPr>
              <w:t>补遗书编号（如有）、交货地点、交货期</w:t>
            </w:r>
            <w:r>
              <w:rPr>
                <w:rFonts w:hint="eastAsia" w:ascii="宋体" w:hAnsi="宋体" w:cs="宋体"/>
                <w:color w:val="auto"/>
                <w:sz w:val="24"/>
                <w:szCs w:val="24"/>
                <w:highlight w:val="none"/>
                <w:lang w:val="en-US" w:eastAsia="zh-CN"/>
              </w:rPr>
              <w:t>和质量标准</w:t>
            </w:r>
            <w:r>
              <w:rPr>
                <w:rFonts w:hint="eastAsia" w:ascii="宋体" w:hAnsi="宋体" w:eastAsia="宋体" w:cs="宋体"/>
                <w:color w:val="auto"/>
                <w:sz w:val="24"/>
                <w:szCs w:val="24"/>
                <w:highlight w:val="none"/>
              </w:rPr>
              <w:t>；</w:t>
            </w:r>
          </w:p>
          <w:p w14:paraId="39AEEC9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2C6213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4525D23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3F75936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67E1651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1EE7DAE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432BFD58">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（7）投标人未对本项目进行分包。</w:t>
            </w:r>
          </w:p>
          <w:p w14:paraId="1D0501B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（8）同一投标人未</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提交两个以上不同的投标文件。</w:t>
            </w:r>
          </w:p>
          <w:p w14:paraId="6AF6FD7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（9）投标文件中未出现有关投标报价的内容。</w:t>
            </w:r>
          </w:p>
          <w:p w14:paraId="154A37D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（10）投标文件载明的招标项目完成期限未超过招标文件规定的时限。</w:t>
            </w:r>
          </w:p>
          <w:p w14:paraId="5E31544C">
            <w:pPr>
              <w:snapToGrid w:val="0"/>
              <w:spacing w:line="24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（11）投标人递交的投标文件与所投标段一致。</w:t>
            </w:r>
          </w:p>
          <w:p w14:paraId="3F16ACC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）投标文件对招标文件的实质性要求和条件作出响应。</w:t>
            </w:r>
          </w:p>
          <w:p w14:paraId="66F4C219">
            <w:pPr>
              <w:snapToGrid w:val="0"/>
              <w:spacing w:line="240" w:lineRule="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3</w:t>
            </w:r>
            <w:r>
              <w:rPr>
                <w:rFonts w:hint="eastAsia" w:ascii="宋体" w:hAnsi="宋体" w:eastAsia="宋体" w:cs="宋体"/>
                <w:strike w:val="0"/>
                <w:dstrike w:val="0"/>
                <w:color w:val="auto"/>
                <w:sz w:val="24"/>
                <w:szCs w:val="24"/>
                <w:highlight w:val="none"/>
              </w:rPr>
              <w:t>）投标文件中投标设备的主要技术指标满足招标文件（</w:t>
            </w:r>
            <w:r>
              <w:rPr>
                <w:rFonts w:hint="eastAsia" w:ascii="宋体" w:hAnsi="宋体" w:cs="宋体"/>
                <w:strike w:val="0"/>
                <w:dstrike w:val="0"/>
                <w:color w:val="auto"/>
                <w:sz w:val="24"/>
                <w:szCs w:val="24"/>
                <w:highlight w:val="none"/>
                <w:lang w:val="en-US" w:eastAsia="zh-CN"/>
              </w:rPr>
              <w:t>供货要求中</w:t>
            </w:r>
            <w:r>
              <w:rPr>
                <w:rFonts w:hint="eastAsia" w:ascii="宋体" w:hAnsi="宋体" w:eastAsia="宋体" w:cs="宋体"/>
                <w:strike w:val="0"/>
                <w:dstrike w:val="0"/>
                <w:color w:val="auto"/>
                <w:sz w:val="24"/>
                <w:szCs w:val="24"/>
                <w:highlight w:val="none"/>
              </w:rPr>
              <w:t>带</w:t>
            </w:r>
            <w:r>
              <w:rPr>
                <w:rFonts w:hint="eastAsia"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rPr>
              <w:t>的条款）的要求</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并按照招标文件1.11.3款规定提供相关材料</w:t>
            </w:r>
            <w:r>
              <w:rPr>
                <w:rFonts w:hint="eastAsia" w:ascii="宋体" w:hAnsi="宋体" w:eastAsia="宋体" w:cs="宋体"/>
                <w:strike w:val="0"/>
                <w:dstrike w:val="0"/>
                <w:color w:val="auto"/>
                <w:sz w:val="24"/>
                <w:szCs w:val="24"/>
                <w:highlight w:val="none"/>
              </w:rPr>
              <w:t>。</w:t>
            </w:r>
          </w:p>
          <w:p w14:paraId="4E1E1D5C">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4</w:t>
            </w:r>
            <w:r>
              <w:rPr>
                <w:rFonts w:hint="eastAsia" w:ascii="宋体" w:hAnsi="宋体" w:eastAsia="宋体" w:cs="宋体"/>
                <w:strike w:val="0"/>
                <w:dstrike w:val="0"/>
                <w:color w:val="auto"/>
                <w:sz w:val="24"/>
                <w:szCs w:val="24"/>
                <w:highlight w:val="none"/>
              </w:rPr>
              <w:t>）权利义务符合招标文件规定：</w:t>
            </w:r>
          </w:p>
          <w:p w14:paraId="69F48319">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a．投标人应接受招标文件规定的风险划分原则，未提出新的风险划分办法；</w:t>
            </w:r>
          </w:p>
          <w:p w14:paraId="1ACEAD40">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b．投标人未增加发包人的责任范围，或减少投标人义务；</w:t>
            </w:r>
          </w:p>
          <w:p w14:paraId="1D58A522">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c．投标人未提出不同的验收、计量、支付办法；</w:t>
            </w:r>
          </w:p>
          <w:p w14:paraId="2DEFB7CD">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d．投标人对合同纠纷、事故处理办法未提出异议；</w:t>
            </w:r>
          </w:p>
          <w:p w14:paraId="63A19FA3">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e．投标人在投标活动中无欺诈行为；</w:t>
            </w:r>
          </w:p>
          <w:p w14:paraId="6BE343EF">
            <w:pPr>
              <w:snapToGrid w:val="0"/>
              <w:spacing w:line="320" w:lineRule="exact"/>
              <w:jc w:val="left"/>
              <w:textAlignment w:val="baseline"/>
              <w:rPr>
                <w:rFonts w:hint="eastAsia" w:ascii="宋体" w:hAnsi="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f．投标人未对合同条款有重要保留</w:t>
            </w:r>
            <w:r>
              <w:rPr>
                <w:rFonts w:hint="eastAsia" w:ascii="宋体" w:hAnsi="宋体" w:cs="宋体"/>
                <w:strike w:val="0"/>
                <w:dstrike w:val="0"/>
                <w:color w:val="auto"/>
                <w:sz w:val="24"/>
                <w:szCs w:val="24"/>
                <w:highlight w:val="none"/>
                <w:lang w:eastAsia="zh-CN"/>
              </w:rPr>
              <w:t>。</w:t>
            </w:r>
          </w:p>
          <w:p w14:paraId="0199018F">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第一个信封（技术文件）评审标准： </w:t>
            </w:r>
          </w:p>
          <w:p w14:paraId="2C7BB2F6">
            <w:pPr>
              <w:widowControl/>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（暗标）编制符合招标文件第二章“投标人须知”第 10.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款的规定。</w:t>
            </w:r>
          </w:p>
          <w:p w14:paraId="14518285">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第二个信封（报价文件）评审标准：</w:t>
            </w:r>
          </w:p>
          <w:p w14:paraId="01BCDAA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454962E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标段号、</w:t>
            </w:r>
            <w:r>
              <w:rPr>
                <w:rFonts w:hint="eastAsia" w:ascii="宋体" w:hAnsi="宋体" w:eastAsia="宋体" w:cs="宋体"/>
                <w:color w:val="auto"/>
                <w:sz w:val="24"/>
                <w:szCs w:val="24"/>
                <w:highlight w:val="none"/>
              </w:rPr>
              <w:t>补遗书编号（如有）、投标</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（包括大写金额和小写金额）；</w:t>
            </w:r>
          </w:p>
          <w:p w14:paraId="545C670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0679942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（2）投标文件上法定代表人或委托代理人的签字、投标人的单位章盖章齐全，符合招标文件规定。</w:t>
            </w:r>
          </w:p>
          <w:p w14:paraId="09517E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（3）投标报价未超过招标文件设定</w:t>
            </w:r>
            <w:r>
              <w:rPr>
                <w:rFonts w:hint="eastAsia" w:ascii="宋体" w:hAnsi="宋体" w:cs="宋体"/>
                <w:color w:val="auto"/>
                <w:sz w:val="24"/>
                <w:szCs w:val="24"/>
                <w:highlight w:val="none"/>
                <w:lang w:val="en-US" w:eastAsia="zh-CN"/>
              </w:rPr>
              <w:t>的所投标段</w:t>
            </w:r>
            <w:r>
              <w:rPr>
                <w:rFonts w:hint="eastAsia" w:ascii="宋体" w:hAnsi="宋体" w:eastAsia="宋体" w:cs="宋体"/>
                <w:color w:val="auto"/>
                <w:sz w:val="24"/>
                <w:szCs w:val="24"/>
                <w:highlight w:val="none"/>
              </w:rPr>
              <w:t>的最高</w:t>
            </w: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rPr>
              <w:t>限价。</w:t>
            </w:r>
          </w:p>
          <w:p w14:paraId="4C36118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（4）投标报价的大写金额能够确定具体数值。</w:t>
            </w:r>
          </w:p>
          <w:p w14:paraId="7E47AA3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（5）同一投标人</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11EFB639">
            <w:pPr>
              <w:snapToGrid w:val="0"/>
              <w:spacing w:line="320" w:lineRule="exact"/>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分项报价表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eastAsia="zh-CN"/>
              </w:rPr>
              <w:t>投标报价</w:t>
            </w:r>
            <w:r>
              <w:rPr>
                <w:rFonts w:hint="eastAsia" w:ascii="宋体" w:hAnsi="宋体" w:eastAsia="宋体" w:cs="宋体"/>
                <w:color w:val="auto"/>
                <w:sz w:val="24"/>
                <w:szCs w:val="24"/>
                <w:highlight w:val="none"/>
              </w:rPr>
              <w:t>大写金额一致。</w:t>
            </w:r>
          </w:p>
          <w:p w14:paraId="67F73E12">
            <w:pPr>
              <w:snapToGrid w:val="0"/>
              <w:spacing w:line="240" w:lineRule="auto"/>
              <w:rPr>
                <w:rFonts w:hint="default" w:eastAsia="宋体"/>
                <w:color w:val="auto"/>
                <w:highlight w:val="none"/>
                <w:lang w:val="en-US" w:eastAsia="zh-CN"/>
              </w:rPr>
            </w:pPr>
            <w:r>
              <w:rPr>
                <w:rFonts w:hint="eastAsia" w:ascii="宋体" w:hAnsi="宋体" w:cs="宋体"/>
                <w:color w:val="auto"/>
                <w:sz w:val="24"/>
                <w:szCs w:val="24"/>
                <w:highlight w:val="none"/>
                <w:lang w:val="en-US" w:eastAsia="zh-CN"/>
              </w:rPr>
              <w:t>（7）投标人递交的投标文件与所投标段一致。</w:t>
            </w:r>
          </w:p>
        </w:tc>
      </w:tr>
      <w:tr w14:paraId="340C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3" w:hRule="atLeast"/>
          <w:jc w:val="center"/>
        </w:trPr>
        <w:tc>
          <w:tcPr>
            <w:tcW w:w="1143" w:type="dxa"/>
            <w:noWrap w:val="0"/>
            <w:vAlign w:val="center"/>
          </w:tcPr>
          <w:p w14:paraId="3B6DD91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6499C9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11CAF2D4">
            <w:pPr>
              <w:numPr>
                <w:ilvl w:val="0"/>
                <w:numId w:val="3"/>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投标人具备有效的企业营业执照或事业单位法人证书复印件或依照《中华人民共和国民法典》规定取得的登记或批准文件复印件和基本账户开户许可证（或基本存款账户信息）；</w:t>
            </w:r>
          </w:p>
          <w:p w14:paraId="1EC76381">
            <w:pPr>
              <w:numPr>
                <w:ilvl w:val="0"/>
                <w:numId w:val="0"/>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3D498AA3">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5967FC8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7F76F78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（5）投标人不存在第二章“投标人须知”第1.4.3项规定的任何一种情形。</w:t>
            </w:r>
          </w:p>
        </w:tc>
      </w:tr>
      <w:tr w14:paraId="38B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498532C">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1049145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78BA597B">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7D3D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2210E13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425FDF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第一个信封</w:t>
            </w:r>
            <w:r>
              <w:rPr>
                <w:rFonts w:hint="eastAsia" w:ascii="宋体" w:hAnsi="宋体" w:eastAsia="宋体" w:cs="宋体"/>
                <w:color w:val="auto"/>
                <w:sz w:val="24"/>
                <w:szCs w:val="24"/>
                <w:highlight w:val="none"/>
              </w:rPr>
              <w:t>分值构成</w:t>
            </w:r>
          </w:p>
          <w:p w14:paraId="12304A1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2E954D5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p w14:paraId="1CA7B4DA">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r>
              <w:rPr>
                <w:rFonts w:hint="eastAsia" w:ascii="宋体" w:hAnsi="宋体" w:cs="宋体"/>
                <w:color w:val="auto"/>
                <w:sz w:val="24"/>
                <w:szCs w:val="24"/>
                <w:highlight w:val="none"/>
                <w:lang w:val="en-US" w:eastAsia="zh-CN"/>
              </w:rPr>
              <w:t>80</w:t>
            </w:r>
            <w:r>
              <w:rPr>
                <w:rFonts w:hint="eastAsia" w:ascii="宋体" w:hAnsi="宋体" w:eastAsia="宋体" w:cs="宋体"/>
                <w:color w:val="auto"/>
                <w:sz w:val="24"/>
                <w:szCs w:val="24"/>
                <w:highlight w:val="none"/>
              </w:rPr>
              <w:t>分</w:t>
            </w:r>
          </w:p>
          <w:p w14:paraId="107BEC00">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其他评分因素：0分</w:t>
            </w:r>
          </w:p>
        </w:tc>
      </w:tr>
      <w:tr w14:paraId="4828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D73A48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23B8A5DE">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第二个信封详细评审标准</w:t>
            </w:r>
          </w:p>
        </w:tc>
        <w:tc>
          <w:tcPr>
            <w:tcW w:w="7197" w:type="dxa"/>
            <w:noWrap w:val="0"/>
            <w:vAlign w:val="center"/>
          </w:tcPr>
          <w:p w14:paraId="31C6DA41">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评标价计算公式：</w:t>
            </w:r>
          </w:p>
          <w:p w14:paraId="07407BF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tc>
      </w:tr>
      <w:tr w14:paraId="05E6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3563103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p>
        </w:tc>
        <w:tc>
          <w:tcPr>
            <w:tcW w:w="1317" w:type="dxa"/>
            <w:noWrap w:val="0"/>
            <w:vAlign w:val="center"/>
          </w:tcPr>
          <w:p w14:paraId="46F11C7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通过第一个信封详细评审的投标人数量</w:t>
            </w:r>
          </w:p>
        </w:tc>
        <w:tc>
          <w:tcPr>
            <w:tcW w:w="7197" w:type="dxa"/>
            <w:noWrap w:val="0"/>
            <w:vAlign w:val="center"/>
          </w:tcPr>
          <w:p w14:paraId="73D9D4EF">
            <w:pPr>
              <w:adjustRightInd w:val="0"/>
              <w:snapToGrid w:val="0"/>
              <w:spacing w:line="240" w:lineRule="auto"/>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按照投标人的</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得分由高到低排序，选择前3名</w:t>
            </w:r>
            <w:r>
              <w:rPr>
                <w:rFonts w:hint="eastAsia" w:ascii="宋体" w:hAnsi="宋体" w:cs="宋体"/>
                <w:color w:val="auto"/>
                <w:sz w:val="24"/>
                <w:szCs w:val="24"/>
                <w:highlight w:val="none"/>
                <w:lang w:val="en-US" w:eastAsia="zh-CN"/>
              </w:rPr>
              <w:t>进入第二信封</w:t>
            </w:r>
            <w:r>
              <w:rPr>
                <w:rFonts w:hint="eastAsia" w:ascii="宋体" w:hAnsi="宋体" w:eastAsia="宋体" w:cs="宋体"/>
                <w:color w:val="auto"/>
                <w:sz w:val="24"/>
                <w:szCs w:val="24"/>
                <w:highlight w:val="none"/>
              </w:rPr>
              <w:t>评审</w:t>
            </w:r>
            <w:r>
              <w:rPr>
                <w:rFonts w:hint="eastAsia" w:ascii="宋体" w:hAnsi="宋体" w:cs="宋体"/>
                <w:color w:val="auto"/>
                <w:sz w:val="24"/>
                <w:szCs w:val="24"/>
                <w:highlight w:val="none"/>
                <w:lang w:eastAsia="zh-CN"/>
              </w:rPr>
              <w:t>。</w:t>
            </w:r>
          </w:p>
        </w:tc>
      </w:tr>
      <w:tr w14:paraId="06CD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2460" w:type="dxa"/>
            <w:gridSpan w:val="2"/>
            <w:noWrap w:val="0"/>
            <w:vAlign w:val="center"/>
          </w:tcPr>
          <w:p w14:paraId="6A1F8F5B">
            <w:pPr>
              <w:snapToGrid w:val="0"/>
              <w:spacing w:line="240" w:lineRule="auto"/>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3.5.3异常低价评审</w:t>
            </w:r>
          </w:p>
        </w:tc>
        <w:tc>
          <w:tcPr>
            <w:tcW w:w="7197" w:type="dxa"/>
            <w:noWrap w:val="0"/>
            <w:vAlign w:val="center"/>
          </w:tcPr>
          <w:p w14:paraId="0297F68F">
            <w:pPr>
              <w:snapToGrid w:val="0"/>
              <w:spacing w:line="240" w:lineRule="auto"/>
              <w:rPr>
                <w:rFonts w:hint="eastAsia"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lang w:val="en-US" w:eastAsia="zh-CN"/>
              </w:rPr>
              <w:t>本款修改为：</w:t>
            </w:r>
          </w:p>
          <w:p w14:paraId="1351EAF6">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u w:val="none"/>
              </w:rPr>
              <w:t>评标委员会发现投标人的投标报价低于最高投标限价的60%</w:t>
            </w:r>
            <w:r>
              <w:rPr>
                <w:rFonts w:hint="eastAsia" w:ascii="宋体" w:hAnsi="宋体" w:cs="宋体"/>
                <w:strike w:val="0"/>
                <w:dstrike w:val="0"/>
                <w:color w:val="auto"/>
                <w:sz w:val="24"/>
                <w:szCs w:val="24"/>
                <w:highlight w:val="none"/>
                <w:u w:val="none"/>
                <w:lang w:eastAsia="zh-CN"/>
              </w:rPr>
              <w:t>（</w:t>
            </w:r>
            <w:r>
              <w:rPr>
                <w:rFonts w:hint="eastAsia" w:ascii="宋体" w:hAnsi="宋体" w:cs="宋体"/>
                <w:strike w:val="0"/>
                <w:dstrike w:val="0"/>
                <w:color w:val="auto"/>
                <w:sz w:val="24"/>
                <w:szCs w:val="24"/>
                <w:highlight w:val="none"/>
                <w:u w:val="none"/>
                <w:lang w:val="en-US" w:eastAsia="zh-CN"/>
              </w:rPr>
              <w:t>含</w:t>
            </w:r>
            <w:r>
              <w:rPr>
                <w:rFonts w:hint="eastAsia" w:ascii="宋体" w:hAnsi="宋体" w:cs="宋体"/>
                <w:strike w:val="0"/>
                <w:dstrike w:val="0"/>
                <w:color w:val="auto"/>
                <w:sz w:val="24"/>
                <w:szCs w:val="24"/>
                <w:highlight w:val="none"/>
                <w:u w:val="none"/>
                <w:lang w:eastAsia="zh-CN"/>
              </w:rPr>
              <w:t>）</w:t>
            </w:r>
            <w:r>
              <w:rPr>
                <w:rFonts w:hint="eastAsia" w:ascii="宋体" w:hAnsi="宋体" w:eastAsia="宋体" w:cs="宋体"/>
                <w:strike w:val="0"/>
                <w:dstrike w:val="0"/>
                <w:color w:val="auto"/>
                <w:sz w:val="24"/>
                <w:szCs w:val="24"/>
                <w:highlight w:val="none"/>
                <w:u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7F1E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16E3EBA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061A5BAB">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3C828FC2">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0BEE61D1">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1.评标委员会在评标过程中将对投标人的信誉情况进行查询。如投标</w:t>
            </w:r>
          </w:p>
          <w:p w14:paraId="0653C25B">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人存在下列情形之一的，评标委员会应否决其投标。</w:t>
            </w:r>
          </w:p>
          <w:p w14:paraId="37C301A4">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(1)在国家企业信用信息公示系统(https://www.gsxt.gov.cn/)中被列入严重违法失信名单(黑名单)(不含分公司，事业单位不适用);</w:t>
            </w:r>
          </w:p>
          <w:p w14:paraId="1483F563">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(2)在“信用中国"网站(http://www.creditchina.gov.cn/)中被列入经营(活动)异常名录、重大税收违法失信主体名单和政府采购严重违法失信行为记录名单(均不含分公司);</w:t>
            </w:r>
          </w:p>
          <w:p w14:paraId="784A723F">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(3)在中国执行信息公开网(zxgk.court.gov.cn)中被列入失信被执行人(不含分公司)。</w:t>
            </w:r>
          </w:p>
          <w:p w14:paraId="2A73B2F9">
            <w:pPr>
              <w:pStyle w:val="2"/>
              <w:rPr>
                <w:rFonts w:hint="eastAsia" w:eastAsia="宋体"/>
                <w:highlight w:val="none"/>
                <w:lang w:val="en-US" w:eastAsia="zh-CN"/>
              </w:rPr>
            </w:pPr>
            <w:r>
              <w:rPr>
                <w:rFonts w:hint="eastAsia" w:cs="宋体"/>
                <w:strike w:val="0"/>
                <w:dstrike w:val="0"/>
                <w:color w:val="auto"/>
                <w:sz w:val="24"/>
                <w:szCs w:val="24"/>
                <w:highlight w:val="none"/>
                <w:u w:val="none"/>
                <w:lang w:val="en-US" w:eastAsia="zh-CN"/>
              </w:rPr>
              <w:t>注：以上查询结果以开标当日查询结果为准。</w:t>
            </w:r>
          </w:p>
          <w:p w14:paraId="4A701B51">
            <w:pPr>
              <w:snapToGrid w:val="0"/>
              <w:spacing w:line="240" w:lineRule="auto"/>
              <w:rPr>
                <w:rFonts w:hint="eastAsia" w:ascii="宋体" w:hAnsi="宋体" w:eastAsia="宋体" w:cs="宋体"/>
                <w:color w:val="auto"/>
                <w:sz w:val="24"/>
                <w:szCs w:val="24"/>
                <w:highlight w:val="none"/>
              </w:rPr>
            </w:pPr>
          </w:p>
        </w:tc>
      </w:tr>
      <w:tr w14:paraId="1DB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48660B7">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3.6.3</w:t>
            </w:r>
          </w:p>
        </w:tc>
        <w:tc>
          <w:tcPr>
            <w:tcW w:w="1317" w:type="dxa"/>
            <w:noWrap w:val="0"/>
            <w:vAlign w:val="center"/>
          </w:tcPr>
          <w:p w14:paraId="5D87B5DA">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投标人其他异常投标情形</w:t>
            </w:r>
          </w:p>
        </w:tc>
        <w:tc>
          <w:tcPr>
            <w:tcW w:w="7197" w:type="dxa"/>
            <w:noWrap w:val="0"/>
            <w:vAlign w:val="center"/>
          </w:tcPr>
          <w:p w14:paraId="2D08EE7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评标委员会在评标过程中发现存在投标文件异常一致或投标活动异常关联等异常投标情形的，</w:t>
            </w:r>
            <w:r>
              <w:rPr>
                <w:rFonts w:hint="eastAsia" w:ascii="宋体" w:hAnsi="宋体" w:eastAsia="宋体" w:cs="宋体"/>
                <w:strike w:val="0"/>
                <w:dstrike w:val="0"/>
                <w:color w:val="auto"/>
                <w:sz w:val="24"/>
                <w:szCs w:val="24"/>
                <w:highlight w:val="none"/>
                <w:u w:val="none"/>
              </w:rPr>
              <w:t>应当要求投标人在规定时间内作出书面说明并提供相应的证明材料。投标人不能合理说明或者不能提供相应证明材料的，评标委员会应当认定投标人</w:t>
            </w:r>
            <w:r>
              <w:rPr>
                <w:rFonts w:hint="eastAsia" w:ascii="宋体" w:hAnsi="宋体" w:eastAsia="宋体" w:cs="宋体"/>
                <w:strike w:val="0"/>
                <w:dstrike w:val="0"/>
                <w:color w:val="auto"/>
                <w:sz w:val="24"/>
                <w:szCs w:val="24"/>
                <w:highlight w:val="none"/>
                <w:lang w:val="en-US" w:eastAsia="zh-CN"/>
              </w:rPr>
              <w:t>存在投标文件异常一致或投标活动异常关联等异常投标情形，</w:t>
            </w:r>
            <w:r>
              <w:rPr>
                <w:rFonts w:hint="eastAsia" w:ascii="宋体" w:hAnsi="宋体" w:cs="宋体"/>
                <w:strike w:val="0"/>
                <w:dstrike w:val="0"/>
                <w:color w:val="auto"/>
                <w:sz w:val="24"/>
                <w:szCs w:val="24"/>
                <w:highlight w:val="none"/>
                <w:lang w:val="en-US" w:eastAsia="zh-CN"/>
              </w:rPr>
              <w:t>并</w:t>
            </w:r>
            <w:r>
              <w:rPr>
                <w:rFonts w:hint="eastAsia" w:ascii="宋体" w:hAnsi="宋体" w:eastAsia="宋体" w:cs="宋体"/>
                <w:strike w:val="0"/>
                <w:dstrike w:val="0"/>
                <w:color w:val="auto"/>
                <w:sz w:val="24"/>
                <w:szCs w:val="24"/>
                <w:highlight w:val="none"/>
                <w:lang w:val="en-US" w:eastAsia="zh-CN"/>
              </w:rPr>
              <w:t>否决其投标。</w:t>
            </w:r>
          </w:p>
          <w:p w14:paraId="6C3352F4">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有下列情形之一的，属于投标文件异常一致或投标活动异常关联等异常投标情形：</w:t>
            </w:r>
          </w:p>
          <w:p w14:paraId="46FCBA9D">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（1）投标人投标文件制作机器码雷同；</w:t>
            </w:r>
          </w:p>
          <w:p w14:paraId="669CB213">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（2）投标文件创建标识码雷同；</w:t>
            </w:r>
          </w:p>
          <w:p w14:paraId="7764FE70">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（3）投标文件制作计算机MAC地址雷同；</w:t>
            </w:r>
          </w:p>
          <w:p w14:paraId="7D36871A">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（4）投标文件制作计算机硬盘序列号雷同；</w:t>
            </w:r>
          </w:p>
          <w:p w14:paraId="5C5E9A5B">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（5）招标文件下载IP地址雷同；</w:t>
            </w:r>
          </w:p>
          <w:p w14:paraId="73B3949F">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（6）投标文件上传IP地址雷同；</w:t>
            </w:r>
          </w:p>
          <w:p w14:paraId="1878B02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（7）投标文件解密IP地址雷同。</w:t>
            </w:r>
          </w:p>
        </w:tc>
      </w:tr>
    </w:tbl>
    <w:p w14:paraId="196F5469">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11"/>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2216"/>
        <w:gridCol w:w="894"/>
        <w:gridCol w:w="4119"/>
      </w:tblGrid>
      <w:tr w14:paraId="0CCE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59" w:type="dxa"/>
            <w:noWrap w:val="0"/>
            <w:vAlign w:val="center"/>
          </w:tcPr>
          <w:p w14:paraId="06DD6880">
            <w:pPr>
              <w:pStyle w:val="8"/>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67B67F27">
            <w:pPr>
              <w:pStyle w:val="8"/>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5C4F5707">
            <w:pPr>
              <w:pStyle w:val="8"/>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2216" w:type="dxa"/>
            <w:noWrap w:val="0"/>
            <w:vAlign w:val="center"/>
          </w:tcPr>
          <w:p w14:paraId="3A651958">
            <w:pPr>
              <w:adjustRightInd w:val="0"/>
              <w:snapToGrid w:val="0"/>
              <w:jc w:val="center"/>
              <w:rPr>
                <w:rFonts w:ascii="宋体" w:hAnsi="宋体" w:cs="宋体"/>
                <w:color w:val="auto"/>
                <w:sz w:val="24"/>
                <w:szCs w:val="24"/>
                <w:highlight w:val="none"/>
                <w:u w:val="single"/>
              </w:rPr>
            </w:pPr>
            <w:r>
              <w:rPr>
                <w:rFonts w:hint="eastAsia" w:ascii="宋体" w:hAnsi="宋体" w:cs="宋体"/>
                <w:color w:val="auto"/>
                <w:sz w:val="24"/>
                <w:szCs w:val="24"/>
                <w:highlight w:val="none"/>
              </w:rPr>
              <w:t>评分因素</w:t>
            </w:r>
          </w:p>
        </w:tc>
        <w:tc>
          <w:tcPr>
            <w:tcW w:w="894" w:type="dxa"/>
            <w:noWrap w:val="0"/>
            <w:vAlign w:val="center"/>
          </w:tcPr>
          <w:p w14:paraId="450C3D25">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119" w:type="dxa"/>
            <w:noWrap w:val="0"/>
            <w:vAlign w:val="center"/>
          </w:tcPr>
          <w:p w14:paraId="165B730C">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1B60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71E4AC21">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3D6649E">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3D5AB274">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商务部分</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分）</w:t>
            </w:r>
          </w:p>
        </w:tc>
        <w:tc>
          <w:tcPr>
            <w:tcW w:w="2216" w:type="dxa"/>
            <w:vMerge w:val="restart"/>
            <w:noWrap w:val="0"/>
            <w:vAlign w:val="center"/>
          </w:tcPr>
          <w:p w14:paraId="40FB507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894" w:type="dxa"/>
            <w:vMerge w:val="restart"/>
            <w:noWrap w:val="0"/>
            <w:vAlign w:val="center"/>
          </w:tcPr>
          <w:p w14:paraId="67A67C42">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0分</w:t>
            </w:r>
          </w:p>
        </w:tc>
        <w:tc>
          <w:tcPr>
            <w:tcW w:w="4119" w:type="dxa"/>
            <w:noWrap w:val="0"/>
            <w:vAlign w:val="center"/>
          </w:tcPr>
          <w:p w14:paraId="1D44307F">
            <w:pPr>
              <w:ind w:right="113"/>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满足资格审查条件(业绩最低要求)得</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分；</w:t>
            </w:r>
          </w:p>
        </w:tc>
      </w:tr>
      <w:tr w14:paraId="43D3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131CA5D">
            <w:pPr>
              <w:jc w:val="center"/>
              <w:rPr>
                <w:rFonts w:hint="eastAsia" w:ascii="宋体" w:hAnsi="宋体" w:cs="宋体"/>
                <w:color w:val="auto"/>
                <w:kern w:val="0"/>
                <w:sz w:val="24"/>
                <w:szCs w:val="24"/>
                <w:highlight w:val="none"/>
              </w:rPr>
            </w:pPr>
          </w:p>
        </w:tc>
        <w:tc>
          <w:tcPr>
            <w:tcW w:w="1186" w:type="dxa"/>
            <w:vMerge w:val="continue"/>
            <w:noWrap w:val="0"/>
            <w:vAlign w:val="center"/>
          </w:tcPr>
          <w:p w14:paraId="67D40068">
            <w:pPr>
              <w:jc w:val="center"/>
              <w:rPr>
                <w:rFonts w:hint="eastAsia" w:ascii="宋体" w:hAnsi="宋体" w:cs="宋体"/>
                <w:color w:val="auto"/>
                <w:kern w:val="0"/>
                <w:sz w:val="24"/>
                <w:szCs w:val="24"/>
                <w:highlight w:val="none"/>
              </w:rPr>
            </w:pPr>
          </w:p>
        </w:tc>
        <w:tc>
          <w:tcPr>
            <w:tcW w:w="2216" w:type="dxa"/>
            <w:vMerge w:val="continue"/>
            <w:noWrap w:val="0"/>
            <w:vAlign w:val="center"/>
          </w:tcPr>
          <w:p w14:paraId="6CC326B1">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7A735E45">
            <w:pPr>
              <w:jc w:val="center"/>
              <w:rPr>
                <w:rFonts w:hint="eastAsia" w:ascii="宋体" w:hAnsi="宋体" w:cs="宋体"/>
                <w:color w:val="auto"/>
                <w:kern w:val="0"/>
                <w:sz w:val="24"/>
                <w:szCs w:val="24"/>
                <w:highlight w:val="none"/>
              </w:rPr>
            </w:pPr>
          </w:p>
        </w:tc>
        <w:tc>
          <w:tcPr>
            <w:tcW w:w="4119" w:type="dxa"/>
            <w:noWrap w:val="0"/>
            <w:vAlign w:val="center"/>
          </w:tcPr>
          <w:p w14:paraId="17C3116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一标段：每增加1项满足资格审查条件（业绩最低要求）的供货业绩加2分，最多加8分</w:t>
            </w:r>
          </w:p>
        </w:tc>
      </w:tr>
      <w:tr w14:paraId="4050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exact"/>
          <w:jc w:val="center"/>
        </w:trPr>
        <w:tc>
          <w:tcPr>
            <w:tcW w:w="959" w:type="dxa"/>
            <w:vMerge w:val="continue"/>
            <w:noWrap w:val="0"/>
            <w:vAlign w:val="center"/>
          </w:tcPr>
          <w:p w14:paraId="1ACC4866">
            <w:pPr>
              <w:snapToGrid w:val="0"/>
              <w:spacing w:line="320" w:lineRule="exact"/>
              <w:rPr>
                <w:highlight w:val="none"/>
              </w:rPr>
            </w:pPr>
          </w:p>
        </w:tc>
        <w:tc>
          <w:tcPr>
            <w:tcW w:w="1186" w:type="dxa"/>
            <w:vMerge w:val="continue"/>
            <w:noWrap w:val="0"/>
            <w:vAlign w:val="center"/>
          </w:tcPr>
          <w:p w14:paraId="08C04942">
            <w:pPr>
              <w:snapToGrid w:val="0"/>
              <w:spacing w:line="320" w:lineRule="exact"/>
              <w:rPr>
                <w:highlight w:val="none"/>
              </w:rPr>
            </w:pPr>
          </w:p>
        </w:tc>
        <w:tc>
          <w:tcPr>
            <w:tcW w:w="2216" w:type="dxa"/>
            <w:vMerge w:val="continue"/>
            <w:noWrap w:val="0"/>
            <w:vAlign w:val="center"/>
          </w:tcPr>
          <w:p w14:paraId="2C7BBB9F">
            <w:pPr>
              <w:snapToGrid w:val="0"/>
              <w:spacing w:line="320" w:lineRule="exact"/>
              <w:rPr>
                <w:highlight w:val="none"/>
              </w:rPr>
            </w:pPr>
          </w:p>
        </w:tc>
        <w:tc>
          <w:tcPr>
            <w:tcW w:w="894" w:type="dxa"/>
            <w:vMerge w:val="continue"/>
            <w:noWrap w:val="0"/>
            <w:vAlign w:val="center"/>
          </w:tcPr>
          <w:p w14:paraId="374CB410">
            <w:pPr>
              <w:snapToGrid w:val="0"/>
              <w:spacing w:line="320" w:lineRule="exact"/>
              <w:rPr>
                <w:highlight w:val="none"/>
              </w:rPr>
            </w:pPr>
          </w:p>
        </w:tc>
        <w:tc>
          <w:tcPr>
            <w:tcW w:w="4119" w:type="dxa"/>
            <w:noWrap w:val="0"/>
            <w:vAlign w:val="center"/>
          </w:tcPr>
          <w:p w14:paraId="7B483AE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二标段：每增加1项满足资格审查条件（业绩最低要求）的供货业绩加2分，最多加8分</w:t>
            </w:r>
          </w:p>
        </w:tc>
      </w:tr>
      <w:tr w14:paraId="3548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508E6FD">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1B63FE69">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5094F8C6">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5CDCAA8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367B64A3">
            <w:pPr>
              <w:ind w:right="113" w:righ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三标段：每增加1项满足资格审查条件（业绩最低要求）的供货业绩加2分，最多加8分</w:t>
            </w:r>
          </w:p>
        </w:tc>
      </w:tr>
      <w:tr w14:paraId="7FAC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E3B8EAD">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0638C328">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694C31D7">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281C67B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1966D640">
            <w:pPr>
              <w:ind w:right="113" w:rightChars="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eastAsia="zh-CN"/>
              </w:rPr>
              <w:t>标段：每增加1项满足资格审查条件（业绩最低要求）的供货业绩加2分，最多加8分</w:t>
            </w:r>
          </w:p>
        </w:tc>
      </w:tr>
      <w:tr w14:paraId="05B8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0641D841">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33404842">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52A4B761">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3F9854F7">
            <w:pPr>
              <w:snapToGrid w:val="0"/>
              <w:spacing w:line="320" w:lineRule="exact"/>
              <w:rPr>
                <w:rFonts w:hint="eastAsia" w:ascii="宋体" w:hAnsi="宋体" w:cs="宋体"/>
                <w:color w:val="auto"/>
                <w:sz w:val="24"/>
                <w:szCs w:val="24"/>
                <w:highlight w:val="none"/>
              </w:rPr>
            </w:pPr>
          </w:p>
        </w:tc>
        <w:tc>
          <w:tcPr>
            <w:tcW w:w="4119" w:type="dxa"/>
            <w:noWrap w:val="0"/>
            <w:vAlign w:val="center"/>
          </w:tcPr>
          <w:p w14:paraId="3D860DAE">
            <w:pPr>
              <w:ind w:right="113" w:rightChars="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lang w:val="en-US" w:eastAsia="zh-CN"/>
              </w:rPr>
              <w:t>标段：每增加1项满足资格审查条件（业绩最低要求）的供货业绩加2分，最多加8分</w:t>
            </w:r>
          </w:p>
        </w:tc>
      </w:tr>
      <w:tr w14:paraId="74C8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6091AC8B">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61FD074C">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588587E1">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4B5B4301">
            <w:pPr>
              <w:snapToGrid w:val="0"/>
              <w:spacing w:line="320" w:lineRule="exact"/>
              <w:rPr>
                <w:rFonts w:hint="eastAsia" w:ascii="宋体" w:hAnsi="宋体" w:cs="宋体"/>
                <w:color w:val="auto"/>
                <w:sz w:val="24"/>
                <w:szCs w:val="24"/>
                <w:highlight w:val="none"/>
              </w:rPr>
            </w:pPr>
          </w:p>
        </w:tc>
        <w:tc>
          <w:tcPr>
            <w:tcW w:w="4119" w:type="dxa"/>
            <w:noWrap w:val="0"/>
            <w:vAlign w:val="center"/>
          </w:tcPr>
          <w:p w14:paraId="4A6C6476">
            <w:pPr>
              <w:ind w:right="113" w:rightChars="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六</w:t>
            </w:r>
            <w:r>
              <w:rPr>
                <w:rFonts w:hint="eastAsia" w:ascii="宋体" w:hAnsi="宋体" w:eastAsia="宋体" w:cs="宋体"/>
                <w:color w:val="auto"/>
                <w:sz w:val="24"/>
                <w:szCs w:val="24"/>
                <w:highlight w:val="none"/>
                <w:lang w:val="en-US" w:eastAsia="zh-CN"/>
              </w:rPr>
              <w:t>标段：每增加1项满足资格审查条件（业绩最低要求）的供货业绩加2分，最多加8分</w:t>
            </w:r>
          </w:p>
        </w:tc>
      </w:tr>
      <w:tr w14:paraId="3AA0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1A98F35C">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1A8EAE4A">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7918116B">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526AE4A3">
            <w:pPr>
              <w:snapToGrid w:val="0"/>
              <w:spacing w:line="320" w:lineRule="exact"/>
              <w:rPr>
                <w:rFonts w:hint="eastAsia" w:ascii="宋体" w:hAnsi="宋体" w:cs="宋体"/>
                <w:color w:val="auto"/>
                <w:sz w:val="24"/>
                <w:szCs w:val="24"/>
                <w:highlight w:val="none"/>
              </w:rPr>
            </w:pPr>
          </w:p>
        </w:tc>
        <w:tc>
          <w:tcPr>
            <w:tcW w:w="4119" w:type="dxa"/>
            <w:noWrap w:val="0"/>
            <w:vAlign w:val="center"/>
          </w:tcPr>
          <w:p w14:paraId="0557ED79">
            <w:pPr>
              <w:ind w:right="113" w:rightChars="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七</w:t>
            </w:r>
            <w:r>
              <w:rPr>
                <w:rFonts w:hint="eastAsia" w:ascii="宋体" w:hAnsi="宋体" w:eastAsia="宋体" w:cs="宋体"/>
                <w:color w:val="auto"/>
                <w:sz w:val="24"/>
                <w:szCs w:val="24"/>
                <w:highlight w:val="none"/>
                <w:lang w:val="en-US" w:eastAsia="zh-CN"/>
              </w:rPr>
              <w:t>标段：每增加1项满足资格审查条件（业绩最低要求）的供货业绩加2分，最多加8分</w:t>
            </w:r>
          </w:p>
        </w:tc>
      </w:tr>
      <w:tr w14:paraId="7200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45B43170">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704EF6BA">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3D66F0C8">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6E105D9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78963176">
            <w:pPr>
              <w:ind w:right="113"/>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八</w:t>
            </w:r>
            <w:r>
              <w:rPr>
                <w:rFonts w:hint="eastAsia" w:ascii="宋体" w:hAnsi="宋体" w:eastAsia="宋体" w:cs="宋体"/>
                <w:color w:val="auto"/>
                <w:sz w:val="24"/>
                <w:szCs w:val="24"/>
                <w:highlight w:val="none"/>
                <w:lang w:val="en-US" w:eastAsia="zh-CN"/>
              </w:rPr>
              <w:t>标段：每增加1项满足资格审查条件（业绩最低要求）的供货业绩加2分，最多加8分</w:t>
            </w:r>
          </w:p>
        </w:tc>
      </w:tr>
      <w:tr w14:paraId="7A0E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restart"/>
            <w:noWrap w:val="0"/>
            <w:vAlign w:val="center"/>
          </w:tcPr>
          <w:p w14:paraId="7C347ED2">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5B052F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24CD4470">
            <w:pPr>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技术部分</w:t>
            </w:r>
          </w:p>
          <w:p w14:paraId="2F735311">
            <w:pPr>
              <w:pStyle w:val="2"/>
              <w:jc w:val="both"/>
              <w:rPr>
                <w:rFonts w:hint="eastAsia"/>
                <w:color w:val="auto"/>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8</w:t>
            </w:r>
            <w:r>
              <w:rPr>
                <w:color w:val="auto"/>
                <w:sz w:val="24"/>
                <w:szCs w:val="24"/>
                <w:highlight w:val="none"/>
                <w:lang w:eastAsia="zh-CN"/>
              </w:rPr>
              <w:t>0</w:t>
            </w:r>
            <w:r>
              <w:rPr>
                <w:rFonts w:hint="eastAsia"/>
                <w:color w:val="auto"/>
                <w:sz w:val="24"/>
                <w:szCs w:val="24"/>
                <w:highlight w:val="none"/>
                <w:lang w:eastAsia="zh-CN"/>
              </w:rPr>
              <w:t>分）</w:t>
            </w:r>
          </w:p>
        </w:tc>
        <w:tc>
          <w:tcPr>
            <w:tcW w:w="2216" w:type="dxa"/>
            <w:noWrap w:val="0"/>
            <w:vAlign w:val="center"/>
          </w:tcPr>
          <w:p w14:paraId="191B6578">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投标设备整体评价</w:t>
            </w:r>
          </w:p>
        </w:tc>
        <w:tc>
          <w:tcPr>
            <w:tcW w:w="894" w:type="dxa"/>
            <w:noWrap w:val="0"/>
            <w:vAlign w:val="center"/>
          </w:tcPr>
          <w:p w14:paraId="75D63C5F">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ascii="宋体" w:hAnsi="宋体" w:cs="宋体"/>
                <w:color w:val="auto"/>
                <w:kern w:val="0"/>
                <w:sz w:val="24"/>
                <w:szCs w:val="24"/>
                <w:highlight w:val="none"/>
              </w:rPr>
              <w:t>0</w:t>
            </w:r>
            <w:r>
              <w:rPr>
                <w:rFonts w:hint="eastAsia" w:ascii="宋体" w:hAnsi="宋体" w:cs="宋体"/>
                <w:color w:val="auto"/>
                <w:kern w:val="0"/>
                <w:sz w:val="24"/>
                <w:szCs w:val="24"/>
                <w:highlight w:val="none"/>
              </w:rPr>
              <w:t>分</w:t>
            </w:r>
          </w:p>
        </w:tc>
        <w:tc>
          <w:tcPr>
            <w:tcW w:w="4119" w:type="dxa"/>
            <w:noWrap w:val="0"/>
            <w:vAlign w:val="center"/>
          </w:tcPr>
          <w:p w14:paraId="2490800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1.设备整体性能优越、功能齐全、完善，自动化水平高，完全满足招标文件要求，得</w:t>
            </w:r>
            <w:r>
              <w:rPr>
                <w:rFonts w:hint="eastAsia" w:ascii="宋体" w:hAnsi="宋体" w:eastAsia="宋体" w:cs="宋体"/>
                <w:color w:val="auto"/>
                <w:sz w:val="24"/>
                <w:szCs w:val="24"/>
                <w:highlight w:val="none"/>
                <w:lang w:val="en-US" w:eastAsia="zh-CN"/>
              </w:rPr>
              <w:t>16-20</w:t>
            </w:r>
            <w:r>
              <w:rPr>
                <w:rFonts w:hint="eastAsia" w:ascii="宋体" w:hAnsi="宋体" w:eastAsia="宋体" w:cs="宋体"/>
                <w:color w:val="auto"/>
                <w:sz w:val="24"/>
                <w:szCs w:val="24"/>
                <w:highlight w:val="none"/>
              </w:rPr>
              <w:t>分；</w:t>
            </w:r>
          </w:p>
          <w:p w14:paraId="468C9D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2.设备整体性能较高、功能较齐全、较完善，自动化水平较高，满足招标文件要求，得</w:t>
            </w:r>
            <w:r>
              <w:rPr>
                <w:rFonts w:hint="eastAsia" w:ascii="宋体" w:hAnsi="宋体" w:eastAsia="宋体" w:cs="宋体"/>
                <w:color w:val="auto"/>
                <w:sz w:val="24"/>
                <w:szCs w:val="24"/>
                <w:highlight w:val="none"/>
                <w:lang w:val="en-US" w:eastAsia="zh-CN"/>
              </w:rPr>
              <w:t>12-16</w:t>
            </w:r>
            <w:r>
              <w:rPr>
                <w:rFonts w:hint="eastAsia" w:ascii="宋体" w:hAnsi="宋体" w:eastAsia="宋体" w:cs="宋体"/>
                <w:color w:val="auto"/>
                <w:sz w:val="24"/>
                <w:szCs w:val="24"/>
                <w:highlight w:val="none"/>
              </w:rPr>
              <w:t>分；</w:t>
            </w:r>
          </w:p>
          <w:p w14:paraId="76CB4AD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3.设备整体性能一般，功能一般，自动化水平一般，基本满足招标文件要求，得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3B2D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959" w:type="dxa"/>
            <w:vMerge w:val="continue"/>
            <w:noWrap w:val="0"/>
            <w:vAlign w:val="center"/>
          </w:tcPr>
          <w:p w14:paraId="550FC127">
            <w:pPr>
              <w:jc w:val="center"/>
              <w:rPr>
                <w:rFonts w:hint="eastAsia" w:ascii="宋体" w:hAnsi="宋体" w:cs="宋体"/>
                <w:color w:val="auto"/>
                <w:kern w:val="0"/>
                <w:sz w:val="24"/>
                <w:szCs w:val="24"/>
                <w:highlight w:val="none"/>
              </w:rPr>
            </w:pPr>
          </w:p>
        </w:tc>
        <w:tc>
          <w:tcPr>
            <w:tcW w:w="1186" w:type="dxa"/>
            <w:vMerge w:val="continue"/>
            <w:noWrap w:val="0"/>
            <w:vAlign w:val="center"/>
          </w:tcPr>
          <w:p w14:paraId="144041B6">
            <w:pPr>
              <w:jc w:val="center"/>
              <w:rPr>
                <w:rFonts w:hint="eastAsia" w:ascii="宋体" w:hAnsi="宋体" w:cs="宋体"/>
                <w:color w:val="auto"/>
                <w:kern w:val="0"/>
                <w:sz w:val="24"/>
                <w:szCs w:val="24"/>
                <w:highlight w:val="none"/>
              </w:rPr>
            </w:pPr>
          </w:p>
        </w:tc>
        <w:tc>
          <w:tcPr>
            <w:tcW w:w="2216" w:type="dxa"/>
            <w:vMerge w:val="restart"/>
            <w:noWrap w:val="0"/>
            <w:vAlign w:val="center"/>
          </w:tcPr>
          <w:p w14:paraId="43A8647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投标设备技术性能指标响应程度</w:t>
            </w:r>
          </w:p>
        </w:tc>
        <w:tc>
          <w:tcPr>
            <w:tcW w:w="894" w:type="dxa"/>
            <w:vMerge w:val="restart"/>
            <w:noWrap w:val="0"/>
            <w:vAlign w:val="center"/>
          </w:tcPr>
          <w:p w14:paraId="2E25541C">
            <w:pPr>
              <w:jc w:val="center"/>
              <w:rPr>
                <w:rFonts w:hint="eastAsia" w:ascii="宋体" w:hAnsi="宋体" w:cs="宋体"/>
                <w:color w:val="auto"/>
                <w:kern w:val="0"/>
                <w:sz w:val="24"/>
                <w:szCs w:val="24"/>
                <w:highlight w:val="none"/>
                <w:u w:val="single"/>
              </w:rPr>
            </w:pPr>
            <w:r>
              <w:rPr>
                <w:rFonts w:ascii="宋体" w:hAnsi="宋体" w:cs="宋体"/>
                <w:color w:val="auto"/>
                <w:kern w:val="0"/>
                <w:sz w:val="24"/>
                <w:szCs w:val="24"/>
                <w:highlight w:val="none"/>
              </w:rPr>
              <w:t>20</w:t>
            </w:r>
            <w:r>
              <w:rPr>
                <w:rFonts w:hint="eastAsia" w:ascii="宋体" w:hAnsi="宋体" w:cs="宋体"/>
                <w:color w:val="auto"/>
                <w:kern w:val="0"/>
                <w:sz w:val="24"/>
                <w:szCs w:val="24"/>
                <w:highlight w:val="none"/>
              </w:rPr>
              <w:t>分</w:t>
            </w:r>
          </w:p>
        </w:tc>
        <w:tc>
          <w:tcPr>
            <w:tcW w:w="4119" w:type="dxa"/>
            <w:noWrap w:val="0"/>
            <w:vAlign w:val="top"/>
          </w:tcPr>
          <w:p w14:paraId="00F040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1.投标产品选型合理，主要组成部件的技术性能参数及功能参数指标高，实用性强、产品设计科学合理、质量可靠，得</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p w14:paraId="68CCC70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2.投标产品选型较合理，主要组成部件的技术性能参数及功能参数指标较高，实用性较强、产品设计较合理、质量较可靠，得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p w14:paraId="4546223F">
            <w:pPr>
              <w:ind w:right="11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3.投标产品选型一般，主要组成部件的技术性能参数及功能参数指标一般，实用性一般、产品设计一般、质量一般，得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2789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959" w:type="dxa"/>
            <w:vMerge w:val="continue"/>
            <w:noWrap w:val="0"/>
            <w:vAlign w:val="center"/>
          </w:tcPr>
          <w:p w14:paraId="789CF3C4">
            <w:pPr>
              <w:jc w:val="center"/>
              <w:rPr>
                <w:rFonts w:hint="eastAsia" w:ascii="宋体" w:hAnsi="宋体" w:cs="宋体"/>
                <w:color w:val="auto"/>
                <w:kern w:val="0"/>
                <w:sz w:val="24"/>
                <w:szCs w:val="24"/>
                <w:highlight w:val="none"/>
              </w:rPr>
            </w:pPr>
          </w:p>
        </w:tc>
        <w:tc>
          <w:tcPr>
            <w:tcW w:w="1186" w:type="dxa"/>
            <w:vMerge w:val="continue"/>
            <w:noWrap w:val="0"/>
            <w:vAlign w:val="center"/>
          </w:tcPr>
          <w:p w14:paraId="4BA45C7D">
            <w:pPr>
              <w:jc w:val="center"/>
              <w:rPr>
                <w:rFonts w:hint="eastAsia" w:ascii="宋体" w:hAnsi="宋体" w:cs="宋体"/>
                <w:color w:val="auto"/>
                <w:kern w:val="0"/>
                <w:sz w:val="24"/>
                <w:szCs w:val="24"/>
                <w:highlight w:val="none"/>
              </w:rPr>
            </w:pPr>
          </w:p>
        </w:tc>
        <w:tc>
          <w:tcPr>
            <w:tcW w:w="2216" w:type="dxa"/>
            <w:vMerge w:val="restart"/>
            <w:noWrap w:val="0"/>
            <w:vAlign w:val="center"/>
          </w:tcPr>
          <w:p w14:paraId="09840C4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供货能力及进度保障（暗标）</w:t>
            </w:r>
          </w:p>
        </w:tc>
        <w:tc>
          <w:tcPr>
            <w:tcW w:w="894" w:type="dxa"/>
            <w:vMerge w:val="restart"/>
            <w:noWrap w:val="0"/>
            <w:vAlign w:val="center"/>
          </w:tcPr>
          <w:p w14:paraId="0018FC0E">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top"/>
          </w:tcPr>
          <w:p w14:paraId="158BD36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1.投标人提供的供货方案切实可行、供货能力强、交货进度有保障、能够保质保量的完成供货，针对供货过程中的特殊情况有预案，得16-20分；</w:t>
            </w:r>
          </w:p>
          <w:p w14:paraId="613FC94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2.投标人提供的供货方案可行、供货能力较强、交货进度满足招标文件要求，得12-16分；</w:t>
            </w:r>
          </w:p>
          <w:p w14:paraId="730BA81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3.投标人提供的供货方案一般、供货能力一般、交货进度基本满足招标文件要求，得12分。</w:t>
            </w:r>
          </w:p>
        </w:tc>
      </w:tr>
      <w:tr w14:paraId="6057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959" w:type="dxa"/>
            <w:vMerge w:val="continue"/>
            <w:noWrap w:val="0"/>
            <w:vAlign w:val="center"/>
          </w:tcPr>
          <w:p w14:paraId="16AF6A0F">
            <w:pPr>
              <w:jc w:val="center"/>
              <w:rPr>
                <w:rFonts w:hint="eastAsia" w:ascii="宋体" w:hAnsi="宋体" w:cs="宋体"/>
                <w:color w:val="auto"/>
                <w:kern w:val="0"/>
                <w:sz w:val="24"/>
                <w:szCs w:val="24"/>
                <w:highlight w:val="none"/>
              </w:rPr>
            </w:pPr>
          </w:p>
        </w:tc>
        <w:tc>
          <w:tcPr>
            <w:tcW w:w="1186" w:type="dxa"/>
            <w:vMerge w:val="continue"/>
            <w:noWrap w:val="0"/>
            <w:vAlign w:val="center"/>
          </w:tcPr>
          <w:p w14:paraId="25905584">
            <w:pPr>
              <w:jc w:val="center"/>
              <w:rPr>
                <w:rFonts w:hint="eastAsia" w:ascii="宋体" w:hAnsi="宋体" w:cs="宋体"/>
                <w:color w:val="auto"/>
                <w:kern w:val="0"/>
                <w:sz w:val="24"/>
                <w:szCs w:val="24"/>
                <w:highlight w:val="none"/>
              </w:rPr>
            </w:pPr>
          </w:p>
        </w:tc>
        <w:tc>
          <w:tcPr>
            <w:tcW w:w="2216" w:type="dxa"/>
            <w:noWrap w:val="0"/>
            <w:vAlign w:val="center"/>
          </w:tcPr>
          <w:p w14:paraId="1939BE8A">
            <w:pPr>
              <w:pStyle w:val="18"/>
              <w:snapToGrid w:val="0"/>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技术服务及质保期服务</w:t>
            </w:r>
          </w:p>
          <w:p w14:paraId="2EDC6CC7">
            <w:pPr>
              <w:pStyle w:val="18"/>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（暗标）</w:t>
            </w:r>
          </w:p>
        </w:tc>
        <w:tc>
          <w:tcPr>
            <w:tcW w:w="894" w:type="dxa"/>
            <w:noWrap w:val="0"/>
            <w:vAlign w:val="center"/>
          </w:tcPr>
          <w:p w14:paraId="7F2EA7E9">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center"/>
          </w:tcPr>
          <w:p w14:paraId="6B62CA0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服务方案切实可行，针对性强，</w:t>
            </w:r>
            <w:r>
              <w:rPr>
                <w:rFonts w:hint="eastAsia" w:ascii="宋体" w:hAnsi="宋体" w:eastAsia="宋体" w:cs="宋体"/>
                <w:color w:val="auto"/>
                <w:sz w:val="24"/>
                <w:szCs w:val="24"/>
                <w:highlight w:val="none"/>
              </w:rPr>
              <w:t>服务体系完善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lang w:val="zh-CN"/>
              </w:rPr>
              <w:t>分；</w:t>
            </w:r>
          </w:p>
          <w:p w14:paraId="7A90BDA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服务方案较切实可行，针对性较强，</w:t>
            </w:r>
            <w:r>
              <w:rPr>
                <w:rFonts w:hint="eastAsia" w:ascii="宋体" w:hAnsi="宋体" w:eastAsia="宋体" w:cs="宋体"/>
                <w:color w:val="auto"/>
                <w:sz w:val="24"/>
                <w:szCs w:val="24"/>
                <w:highlight w:val="none"/>
              </w:rPr>
              <w:t>服务体系较完善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分；</w:t>
            </w:r>
          </w:p>
          <w:p w14:paraId="3644ACB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服务方案基本可行，</w:t>
            </w:r>
            <w:r>
              <w:rPr>
                <w:rFonts w:hint="eastAsia" w:ascii="宋体" w:hAnsi="宋体" w:eastAsia="宋体" w:cs="宋体"/>
                <w:color w:val="auto"/>
                <w:sz w:val="24"/>
                <w:szCs w:val="24"/>
                <w:highlight w:val="none"/>
              </w:rPr>
              <w:t>服务体系基本完善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分；</w:t>
            </w:r>
          </w:p>
        </w:tc>
      </w:tr>
      <w:tr w14:paraId="0807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6CACC853">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65DCA605">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tcBorders>
              <w:bottom w:val="single" w:color="auto" w:sz="4" w:space="0"/>
            </w:tcBorders>
            <w:noWrap w:val="0"/>
            <w:vAlign w:val="center"/>
          </w:tcPr>
          <w:p w14:paraId="50E61056">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tcBorders>
              <w:bottom w:val="single" w:color="auto" w:sz="4" w:space="0"/>
            </w:tcBorders>
            <w:noWrap w:val="0"/>
            <w:vAlign w:val="center"/>
          </w:tcPr>
          <w:p w14:paraId="720F304D">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bl>
    <w:p w14:paraId="4BFBD247">
      <w:pPr>
        <w:pStyle w:val="8"/>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46ED200A">
      <w:pPr>
        <w:pStyle w:val="8"/>
        <w:adjustRightInd w:val="0"/>
        <w:snapToGrid w:val="0"/>
        <w:spacing w:line="360" w:lineRule="auto"/>
        <w:jc w:val="left"/>
        <w:textAlignment w:val="baseline"/>
        <w:rPr>
          <w:rFonts w:hint="eastAsia" w:hAnsi="宋体" w:eastAsia="宋体"/>
          <w:snapToGrid w:val="0"/>
          <w:color w:val="auto"/>
          <w:kern w:val="0"/>
          <w:sz w:val="24"/>
          <w:szCs w:val="24"/>
          <w:highlight w:val="none"/>
          <w:lang w:eastAsia="zh-CN"/>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3DF6A1FF">
      <w:pPr>
        <w:pStyle w:val="8"/>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2、</w:t>
      </w:r>
      <w:r>
        <w:rPr>
          <w:rFonts w:hint="eastAsia" w:hAnsi="宋体"/>
          <w:snapToGrid w:val="0"/>
          <w:color w:val="auto"/>
          <w:kern w:val="0"/>
          <w:sz w:val="24"/>
          <w:szCs w:val="24"/>
          <w:highlight w:val="none"/>
        </w:rPr>
        <w:t>第2.2.</w:t>
      </w:r>
      <w:r>
        <w:rPr>
          <w:rFonts w:hint="eastAsia" w:hAnsi="宋体"/>
          <w:snapToGrid w:val="0"/>
          <w:color w:val="auto"/>
          <w:kern w:val="0"/>
          <w:sz w:val="24"/>
          <w:szCs w:val="24"/>
          <w:highlight w:val="none"/>
          <w:lang w:val="en-US" w:eastAsia="zh-CN"/>
        </w:rPr>
        <w:t>1</w:t>
      </w:r>
      <w:r>
        <w:rPr>
          <w:rFonts w:hint="eastAsia" w:hAnsi="宋体"/>
          <w:snapToGrid w:val="0"/>
          <w:color w:val="auto"/>
          <w:kern w:val="0"/>
          <w:sz w:val="24"/>
          <w:szCs w:val="24"/>
          <w:highlight w:val="none"/>
        </w:rPr>
        <w:t>（</w:t>
      </w:r>
      <w:r>
        <w:rPr>
          <w:rFonts w:hint="eastAsia" w:hAnsi="宋体"/>
          <w:snapToGrid w:val="0"/>
          <w:color w:val="auto"/>
          <w:kern w:val="0"/>
          <w:sz w:val="24"/>
          <w:szCs w:val="24"/>
          <w:highlight w:val="none"/>
          <w:lang w:val="en-US" w:eastAsia="zh-CN"/>
        </w:rPr>
        <w:t>2</w:t>
      </w:r>
      <w:r>
        <w:rPr>
          <w:rFonts w:hint="eastAsia" w:hAnsi="宋体"/>
          <w:snapToGrid w:val="0"/>
          <w:color w:val="auto"/>
          <w:kern w:val="0"/>
          <w:sz w:val="24"/>
          <w:szCs w:val="24"/>
          <w:highlight w:val="none"/>
        </w:rPr>
        <w:t>）项评标委员会成员对某一项评分因素的评分低于权重分值 60%的，应在评标报告中作出说明。评审</w:t>
      </w:r>
      <w:r>
        <w:rPr>
          <w:rFonts w:hint="eastAsia" w:hAnsi="宋体"/>
          <w:snapToGrid w:val="0"/>
          <w:color w:val="auto"/>
          <w:kern w:val="0"/>
          <w:sz w:val="24"/>
          <w:szCs w:val="24"/>
          <w:highlight w:val="none"/>
          <w:lang w:val="en-US" w:eastAsia="zh-CN"/>
        </w:rPr>
        <w:t>因素</w:t>
      </w:r>
      <w:r>
        <w:rPr>
          <w:rFonts w:hint="eastAsia" w:hAnsi="宋体"/>
          <w:snapToGrid w:val="0"/>
          <w:color w:val="auto"/>
          <w:kern w:val="0"/>
          <w:sz w:val="24"/>
          <w:szCs w:val="24"/>
          <w:highlight w:val="none"/>
        </w:rPr>
        <w:t>缺项则该项得0分。</w:t>
      </w:r>
    </w:p>
    <w:p w14:paraId="612620E6">
      <w:pPr>
        <w:rPr>
          <w:rFonts w:hint="eastAsia" w:ascii="宋体" w:hAnsi="宋体"/>
          <w:b/>
          <w:bCs/>
          <w:snapToGrid w:val="0"/>
          <w:color w:val="auto"/>
          <w:kern w:val="0"/>
          <w:sz w:val="24"/>
          <w:highlight w:val="none"/>
          <w:lang w:val="en-US" w:eastAsia="zh-CN"/>
        </w:rPr>
      </w:pPr>
      <w:r>
        <w:rPr>
          <w:rFonts w:hint="eastAsia" w:ascii="宋体" w:hAnsi="宋体"/>
          <w:b/>
          <w:bCs/>
          <w:snapToGrid w:val="0"/>
          <w:color w:val="auto"/>
          <w:kern w:val="0"/>
          <w:sz w:val="24"/>
          <w:highlight w:val="none"/>
          <w:lang w:val="en-US" w:eastAsia="zh-CN"/>
        </w:rPr>
        <w:br w:type="page"/>
      </w:r>
    </w:p>
    <w:p w14:paraId="5BC17DD1">
      <w:pPr>
        <w:pStyle w:val="3"/>
        <w:adjustRightInd w:val="0"/>
        <w:snapToGrid w:val="0"/>
        <w:spacing w:before="0" w:after="0" w:line="360" w:lineRule="auto"/>
        <w:jc w:val="both"/>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、标段划分</w:t>
      </w:r>
    </w:p>
    <w:tbl>
      <w:tblPr>
        <w:tblStyle w:val="11"/>
        <w:tblW w:w="88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8"/>
        <w:gridCol w:w="2612"/>
        <w:gridCol w:w="2841"/>
        <w:gridCol w:w="1148"/>
        <w:gridCol w:w="1148"/>
      </w:tblGrid>
      <w:tr w14:paraId="5BDD9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A890">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1"/>
                <w:szCs w:val="21"/>
                <w:highlight w:val="none"/>
                <w:u w:val="none"/>
              </w:rPr>
            </w:pPr>
            <w:r>
              <w:rPr>
                <w:rFonts w:hint="eastAsia" w:ascii="宋体" w:hAnsi="宋体" w:eastAsia="宋体" w:cs="宋体"/>
                <w:b/>
                <w:bCs/>
                <w:i w:val="0"/>
                <w:iCs w:val="0"/>
                <w:strike w:val="0"/>
                <w:dstrike w:val="0"/>
                <w:color w:val="000000"/>
                <w:kern w:val="0"/>
                <w:sz w:val="21"/>
                <w:szCs w:val="21"/>
                <w:highlight w:val="none"/>
                <w:u w:val="none"/>
                <w:lang w:val="en-US" w:eastAsia="zh-CN" w:bidi="ar"/>
              </w:rPr>
              <w:t>标段</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2520">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2"/>
                <w:szCs w:val="22"/>
                <w:highlight w:val="none"/>
                <w:u w:val="none"/>
              </w:rPr>
            </w:pPr>
            <w:r>
              <w:rPr>
                <w:rFonts w:hint="eastAsia" w:ascii="宋体" w:hAnsi="宋体" w:eastAsia="宋体" w:cs="宋体"/>
                <w:b/>
                <w:bCs/>
                <w:i w:val="0"/>
                <w:iCs w:val="0"/>
                <w:strike w:val="0"/>
                <w:dstrike w:val="0"/>
                <w:color w:val="000000"/>
                <w:kern w:val="0"/>
                <w:sz w:val="22"/>
                <w:szCs w:val="22"/>
                <w:highlight w:val="none"/>
                <w:u w:val="none"/>
                <w:lang w:val="en-US" w:eastAsia="zh-CN" w:bidi="ar"/>
              </w:rPr>
              <w:t>主要内容</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6965">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2"/>
                <w:szCs w:val="22"/>
                <w:highlight w:val="none"/>
                <w:u w:val="none"/>
              </w:rPr>
            </w:pPr>
            <w:r>
              <w:rPr>
                <w:rFonts w:hint="eastAsia" w:ascii="宋体" w:hAnsi="宋体" w:eastAsia="宋体" w:cs="宋体"/>
                <w:b/>
                <w:bCs/>
                <w:i w:val="0"/>
                <w:iCs w:val="0"/>
                <w:strike w:val="0"/>
                <w:dstrike w:val="0"/>
                <w:color w:val="000000"/>
                <w:kern w:val="0"/>
                <w:sz w:val="22"/>
                <w:szCs w:val="22"/>
                <w:highlight w:val="none"/>
                <w:u w:val="none"/>
                <w:lang w:val="en-US" w:eastAsia="zh-CN" w:bidi="ar"/>
              </w:rPr>
              <w:t>设备名称</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C636">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2"/>
                <w:szCs w:val="22"/>
                <w:highlight w:val="none"/>
                <w:u w:val="none"/>
              </w:rPr>
            </w:pPr>
            <w:r>
              <w:rPr>
                <w:rFonts w:hint="eastAsia" w:ascii="宋体" w:hAnsi="宋体" w:eastAsia="宋体" w:cs="宋体"/>
                <w:b/>
                <w:bCs/>
                <w:i w:val="0"/>
                <w:iCs w:val="0"/>
                <w:strike w:val="0"/>
                <w:dstrike w:val="0"/>
                <w:color w:val="000000"/>
                <w:kern w:val="0"/>
                <w:sz w:val="22"/>
                <w:szCs w:val="22"/>
                <w:highlight w:val="none"/>
                <w:u w:val="none"/>
                <w:lang w:val="en-US" w:eastAsia="zh-CN" w:bidi="ar"/>
              </w:rPr>
              <w:t>单位</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215E">
            <w:pPr>
              <w:keepNext w:val="0"/>
              <w:keepLines w:val="0"/>
              <w:widowControl/>
              <w:suppressLineNumbers w:val="0"/>
              <w:jc w:val="center"/>
              <w:textAlignment w:val="center"/>
              <w:rPr>
                <w:rFonts w:hint="eastAsia" w:ascii="宋体" w:hAnsi="宋体" w:eastAsia="宋体" w:cs="宋体"/>
                <w:b/>
                <w:bCs/>
                <w:i w:val="0"/>
                <w:iCs w:val="0"/>
                <w:strike w:val="0"/>
                <w:dstrike w:val="0"/>
                <w:color w:val="000000"/>
                <w:sz w:val="22"/>
                <w:szCs w:val="22"/>
                <w:highlight w:val="none"/>
                <w:u w:val="none"/>
              </w:rPr>
            </w:pPr>
            <w:r>
              <w:rPr>
                <w:rFonts w:hint="eastAsia" w:ascii="宋体" w:hAnsi="宋体" w:eastAsia="宋体" w:cs="宋体"/>
                <w:b/>
                <w:bCs/>
                <w:i w:val="0"/>
                <w:iCs w:val="0"/>
                <w:strike w:val="0"/>
                <w:dstrike w:val="0"/>
                <w:color w:val="000000"/>
                <w:kern w:val="0"/>
                <w:sz w:val="22"/>
                <w:szCs w:val="22"/>
                <w:highlight w:val="none"/>
                <w:u w:val="none"/>
                <w:lang w:val="en-US" w:eastAsia="zh-CN" w:bidi="ar"/>
              </w:rPr>
              <w:t>合计</w:t>
            </w:r>
          </w:p>
        </w:tc>
      </w:tr>
      <w:tr w14:paraId="4DC54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D8A4">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标段1</w:t>
            </w:r>
          </w:p>
        </w:tc>
        <w:tc>
          <w:tcPr>
            <w:tcW w:w="2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289DB6">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服务器</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37F0">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视频AI算力单节点服务器</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1AE7">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00C5">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cs="宋体"/>
                <w:i w:val="0"/>
                <w:iCs w:val="0"/>
                <w:strike w:val="0"/>
                <w:dstrike w:val="0"/>
                <w:color w:val="000000"/>
                <w:kern w:val="0"/>
                <w:sz w:val="18"/>
                <w:szCs w:val="18"/>
                <w:highlight w:val="none"/>
                <w:u w:val="none"/>
                <w:lang w:val="en-US" w:eastAsia="zh-CN" w:bidi="ar"/>
              </w:rPr>
              <w:t>4</w:t>
            </w:r>
          </w:p>
        </w:tc>
      </w:tr>
      <w:tr w14:paraId="37888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50AA">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212DB">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88DCB">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基础服务器</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C1A2">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2529">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6</w:t>
            </w:r>
          </w:p>
        </w:tc>
      </w:tr>
      <w:tr w14:paraId="51AD2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39FB">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E0804">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520D">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图片分析服务器</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69E4">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24D9">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2</w:t>
            </w:r>
          </w:p>
        </w:tc>
      </w:tr>
      <w:tr w14:paraId="05E4F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ABF4">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1C507">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1584">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EDR服务器</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119A">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490F">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w:t>
            </w:r>
          </w:p>
        </w:tc>
      </w:tr>
      <w:tr w14:paraId="3679B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3CBD">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标段2</w:t>
            </w:r>
          </w:p>
        </w:tc>
        <w:tc>
          <w:tcPr>
            <w:tcW w:w="2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234273">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交换机</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E429">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工业以太网交换机1(2光8电)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57D1">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7A32">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88</w:t>
            </w:r>
          </w:p>
        </w:tc>
      </w:tr>
      <w:tr w14:paraId="0CDE2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7853">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9D786">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3936">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工业以太网交换机2(2光8电)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0A2CD">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498A9">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104</w:t>
            </w:r>
          </w:p>
        </w:tc>
      </w:tr>
      <w:tr w14:paraId="58DC8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FD44">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3BE9E">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D958">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工业以太网交换机(4光8电)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51A9C">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E85A">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59</w:t>
            </w:r>
          </w:p>
        </w:tc>
      </w:tr>
      <w:tr w14:paraId="2E660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0A6F">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标段3</w:t>
            </w:r>
          </w:p>
        </w:tc>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ADF3">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室外智能机箱</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8BE0">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室外综合设备箱</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994B">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B7C8">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216</w:t>
            </w:r>
          </w:p>
        </w:tc>
      </w:tr>
      <w:tr w14:paraId="5E1B8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3148">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标段4</w:t>
            </w:r>
          </w:p>
        </w:tc>
        <w:tc>
          <w:tcPr>
            <w:tcW w:w="2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DAA41F">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摄像机及存储设备</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C084">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高清固定摄像机</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BCA8">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6E1A">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313</w:t>
            </w:r>
          </w:p>
        </w:tc>
      </w:tr>
      <w:tr w14:paraId="67782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9DE1F">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A1558">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AABC">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快速跟踪球型摄像机</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DCF1">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59E7">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46</w:t>
            </w:r>
          </w:p>
        </w:tc>
      </w:tr>
      <w:tr w14:paraId="60F2E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D0FC">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84F77">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997A">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IPSAN存储48*8T</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A0B8">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5EB1">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w:t>
            </w:r>
          </w:p>
        </w:tc>
      </w:tr>
      <w:tr w14:paraId="7250D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1D2A7">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96F8E">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90DB">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情报板回看设备</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96A4">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4C2D3">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18</w:t>
            </w:r>
          </w:p>
        </w:tc>
      </w:tr>
      <w:tr w14:paraId="2A7D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C2AF">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标段5</w:t>
            </w:r>
          </w:p>
        </w:tc>
        <w:tc>
          <w:tcPr>
            <w:tcW w:w="2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27310B">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无人机设备</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A4C9">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无人机(含机巢)</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1280F">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0522">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9</w:t>
            </w:r>
          </w:p>
        </w:tc>
      </w:tr>
      <w:tr w14:paraId="41A01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EF7D">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CB28D">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6511">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车载无人机</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C07D">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BA5A">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w:t>
            </w:r>
          </w:p>
        </w:tc>
      </w:tr>
      <w:tr w14:paraId="6F605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CEF0">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4B63">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通信系统设备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410A">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干线OTN光传输设备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A3F4">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E330">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3</w:t>
            </w:r>
          </w:p>
        </w:tc>
      </w:tr>
      <w:tr w14:paraId="71E92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DFD1">
            <w:pPr>
              <w:jc w:val="center"/>
              <w:rPr>
                <w:rFonts w:hint="eastAsia" w:ascii="宋体" w:hAnsi="宋体" w:eastAsia="宋体" w:cs="宋体"/>
                <w:i w:val="0"/>
                <w:iCs w:val="0"/>
                <w:strike w:val="0"/>
                <w:dstrike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2EA1">
            <w:pPr>
              <w:jc w:val="center"/>
              <w:rPr>
                <w:rFonts w:hint="eastAsia" w:ascii="宋体" w:hAnsi="宋体" w:eastAsia="宋体" w:cs="宋体"/>
                <w:i w:val="0"/>
                <w:iCs w:val="0"/>
                <w:strike w:val="0"/>
                <w:dstrike w:val="0"/>
                <w:color w:val="000000"/>
                <w:sz w:val="18"/>
                <w:szCs w:val="18"/>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2C5D7">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接入网OTN光传输设备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AC5A">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5A9A">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12</w:t>
            </w:r>
          </w:p>
        </w:tc>
      </w:tr>
      <w:tr w14:paraId="6A1E3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FCE8">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F3A5">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可变信息标志</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CA0B">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3+1门架式可变信息标志</w:t>
            </w:r>
            <w:r>
              <w:rPr>
                <w:rFonts w:hint="eastAsia" w:ascii="宋体" w:hAnsi="宋体" w:eastAsia="宋体" w:cs="宋体"/>
                <w:i w:val="0"/>
                <w:iCs w:val="0"/>
                <w:strike w:val="0"/>
                <w:dstrike w:val="0"/>
                <w:color w:val="000000"/>
                <w:kern w:val="0"/>
                <w:sz w:val="18"/>
                <w:szCs w:val="18"/>
                <w:highlight w:val="none"/>
                <w:u w:val="none"/>
                <w:lang w:val="en-US" w:eastAsia="zh-CN" w:bidi="ar"/>
              </w:rPr>
              <w:br w:type="textWrapping"/>
            </w:r>
            <w:r>
              <w:rPr>
                <w:rFonts w:hint="eastAsia" w:ascii="宋体" w:hAnsi="宋体" w:eastAsia="宋体" w:cs="宋体"/>
                <w:i w:val="0"/>
                <w:iCs w:val="0"/>
                <w:strike w:val="0"/>
                <w:dstrike w:val="0"/>
                <w:color w:val="000000"/>
                <w:kern w:val="0"/>
                <w:sz w:val="18"/>
                <w:szCs w:val="18"/>
                <w:highlight w:val="none"/>
                <w:u w:val="none"/>
                <w:lang w:val="en-US" w:eastAsia="zh-CN" w:bidi="ar"/>
              </w:rPr>
              <w:t>(组合式)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F9D6">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92EE6">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2</w:t>
            </w:r>
          </w:p>
        </w:tc>
      </w:tr>
      <w:tr w14:paraId="134E2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BB3F">
            <w:pPr>
              <w:jc w:val="center"/>
              <w:rPr>
                <w:rFonts w:hint="eastAsia" w:ascii="宋体" w:hAnsi="宋体" w:eastAsia="宋体" w:cs="宋体"/>
                <w:i w:val="0"/>
                <w:iCs w:val="0"/>
                <w:strike w:val="0"/>
                <w:dstrike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D7FB">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A0F3">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4+1门架式可变信息标志</w:t>
            </w:r>
            <w:r>
              <w:rPr>
                <w:rFonts w:hint="eastAsia" w:ascii="宋体" w:hAnsi="宋体" w:eastAsia="宋体" w:cs="宋体"/>
                <w:i w:val="0"/>
                <w:iCs w:val="0"/>
                <w:strike w:val="0"/>
                <w:dstrike w:val="0"/>
                <w:color w:val="000000"/>
                <w:kern w:val="0"/>
                <w:sz w:val="18"/>
                <w:szCs w:val="18"/>
                <w:highlight w:val="none"/>
                <w:u w:val="none"/>
                <w:lang w:val="en-US" w:eastAsia="zh-CN" w:bidi="ar"/>
              </w:rPr>
              <w:br w:type="textWrapping"/>
            </w:r>
            <w:r>
              <w:rPr>
                <w:rFonts w:hint="eastAsia" w:ascii="宋体" w:hAnsi="宋体" w:eastAsia="宋体" w:cs="宋体"/>
                <w:i w:val="0"/>
                <w:iCs w:val="0"/>
                <w:strike w:val="0"/>
                <w:dstrike w:val="0"/>
                <w:color w:val="000000"/>
                <w:kern w:val="0"/>
                <w:sz w:val="18"/>
                <w:szCs w:val="18"/>
                <w:highlight w:val="none"/>
                <w:u w:val="none"/>
                <w:lang w:val="en-US" w:eastAsia="zh-CN" w:bidi="ar"/>
              </w:rPr>
              <w:t>(组合式)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8306B">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85BE">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w:t>
            </w:r>
          </w:p>
        </w:tc>
      </w:tr>
      <w:tr w14:paraId="333BA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2225D">
            <w:pPr>
              <w:jc w:val="center"/>
              <w:rPr>
                <w:rFonts w:hint="eastAsia" w:ascii="宋体" w:hAnsi="宋体" w:eastAsia="宋体" w:cs="宋体"/>
                <w:i w:val="0"/>
                <w:iCs w:val="0"/>
                <w:strike w:val="0"/>
                <w:dstrike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016F">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890D">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悬臂式可变信息标志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B2523">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BB24">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6</w:t>
            </w:r>
          </w:p>
        </w:tc>
      </w:tr>
      <w:tr w14:paraId="39165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E4428">
            <w:pPr>
              <w:jc w:val="center"/>
              <w:rPr>
                <w:rFonts w:hint="eastAsia" w:ascii="宋体" w:hAnsi="宋体" w:eastAsia="宋体" w:cs="宋体"/>
                <w:i w:val="0"/>
                <w:iCs w:val="0"/>
                <w:strike w:val="0"/>
                <w:dstrike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2021">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23D9">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3+1车道门架式可变信息标志(全彩)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F9D49">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4FFE">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3</w:t>
            </w:r>
          </w:p>
        </w:tc>
      </w:tr>
      <w:tr w14:paraId="4DC4C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9B83">
            <w:pPr>
              <w:jc w:val="center"/>
              <w:rPr>
                <w:rFonts w:hint="eastAsia" w:ascii="宋体" w:hAnsi="宋体" w:eastAsia="宋体" w:cs="宋体"/>
                <w:i w:val="0"/>
                <w:iCs w:val="0"/>
                <w:strike w:val="0"/>
                <w:dstrike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E129">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7CF7">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3+1车道门架式可变信息标志(双基色)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B5D8">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A6E2">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8</w:t>
            </w:r>
          </w:p>
        </w:tc>
      </w:tr>
      <w:tr w14:paraId="57EE8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4EDB6">
            <w:pPr>
              <w:keepNext w:val="0"/>
              <w:keepLines w:val="0"/>
              <w:widowControl/>
              <w:suppressLineNumbers w:val="0"/>
              <w:jc w:val="center"/>
              <w:textAlignment w:val="center"/>
              <w:rPr>
                <w:rFonts w:hint="eastAsia" w:ascii="宋体" w:hAnsi="宋体" w:eastAsia="宋体" w:cs="宋体"/>
                <w:i w:val="0"/>
                <w:iCs w:val="0"/>
                <w:strike w:val="0"/>
                <w:dstrike w:val="0"/>
                <w:color w:val="000000"/>
                <w:sz w:val="22"/>
                <w:szCs w:val="22"/>
                <w:highlight w:val="none"/>
                <w:u w:val="none"/>
              </w:rPr>
            </w:pPr>
            <w:r>
              <w:rPr>
                <w:rFonts w:hint="eastAsia" w:ascii="宋体" w:hAnsi="宋体" w:eastAsia="宋体" w:cs="宋体"/>
                <w:i w:val="0"/>
                <w:iCs w:val="0"/>
                <w:strike w:val="0"/>
                <w:dstrike w:val="0"/>
                <w:color w:val="000000"/>
                <w:kern w:val="0"/>
                <w:sz w:val="22"/>
                <w:szCs w:val="22"/>
                <w:highlight w:val="none"/>
                <w:u w:val="none"/>
                <w:lang w:val="en-US" w:eastAsia="zh-CN" w:bidi="ar"/>
              </w:rPr>
              <w:t>标段8</w:t>
            </w:r>
          </w:p>
        </w:tc>
        <w:tc>
          <w:tcPr>
            <w:tcW w:w="2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51362">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ETC天线及控制器设备</w:t>
            </w: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7B36">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ETC天线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37FD">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73CF">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99</w:t>
            </w:r>
          </w:p>
        </w:tc>
      </w:tr>
      <w:tr w14:paraId="7CFE5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30EC">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04B6F">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704C">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ETC天线及控制器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8322">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961F">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w:t>
            </w:r>
          </w:p>
        </w:tc>
      </w:tr>
      <w:tr w14:paraId="3D98B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C63A">
            <w:pPr>
              <w:jc w:val="center"/>
              <w:rPr>
                <w:rFonts w:hint="eastAsia" w:ascii="宋体" w:hAnsi="宋体" w:eastAsia="宋体" w:cs="宋体"/>
                <w:i w:val="0"/>
                <w:iCs w:val="0"/>
                <w:strike w:val="0"/>
                <w:dstrike w:val="0"/>
                <w:color w:val="000000"/>
                <w:sz w:val="22"/>
                <w:szCs w:val="22"/>
                <w:highlight w:val="none"/>
                <w:u w:val="none"/>
              </w:rPr>
            </w:pPr>
          </w:p>
        </w:tc>
        <w:tc>
          <w:tcPr>
            <w:tcW w:w="2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FAA96">
            <w:pPr>
              <w:jc w:val="center"/>
              <w:rPr>
                <w:rFonts w:hint="eastAsia" w:ascii="宋体" w:hAnsi="宋体" w:eastAsia="宋体" w:cs="宋体"/>
                <w:i w:val="0"/>
                <w:iCs w:val="0"/>
                <w:strike w:val="0"/>
                <w:dstrike w:val="0"/>
                <w:color w:val="000000"/>
                <w:sz w:val="18"/>
                <w:szCs w:val="18"/>
                <w:highlight w:val="none"/>
                <w:u w:val="none"/>
              </w:rPr>
            </w:pPr>
          </w:p>
        </w:tc>
        <w:tc>
          <w:tcPr>
            <w:tcW w:w="2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6802">
            <w:pPr>
              <w:keepNext w:val="0"/>
              <w:keepLines w:val="0"/>
              <w:widowControl/>
              <w:suppressLineNumbers w:val="0"/>
              <w:jc w:val="left"/>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ETC信息发布安全终端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5014">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5E1C">
            <w:pPr>
              <w:keepNext w:val="0"/>
              <w:keepLines w:val="0"/>
              <w:widowControl/>
              <w:suppressLineNumbers w:val="0"/>
              <w:jc w:val="center"/>
              <w:textAlignment w:val="center"/>
              <w:rPr>
                <w:rFonts w:hint="eastAsia" w:ascii="宋体" w:hAnsi="宋体" w:eastAsia="宋体" w:cs="宋体"/>
                <w:i w:val="0"/>
                <w:iCs w:val="0"/>
                <w:strike w:val="0"/>
                <w:dstrike w:val="0"/>
                <w:color w:val="000000"/>
                <w:sz w:val="18"/>
                <w:szCs w:val="18"/>
                <w:highlight w:val="none"/>
                <w:u w:val="none"/>
              </w:rPr>
            </w:pPr>
            <w:r>
              <w:rPr>
                <w:rFonts w:hint="eastAsia" w:ascii="宋体" w:hAnsi="宋体" w:eastAsia="宋体" w:cs="宋体"/>
                <w:i w:val="0"/>
                <w:iCs w:val="0"/>
                <w:strike w:val="0"/>
                <w:dstrike w:val="0"/>
                <w:color w:val="000000"/>
                <w:kern w:val="0"/>
                <w:sz w:val="18"/>
                <w:szCs w:val="18"/>
                <w:highlight w:val="none"/>
                <w:u w:val="none"/>
                <w:lang w:val="en-US" w:eastAsia="zh-CN" w:bidi="ar"/>
              </w:rPr>
              <w:t>135</w:t>
            </w:r>
          </w:p>
        </w:tc>
      </w:tr>
    </w:tbl>
    <w:p w14:paraId="7A9782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C4E0A">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67005" cy="139700"/>
              <wp:effectExtent l="0" t="0" r="0" b="0"/>
              <wp:wrapNone/>
              <wp:docPr id="9" name="文本框 1033"/>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a:effectLst/>
                    </wps:spPr>
                    <wps:txbx>
                      <w:txbxContent>
                        <w:p w14:paraId="5B912335">
                          <w:pPr>
                            <w:spacing w:line="203" w:lineRule="exact"/>
                            <w:ind w:left="40"/>
                            <w:rPr>
                              <w:rFonts w:ascii="Calibri" w:hAnsi="Calibri" w:eastAsia="Calibri" w:cs="Calibri"/>
                              <w:sz w:val="18"/>
                              <w:szCs w:val="18"/>
                            </w:rPr>
                          </w:pPr>
                          <w:r>
                            <w:fldChar w:fldCharType="begin"/>
                          </w:r>
                          <w:r>
                            <w:rPr>
                              <w:rFonts w:ascii="Calibri"/>
                              <w:sz w:val="18"/>
                            </w:rPr>
                            <w:instrText xml:space="preserve"> PAGE </w:instrText>
                          </w:r>
                          <w:r>
                            <w:fldChar w:fldCharType="separate"/>
                          </w:r>
                          <w:r>
                            <w:rPr>
                              <w:rFonts w:ascii="Calibri"/>
                              <w:sz w:val="18"/>
                            </w:rPr>
                            <w:t>49</w:t>
                          </w:r>
                          <w:r>
                            <w:fldChar w:fldCharType="end"/>
                          </w:r>
                        </w:p>
                      </w:txbxContent>
                    </wps:txbx>
                    <wps:bodyPr lIns="0" tIns="0" rIns="0" bIns="0" upright="1"/>
                  </wps:wsp>
                </a:graphicData>
              </a:graphic>
            </wp:anchor>
          </w:drawing>
        </mc:Choice>
        <mc:Fallback>
          <w:pict>
            <v:shape id="文本框 1033" o:spid="_x0000_s1026" o:spt="202" type="#_x0000_t202" style="position:absolute;left:0pt;margin-top:0pt;height:11pt;width:13.15pt;mso-position-horizontal:outside;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sk/aNMAAAADAQAADwAAAAAAAAABACAAAAAiAAAAZHJzL2Rvd25yZXYueG1sUEsBAhQA&#10;FAAAAAgAh07iQBMkUFm+AQAAggMAAA4AAAAAAAAAAQAgAAAAIgEAAGRycy9lMm9Eb2MueG1sUEsF&#10;BgAAAAAGAAYAWQEAAFIFAAAAAA==&#10;">
              <v:fill on="f" focussize="0,0"/>
              <v:stroke on="f"/>
              <v:imagedata o:title=""/>
              <o:lock v:ext="edit" aspectratio="f"/>
              <v:textbox inset="0mm,0mm,0mm,0mm">
                <w:txbxContent>
                  <w:p w14:paraId="5B912335">
                    <w:pPr>
                      <w:spacing w:line="203" w:lineRule="exact"/>
                      <w:ind w:left="40"/>
                      <w:rPr>
                        <w:rFonts w:ascii="Calibri" w:hAnsi="Calibri" w:eastAsia="Calibri" w:cs="Calibri"/>
                        <w:sz w:val="18"/>
                        <w:szCs w:val="18"/>
                      </w:rPr>
                    </w:pPr>
                    <w:r>
                      <w:fldChar w:fldCharType="begin"/>
                    </w:r>
                    <w:r>
                      <w:rPr>
                        <w:rFonts w:ascii="Calibri"/>
                        <w:sz w:val="18"/>
                      </w:rPr>
                      <w:instrText xml:space="preserve"> PAGE </w:instrText>
                    </w:r>
                    <w:r>
                      <w:fldChar w:fldCharType="separate"/>
                    </w:r>
                    <w:r>
                      <w:rPr>
                        <w:rFonts w:ascii="Calibri"/>
                        <w:sz w:val="18"/>
                      </w:rPr>
                      <w:t>49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575241"/>
    <w:multiLevelType w:val="singleLevel"/>
    <w:tmpl w:val="B1575241"/>
    <w:lvl w:ilvl="0" w:tentative="0">
      <w:start w:val="1"/>
      <w:numFmt w:val="decimal"/>
      <w:suff w:val="nothing"/>
      <w:lvlText w:val="（%1）"/>
      <w:lvlJc w:val="left"/>
    </w:lvl>
  </w:abstractNum>
  <w:abstractNum w:abstractNumId="1">
    <w:nsid w:val="D7F31619"/>
    <w:multiLevelType w:val="singleLevel"/>
    <w:tmpl w:val="D7F31619"/>
    <w:lvl w:ilvl="0" w:tentative="0">
      <w:start w:val="1"/>
      <w:numFmt w:val="decimal"/>
      <w:pStyle w:val="9"/>
      <w:lvlText w:val="%1."/>
      <w:lvlJc w:val="left"/>
      <w:pPr>
        <w:tabs>
          <w:tab w:val="left" w:pos="2040"/>
        </w:tabs>
        <w:ind w:left="2040" w:hanging="360"/>
      </w:pPr>
    </w:lvl>
  </w:abstractNum>
  <w:abstractNum w:abstractNumId="2">
    <w:nsid w:val="0A974297"/>
    <w:multiLevelType w:val="singleLevel"/>
    <w:tmpl w:val="0A974297"/>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1E75B5"/>
    <w:rsid w:val="035C24A5"/>
    <w:rsid w:val="051E75B5"/>
    <w:rsid w:val="6A594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9"/>
    <w:pPr>
      <w:keepNext/>
      <w:keepLines/>
      <w:spacing w:before="260" w:after="260" w:line="416" w:lineRule="auto"/>
      <w:jc w:val="center"/>
      <w:outlineLvl w:val="1"/>
    </w:pPr>
    <w:rPr>
      <w:rFonts w:ascii="Cambria" w:hAnsi="Cambria"/>
      <w:b/>
      <w:bCs/>
      <w:sz w:val="32"/>
      <w:szCs w:val="32"/>
    </w:rPr>
  </w:style>
  <w:style w:type="paragraph" w:styleId="4">
    <w:name w:val="heading 3"/>
    <w:basedOn w:val="1"/>
    <w:next w:val="1"/>
    <w:qFormat/>
    <w:uiPriority w:val="9"/>
    <w:pPr>
      <w:keepNext/>
      <w:keepLines/>
      <w:spacing w:before="50" w:beforeLines="50" w:line="415" w:lineRule="auto"/>
      <w:outlineLvl w:val="2"/>
    </w:pPr>
    <w:rPr>
      <w:b/>
      <w:bCs/>
      <w:sz w:val="32"/>
      <w:szCs w:val="32"/>
    </w:rPr>
  </w:style>
  <w:style w:type="paragraph" w:styleId="5">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pPr>
      <w:ind w:left="100"/>
      <w:jc w:val="left"/>
    </w:pPr>
    <w:rPr>
      <w:rFonts w:ascii="宋体" w:hAnsi="宋体" w:cs="Times New Roman"/>
      <w:kern w:val="0"/>
      <w:szCs w:val="21"/>
      <w:lang w:eastAsia="en-US"/>
    </w:rPr>
  </w:style>
  <w:style w:type="paragraph" w:styleId="6">
    <w:name w:val="toa heading"/>
    <w:basedOn w:val="1"/>
    <w:next w:val="1"/>
    <w:unhideWhenUsed/>
    <w:qFormat/>
    <w:uiPriority w:val="99"/>
    <w:pPr>
      <w:spacing w:before="120"/>
      <w:ind w:firstLine="560" w:firstLineChars="200"/>
    </w:pPr>
    <w:rPr>
      <w:rFonts w:ascii="Cambria" w:hAnsi="Cambria"/>
      <w:szCs w:val="24"/>
    </w:rPr>
  </w:style>
  <w:style w:type="paragraph" w:styleId="7">
    <w:name w:val="Body Text Indent"/>
    <w:basedOn w:val="1"/>
    <w:unhideWhenUsed/>
    <w:qFormat/>
    <w:uiPriority w:val="99"/>
    <w:pPr>
      <w:spacing w:after="120"/>
      <w:ind w:left="420" w:leftChars="200"/>
    </w:pPr>
  </w:style>
  <w:style w:type="paragraph" w:styleId="8">
    <w:name w:val="Plain Text"/>
    <w:basedOn w:val="1"/>
    <w:next w:val="9"/>
    <w:qFormat/>
    <w:uiPriority w:val="0"/>
    <w:rPr>
      <w:rFonts w:ascii="宋体" w:hAnsi="Courier New"/>
      <w:szCs w:val="20"/>
    </w:rPr>
  </w:style>
  <w:style w:type="paragraph" w:styleId="9">
    <w:name w:val="List Number 5"/>
    <w:basedOn w:val="1"/>
    <w:uiPriority w:val="0"/>
    <w:pPr>
      <w:numPr>
        <w:ilvl w:val="0"/>
        <w:numId w:val="1"/>
      </w:numPr>
    </w:pPr>
  </w:style>
  <w:style w:type="paragraph" w:styleId="10">
    <w:name w:val="Body Text First Indent 2"/>
    <w:basedOn w:val="7"/>
    <w:unhideWhenUsed/>
    <w:qFormat/>
    <w:uiPriority w:val="99"/>
    <w:pPr>
      <w:tabs>
        <w:tab w:val="left" w:pos="5580"/>
      </w:tabs>
      <w:ind w:left="420" w:leftChars="200" w:firstLine="420"/>
    </w:pPr>
    <w:rPr>
      <w:rFonts w:ascii="Times New Roman" w:hAnsi="Times New Roman"/>
      <w:sz w:val="21"/>
    </w:rPr>
  </w:style>
  <w:style w:type="paragraph" w:customStyle="1" w:styleId="13">
    <w:name w:val="1正文"/>
    <w:basedOn w:val="1"/>
    <w:autoRedefine/>
    <w:qFormat/>
    <w:uiPriority w:val="0"/>
    <w:pPr>
      <w:ind w:firstLine="480"/>
    </w:pPr>
    <w:rPr>
      <w:rFonts w:cs="宋体"/>
      <w:szCs w:val="24"/>
    </w:rPr>
  </w:style>
  <w:style w:type="paragraph" w:customStyle="1" w:styleId="14">
    <w:name w:val="大标题"/>
    <w:basedOn w:val="1"/>
    <w:next w:val="10"/>
    <w:autoRedefine/>
    <w:qFormat/>
    <w:uiPriority w:val="0"/>
    <w:pPr>
      <w:jc w:val="center"/>
    </w:pPr>
    <w:rPr>
      <w:rFonts w:ascii="Arial" w:hAnsi="Arial"/>
      <w:b/>
      <w:sz w:val="28"/>
    </w:rPr>
  </w:style>
  <w:style w:type="character" w:customStyle="1" w:styleId="15">
    <w:name w:val="NormalCharacter"/>
    <w:link w:val="16"/>
    <w:autoRedefine/>
    <w:qFormat/>
    <w:uiPriority w:val="0"/>
    <w:rPr>
      <w:kern w:val="0"/>
      <w:sz w:val="20"/>
      <w:szCs w:val="20"/>
    </w:rPr>
  </w:style>
  <w:style w:type="paragraph" w:customStyle="1" w:styleId="16">
    <w:name w:val="UserStyle_24"/>
    <w:basedOn w:val="1"/>
    <w:link w:val="15"/>
    <w:autoRedefine/>
    <w:qFormat/>
    <w:uiPriority w:val="0"/>
    <w:pPr>
      <w:widowControl/>
      <w:spacing w:line="360" w:lineRule="auto"/>
      <w:ind w:firstLine="200" w:firstLineChars="200"/>
      <w:jc w:val="left"/>
    </w:pPr>
    <w:rPr>
      <w:kern w:val="0"/>
      <w:sz w:val="20"/>
      <w:szCs w:val="20"/>
    </w:rPr>
  </w:style>
  <w:style w:type="paragraph" w:customStyle="1" w:styleId="17">
    <w:name w:val="UserStyle_340"/>
    <w:basedOn w:val="1"/>
    <w:autoRedefine/>
    <w:qFormat/>
    <w:uiPriority w:val="0"/>
    <w:pPr>
      <w:widowControl/>
      <w:spacing w:line="340" w:lineRule="exact"/>
      <w:jc w:val="center"/>
    </w:pPr>
    <w:rPr>
      <w:rFonts w:ascii="宋体" w:hAnsi="Calibri"/>
      <w:bCs/>
      <w:color w:val="000000"/>
      <w:kern w:val="0"/>
      <w:szCs w:val="21"/>
    </w:rPr>
  </w:style>
  <w:style w:type="paragraph" w:customStyle="1" w:styleId="18">
    <w:name w:val="Table Paragraph"/>
    <w:basedOn w:val="1"/>
    <w:qFormat/>
    <w:uiPriority w:val="1"/>
    <w:pPr>
      <w:jc w:val="left"/>
    </w:pPr>
    <w:rPr>
      <w:rFonts w:ascii="Calibri" w:hAnsi="Calibri" w:eastAsia="宋体" w:cs="Times New Roman"/>
      <w:kern w:val="0"/>
      <w:sz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5322</Words>
  <Characters>5872</Characters>
  <Lines>0</Lines>
  <Paragraphs>0</Paragraphs>
  <TotalTime>2</TotalTime>
  <ScaleCrop>false</ScaleCrop>
  <LinksUpToDate>false</LinksUpToDate>
  <CharactersWithSpaces>5959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2026-07-24T07:28:00Z</dcterms:created>
  <dc:creator>鲁鹏</dc:creator>
  <cp:lastModifiedBy>冯士峰</cp:lastModifiedBy>
  <dcterms:modified xsi:type="dcterms:W3CDTF">2026-07-25T00:14:37Z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C7DD154B09A348C59E05E1BD9DB6200D_11</vt:lpwstr>
  </property>
  <property fmtid="{D5CDD505-2E9C-101B-9397-08002B2CF9AE}" pid="4" name="KSOTemplateDocerSaveRecord">
    <vt:lpwstr>eyJoZGlkIjoiMjNhMGNiNzBmYzRmYmU1YWU1ZDVjYzI3MTI0YTIzZjQiLCJ1c2VySWQiOiIxNjg3ODQzOTczIn0=</vt:lpwstr>
  </property>
</Properties>
</file>