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28416">
      <w:pPr>
        <w:keepNext/>
        <w:widowControl/>
        <w:spacing w:line="360" w:lineRule="auto"/>
        <w:outlineLvl w:val="2"/>
        <w:rPr>
          <w:rFonts w:hint="eastAsia" w:ascii="宋体" w:hAnsi="宋体" w:eastAsia="宋体" w:cs="宋体"/>
          <w:b/>
          <w:bCs/>
          <w:sz w:val="24"/>
          <w:szCs w:val="24"/>
          <w:highlight w:val="none"/>
          <w:lang w:val="en-US" w:eastAsia="en-US" w:bidi="ar-SA"/>
        </w:rPr>
      </w:pPr>
      <w:bookmarkStart w:id="5" w:name="_GoBack"/>
      <w:bookmarkEnd w:id="5"/>
      <w:bookmarkStart w:id="0" w:name="_Toc7171"/>
      <w:bookmarkStart w:id="1" w:name="OLE_LINK3"/>
      <w:bookmarkStart w:id="2" w:name="OLE_LINK1"/>
      <w:r>
        <w:rPr>
          <w:rFonts w:hint="eastAsia" w:ascii="宋体" w:hAnsi="宋体" w:eastAsia="宋体" w:cs="宋体"/>
          <w:b/>
          <w:bCs/>
          <w:sz w:val="24"/>
          <w:szCs w:val="24"/>
          <w:highlight w:val="none"/>
          <w:lang w:val="en-US" w:eastAsia="en-US" w:bidi="ar-SA"/>
        </w:rPr>
        <w:t>附件</w:t>
      </w:r>
      <w:r>
        <w:rPr>
          <w:rFonts w:ascii="宋体" w:hAnsi="宋体" w:eastAsia="宋体" w:cs="宋体"/>
          <w:b/>
          <w:bCs/>
          <w:sz w:val="24"/>
          <w:szCs w:val="24"/>
          <w:highlight w:val="none"/>
          <w:lang w:val="en-US" w:eastAsia="en-US" w:bidi="ar-SA"/>
        </w:rPr>
        <w:t>1</w:t>
      </w:r>
      <w:r>
        <w:rPr>
          <w:rFonts w:hint="eastAsia" w:ascii="宋体" w:hAnsi="宋体" w:eastAsia="宋体" w:cs="宋体"/>
          <w:b/>
          <w:bCs/>
          <w:sz w:val="24"/>
          <w:szCs w:val="24"/>
          <w:highlight w:val="none"/>
          <w:lang w:val="en-US" w:eastAsia="en-US" w:bidi="ar-SA"/>
        </w:rPr>
        <w:t>：资格审查条件</w:t>
      </w:r>
      <w:bookmarkEnd w:id="0"/>
    </w:p>
    <w:p w14:paraId="5FEA9383">
      <w:pPr>
        <w:jc w:val="center"/>
        <w:rPr>
          <w:rFonts w:hint="eastAsia" w:ascii="宋体" w:hAnsi="宋体" w:eastAsia="宋体" w:cs="宋体"/>
          <w:b/>
          <w:kern w:val="0"/>
          <w:sz w:val="24"/>
          <w:szCs w:val="24"/>
          <w:highlight w:val="none"/>
          <w:lang w:eastAsia="en-US"/>
        </w:rPr>
      </w:pPr>
    </w:p>
    <w:p w14:paraId="5303EE55">
      <w:pPr>
        <w:jc w:val="center"/>
        <w:rPr>
          <w:rFonts w:hint="eastAsia"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附录1资格审查条件（资质最低要求）</w:t>
      </w:r>
    </w:p>
    <w:tbl>
      <w:tblPr>
        <w:tblStyle w:val="4"/>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654D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58721569">
            <w:pPr>
              <w:jc w:val="center"/>
              <w:rPr>
                <w:rFonts w:hint="eastAsia" w:ascii="宋体" w:hAnsi="宋体" w:eastAsia="宋体" w:cs="宋体"/>
                <w:kern w:val="0"/>
                <w:sz w:val="21"/>
                <w:szCs w:val="24"/>
                <w:highlight w:val="none"/>
                <w:lang w:eastAsia="en-US"/>
              </w:rPr>
            </w:pPr>
            <w:r>
              <w:rPr>
                <w:rFonts w:hint="eastAsia" w:ascii="宋体" w:hAnsi="宋体" w:eastAsia="宋体" w:cs="宋体"/>
                <w:kern w:val="0"/>
                <w:sz w:val="21"/>
                <w:szCs w:val="24"/>
                <w:highlight w:val="none"/>
                <w:lang w:eastAsia="en-US"/>
              </w:rPr>
              <w:t>资质等级要求</w:t>
            </w:r>
          </w:p>
        </w:tc>
      </w:tr>
      <w:tr w14:paraId="08B3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8642" w:type="dxa"/>
            <w:vAlign w:val="center"/>
          </w:tcPr>
          <w:p w14:paraId="300BAA5A">
            <w:pPr>
              <w:numPr>
                <w:ilvl w:val="0"/>
                <w:numId w:val="0"/>
              </w:numPr>
              <w:snapToGrid w:val="0"/>
              <w:spacing w:line="360" w:lineRule="exact"/>
              <w:ind w:firstLine="420" w:firstLineChars="200"/>
              <w:jc w:val="left"/>
              <w:rPr>
                <w:rFonts w:hint="eastAsia" w:ascii="宋体" w:hAnsi="宋体" w:eastAsia="宋体" w:cs="宋体"/>
                <w:kern w:val="0"/>
                <w:sz w:val="21"/>
                <w:szCs w:val="24"/>
                <w:highlight w:val="none"/>
                <w:lang w:val="en-US" w:eastAsia="zh-CN"/>
              </w:rPr>
            </w:pPr>
            <w:r>
              <w:rPr>
                <w:rFonts w:hint="eastAsia" w:ascii="宋体" w:hAnsi="宋体" w:eastAsia="宋体" w:cs="宋体"/>
                <w:kern w:val="0"/>
                <w:sz w:val="21"/>
                <w:szCs w:val="24"/>
                <w:highlight w:val="none"/>
                <w:lang w:val="en-US" w:eastAsia="zh-CN" w:bidi="ar-SA"/>
              </w:rPr>
              <w:t>1.</w:t>
            </w:r>
            <w:r>
              <w:rPr>
                <w:rFonts w:hint="eastAsia" w:ascii="宋体" w:hAnsi="宋体" w:eastAsia="宋体" w:cs="宋体"/>
                <w:kern w:val="0"/>
                <w:sz w:val="21"/>
                <w:szCs w:val="24"/>
                <w:highlight w:val="none"/>
                <w:lang w:val="en-US" w:eastAsia="zh-CN"/>
              </w:rPr>
              <w:t>投标人为中华人民共和国境内合法注册的法人或其他组织。</w:t>
            </w:r>
          </w:p>
          <w:p w14:paraId="3B91A04E">
            <w:pPr>
              <w:numPr>
                <w:ilvl w:val="0"/>
                <w:numId w:val="0"/>
              </w:numPr>
              <w:snapToGrid w:val="0"/>
              <w:spacing w:line="360" w:lineRule="exact"/>
              <w:ind w:firstLine="420" w:firstLineChars="200"/>
              <w:jc w:val="left"/>
              <w:rPr>
                <w:rFonts w:hint="default" w:ascii="Calibri" w:hAnsi="Calibri" w:eastAsia="宋体" w:cs="宋体"/>
                <w:kern w:val="0"/>
                <w:sz w:val="18"/>
                <w:szCs w:val="18"/>
                <w:highlight w:val="none"/>
                <w:lang w:val="en-US" w:eastAsia="zh-CN"/>
              </w:rPr>
            </w:pPr>
            <w:r>
              <w:rPr>
                <w:rFonts w:hint="eastAsia" w:ascii="宋体" w:hAnsi="宋体" w:eastAsia="宋体" w:cs="宋体"/>
                <w:kern w:val="0"/>
                <w:sz w:val="21"/>
                <w:szCs w:val="24"/>
                <w:highlight w:val="none"/>
                <w:lang w:val="en-US" w:eastAsia="zh-CN"/>
              </w:rPr>
              <w:t>2.投标人应通过全国投资项目在线审批监管平台工程咨询单位备案。</w:t>
            </w:r>
          </w:p>
        </w:tc>
      </w:tr>
    </w:tbl>
    <w:p w14:paraId="28E9BC45">
      <w:pPr>
        <w:snapToGrid w:val="0"/>
        <w:jc w:val="left"/>
        <w:rPr>
          <w:rFonts w:hint="eastAsia" w:ascii="宋体" w:hAnsi="宋体" w:eastAsia="宋体" w:cs="宋体"/>
          <w:kern w:val="0"/>
          <w:sz w:val="24"/>
          <w:szCs w:val="24"/>
          <w:highlight w:val="none"/>
          <w:lang w:eastAsia="zh-CN"/>
        </w:rPr>
      </w:pPr>
    </w:p>
    <w:p w14:paraId="4DBFE807">
      <w:pPr>
        <w:widowControl w:val="0"/>
        <w:snapToGrid w:val="0"/>
        <w:spacing w:line="240" w:lineRule="auto"/>
        <w:ind w:firstLine="640" w:firstLineChars="200"/>
        <w:rPr>
          <w:rFonts w:ascii="Calibri" w:hAnsi="Calibri" w:eastAsia="仿宋_GB2312" w:cs="黑体"/>
          <w:sz w:val="32"/>
          <w:szCs w:val="18"/>
          <w:highlight w:val="none"/>
          <w:lang w:val="en-US" w:eastAsia="zh-CN" w:bidi="ar-SA"/>
        </w:rPr>
      </w:pPr>
    </w:p>
    <w:p w14:paraId="0581AF17">
      <w:pPr>
        <w:jc w:val="center"/>
        <w:rPr>
          <w:rFonts w:hint="eastAsia"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附录2资格审查条件（业绩最低要求）</w:t>
      </w:r>
    </w:p>
    <w:tbl>
      <w:tblPr>
        <w:tblStyle w:val="4"/>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988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27A31C99">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业绩要求</w:t>
            </w:r>
          </w:p>
        </w:tc>
      </w:tr>
      <w:tr w14:paraId="540E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60" w:hRule="atLeast"/>
        </w:trPr>
        <w:tc>
          <w:tcPr>
            <w:tcW w:w="8642" w:type="dxa"/>
            <w:vAlign w:val="center"/>
          </w:tcPr>
          <w:p w14:paraId="7DD5C4BD">
            <w:pPr>
              <w:snapToGrid w:val="0"/>
              <w:spacing w:line="360" w:lineRule="exact"/>
              <w:ind w:firstLine="420" w:firstLineChars="200"/>
              <w:jc w:val="both"/>
              <w:rPr>
                <w:rFonts w:hint="eastAsia" w:ascii="宋体" w:hAnsi="宋体" w:eastAsia="宋体" w:cs="宋体"/>
                <w:strike/>
                <w:kern w:val="0"/>
                <w:sz w:val="21"/>
                <w:szCs w:val="21"/>
                <w:highlight w:val="none"/>
                <w:lang w:eastAsia="zh-CN"/>
              </w:rPr>
            </w:pPr>
            <w:r>
              <w:rPr>
                <w:rFonts w:hint="eastAsia" w:ascii="宋体" w:hAnsi="宋体" w:eastAsia="宋体" w:cs="宋体"/>
                <w:kern w:val="0"/>
                <w:sz w:val="21"/>
                <w:szCs w:val="21"/>
                <w:highlight w:val="none"/>
                <w:lang w:eastAsia="zh-CN"/>
              </w:rPr>
              <w:t>近</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lang w:eastAsia="zh-CN"/>
              </w:rPr>
              <w:t>年（20</w:t>
            </w:r>
            <w:r>
              <w:rPr>
                <w:rFonts w:hint="eastAsia" w:ascii="宋体" w:hAnsi="宋体" w:eastAsia="宋体" w:cs="宋体"/>
                <w:kern w:val="0"/>
                <w:sz w:val="21"/>
                <w:szCs w:val="21"/>
                <w:highlight w:val="none"/>
                <w:lang w:val="en-US" w:eastAsia="zh-CN"/>
              </w:rPr>
              <w:t>21</w:t>
            </w:r>
            <w:r>
              <w:rPr>
                <w:rFonts w:hint="eastAsia" w:ascii="宋体" w:hAnsi="宋体" w:eastAsia="宋体" w:cs="宋体"/>
                <w:kern w:val="0"/>
                <w:sz w:val="21"/>
                <w:szCs w:val="21"/>
                <w:highlight w:val="none"/>
                <w:lang w:eastAsia="zh-CN"/>
              </w:rPr>
              <w:t>年</w:t>
            </w:r>
            <w:r>
              <w:rPr>
                <w:rFonts w:hint="eastAsia" w:ascii="宋体" w:hAnsi="宋体" w:eastAsia="宋体" w:cs="宋体"/>
                <w:kern w:val="0"/>
                <w:sz w:val="21"/>
                <w:szCs w:val="21"/>
                <w:highlight w:val="none"/>
                <w:lang w:val="en-US" w:eastAsia="zh-CN"/>
              </w:rPr>
              <w:t>7月</w:t>
            </w:r>
            <w:r>
              <w:rPr>
                <w:rFonts w:hint="eastAsia" w:ascii="宋体" w:hAnsi="宋体" w:eastAsia="宋体" w:cs="宋体"/>
                <w:kern w:val="0"/>
                <w:sz w:val="21"/>
                <w:szCs w:val="21"/>
                <w:highlight w:val="none"/>
                <w:lang w:eastAsia="zh-CN"/>
              </w:rPr>
              <w:t>1日至投标截止时间，以合同签订时间为准），</w:t>
            </w:r>
            <w:r>
              <w:rPr>
                <w:rFonts w:ascii="Calibri" w:hAnsi="Calibri" w:eastAsia="宋体" w:cs="宋体"/>
                <w:color w:val="auto"/>
                <w:spacing w:val="-4"/>
                <w:kern w:val="0"/>
                <w:sz w:val="21"/>
                <w:szCs w:val="21"/>
                <w:highlight w:val="none"/>
                <w:lang w:eastAsia="en-US"/>
              </w:rPr>
              <w:t>至少</w:t>
            </w:r>
            <w:r>
              <w:rPr>
                <w:rFonts w:hint="eastAsia" w:ascii="Calibri" w:hAnsi="Calibri" w:eastAsia="宋体" w:cs="宋体"/>
                <w:color w:val="auto"/>
                <w:spacing w:val="-4"/>
                <w:kern w:val="0"/>
                <w:sz w:val="21"/>
                <w:szCs w:val="21"/>
                <w:highlight w:val="none"/>
                <w:lang w:val="en-US" w:eastAsia="zh-CN"/>
              </w:rPr>
              <w:t>具有一项</w:t>
            </w:r>
            <w:r>
              <w:rPr>
                <w:rFonts w:hint="eastAsia" w:ascii="Times New Roman" w:hAnsi="Calibri" w:eastAsia="宋体" w:cs="宋体"/>
                <w:color w:val="auto"/>
                <w:spacing w:val="-4"/>
                <w:kern w:val="0"/>
                <w:sz w:val="21"/>
                <w:szCs w:val="21"/>
                <w:highlight w:val="none"/>
                <w:lang w:val="en-US" w:eastAsia="zh-CN"/>
              </w:rPr>
              <w:t>中长期（3年及以上）高速公路养护规划或咨询服务业绩。</w:t>
            </w:r>
          </w:p>
        </w:tc>
      </w:tr>
    </w:tbl>
    <w:p w14:paraId="6D60EB40">
      <w:pPr>
        <w:snapToGrid w:val="0"/>
        <w:jc w:val="left"/>
        <w:rPr>
          <w:rFonts w:hint="eastAsia" w:ascii="宋体" w:hAnsi="宋体" w:eastAsia="宋体" w:cs="宋体"/>
          <w:kern w:val="0"/>
          <w:sz w:val="24"/>
          <w:szCs w:val="24"/>
          <w:highlight w:val="none"/>
          <w:lang w:eastAsia="zh-CN"/>
        </w:rPr>
      </w:pPr>
    </w:p>
    <w:p w14:paraId="4CF70617">
      <w:pPr>
        <w:widowControl w:val="0"/>
        <w:snapToGrid w:val="0"/>
        <w:spacing w:line="240" w:lineRule="auto"/>
        <w:ind w:firstLine="640" w:firstLineChars="200"/>
        <w:rPr>
          <w:rFonts w:ascii="Calibri" w:hAnsi="Calibri" w:eastAsia="仿宋_GB2312" w:cs="黑体"/>
          <w:sz w:val="32"/>
          <w:szCs w:val="18"/>
          <w:highlight w:val="none"/>
          <w:lang w:val="en-US" w:eastAsia="zh-CN" w:bidi="ar-SA"/>
        </w:rPr>
      </w:pPr>
    </w:p>
    <w:p w14:paraId="49FA87AB">
      <w:pPr>
        <w:jc w:val="center"/>
        <w:rPr>
          <w:rFonts w:hint="eastAsia"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附录3资格审查条件（信誉最低要求）</w:t>
      </w:r>
    </w:p>
    <w:tbl>
      <w:tblPr>
        <w:tblStyle w:val="4"/>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E7C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49A30085">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信誉要求</w:t>
            </w:r>
          </w:p>
        </w:tc>
      </w:tr>
      <w:tr w14:paraId="61BE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3" w:hRule="atLeast"/>
        </w:trPr>
        <w:tc>
          <w:tcPr>
            <w:tcW w:w="8642" w:type="dxa"/>
            <w:vAlign w:val="center"/>
          </w:tcPr>
          <w:p w14:paraId="6D5E3579">
            <w:pPr>
              <w:snapToGrid w:val="0"/>
              <w:spacing w:line="360" w:lineRule="exact"/>
              <w:ind w:firstLine="420" w:firstLineChars="200"/>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投标人在过去1年中（2025年</w:t>
            </w:r>
            <w:r>
              <w:rPr>
                <w:rFonts w:hint="eastAsia" w:ascii="宋体" w:hAnsi="宋体" w:eastAsia="宋体" w:cs="宋体"/>
                <w:kern w:val="0"/>
                <w:sz w:val="21"/>
                <w:szCs w:val="21"/>
                <w:highlight w:val="none"/>
                <w:lang w:val="en-US" w:eastAsia="zh-CN"/>
              </w:rPr>
              <w:t>7月</w:t>
            </w:r>
            <w:r>
              <w:rPr>
                <w:rFonts w:hint="eastAsia" w:ascii="宋体" w:hAnsi="宋体" w:eastAsia="宋体" w:cs="宋体"/>
                <w:kern w:val="0"/>
                <w:sz w:val="21"/>
                <w:szCs w:val="21"/>
                <w:highlight w:val="none"/>
                <w:lang w:eastAsia="zh-CN"/>
              </w:rPr>
              <w:t>1日至投标截止时间）不曾在</w:t>
            </w:r>
            <w:r>
              <w:rPr>
                <w:rFonts w:hint="eastAsia" w:ascii="Times New Roman" w:hAnsi="Calibri" w:eastAsia="宋体" w:cs="宋体"/>
                <w:color w:val="auto"/>
                <w:spacing w:val="-2"/>
                <w:kern w:val="0"/>
                <w:sz w:val="21"/>
                <w:szCs w:val="21"/>
                <w:highlight w:val="none"/>
                <w:lang w:val="en-US" w:eastAsia="zh-CN"/>
              </w:rPr>
              <w:t>高速公路养护规划或咨询服务</w:t>
            </w:r>
            <w:r>
              <w:rPr>
                <w:rFonts w:hint="eastAsia" w:ascii="宋体" w:hAnsi="宋体" w:eastAsia="宋体" w:cs="宋体"/>
                <w:kern w:val="0"/>
                <w:sz w:val="21"/>
                <w:szCs w:val="21"/>
                <w:highlight w:val="none"/>
                <w:lang w:eastAsia="zh-CN"/>
              </w:rPr>
              <w:t>合同中违约而被逐或因投标人自身的原因而使</w:t>
            </w:r>
            <w:r>
              <w:rPr>
                <w:rFonts w:hint="eastAsia" w:ascii="Times New Roman" w:hAnsi="Calibri" w:eastAsia="宋体" w:cs="宋体"/>
                <w:color w:val="auto"/>
                <w:spacing w:val="-2"/>
                <w:kern w:val="0"/>
                <w:sz w:val="21"/>
                <w:szCs w:val="21"/>
                <w:highlight w:val="none"/>
                <w:lang w:val="en-US" w:eastAsia="zh-CN"/>
              </w:rPr>
              <w:t>高速公路养护规划或咨询服务</w:t>
            </w:r>
            <w:r>
              <w:rPr>
                <w:rFonts w:hint="eastAsia" w:ascii="宋体" w:hAnsi="宋体" w:eastAsia="宋体" w:cs="宋体"/>
                <w:kern w:val="0"/>
                <w:sz w:val="21"/>
                <w:szCs w:val="21"/>
                <w:highlight w:val="none"/>
                <w:lang w:eastAsia="zh-CN"/>
              </w:rPr>
              <w:t>合同被解除。</w:t>
            </w:r>
          </w:p>
        </w:tc>
      </w:tr>
    </w:tbl>
    <w:p w14:paraId="6FE3DA4D">
      <w:pPr>
        <w:snapToGrid w:val="0"/>
        <w:jc w:val="left"/>
        <w:rPr>
          <w:rFonts w:hint="eastAsia" w:ascii="宋体" w:hAnsi="宋体" w:eastAsia="宋体" w:cs="宋体"/>
          <w:kern w:val="0"/>
          <w:sz w:val="24"/>
          <w:szCs w:val="24"/>
          <w:highlight w:val="none"/>
          <w:lang w:eastAsia="zh-CN"/>
        </w:rPr>
      </w:pPr>
    </w:p>
    <w:p w14:paraId="61D4D128">
      <w:pPr>
        <w:widowControl w:val="0"/>
        <w:snapToGrid w:val="0"/>
        <w:spacing w:line="240" w:lineRule="auto"/>
        <w:ind w:firstLine="640" w:firstLineChars="200"/>
        <w:rPr>
          <w:rFonts w:ascii="Calibri" w:hAnsi="Calibri" w:eastAsia="仿宋_GB2312" w:cs="黑体"/>
          <w:sz w:val="32"/>
          <w:szCs w:val="18"/>
          <w:highlight w:val="none"/>
          <w:lang w:val="en-US" w:eastAsia="zh-CN" w:bidi="ar-SA"/>
        </w:rPr>
      </w:pPr>
    </w:p>
    <w:p w14:paraId="7B02E1E3">
      <w:pPr>
        <w:jc w:val="center"/>
        <w:rPr>
          <w:rFonts w:hint="eastAsia" w:ascii="宋体" w:hAnsi="宋体" w:eastAsia="宋体" w:cs="宋体"/>
          <w:b/>
          <w:kern w:val="0"/>
          <w:sz w:val="24"/>
          <w:szCs w:val="24"/>
          <w:highlight w:val="none"/>
          <w:lang w:eastAsia="zh-CN"/>
        </w:rPr>
      </w:pPr>
      <w:r>
        <w:rPr>
          <w:rFonts w:hint="eastAsia" w:ascii="宋体" w:hAnsi="宋体" w:eastAsia="宋体" w:cs="宋体"/>
          <w:b/>
          <w:kern w:val="0"/>
          <w:sz w:val="24"/>
          <w:szCs w:val="24"/>
          <w:highlight w:val="none"/>
          <w:lang w:eastAsia="zh-CN"/>
        </w:rPr>
        <w:t>附录4资格审查条件（</w:t>
      </w:r>
      <w:r>
        <w:rPr>
          <w:rFonts w:hint="eastAsia" w:ascii="宋体" w:hAnsi="宋体" w:eastAsia="宋体" w:cs="Arial"/>
          <w:b/>
          <w:bCs/>
          <w:spacing w:val="15"/>
          <w:kern w:val="0"/>
          <w:sz w:val="24"/>
          <w:szCs w:val="18"/>
          <w:highlight w:val="none"/>
          <w:lang w:eastAsia="zh-CN"/>
        </w:rPr>
        <w:t>项目负责人</w:t>
      </w:r>
      <w:r>
        <w:rPr>
          <w:rFonts w:hint="eastAsia" w:ascii="宋体" w:hAnsi="宋体" w:eastAsia="宋体" w:cs="宋体"/>
          <w:b/>
          <w:kern w:val="0"/>
          <w:sz w:val="24"/>
          <w:szCs w:val="24"/>
          <w:highlight w:val="none"/>
          <w:lang w:eastAsia="zh-CN"/>
        </w:rPr>
        <w:t>最低要求）</w:t>
      </w:r>
    </w:p>
    <w:tbl>
      <w:tblPr>
        <w:tblStyle w:val="4"/>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7882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1340" w:type="dxa"/>
            <w:vAlign w:val="center"/>
          </w:tcPr>
          <w:p w14:paraId="7CFF5A62">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人员</w:t>
            </w:r>
          </w:p>
        </w:tc>
        <w:tc>
          <w:tcPr>
            <w:tcW w:w="810" w:type="dxa"/>
            <w:vAlign w:val="center"/>
          </w:tcPr>
          <w:p w14:paraId="31899A32">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数量</w:t>
            </w:r>
          </w:p>
        </w:tc>
        <w:tc>
          <w:tcPr>
            <w:tcW w:w="6521" w:type="dxa"/>
            <w:vAlign w:val="center"/>
          </w:tcPr>
          <w:p w14:paraId="61DE1B77">
            <w:pPr>
              <w:jc w:val="center"/>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资格要求</w:t>
            </w:r>
          </w:p>
        </w:tc>
      </w:tr>
      <w:tr w14:paraId="7A52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trPr>
        <w:tc>
          <w:tcPr>
            <w:tcW w:w="1340" w:type="dxa"/>
            <w:vAlign w:val="center"/>
          </w:tcPr>
          <w:p w14:paraId="44B40E9D">
            <w:pPr>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项目负责人</w:t>
            </w:r>
          </w:p>
        </w:tc>
        <w:tc>
          <w:tcPr>
            <w:tcW w:w="810" w:type="dxa"/>
            <w:vAlign w:val="center"/>
          </w:tcPr>
          <w:p w14:paraId="5E3E7D23">
            <w:pPr>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w:t>
            </w:r>
          </w:p>
        </w:tc>
        <w:tc>
          <w:tcPr>
            <w:tcW w:w="6521" w:type="dxa"/>
            <w:vAlign w:val="center"/>
          </w:tcPr>
          <w:p w14:paraId="4B6ED809">
            <w:pPr>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高级及以上职称，具备注册咨询工程师（</w:t>
            </w:r>
            <w:r>
              <w:rPr>
                <w:rFonts w:hint="eastAsia" w:ascii="宋体" w:hAnsi="宋体" w:eastAsia="宋体" w:cs="宋体"/>
                <w:kern w:val="0"/>
                <w:sz w:val="21"/>
                <w:szCs w:val="21"/>
                <w:highlight w:val="none"/>
                <w:lang w:val="en-US" w:eastAsia="zh-CN"/>
              </w:rPr>
              <w:t>投资）</w:t>
            </w:r>
            <w:r>
              <w:rPr>
                <w:rFonts w:hint="eastAsia" w:ascii="宋体" w:hAnsi="宋体" w:eastAsia="宋体" w:cs="宋体"/>
                <w:kern w:val="0"/>
                <w:sz w:val="21"/>
                <w:szCs w:val="21"/>
                <w:highlight w:val="none"/>
                <w:lang w:eastAsia="zh-CN"/>
              </w:rPr>
              <w:t>证书，注册单位须与</w:t>
            </w:r>
            <w:r>
              <w:rPr>
                <w:rFonts w:hint="eastAsia" w:ascii="宋体" w:hAnsi="宋体" w:eastAsia="宋体" w:cs="宋体"/>
                <w:kern w:val="0"/>
                <w:sz w:val="21"/>
                <w:szCs w:val="21"/>
                <w:highlight w:val="none"/>
                <w:lang w:val="en-US" w:eastAsia="zh-CN"/>
              </w:rPr>
              <w:t>投标</w:t>
            </w:r>
            <w:r>
              <w:rPr>
                <w:rFonts w:hint="eastAsia" w:ascii="宋体" w:hAnsi="宋体" w:eastAsia="宋体" w:cs="宋体"/>
                <w:kern w:val="0"/>
                <w:sz w:val="21"/>
                <w:szCs w:val="21"/>
                <w:highlight w:val="none"/>
                <w:lang w:eastAsia="zh-CN"/>
              </w:rPr>
              <w:t>人单位名称一致；</w:t>
            </w:r>
          </w:p>
          <w:p w14:paraId="361DB996">
            <w:pPr>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近</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lang w:eastAsia="zh-CN"/>
              </w:rPr>
              <w:t>年</w:t>
            </w:r>
            <w:r>
              <w:rPr>
                <w:rFonts w:hint="eastAsia" w:ascii="Times New Roman" w:hAnsi="Calibri" w:eastAsia="宋体" w:cs="宋体"/>
                <w:color w:val="auto"/>
                <w:spacing w:val="-4"/>
                <w:kern w:val="0"/>
                <w:sz w:val="21"/>
                <w:szCs w:val="21"/>
                <w:highlight w:val="none"/>
                <w:lang w:val="en-US" w:eastAsia="zh-CN"/>
              </w:rPr>
              <w:t>（2021年7月1日至投标截止时间，以合同签订时间为准）</w:t>
            </w:r>
            <w:r>
              <w:rPr>
                <w:rFonts w:hint="eastAsia" w:ascii="宋体" w:hAnsi="宋体" w:eastAsia="宋体" w:cs="宋体"/>
                <w:kern w:val="0"/>
                <w:sz w:val="21"/>
                <w:szCs w:val="21"/>
                <w:highlight w:val="none"/>
                <w:lang w:eastAsia="zh-CN"/>
              </w:rPr>
              <w:t>，至少担任过一项</w:t>
            </w:r>
            <w:r>
              <w:rPr>
                <w:rFonts w:hint="eastAsia" w:ascii="Times New Roman" w:hAnsi="Calibri" w:eastAsia="宋体" w:cs="宋体"/>
                <w:color w:val="auto"/>
                <w:spacing w:val="-4"/>
                <w:kern w:val="0"/>
                <w:sz w:val="21"/>
                <w:szCs w:val="21"/>
                <w:highlight w:val="none"/>
                <w:lang w:val="en-US" w:eastAsia="zh-CN"/>
              </w:rPr>
              <w:t>中长期（3年及以上）高速公路养护规划或咨询服务项目</w:t>
            </w:r>
            <w:r>
              <w:rPr>
                <w:rFonts w:hint="eastAsia" w:ascii="宋体" w:hAnsi="宋体" w:eastAsia="宋体" w:cs="宋体"/>
                <w:kern w:val="0"/>
                <w:sz w:val="21"/>
                <w:szCs w:val="21"/>
                <w:highlight w:val="none"/>
                <w:lang w:eastAsia="zh-CN"/>
              </w:rPr>
              <w:t>的项目负责人或</w:t>
            </w:r>
            <w:r>
              <w:rPr>
                <w:rFonts w:hint="eastAsia" w:ascii="宋体" w:hAnsi="宋体" w:eastAsia="宋体" w:cs="宋体"/>
                <w:kern w:val="0"/>
                <w:sz w:val="21"/>
                <w:szCs w:val="21"/>
                <w:highlight w:val="none"/>
                <w:lang w:val="en-US" w:eastAsia="zh-CN"/>
              </w:rPr>
              <w:t>技术负责人。</w:t>
            </w:r>
          </w:p>
        </w:tc>
      </w:tr>
    </w:tbl>
    <w:p w14:paraId="55A41565">
      <w:pPr>
        <w:snapToGrid w:val="0"/>
        <w:spacing w:before="156" w:beforeLines="50" w:after="156" w:afterLines="50" w:line="240" w:lineRule="auto"/>
        <w:rPr>
          <w:rFonts w:hint="eastAsia" w:ascii="黑体" w:eastAsia="黑体"/>
          <w:spacing w:val="-8"/>
          <w:highlight w:val="none"/>
          <w:lang w:eastAsia="zh-CN"/>
        </w:rPr>
        <w:sectPr>
          <w:footerReference r:id="rId4" w:type="first"/>
          <w:footerReference r:id="rId3" w:type="default"/>
          <w:pgSz w:w="11906" w:h="16838"/>
          <w:pgMar w:top="1440" w:right="1406" w:bottom="1440" w:left="1406" w:header="851" w:footer="992" w:gutter="0"/>
          <w:cols w:space="0" w:num="1"/>
          <w:rtlGutter w:val="0"/>
          <w:docGrid w:type="lines" w:linePitch="312" w:charSpace="0"/>
        </w:sectPr>
      </w:pPr>
      <w:r>
        <w:rPr>
          <w:rFonts w:ascii="黑体" w:hAnsi="宋体" w:eastAsia="黑体" w:cs="宋体"/>
          <w:b/>
          <w:bCs/>
          <w:spacing w:val="-8"/>
          <w:sz w:val="24"/>
          <w:szCs w:val="24"/>
          <w:highlight w:val="none"/>
          <w:lang w:val="en-US" w:eastAsia="zh-CN" w:bidi="ar-SA"/>
        </w:rPr>
        <w:br w:type="page"/>
      </w:r>
      <w:bookmarkStart w:id="3" w:name="_Toc24234"/>
    </w:p>
    <w:bookmarkEnd w:id="1"/>
    <w:bookmarkEnd w:id="2"/>
    <w:bookmarkEnd w:id="3"/>
    <w:p w14:paraId="0D026EF9">
      <w:pPr>
        <w:keepNext/>
        <w:widowControl/>
        <w:snapToGrid w:val="0"/>
        <w:spacing w:before="156" w:beforeLines="50" w:after="156" w:afterLines="50" w:line="240" w:lineRule="auto"/>
        <w:ind w:left="138"/>
        <w:outlineLvl w:val="2"/>
        <w:rPr>
          <w:rFonts w:hint="eastAsia" w:ascii="宋体" w:hAnsi="宋体" w:eastAsia="宋体" w:cs="宋体"/>
          <w:b/>
          <w:bCs/>
          <w:sz w:val="28"/>
          <w:szCs w:val="28"/>
          <w:highlight w:val="none"/>
          <w:lang w:val="en-US" w:eastAsia="zh-CN" w:bidi="ar-SA"/>
        </w:rPr>
      </w:pPr>
      <w:r>
        <w:rPr>
          <w:rFonts w:ascii="宋体" w:hAnsi="宋体" w:eastAsia="宋体" w:cs="宋体"/>
          <w:b/>
          <w:bCs/>
          <w:spacing w:val="-6"/>
          <w:sz w:val="28"/>
          <w:szCs w:val="28"/>
          <w:highlight w:val="none"/>
          <w:lang w:val="en-US" w:eastAsia="zh-CN" w:bidi="ar-SA"/>
        </w:rPr>
        <w:t>附件</w:t>
      </w:r>
      <w:r>
        <w:rPr>
          <w:rFonts w:hint="eastAsia" w:ascii="Times New Roman" w:hAnsi="Times New Roman" w:eastAsia="宋体" w:cs="Times New Roman"/>
          <w:b/>
          <w:bCs/>
          <w:spacing w:val="-6"/>
          <w:sz w:val="28"/>
          <w:szCs w:val="28"/>
          <w:highlight w:val="none"/>
          <w:lang w:val="en-US" w:eastAsia="zh-CN" w:bidi="ar-SA"/>
        </w:rPr>
        <w:t>2</w:t>
      </w:r>
      <w:r>
        <w:rPr>
          <w:rFonts w:ascii="宋体" w:hAnsi="宋体" w:eastAsia="宋体" w:cs="宋体"/>
          <w:b/>
          <w:bCs/>
          <w:spacing w:val="-6"/>
          <w:sz w:val="28"/>
          <w:szCs w:val="28"/>
          <w:highlight w:val="none"/>
          <w:lang w:val="en-US" w:eastAsia="zh-CN" w:bidi="ar-SA"/>
        </w:rPr>
        <w:t>：评标办法</w:t>
      </w:r>
    </w:p>
    <w:p w14:paraId="3A869E93">
      <w:pPr>
        <w:spacing w:before="203" w:line="218" w:lineRule="auto"/>
        <w:ind w:left="3562"/>
        <w:jc w:val="left"/>
        <w:rPr>
          <w:rFonts w:hint="eastAsia" w:ascii="宋体" w:hAnsi="宋体" w:eastAsia="宋体" w:cs="宋体"/>
          <w:kern w:val="0"/>
          <w:sz w:val="24"/>
          <w:szCs w:val="24"/>
          <w:highlight w:val="none"/>
          <w:lang w:eastAsia="zh-CN"/>
        </w:rPr>
      </w:pPr>
      <w:r>
        <w:rPr>
          <w:rFonts w:ascii="宋体" w:hAnsi="宋体" w:eastAsia="宋体" w:cs="宋体"/>
          <w:b/>
          <w:bCs/>
          <w:spacing w:val="-3"/>
          <w:kern w:val="0"/>
          <w:sz w:val="24"/>
          <w:szCs w:val="24"/>
          <w:highlight w:val="none"/>
          <w:lang w:eastAsia="zh-CN"/>
        </w:rPr>
        <w:t>评标办法（</w:t>
      </w:r>
      <w:r>
        <w:rPr>
          <w:rFonts w:hint="eastAsia" w:ascii="宋体" w:hAnsi="宋体" w:eastAsia="宋体" w:cs="宋体"/>
          <w:b/>
          <w:bCs/>
          <w:spacing w:val="-3"/>
          <w:kern w:val="0"/>
          <w:sz w:val="24"/>
          <w:szCs w:val="24"/>
          <w:highlight w:val="none"/>
          <w:lang w:eastAsia="zh-CN"/>
        </w:rPr>
        <w:t>综合评估法</w:t>
      </w:r>
      <w:r>
        <w:rPr>
          <w:rFonts w:ascii="宋体" w:hAnsi="宋体" w:eastAsia="宋体" w:cs="宋体"/>
          <w:b/>
          <w:bCs/>
          <w:spacing w:val="-3"/>
          <w:kern w:val="0"/>
          <w:sz w:val="24"/>
          <w:szCs w:val="24"/>
          <w:highlight w:val="none"/>
          <w:lang w:eastAsia="zh-CN"/>
        </w:rPr>
        <w:t>）</w:t>
      </w:r>
    </w:p>
    <w:p w14:paraId="757F3370">
      <w:pPr>
        <w:spacing w:before="181" w:line="219" w:lineRule="auto"/>
        <w:ind w:left="113"/>
        <w:jc w:val="left"/>
        <w:rPr>
          <w:rFonts w:hint="eastAsia" w:ascii="宋体" w:hAnsi="宋体" w:eastAsia="宋体" w:cs="宋体"/>
          <w:kern w:val="0"/>
          <w:sz w:val="24"/>
          <w:szCs w:val="24"/>
          <w:highlight w:val="none"/>
          <w:lang w:eastAsia="en-US"/>
        </w:rPr>
      </w:pPr>
      <w:r>
        <w:rPr>
          <w:rFonts w:ascii="宋体" w:hAnsi="宋体" w:eastAsia="宋体" w:cs="宋体"/>
          <w:b/>
          <w:bCs/>
          <w:spacing w:val="-4"/>
          <w:kern w:val="0"/>
          <w:sz w:val="24"/>
          <w:szCs w:val="24"/>
          <w:highlight w:val="none"/>
          <w:lang w:eastAsia="en-US"/>
        </w:rPr>
        <w:t>评标办法前附表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444"/>
        <w:gridCol w:w="6956"/>
        <w:gridCol w:w="18"/>
      </w:tblGrid>
      <w:tr w14:paraId="39FE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8" w:type="pct"/>
            <w:gridSpan w:val="2"/>
            <w:vAlign w:val="center"/>
          </w:tcPr>
          <w:p w14:paraId="26A09EA6">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条款号</w:t>
            </w:r>
          </w:p>
        </w:tc>
        <w:tc>
          <w:tcPr>
            <w:tcW w:w="3791" w:type="pct"/>
            <w:gridSpan w:val="2"/>
            <w:vAlign w:val="center"/>
          </w:tcPr>
          <w:p w14:paraId="11D0CB1A">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评审因素与评审标准</w:t>
            </w:r>
          </w:p>
        </w:tc>
      </w:tr>
      <w:tr w14:paraId="3583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638148E2">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1</w:t>
            </w:r>
          </w:p>
        </w:tc>
        <w:tc>
          <w:tcPr>
            <w:tcW w:w="785" w:type="pct"/>
            <w:vAlign w:val="center"/>
          </w:tcPr>
          <w:p w14:paraId="27C1BCB7">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评标方法</w:t>
            </w:r>
          </w:p>
        </w:tc>
        <w:tc>
          <w:tcPr>
            <w:tcW w:w="3782" w:type="pct"/>
            <w:vAlign w:val="center"/>
          </w:tcPr>
          <w:p w14:paraId="203E3B77">
            <w:pPr>
              <w:keepNext w:val="0"/>
              <w:keepLines w:val="0"/>
              <w:pageBreakBefore w:val="0"/>
              <w:widowControl w:val="0"/>
              <w:kinsoku/>
              <w:wordWrap/>
              <w:overflowPunct/>
              <w:topLinePunct w:val="0"/>
              <w:bidi w:val="0"/>
              <w:snapToGrid w:val="0"/>
              <w:spacing w:line="320" w:lineRule="exact"/>
              <w:ind w:firstLine="404" w:firstLineChars="200"/>
              <w:jc w:val="left"/>
              <w:textAlignment w:val="auto"/>
              <w:rPr>
                <w:rFonts w:hint="eastAsia" w:ascii="宋体" w:hAnsi="宋体" w:eastAsia="宋体" w:cs="宋体"/>
                <w:spacing w:val="-4"/>
                <w:kern w:val="0"/>
                <w:sz w:val="21"/>
                <w:szCs w:val="21"/>
                <w:highlight w:val="none"/>
                <w:lang w:eastAsia="zh-CN"/>
              </w:rPr>
            </w:pPr>
            <w:r>
              <w:rPr>
                <w:rFonts w:hint="eastAsia" w:ascii="宋体" w:hAnsi="宋体" w:eastAsia="宋体" w:cs="宋体"/>
                <w:spacing w:val="-4"/>
                <w:kern w:val="0"/>
                <w:sz w:val="21"/>
                <w:szCs w:val="21"/>
                <w:highlight w:val="none"/>
                <w:lang w:eastAsia="zh-CN"/>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5F40545">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hint="eastAsia" w:ascii="宋体" w:hAnsi="宋体" w:eastAsia="宋体" w:cs="宋体"/>
                <w:spacing w:val="-4"/>
                <w:kern w:val="0"/>
                <w:sz w:val="21"/>
                <w:szCs w:val="21"/>
                <w:highlight w:val="none"/>
                <w:lang w:eastAsia="zh-CN"/>
              </w:rPr>
            </w:pPr>
            <w:r>
              <w:rPr>
                <w:rFonts w:hint="eastAsia" w:ascii="宋体" w:hAnsi="宋体" w:eastAsia="宋体" w:cs="宋体"/>
                <w:spacing w:val="-4"/>
                <w:kern w:val="0"/>
                <w:sz w:val="21"/>
                <w:szCs w:val="21"/>
                <w:highlight w:val="none"/>
                <w:lang w:eastAsia="zh-CN"/>
              </w:rPr>
              <w:t>（1）评标价低的投标人优先；</w:t>
            </w:r>
          </w:p>
          <w:p w14:paraId="37A750DB">
            <w:pPr>
              <w:keepNext w:val="0"/>
              <w:keepLines w:val="0"/>
              <w:pageBreakBefore w:val="0"/>
              <w:widowControl w:val="0"/>
              <w:kinsoku/>
              <w:wordWrap/>
              <w:overflowPunct/>
              <w:topLinePunct w:val="0"/>
              <w:bidi w:val="0"/>
              <w:snapToGrid w:val="0"/>
              <w:spacing w:line="320" w:lineRule="exact"/>
              <w:ind w:left="205" w:leftChars="97" w:hanging="1"/>
              <w:jc w:val="left"/>
              <w:textAlignment w:val="auto"/>
              <w:rPr>
                <w:rFonts w:hint="eastAsia" w:ascii="宋体" w:hAnsi="宋体" w:eastAsia="宋体" w:cs="宋体"/>
                <w:spacing w:val="-4"/>
                <w:kern w:val="0"/>
                <w:sz w:val="21"/>
                <w:szCs w:val="21"/>
                <w:highlight w:val="none"/>
                <w:lang w:eastAsia="zh-CN"/>
              </w:rPr>
            </w:pPr>
            <w:r>
              <w:rPr>
                <w:rFonts w:hint="eastAsia" w:ascii="宋体" w:hAnsi="宋体" w:eastAsia="宋体" w:cs="宋体"/>
                <w:spacing w:val="-4"/>
                <w:kern w:val="0"/>
                <w:sz w:val="21"/>
                <w:szCs w:val="21"/>
                <w:highlight w:val="none"/>
                <w:lang w:eastAsia="zh-CN"/>
              </w:rPr>
              <w:t>（2）实施方案得分较高的投标人优先；</w:t>
            </w:r>
          </w:p>
          <w:p w14:paraId="077A6EAC">
            <w:pPr>
              <w:keepNext w:val="0"/>
              <w:keepLines w:val="0"/>
              <w:pageBreakBefore w:val="0"/>
              <w:widowControl w:val="0"/>
              <w:kinsoku/>
              <w:wordWrap/>
              <w:overflowPunct/>
              <w:topLinePunct w:val="0"/>
              <w:bidi w:val="0"/>
              <w:snapToGrid w:val="0"/>
              <w:spacing w:line="320" w:lineRule="exact"/>
              <w:ind w:firstLine="202" w:firstLineChars="100"/>
              <w:jc w:val="left"/>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spacing w:val="-4"/>
                <w:kern w:val="0"/>
                <w:sz w:val="21"/>
                <w:szCs w:val="21"/>
                <w:highlight w:val="none"/>
                <w:lang w:eastAsia="zh-CN"/>
              </w:rPr>
              <w:t>（3）投标人满足资格审查条件（业绩最低条件）要求的业绩金额累计较高的</w:t>
            </w:r>
            <w:r>
              <w:rPr>
                <w:rFonts w:hint="eastAsia" w:ascii="宋体" w:hAnsi="宋体" w:eastAsia="宋体" w:cs="宋体"/>
                <w:spacing w:val="-4"/>
                <w:kern w:val="0"/>
                <w:sz w:val="21"/>
                <w:szCs w:val="21"/>
                <w:highlight w:val="none"/>
                <w:lang w:val="en-US" w:eastAsia="zh-CN"/>
              </w:rPr>
              <w:t>投标人</w:t>
            </w:r>
            <w:r>
              <w:rPr>
                <w:rFonts w:hint="eastAsia" w:ascii="宋体" w:hAnsi="宋体" w:eastAsia="宋体" w:cs="宋体"/>
                <w:spacing w:val="-4"/>
                <w:kern w:val="0"/>
                <w:sz w:val="21"/>
                <w:szCs w:val="21"/>
                <w:highlight w:val="none"/>
                <w:lang w:eastAsia="zh-CN"/>
              </w:rPr>
              <w:t>优先。</w:t>
            </w:r>
          </w:p>
        </w:tc>
      </w:tr>
      <w:tr w14:paraId="4998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137FDB09">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2.1.1</w:t>
            </w:r>
          </w:p>
          <w:p w14:paraId="4EB826CD">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2.1.3</w:t>
            </w:r>
          </w:p>
        </w:tc>
        <w:tc>
          <w:tcPr>
            <w:tcW w:w="785" w:type="pct"/>
            <w:vAlign w:val="center"/>
          </w:tcPr>
          <w:p w14:paraId="333C01BE">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形式评审与响应性评审标准</w:t>
            </w:r>
          </w:p>
        </w:tc>
        <w:tc>
          <w:tcPr>
            <w:tcW w:w="3782" w:type="pct"/>
          </w:tcPr>
          <w:p w14:paraId="53EE73E5">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第一个信封（商务文件）评审标准：</w:t>
            </w:r>
          </w:p>
          <w:p w14:paraId="49E4E552">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（1）投标文件按照招标文件规定的格式、内容填写，字迹清晰可辨：</w:t>
            </w:r>
          </w:p>
          <w:p w14:paraId="36CCA31B">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a.投标函按招标文件规定填报了</w:t>
            </w:r>
            <w:r>
              <w:rPr>
                <w:rFonts w:hint="eastAsia" w:ascii="宋体" w:hAnsi="宋体" w:eastAsia="宋体" w:cs="宋体"/>
                <w:bCs/>
                <w:kern w:val="0"/>
                <w:sz w:val="21"/>
                <w:szCs w:val="21"/>
                <w:highlight w:val="none"/>
                <w:lang w:val="en-US" w:eastAsia="zh-CN"/>
              </w:rPr>
              <w:t>招标人名称、</w:t>
            </w:r>
            <w:r>
              <w:rPr>
                <w:rFonts w:hint="eastAsia" w:ascii="宋体" w:hAnsi="宋体" w:eastAsia="宋体" w:cs="宋体"/>
                <w:bCs/>
                <w:kern w:val="0"/>
                <w:sz w:val="21"/>
                <w:szCs w:val="21"/>
                <w:highlight w:val="none"/>
                <w:lang w:eastAsia="zh-CN"/>
              </w:rPr>
              <w:t>项目名称、补遗书编号（如有）、</w:t>
            </w:r>
            <w:r>
              <w:rPr>
                <w:rFonts w:hint="eastAsia" w:ascii="宋体" w:hAnsi="宋体" w:eastAsia="宋体" w:cs="宋体"/>
                <w:kern w:val="0"/>
                <w:sz w:val="21"/>
                <w:szCs w:val="21"/>
                <w:highlight w:val="none"/>
                <w:lang w:eastAsia="zh-CN"/>
              </w:rPr>
              <w:t>项目负责人</w:t>
            </w:r>
            <w:r>
              <w:rPr>
                <w:rFonts w:hint="eastAsia" w:ascii="宋体" w:hAnsi="宋体" w:eastAsia="宋体" w:cs="宋体"/>
                <w:bCs/>
                <w:kern w:val="0"/>
                <w:sz w:val="21"/>
                <w:szCs w:val="21"/>
                <w:highlight w:val="none"/>
                <w:lang w:eastAsia="zh-CN"/>
              </w:rPr>
              <w:t>、服务期限、质量要求；</w:t>
            </w:r>
          </w:p>
          <w:p w14:paraId="67DB780D">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b.投标文件组成齐全完整，内容均按规定填写。</w:t>
            </w:r>
          </w:p>
          <w:p w14:paraId="0BA273E9">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（2）投标文件上法定代表人或其授权代理人的签字、投标人的单位章盖章齐全，符合招标文件规定。</w:t>
            </w:r>
          </w:p>
          <w:p w14:paraId="0C34116A">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（3）投标人按照招标文件的规定提供了投标保证金，并符合投标人须知前附表3.4.1项的相关规定。</w:t>
            </w:r>
          </w:p>
          <w:p w14:paraId="619911C5">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（4）投标人法定代表人授权委托代理人签署投标文件的，须提交授权委托书，授权委托书的签字盖章符合招标文件规定。</w:t>
            </w:r>
          </w:p>
          <w:p w14:paraId="7DC2395F">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（5）投标人法定代表人亲自签署投标文件的，提供了法定代表人身份证明，并符合招标文件的规定。</w:t>
            </w:r>
          </w:p>
          <w:p w14:paraId="15DC54D7">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（6）投标人未以联合体形式投标。</w:t>
            </w:r>
          </w:p>
          <w:p w14:paraId="00D7FB7F">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（7）投标人未对本项目进行分包。</w:t>
            </w:r>
          </w:p>
          <w:p w14:paraId="023C5875">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（8）同一投标人未提交两个以上不同的投标文件。</w:t>
            </w:r>
          </w:p>
          <w:p w14:paraId="1E75BD84">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（9）投标文件第一信封中未出现有关投标报价的内容。</w:t>
            </w:r>
          </w:p>
          <w:p w14:paraId="52359518">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（10）投标文件载明的招标项目完成期限符合招标文件规定。</w:t>
            </w:r>
          </w:p>
          <w:p w14:paraId="44F8D024">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（11）投标文件对招标文件的实质性要求和条件作出响应。</w:t>
            </w:r>
          </w:p>
          <w:p w14:paraId="78E2D8B6">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（12）权利义务符合招标文件规定：</w:t>
            </w:r>
          </w:p>
          <w:p w14:paraId="7D2E70E9">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a.投标人应接受招标文件规定的风险划分原则，未提出新的风险划分办法；</w:t>
            </w:r>
          </w:p>
          <w:p w14:paraId="5736CB04">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b.投标人未增加发包人的责任范围，或减少投标人义务；</w:t>
            </w:r>
          </w:p>
          <w:p w14:paraId="0C4D5B07">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c.投标人未提出不同的支付办法；</w:t>
            </w:r>
          </w:p>
          <w:p w14:paraId="0E63A442">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d.投标人对合同纠纷、事故处理办法未提出异议；</w:t>
            </w:r>
          </w:p>
          <w:p w14:paraId="54942519">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e.投标人在投标活动中无欺诈行为；</w:t>
            </w:r>
          </w:p>
          <w:p w14:paraId="260F3B9A">
            <w:pPr>
              <w:keepNext w:val="0"/>
              <w:keepLines w:val="0"/>
              <w:pageBreakBefore w:val="0"/>
              <w:widowControl w:val="0"/>
              <w:tabs>
                <w:tab w:val="left" w:pos="3060"/>
              </w:tabs>
              <w:kinsoku/>
              <w:wordWrap/>
              <w:overflowPunct/>
              <w:topLinePunct w:val="0"/>
              <w:bidi w:val="0"/>
              <w:snapToGrid w:val="0"/>
              <w:spacing w:line="320" w:lineRule="exact"/>
              <w:ind w:firstLine="210" w:firstLineChars="1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f.投标人未对合同条款有重要保留。</w:t>
            </w:r>
          </w:p>
          <w:p w14:paraId="530C5AD5">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第一个信封（技术文件）评审标准（暗标）：</w:t>
            </w:r>
          </w:p>
          <w:p w14:paraId="57DAFEC0">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Cs/>
                <w:kern w:val="0"/>
                <w:sz w:val="21"/>
                <w:szCs w:val="21"/>
                <w:highlight w:val="none"/>
                <w:lang w:eastAsia="zh-CN"/>
              </w:rPr>
              <w:t>（1）实施方案（暗标）编制符合招标文件第二章“投标人须知前附表”第10.3款的规定。</w:t>
            </w:r>
          </w:p>
          <w:p w14:paraId="3FF1173E">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第二个信封（报价文件）评审标准：</w:t>
            </w:r>
          </w:p>
          <w:p w14:paraId="647A4D48">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（1）投标文件按照招标文件规定的格式、内容填写，字迹清晰可辨，内容齐全完整。</w:t>
            </w:r>
          </w:p>
          <w:p w14:paraId="23870963">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a.投标函按招标文件规定填报了</w:t>
            </w:r>
            <w:r>
              <w:rPr>
                <w:rFonts w:hint="eastAsia" w:ascii="宋体" w:hAnsi="宋体" w:eastAsia="宋体" w:cs="宋体"/>
                <w:bCs/>
                <w:kern w:val="0"/>
                <w:sz w:val="21"/>
                <w:szCs w:val="21"/>
                <w:highlight w:val="none"/>
                <w:lang w:val="en-US" w:eastAsia="zh-CN"/>
              </w:rPr>
              <w:t>招标人名称、</w:t>
            </w:r>
            <w:r>
              <w:rPr>
                <w:rFonts w:hint="eastAsia" w:ascii="宋体" w:hAnsi="宋体" w:eastAsia="宋体" w:cs="宋体"/>
                <w:bCs/>
                <w:kern w:val="0"/>
                <w:sz w:val="21"/>
                <w:szCs w:val="21"/>
                <w:highlight w:val="none"/>
                <w:lang w:eastAsia="zh-CN"/>
              </w:rPr>
              <w:t>项目名称、补遗书编号（如有）、投标报价（包括大写金额和小写金额）；</w:t>
            </w:r>
          </w:p>
          <w:p w14:paraId="64559FAB">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b.报价清单说明文字与招标文件规定一致，未进行实质性修改和删减；</w:t>
            </w:r>
          </w:p>
          <w:p w14:paraId="2BE5F243">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c．投标文件组成齐全完整，内容均按规定填写。</w:t>
            </w:r>
          </w:p>
          <w:p w14:paraId="3EB4E02C">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（2）投标文件上法定代表人或其授权代理人的签字、投标人的单位章盖章齐全，符合招标文件规定。</w:t>
            </w:r>
          </w:p>
          <w:p w14:paraId="6A90F124">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（3）</w:t>
            </w:r>
            <w:r>
              <w:rPr>
                <w:rFonts w:hint="eastAsia" w:ascii="宋体" w:hAnsi="宋体" w:eastAsia="宋体" w:cs="宋体"/>
                <w:color w:val="000000"/>
                <w:kern w:val="0"/>
                <w:sz w:val="21"/>
                <w:szCs w:val="21"/>
                <w:highlight w:val="none"/>
                <w:lang w:eastAsia="zh-CN"/>
              </w:rPr>
              <w:t>投标报价未超过招标文件设定的最高投标限价</w:t>
            </w:r>
            <w:r>
              <w:rPr>
                <w:rFonts w:hint="eastAsia" w:ascii="宋体" w:hAnsi="宋体" w:eastAsia="宋体" w:cs="宋体"/>
                <w:bCs/>
                <w:kern w:val="0"/>
                <w:sz w:val="21"/>
                <w:szCs w:val="21"/>
                <w:highlight w:val="none"/>
                <w:lang w:eastAsia="zh-CN"/>
              </w:rPr>
              <w:t>。</w:t>
            </w:r>
          </w:p>
          <w:p w14:paraId="2675A4B5">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（4）投标报价大写金额能够确定具体数值。</w:t>
            </w:r>
          </w:p>
          <w:p w14:paraId="210398FB">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bCs/>
                <w:kern w:val="0"/>
                <w:sz w:val="21"/>
                <w:szCs w:val="21"/>
                <w:highlight w:val="none"/>
                <w:lang w:eastAsia="zh-CN"/>
              </w:rPr>
              <w:t>（5）同一投标人未提交两个以上不同的投标报价。</w:t>
            </w:r>
          </w:p>
          <w:p w14:paraId="3018D90A">
            <w:pPr>
              <w:keepNext w:val="0"/>
              <w:keepLines w:val="0"/>
              <w:pageBreakBefore w:val="0"/>
              <w:widowControl w:val="0"/>
              <w:tabs>
                <w:tab w:val="left" w:pos="3060"/>
              </w:tabs>
              <w:kinsoku/>
              <w:wordWrap/>
              <w:overflowPunct/>
              <w:topLinePunct w:val="0"/>
              <w:bidi w:val="0"/>
              <w:snapToGrid w:val="0"/>
              <w:spacing w:line="320" w:lineRule="exact"/>
              <w:ind w:firstLine="205" w:firstLineChars="98"/>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bCs/>
                <w:kern w:val="0"/>
                <w:sz w:val="21"/>
                <w:szCs w:val="21"/>
                <w:highlight w:val="none"/>
                <w:lang w:eastAsia="zh-CN"/>
              </w:rPr>
              <w:t>（6）报价清单中投标报价与投标函中投标报价大写金额一致。</w:t>
            </w:r>
          </w:p>
        </w:tc>
      </w:tr>
      <w:tr w14:paraId="18C2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2344" w:hRule="atLeast"/>
        </w:trPr>
        <w:tc>
          <w:tcPr>
            <w:tcW w:w="423" w:type="pct"/>
            <w:vAlign w:val="center"/>
          </w:tcPr>
          <w:p w14:paraId="123602B7">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2.1.2</w:t>
            </w:r>
          </w:p>
        </w:tc>
        <w:tc>
          <w:tcPr>
            <w:tcW w:w="785" w:type="pct"/>
            <w:vAlign w:val="center"/>
          </w:tcPr>
          <w:p w14:paraId="07D3ACA8">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资格评审标准</w:t>
            </w:r>
          </w:p>
        </w:tc>
        <w:tc>
          <w:tcPr>
            <w:tcW w:w="3782" w:type="pct"/>
          </w:tcPr>
          <w:p w14:paraId="07BA0117">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（1）投标人具备有效的营业执照或事业单位法人证书和基本账户开户许可证（或基本存款账户信息）；</w:t>
            </w:r>
          </w:p>
          <w:p w14:paraId="51323028">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eastAsia="zh-CN"/>
              </w:rPr>
              <w:t>）投标人的</w:t>
            </w:r>
            <w:r>
              <w:rPr>
                <w:rFonts w:hint="eastAsia" w:ascii="宋体" w:hAnsi="宋体" w:eastAsia="宋体" w:cs="宋体"/>
                <w:kern w:val="0"/>
                <w:sz w:val="21"/>
                <w:szCs w:val="21"/>
                <w:highlight w:val="none"/>
                <w:lang w:val="en-US" w:eastAsia="zh-CN"/>
              </w:rPr>
              <w:t>资质</w:t>
            </w:r>
            <w:r>
              <w:rPr>
                <w:rFonts w:hint="eastAsia" w:ascii="宋体" w:hAnsi="宋体" w:eastAsia="宋体" w:cs="宋体"/>
                <w:kern w:val="0"/>
                <w:sz w:val="21"/>
                <w:szCs w:val="21"/>
                <w:highlight w:val="none"/>
                <w:lang w:eastAsia="zh-CN"/>
              </w:rPr>
              <w:t>符合招标文件规定；</w:t>
            </w:r>
          </w:p>
          <w:p w14:paraId="7CF75B90">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lang w:eastAsia="zh-CN"/>
              </w:rPr>
              <w:t>）投标人的业绩符合招标文件规定；</w:t>
            </w:r>
          </w:p>
          <w:p w14:paraId="1ABB2232">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lang w:eastAsia="zh-CN"/>
              </w:rPr>
              <w:t>）投标人的信誉符合招标文件规定；</w:t>
            </w:r>
          </w:p>
          <w:p w14:paraId="6AF890F8">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lang w:eastAsia="zh-CN"/>
              </w:rPr>
              <w:t>）投标人的项目负责人资格符合招标文件规定；</w:t>
            </w:r>
          </w:p>
          <w:p w14:paraId="40E05ABA">
            <w:pPr>
              <w:keepNext w:val="0"/>
              <w:keepLines w:val="0"/>
              <w:pageBreakBefore w:val="0"/>
              <w:widowControl w:val="0"/>
              <w:tabs>
                <w:tab w:val="left" w:pos="3060"/>
              </w:tabs>
              <w:kinsoku/>
              <w:wordWrap/>
              <w:overflowPunct/>
              <w:topLinePunct w:val="0"/>
              <w:bidi w:val="0"/>
              <w:snapToGrid w:val="0"/>
              <w:spacing w:line="320" w:lineRule="exact"/>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lang w:eastAsia="zh-CN"/>
              </w:rPr>
              <w:t>）投标人不存在第二章“投标人须知”1.4.3项或第1.4.4项规定的任何一种情形。</w:t>
            </w:r>
          </w:p>
        </w:tc>
      </w:tr>
      <w:tr w14:paraId="0E68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7E1D7905">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2.2.1</w:t>
            </w:r>
          </w:p>
        </w:tc>
        <w:tc>
          <w:tcPr>
            <w:tcW w:w="785" w:type="pct"/>
            <w:vAlign w:val="center"/>
          </w:tcPr>
          <w:p w14:paraId="530B666C">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分值构成（总分100分）</w:t>
            </w:r>
          </w:p>
        </w:tc>
        <w:tc>
          <w:tcPr>
            <w:tcW w:w="3782" w:type="pct"/>
            <w:vAlign w:val="center"/>
          </w:tcPr>
          <w:p w14:paraId="318AAA17">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第一个信封（商务及技术文件）评分分值构成：</w:t>
            </w:r>
          </w:p>
          <w:p w14:paraId="37179031">
            <w:pPr>
              <w:keepNext w:val="0"/>
              <w:keepLines w:val="0"/>
              <w:pageBreakBefore w:val="0"/>
              <w:widowControl w:val="0"/>
              <w:kinsoku/>
              <w:wordWrap/>
              <w:overflowPunct/>
              <w:topLinePunct w:val="0"/>
              <w:bidi w:val="0"/>
              <w:snapToGrid w:val="0"/>
              <w:spacing w:line="320" w:lineRule="exact"/>
              <w:jc w:val="left"/>
              <w:textAlignment w:val="auto"/>
              <w:rPr>
                <w:rFonts w:hint="default" w:ascii="宋体" w:hAnsi="宋体" w:eastAsia="宋体" w:cs="宋体"/>
                <w:b/>
                <w:kern w:val="0"/>
                <w:sz w:val="21"/>
                <w:szCs w:val="21"/>
                <w:highlight w:val="none"/>
                <w:lang w:val="en-US" w:eastAsia="zh-CN"/>
              </w:rPr>
            </w:pPr>
            <w:r>
              <w:rPr>
                <w:rFonts w:hint="eastAsia" w:ascii="宋体" w:hAnsi="宋体" w:eastAsia="宋体" w:cs="宋体"/>
                <w:b/>
                <w:kern w:val="0"/>
                <w:sz w:val="21"/>
                <w:szCs w:val="21"/>
                <w:highlight w:val="none"/>
                <w:lang w:eastAsia="zh-CN"/>
              </w:rPr>
              <w:t>实施方案：</w:t>
            </w:r>
            <w:r>
              <w:rPr>
                <w:rFonts w:hint="eastAsia" w:ascii="宋体" w:hAnsi="宋体" w:eastAsia="宋体" w:cs="宋体"/>
                <w:b/>
                <w:kern w:val="0"/>
                <w:sz w:val="21"/>
                <w:szCs w:val="21"/>
                <w:highlight w:val="none"/>
                <w:u w:val="single"/>
                <w:lang w:eastAsia="zh-CN"/>
              </w:rPr>
              <w:t>40</w:t>
            </w:r>
            <w:r>
              <w:rPr>
                <w:rFonts w:hint="eastAsia" w:ascii="宋体" w:hAnsi="宋体" w:eastAsia="宋体" w:cs="宋体"/>
                <w:b/>
                <w:kern w:val="0"/>
                <w:sz w:val="21"/>
                <w:szCs w:val="21"/>
                <w:highlight w:val="none"/>
                <w:lang w:eastAsia="zh-CN"/>
              </w:rPr>
              <w:t>分（</w:t>
            </w:r>
            <w:r>
              <w:rPr>
                <w:rFonts w:hint="eastAsia" w:ascii="宋体" w:hAnsi="宋体" w:eastAsia="宋体" w:cs="宋体"/>
                <w:b/>
                <w:kern w:val="0"/>
                <w:sz w:val="21"/>
                <w:szCs w:val="21"/>
                <w:highlight w:val="none"/>
                <w:lang w:val="en-US" w:eastAsia="zh-CN"/>
              </w:rPr>
              <w:t>暗标）</w:t>
            </w:r>
          </w:p>
          <w:p w14:paraId="2695FF14">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主要人员：</w:t>
            </w:r>
            <w:r>
              <w:rPr>
                <w:rFonts w:hint="eastAsia" w:ascii="宋体" w:hAnsi="宋体" w:eastAsia="宋体" w:cs="宋体"/>
                <w:b/>
                <w:kern w:val="0"/>
                <w:sz w:val="21"/>
                <w:szCs w:val="21"/>
                <w:highlight w:val="none"/>
                <w:u w:val="single"/>
                <w:lang w:eastAsia="zh-CN"/>
              </w:rPr>
              <w:t>10</w:t>
            </w:r>
            <w:r>
              <w:rPr>
                <w:rFonts w:hint="eastAsia" w:ascii="宋体" w:hAnsi="宋体" w:eastAsia="宋体" w:cs="宋体"/>
                <w:b/>
                <w:kern w:val="0"/>
                <w:sz w:val="21"/>
                <w:szCs w:val="21"/>
                <w:highlight w:val="none"/>
                <w:lang w:eastAsia="zh-CN"/>
              </w:rPr>
              <w:t>分</w:t>
            </w:r>
          </w:p>
          <w:p w14:paraId="508DF857">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其他因素：</w:t>
            </w:r>
            <w:r>
              <w:rPr>
                <w:rFonts w:hint="eastAsia" w:ascii="宋体" w:hAnsi="宋体" w:eastAsia="宋体" w:cs="宋体"/>
                <w:b/>
                <w:kern w:val="0"/>
                <w:sz w:val="21"/>
                <w:szCs w:val="21"/>
                <w:highlight w:val="none"/>
                <w:u w:val="single"/>
                <w:lang w:eastAsia="zh-CN"/>
              </w:rPr>
              <w:t>20</w:t>
            </w:r>
            <w:r>
              <w:rPr>
                <w:rFonts w:hint="eastAsia" w:ascii="宋体" w:hAnsi="宋体" w:eastAsia="宋体" w:cs="宋体"/>
                <w:b/>
                <w:kern w:val="0"/>
                <w:sz w:val="21"/>
                <w:szCs w:val="21"/>
                <w:highlight w:val="none"/>
                <w:lang w:eastAsia="zh-CN"/>
              </w:rPr>
              <w:t>分</w:t>
            </w:r>
          </w:p>
          <w:p w14:paraId="61143CBB">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zh-CN"/>
              </w:rPr>
            </w:pPr>
            <w:r>
              <w:rPr>
                <w:rFonts w:hint="eastAsia" w:ascii="宋体" w:hAnsi="宋体" w:eastAsia="宋体" w:cs="宋体"/>
                <w:b/>
                <w:kern w:val="0"/>
                <w:sz w:val="21"/>
                <w:szCs w:val="21"/>
                <w:highlight w:val="none"/>
                <w:lang w:eastAsia="zh-CN"/>
              </w:rPr>
              <w:t>第二个信封（报价文件）评分分值构成：</w:t>
            </w:r>
          </w:p>
          <w:p w14:paraId="4B2E34F2">
            <w:pPr>
              <w:keepNext w:val="0"/>
              <w:keepLines w:val="0"/>
              <w:pageBreakBefore w:val="0"/>
              <w:widowControl w:val="0"/>
              <w:kinsoku/>
              <w:wordWrap/>
              <w:overflowPunct/>
              <w:topLinePunct w:val="0"/>
              <w:bidi w:val="0"/>
              <w:snapToGrid w:val="0"/>
              <w:spacing w:line="320" w:lineRule="exact"/>
              <w:jc w:val="left"/>
              <w:textAlignment w:val="auto"/>
              <w:rPr>
                <w:rFonts w:hint="eastAsia" w:ascii="宋体" w:hAnsi="宋体" w:eastAsia="宋体" w:cs="宋体"/>
                <w:b/>
                <w:kern w:val="0"/>
                <w:sz w:val="21"/>
                <w:szCs w:val="21"/>
                <w:highlight w:val="none"/>
                <w:lang w:eastAsia="en-US"/>
              </w:rPr>
            </w:pPr>
            <w:r>
              <w:rPr>
                <w:rFonts w:hint="eastAsia" w:ascii="宋体" w:hAnsi="宋体" w:eastAsia="宋体" w:cs="宋体"/>
                <w:b/>
                <w:kern w:val="0"/>
                <w:sz w:val="21"/>
                <w:szCs w:val="21"/>
                <w:highlight w:val="none"/>
                <w:lang w:eastAsia="en-US"/>
              </w:rPr>
              <w:t>评标价：</w:t>
            </w:r>
            <w:r>
              <w:rPr>
                <w:rFonts w:hint="eastAsia" w:ascii="宋体" w:hAnsi="宋体" w:eastAsia="宋体" w:cs="宋体"/>
                <w:b/>
                <w:kern w:val="0"/>
                <w:sz w:val="21"/>
                <w:szCs w:val="21"/>
                <w:highlight w:val="none"/>
                <w:u w:val="single"/>
                <w:lang w:eastAsia="zh-CN"/>
              </w:rPr>
              <w:t>3</w:t>
            </w:r>
            <w:r>
              <w:rPr>
                <w:rFonts w:hint="eastAsia" w:ascii="宋体" w:hAnsi="宋体" w:eastAsia="宋体" w:cs="宋体"/>
                <w:b/>
                <w:kern w:val="0"/>
                <w:sz w:val="21"/>
                <w:szCs w:val="21"/>
                <w:highlight w:val="none"/>
                <w:u w:val="single"/>
                <w:lang w:eastAsia="en-US"/>
              </w:rPr>
              <w:t>0</w:t>
            </w:r>
            <w:r>
              <w:rPr>
                <w:rFonts w:hint="eastAsia" w:ascii="宋体" w:hAnsi="宋体" w:eastAsia="宋体" w:cs="宋体"/>
                <w:b/>
                <w:kern w:val="0"/>
                <w:sz w:val="21"/>
                <w:szCs w:val="21"/>
                <w:highlight w:val="none"/>
                <w:lang w:eastAsia="en-US"/>
              </w:rPr>
              <w:t>分</w:t>
            </w:r>
          </w:p>
        </w:tc>
      </w:tr>
      <w:tr w14:paraId="5B29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712" w:hRule="atLeast"/>
        </w:trPr>
        <w:tc>
          <w:tcPr>
            <w:tcW w:w="423" w:type="pct"/>
            <w:vAlign w:val="center"/>
          </w:tcPr>
          <w:p w14:paraId="09A323AD">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2.2.2</w:t>
            </w:r>
          </w:p>
        </w:tc>
        <w:tc>
          <w:tcPr>
            <w:tcW w:w="785" w:type="pct"/>
            <w:vAlign w:val="center"/>
          </w:tcPr>
          <w:p w14:paraId="22A2801F">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评标基准价计算方法</w:t>
            </w:r>
          </w:p>
        </w:tc>
        <w:tc>
          <w:tcPr>
            <w:tcW w:w="3782" w:type="pct"/>
            <w:vAlign w:val="center"/>
          </w:tcPr>
          <w:p w14:paraId="695A0663">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b/>
                <w:bCs/>
                <w:kern w:val="0"/>
                <w:sz w:val="21"/>
                <w:szCs w:val="21"/>
                <w:highlight w:val="none"/>
                <w:lang w:eastAsia="zh-CN"/>
              </w:rPr>
              <w:t>评标基准价的计算</w:t>
            </w:r>
            <w:r>
              <w:rPr>
                <w:rFonts w:hint="eastAsia" w:ascii="宋体" w:hAnsi="宋体" w:eastAsia="宋体" w:cs="宋体"/>
                <w:kern w:val="0"/>
                <w:sz w:val="21"/>
                <w:szCs w:val="21"/>
                <w:highlight w:val="none"/>
                <w:lang w:eastAsia="zh-CN"/>
              </w:rPr>
              <w:t>：</w:t>
            </w:r>
          </w:p>
          <w:p w14:paraId="179FBFE0">
            <w:pPr>
              <w:keepNext w:val="0"/>
              <w:keepLines w:val="0"/>
              <w:pageBreakBefore w:val="0"/>
              <w:widowControl w:val="0"/>
              <w:kinsoku/>
              <w:wordWrap/>
              <w:overflowPunct/>
              <w:topLinePunct w:val="0"/>
              <w:bidi w:val="0"/>
              <w:snapToGrid w:val="0"/>
              <w:spacing w:line="320" w:lineRule="exact"/>
              <w:ind w:right="113" w:firstLine="426" w:firstLineChars="20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在第二个信封开标现场，招标人当场计算并宣布评标基准价。</w:t>
            </w:r>
          </w:p>
          <w:p w14:paraId="341A246A">
            <w:pPr>
              <w:keepNext w:val="0"/>
              <w:keepLines w:val="0"/>
              <w:pageBreakBefore w:val="0"/>
              <w:widowControl w:val="0"/>
              <w:kinsoku/>
              <w:wordWrap/>
              <w:overflowPunct/>
              <w:topLinePunct w:val="0"/>
              <w:bidi w:val="0"/>
              <w:snapToGrid w:val="0"/>
              <w:spacing w:line="320" w:lineRule="exact"/>
              <w:ind w:right="113" w:firstLine="426" w:firstLineChars="20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(1)评标价的确定：</w:t>
            </w:r>
          </w:p>
          <w:p w14:paraId="173DB9F1">
            <w:pPr>
              <w:keepNext w:val="0"/>
              <w:keepLines w:val="0"/>
              <w:pageBreakBefore w:val="0"/>
              <w:widowControl w:val="0"/>
              <w:kinsoku/>
              <w:wordWrap/>
              <w:overflowPunct/>
              <w:topLinePunct w:val="0"/>
              <w:bidi w:val="0"/>
              <w:snapToGrid w:val="0"/>
              <w:spacing w:line="320" w:lineRule="exact"/>
              <w:ind w:right="113" w:firstLine="426" w:firstLineChars="20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评标价=投标函文字报价</w:t>
            </w:r>
          </w:p>
          <w:p w14:paraId="6C425A11">
            <w:pPr>
              <w:keepNext w:val="0"/>
              <w:keepLines w:val="0"/>
              <w:pageBreakBefore w:val="0"/>
              <w:widowControl w:val="0"/>
              <w:kinsoku/>
              <w:wordWrap/>
              <w:overflowPunct/>
              <w:topLinePunct w:val="0"/>
              <w:bidi w:val="0"/>
              <w:snapToGrid w:val="0"/>
              <w:spacing w:line="320" w:lineRule="exact"/>
              <w:ind w:right="113" w:firstLine="426" w:firstLineChars="20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(2)评标价平均值的计算：</w:t>
            </w:r>
          </w:p>
          <w:p w14:paraId="2FD8FA85">
            <w:pPr>
              <w:keepNext w:val="0"/>
              <w:keepLines w:val="0"/>
              <w:pageBreakBefore w:val="0"/>
              <w:widowControl w:val="0"/>
              <w:kinsoku/>
              <w:wordWrap/>
              <w:overflowPunct/>
              <w:topLinePunct w:val="0"/>
              <w:bidi w:val="0"/>
              <w:snapToGrid w:val="0"/>
              <w:spacing w:line="320" w:lineRule="exact"/>
              <w:ind w:right="113" w:firstLine="426" w:firstLineChars="203"/>
              <w:jc w:val="both"/>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B7F06B6">
            <w:pPr>
              <w:keepNext w:val="0"/>
              <w:keepLines w:val="0"/>
              <w:pageBreakBefore w:val="0"/>
              <w:widowControl w:val="0"/>
              <w:kinsoku/>
              <w:wordWrap/>
              <w:overflowPunct/>
              <w:topLinePunct w:val="0"/>
              <w:bidi w:val="0"/>
              <w:snapToGrid w:val="0"/>
              <w:spacing w:line="320" w:lineRule="exact"/>
              <w:ind w:right="113" w:firstLine="426" w:firstLineChars="20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(3)评标基准价的确定：</w:t>
            </w:r>
          </w:p>
          <w:p w14:paraId="029B1F93">
            <w:pPr>
              <w:keepNext w:val="0"/>
              <w:keepLines w:val="0"/>
              <w:pageBreakBefore w:val="0"/>
              <w:widowControl w:val="0"/>
              <w:kinsoku/>
              <w:wordWrap/>
              <w:overflowPunct/>
              <w:topLinePunct w:val="0"/>
              <w:bidi w:val="0"/>
              <w:snapToGrid w:val="0"/>
              <w:spacing w:line="320" w:lineRule="exact"/>
              <w:ind w:right="113" w:firstLine="426" w:firstLineChars="20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评标价平均值直接作为评标基准价（评标基准价保留小数点后两位，小数点后第三位四舍五入）。</w:t>
            </w:r>
          </w:p>
          <w:p w14:paraId="4C894B23">
            <w:pPr>
              <w:keepNext w:val="0"/>
              <w:keepLines w:val="0"/>
              <w:pageBreakBefore w:val="0"/>
              <w:widowControl w:val="0"/>
              <w:kinsoku/>
              <w:wordWrap/>
              <w:overflowPunct/>
              <w:topLinePunct w:val="0"/>
              <w:bidi w:val="0"/>
              <w:snapToGrid w:val="0"/>
              <w:spacing w:line="320" w:lineRule="exact"/>
              <w:ind w:firstLine="420" w:firstLineChars="2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A54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0D0FBA67">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2.2.3</w:t>
            </w:r>
          </w:p>
        </w:tc>
        <w:tc>
          <w:tcPr>
            <w:tcW w:w="785" w:type="pct"/>
            <w:vAlign w:val="center"/>
          </w:tcPr>
          <w:p w14:paraId="3B7A81E6">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评标价的偏差率计算公式</w:t>
            </w:r>
          </w:p>
        </w:tc>
        <w:tc>
          <w:tcPr>
            <w:tcW w:w="3782" w:type="pct"/>
            <w:vAlign w:val="center"/>
          </w:tcPr>
          <w:p w14:paraId="1FC07881">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w:t>
            </w:r>
          </w:p>
        </w:tc>
      </w:tr>
      <w:tr w14:paraId="5BBB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728" w:hRule="atLeast"/>
        </w:trPr>
        <w:tc>
          <w:tcPr>
            <w:tcW w:w="423" w:type="pct"/>
            <w:vAlign w:val="center"/>
          </w:tcPr>
          <w:p w14:paraId="42370CFF">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3.5.3</w:t>
            </w:r>
          </w:p>
        </w:tc>
        <w:tc>
          <w:tcPr>
            <w:tcW w:w="1462" w:type="dxa"/>
            <w:vAlign w:val="center"/>
          </w:tcPr>
          <w:p w14:paraId="55C42C67">
            <w:pPr>
              <w:keepNext w:val="0"/>
              <w:keepLines w:val="0"/>
              <w:pageBreakBefore w:val="0"/>
              <w:widowControl w:val="0"/>
              <w:kinsoku/>
              <w:wordWrap/>
              <w:overflowPunct/>
              <w:topLinePunct w:val="0"/>
              <w:bidi w:val="0"/>
              <w:snapToGrid w:val="0"/>
              <w:spacing w:line="320" w:lineRule="exact"/>
              <w:ind w:left="113" w:leftChars="0" w:right="113" w:rightChars="0"/>
              <w:jc w:val="center"/>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异常低价评审</w:t>
            </w:r>
          </w:p>
        </w:tc>
        <w:tc>
          <w:tcPr>
            <w:tcW w:w="7042" w:type="dxa"/>
            <w:vAlign w:val="center"/>
          </w:tcPr>
          <w:p w14:paraId="7EFE2A40">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本款修改为</w:t>
            </w:r>
            <w:r>
              <w:rPr>
                <w:rFonts w:hint="eastAsia" w:ascii="宋体" w:hAnsi="宋体" w:eastAsia="宋体" w:cs="宋体"/>
                <w:kern w:val="0"/>
                <w:sz w:val="21"/>
                <w:szCs w:val="21"/>
                <w:highlight w:val="none"/>
                <w:lang w:eastAsia="zh-CN"/>
              </w:rPr>
              <w:t>：</w:t>
            </w:r>
          </w:p>
          <w:p w14:paraId="208CD9E9">
            <w:pPr>
              <w:keepNext w:val="0"/>
              <w:keepLines w:val="0"/>
              <w:pageBreakBefore w:val="0"/>
              <w:widowControl w:val="0"/>
              <w:kinsoku/>
              <w:wordWrap/>
              <w:overflowPunct/>
              <w:topLinePunct w:val="0"/>
              <w:bidi w:val="0"/>
              <w:snapToGrid w:val="0"/>
              <w:spacing w:line="320" w:lineRule="exact"/>
              <w:ind w:right="113" w:rightChars="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评标委员会发现投标人的投标报价低于最高投标限价的</w:t>
            </w:r>
            <w:r>
              <w:rPr>
                <w:rFonts w:hint="eastAsia" w:ascii="宋体" w:hAnsi="宋体" w:eastAsia="宋体" w:cs="宋体"/>
                <w:kern w:val="0"/>
                <w:sz w:val="21"/>
                <w:szCs w:val="21"/>
                <w:highlight w:val="none"/>
                <w:lang w:val="en-US" w:eastAsia="zh-CN"/>
              </w:rPr>
              <w:t>80</w:t>
            </w:r>
            <w:r>
              <w:rPr>
                <w:rFonts w:hint="eastAsia" w:ascii="宋体" w:hAnsi="宋体" w:eastAsia="宋体" w:cs="宋体"/>
                <w:kern w:val="0"/>
                <w:sz w:val="21"/>
                <w:szCs w:val="21"/>
                <w:highlight w:val="none"/>
                <w:lang w:eastAsia="en-US"/>
              </w:rPr>
              <w:t>%</w:t>
            </w:r>
            <w:r>
              <w:rPr>
                <w:rFonts w:hint="eastAsia" w:ascii="宋体" w:hAnsi="宋体" w:eastAsia="宋体" w:cs="宋体"/>
                <w:kern w:val="0"/>
                <w:sz w:val="21"/>
                <w:szCs w:val="21"/>
                <w:highlight w:val="none"/>
                <w:lang w:eastAsia="zh-CN"/>
              </w:rPr>
              <w:t>（含）</w:t>
            </w:r>
            <w:r>
              <w:rPr>
                <w:rFonts w:hint="eastAsia" w:ascii="宋体" w:hAnsi="宋体" w:eastAsia="宋体" w:cs="宋体"/>
                <w:kern w:val="0"/>
                <w:sz w:val="21"/>
                <w:szCs w:val="21"/>
                <w:highlight w:val="none"/>
                <w:lang w:eastAsia="en-US"/>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401F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793" w:hRule="atLeast"/>
        </w:trPr>
        <w:tc>
          <w:tcPr>
            <w:tcW w:w="778" w:type="dxa"/>
            <w:vAlign w:val="center"/>
          </w:tcPr>
          <w:p w14:paraId="09AC2387">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3.6.1</w:t>
            </w:r>
          </w:p>
        </w:tc>
        <w:tc>
          <w:tcPr>
            <w:tcW w:w="1444" w:type="dxa"/>
            <w:vAlign w:val="center"/>
          </w:tcPr>
          <w:p w14:paraId="5D985532">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信息</w:t>
            </w:r>
          </w:p>
          <w:p w14:paraId="6C0AE9A5">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查询</w:t>
            </w:r>
          </w:p>
        </w:tc>
        <w:tc>
          <w:tcPr>
            <w:tcW w:w="6956" w:type="dxa"/>
            <w:vAlign w:val="center"/>
          </w:tcPr>
          <w:p w14:paraId="6E2BFAB6">
            <w:pPr>
              <w:autoSpaceDE w:val="0"/>
              <w:autoSpaceDN w:val="0"/>
              <w:snapToGrid w:val="0"/>
              <w:spacing w:line="320" w:lineRule="exact"/>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本款修改为：</w:t>
            </w:r>
          </w:p>
          <w:p w14:paraId="3248993B">
            <w:pPr>
              <w:numPr>
                <w:ilvl w:val="0"/>
                <w:numId w:val="0"/>
              </w:numPr>
              <w:autoSpaceDE w:val="0"/>
              <w:autoSpaceDN w:val="0"/>
              <w:snapToGrid w:val="0"/>
              <w:spacing w:line="320" w:lineRule="exact"/>
              <w:ind w:firstLine="420" w:firstLineChars="200"/>
              <w:jc w:val="left"/>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eastAsia="zh-CN"/>
              </w:rPr>
              <w:t>评标委员会在评标过程中</w:t>
            </w:r>
            <w:r>
              <w:rPr>
                <w:rFonts w:hint="eastAsia" w:ascii="宋体" w:hAnsi="宋体" w:eastAsia="宋体" w:cs="宋体"/>
                <w:kern w:val="0"/>
                <w:sz w:val="21"/>
                <w:szCs w:val="21"/>
                <w:highlight w:val="none"/>
                <w:lang w:val="en-US" w:eastAsia="zh-CN"/>
              </w:rPr>
              <w:t>将对投标人的信誉情况进行查询。如投标人存在下列情形之一的，</w:t>
            </w:r>
            <w:r>
              <w:rPr>
                <w:rFonts w:hint="eastAsia" w:ascii="宋体" w:hAnsi="宋体" w:eastAsia="宋体" w:cs="宋体"/>
                <w:kern w:val="0"/>
                <w:sz w:val="21"/>
                <w:szCs w:val="21"/>
                <w:highlight w:val="none"/>
                <w:lang w:eastAsia="zh-CN"/>
              </w:rPr>
              <w:t>评标委员会应否决其投标。</w:t>
            </w:r>
          </w:p>
          <w:p w14:paraId="0B35B313">
            <w:pPr>
              <w:numPr>
                <w:ilvl w:val="0"/>
                <w:numId w:val="0"/>
              </w:numPr>
              <w:autoSpaceDE w:val="0"/>
              <w:autoSpaceDN w:val="0"/>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eastAsia="zh-CN"/>
              </w:rPr>
              <w:t>在国家企业信用信息公示系统（https://www.gsxt.gov.cn/）中被列入严重违法失信名单（黑名单）（不含分公司，事业单位不适用）；</w:t>
            </w:r>
          </w:p>
          <w:p w14:paraId="583D4A70">
            <w:pPr>
              <w:numPr>
                <w:ilvl w:val="0"/>
                <w:numId w:val="0"/>
              </w:numPr>
              <w:autoSpaceDE w:val="0"/>
              <w:autoSpaceDN w:val="0"/>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eastAsia="zh-CN"/>
              </w:rPr>
              <w:t>在“信用中国”网站（http://www.creditchina.gov.cn/）中被列入经营（活动）异常名录、重大税收违法失信主体名单和政府采购严重违法失信行为记录名单（均不含分公司）；</w:t>
            </w:r>
          </w:p>
          <w:p w14:paraId="6D160320">
            <w:pPr>
              <w:numPr>
                <w:ilvl w:val="0"/>
                <w:numId w:val="0"/>
              </w:numPr>
              <w:autoSpaceDE w:val="0"/>
              <w:autoSpaceDN w:val="0"/>
              <w:snapToGrid w:val="0"/>
              <w:spacing w:line="320" w:lineRule="exact"/>
              <w:ind w:firstLine="420" w:firstLineChars="200"/>
              <w:jc w:val="left"/>
              <w:rPr>
                <w:rFonts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lang w:eastAsia="zh-CN"/>
              </w:rPr>
              <w:t>在中国执行信息公开网（zxgk.court.gov.cn）中被列入失信被执行人（不含分公司）。</w:t>
            </w:r>
          </w:p>
          <w:p w14:paraId="14D9C547">
            <w:pPr>
              <w:keepNext w:val="0"/>
              <w:keepLines w:val="0"/>
              <w:pageBreakBefore w:val="0"/>
              <w:widowControl w:val="0"/>
              <w:kinsoku/>
              <w:wordWrap/>
              <w:overflowPunct/>
              <w:topLinePunct w:val="0"/>
              <w:autoSpaceDE w:val="0"/>
              <w:autoSpaceDN w:val="0"/>
              <w:bidi w:val="0"/>
              <w:snapToGrid w:val="0"/>
              <w:spacing w:line="320" w:lineRule="exact"/>
              <w:ind w:firstLine="420" w:firstLineChars="200"/>
              <w:jc w:val="left"/>
              <w:textAlignment w:val="auto"/>
              <w:rPr>
                <w:rFonts w:hint="default"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eastAsia="zh-CN"/>
              </w:rPr>
              <w:t>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6BB9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605" w:hRule="atLeast"/>
        </w:trPr>
        <w:tc>
          <w:tcPr>
            <w:tcW w:w="423" w:type="pct"/>
            <w:vAlign w:val="center"/>
          </w:tcPr>
          <w:p w14:paraId="3794AAB4">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zh-CN"/>
              </w:rPr>
              <w:t>增加3.6.3</w:t>
            </w:r>
          </w:p>
        </w:tc>
        <w:tc>
          <w:tcPr>
            <w:tcW w:w="1462" w:type="dxa"/>
            <w:vAlign w:val="center"/>
          </w:tcPr>
          <w:p w14:paraId="352752B0">
            <w:pPr>
              <w:keepNext w:val="0"/>
              <w:keepLines w:val="0"/>
              <w:pageBreakBefore w:val="0"/>
              <w:widowControl w:val="0"/>
              <w:kinsoku/>
              <w:wordWrap/>
              <w:overflowPunct/>
              <w:topLinePunct w:val="0"/>
              <w:bidi w:val="0"/>
              <w:snapToGrid w:val="0"/>
              <w:spacing w:line="320" w:lineRule="exact"/>
              <w:ind w:left="113" w:leftChars="0" w:right="113" w:rightChars="0"/>
              <w:jc w:val="center"/>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异常投标情形核查</w:t>
            </w:r>
          </w:p>
        </w:tc>
        <w:tc>
          <w:tcPr>
            <w:tcW w:w="7042" w:type="dxa"/>
            <w:vAlign w:val="center"/>
          </w:tcPr>
          <w:p w14:paraId="65089356">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增加3.6.3款：</w:t>
            </w:r>
          </w:p>
          <w:p w14:paraId="77FBAC81">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w:t>
            </w:r>
            <w:r>
              <w:rPr>
                <w:rFonts w:hint="eastAsia" w:ascii="宋体" w:hAnsi="宋体" w:eastAsia="宋体" w:cs="宋体"/>
                <w:kern w:val="0"/>
                <w:sz w:val="21"/>
                <w:szCs w:val="21"/>
                <w:highlight w:val="none"/>
                <w:lang w:val="en-US" w:eastAsia="zh-CN"/>
              </w:rPr>
              <w:t>存在串通投标情形，</w:t>
            </w:r>
            <w:r>
              <w:rPr>
                <w:rFonts w:hint="eastAsia" w:ascii="宋体" w:hAnsi="宋体" w:eastAsia="宋体" w:cs="宋体"/>
                <w:kern w:val="0"/>
                <w:sz w:val="21"/>
                <w:szCs w:val="21"/>
                <w:highlight w:val="none"/>
                <w:lang w:eastAsia="en-US"/>
              </w:rPr>
              <w:t>并否决其投标。</w:t>
            </w:r>
          </w:p>
          <w:p w14:paraId="1DB5C5FF">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有下列情形之一的，属于投标文件异常一致或投标活动异常关联等异常投标情形：</w:t>
            </w:r>
          </w:p>
          <w:p w14:paraId="26310FF6">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（1）投标人投标文件制作机器码雷同；</w:t>
            </w:r>
          </w:p>
          <w:p w14:paraId="61EE7F55">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（2）投标文件创建标识码雷同；</w:t>
            </w:r>
          </w:p>
          <w:p w14:paraId="685579DA">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（3）投标文件制作计算机MAC地址雷同；</w:t>
            </w:r>
          </w:p>
          <w:p w14:paraId="1F61E4C9">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（4）投标文件制作计算机硬盘序列号雷同；</w:t>
            </w:r>
          </w:p>
          <w:p w14:paraId="76640683">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（5）招标文件下载IP地址雷同；</w:t>
            </w:r>
          </w:p>
          <w:p w14:paraId="3E566417">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kern w:val="0"/>
                <w:sz w:val="21"/>
                <w:szCs w:val="21"/>
                <w:highlight w:val="none"/>
                <w:lang w:eastAsia="en-US"/>
              </w:rPr>
            </w:pPr>
            <w:r>
              <w:rPr>
                <w:rFonts w:hint="eastAsia" w:ascii="宋体" w:hAnsi="宋体" w:eastAsia="宋体" w:cs="宋体"/>
                <w:kern w:val="0"/>
                <w:sz w:val="21"/>
                <w:szCs w:val="21"/>
                <w:highlight w:val="none"/>
                <w:lang w:eastAsia="en-US"/>
              </w:rPr>
              <w:t>（6）投标文件上传IP地址雷同；</w:t>
            </w:r>
          </w:p>
          <w:p w14:paraId="1D792AE4">
            <w:pPr>
              <w:keepNext w:val="0"/>
              <w:keepLines w:val="0"/>
              <w:pageBreakBefore w:val="0"/>
              <w:widowControl w:val="0"/>
              <w:kinsoku/>
              <w:wordWrap/>
              <w:overflowPunct/>
              <w:topLinePunct w:val="0"/>
              <w:bidi w:val="0"/>
              <w:snapToGrid w:val="0"/>
              <w:spacing w:line="320" w:lineRule="exact"/>
              <w:ind w:right="113" w:rightChars="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en-US"/>
              </w:rPr>
              <w:t>（7）投标文件解密IP地址雷同。</w:t>
            </w:r>
          </w:p>
        </w:tc>
      </w:tr>
      <w:tr w14:paraId="045B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71E2AB91">
            <w:pPr>
              <w:keepNext w:val="0"/>
              <w:keepLines w:val="0"/>
              <w:pageBreakBefore w:val="0"/>
              <w:widowControl w:val="0"/>
              <w:kinsoku/>
              <w:wordWrap/>
              <w:overflowPunct/>
              <w:topLinePunct w:val="0"/>
              <w:bidi w:val="0"/>
              <w:snapToGrid w:val="0"/>
              <w:spacing w:line="320" w:lineRule="exact"/>
              <w:ind w:right="113"/>
              <w:jc w:val="left"/>
              <w:textAlignment w:val="auto"/>
              <w:rPr>
                <w:rFonts w:hint="eastAsia" w:ascii="宋体" w:hAnsi="宋体" w:eastAsia="宋体" w:cs="宋体"/>
                <w:bCs/>
                <w:kern w:val="0"/>
                <w:sz w:val="21"/>
                <w:szCs w:val="21"/>
                <w:highlight w:val="none"/>
                <w:lang w:eastAsia="zh-CN"/>
              </w:rPr>
            </w:pPr>
            <w:r>
              <w:rPr>
                <w:rFonts w:hint="eastAsia" w:ascii="宋体" w:hAnsi="宋体" w:eastAsia="宋体" w:cs="宋体"/>
                <w:kern w:val="0"/>
                <w:sz w:val="21"/>
                <w:szCs w:val="21"/>
                <w:highlight w:val="none"/>
                <w:lang w:eastAsia="zh-CN"/>
              </w:rPr>
              <w:t>需要补充的其他内容：</w:t>
            </w:r>
            <w:r>
              <w:rPr>
                <w:rFonts w:hint="eastAsia" w:ascii="宋体" w:hAnsi="宋体" w:eastAsia="宋体" w:cs="宋体"/>
                <w:bCs/>
                <w:kern w:val="0"/>
                <w:sz w:val="21"/>
                <w:szCs w:val="21"/>
                <w:highlight w:val="none"/>
                <w:lang w:eastAsia="zh-CN"/>
              </w:rPr>
              <w:t>无</w:t>
            </w:r>
          </w:p>
        </w:tc>
      </w:tr>
    </w:tbl>
    <w:p w14:paraId="24109140">
      <w:pPr>
        <w:spacing w:before="46"/>
        <w:jc w:val="left"/>
        <w:rPr>
          <w:rFonts w:ascii="Calibri" w:hAnsi="Calibri" w:eastAsia="宋体" w:cs="宋体"/>
          <w:kern w:val="0"/>
          <w:sz w:val="18"/>
          <w:szCs w:val="18"/>
          <w:highlight w:val="none"/>
          <w:lang w:eastAsia="zh-CN"/>
        </w:rPr>
      </w:pPr>
    </w:p>
    <w:p w14:paraId="6A97328E">
      <w:pPr>
        <w:jc w:val="right"/>
        <w:rPr>
          <w:rFonts w:hint="eastAsia" w:ascii="宋体" w:hAnsi="宋体" w:eastAsia="宋体" w:cs="宋体"/>
          <w:kern w:val="0"/>
          <w:sz w:val="18"/>
          <w:szCs w:val="18"/>
          <w:highlight w:val="none"/>
          <w:lang w:eastAsia="en-US"/>
        </w:rPr>
      </w:pPr>
      <w:r>
        <w:rPr>
          <w:rFonts w:ascii="Calibri" w:hAnsi="Calibri" w:eastAsia="宋体" w:cs="宋体"/>
          <w:kern w:val="0"/>
          <w:sz w:val="18"/>
          <w:szCs w:val="18"/>
          <w:highlight w:val="none"/>
          <w:lang w:eastAsia="zh-CN"/>
        </w:rPr>
        <w:br w:type="page"/>
      </w:r>
      <w:r>
        <w:rPr>
          <w:rFonts w:hint="eastAsia" w:ascii="宋体" w:hAnsi="宋体" w:eastAsia="宋体" w:cs="宋体"/>
          <w:kern w:val="0"/>
          <w:sz w:val="18"/>
          <w:szCs w:val="18"/>
          <w:highlight w:val="none"/>
          <w:lang w:eastAsia="en-US"/>
        </w:rPr>
        <w:t>续上表</w:t>
      </w:r>
    </w:p>
    <w:tbl>
      <w:tblPr>
        <w:tblStyle w:val="4"/>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979"/>
        <w:gridCol w:w="675"/>
        <w:gridCol w:w="1566"/>
        <w:gridCol w:w="910"/>
        <w:gridCol w:w="4781"/>
      </w:tblGrid>
      <w:tr w14:paraId="2BB9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871" w:type="dxa"/>
            <w:gridSpan w:val="5"/>
            <w:vAlign w:val="center"/>
          </w:tcPr>
          <w:p w14:paraId="54F76FE3">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评分因素与权重分值</w:t>
            </w:r>
          </w:p>
        </w:tc>
        <w:tc>
          <w:tcPr>
            <w:tcW w:w="4781" w:type="dxa"/>
            <w:vMerge w:val="restart"/>
            <w:vAlign w:val="center"/>
          </w:tcPr>
          <w:p w14:paraId="7D1D94E7">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评分标准</w:t>
            </w:r>
          </w:p>
        </w:tc>
      </w:tr>
      <w:tr w14:paraId="3B39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58181351">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条款号</w:t>
            </w:r>
          </w:p>
        </w:tc>
        <w:tc>
          <w:tcPr>
            <w:tcW w:w="979" w:type="dxa"/>
            <w:tcBorders>
              <w:top w:val="single" w:color="auto" w:sz="4" w:space="0"/>
              <w:left w:val="single" w:color="auto" w:sz="4" w:space="0"/>
              <w:bottom w:val="single" w:color="auto" w:sz="4" w:space="0"/>
              <w:right w:val="single" w:color="auto" w:sz="4" w:space="0"/>
            </w:tcBorders>
            <w:vAlign w:val="center"/>
          </w:tcPr>
          <w:p w14:paraId="18513221">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评分因素</w:t>
            </w:r>
          </w:p>
        </w:tc>
        <w:tc>
          <w:tcPr>
            <w:tcW w:w="675" w:type="dxa"/>
            <w:tcBorders>
              <w:top w:val="single" w:color="auto" w:sz="4" w:space="0"/>
              <w:left w:val="single" w:color="auto" w:sz="4" w:space="0"/>
              <w:bottom w:val="single" w:color="auto" w:sz="4" w:space="0"/>
              <w:right w:val="single" w:color="auto" w:sz="4" w:space="0"/>
            </w:tcBorders>
            <w:vAlign w:val="center"/>
          </w:tcPr>
          <w:p w14:paraId="6DE1EF6A">
            <w:pPr>
              <w:widowControl w:val="0"/>
              <w:snapToGrid w:val="0"/>
              <w:spacing w:line="320" w:lineRule="exact"/>
              <w:ind w:left="-40" w:leftChars="-19" w:right="-31" w:rightChars="-15" w:firstLine="1"/>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评分因素 权重分值</w:t>
            </w:r>
          </w:p>
        </w:tc>
        <w:tc>
          <w:tcPr>
            <w:tcW w:w="1566" w:type="dxa"/>
            <w:tcBorders>
              <w:top w:val="single" w:color="auto" w:sz="4" w:space="0"/>
              <w:left w:val="single" w:color="auto" w:sz="4" w:space="0"/>
              <w:bottom w:val="single" w:color="auto" w:sz="4" w:space="0"/>
              <w:right w:val="single" w:color="auto" w:sz="4" w:space="0"/>
            </w:tcBorders>
            <w:vAlign w:val="center"/>
          </w:tcPr>
          <w:p w14:paraId="7A1AA693">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color w:val="auto"/>
                <w:spacing w:val="0"/>
                <w:w w:val="100"/>
                <w:position w:val="0"/>
                <w:sz w:val="21"/>
                <w:szCs w:val="21"/>
                <w:highlight w:val="none"/>
                <w:u w:val="none"/>
                <w:shd w:val="clear" w:color="auto" w:fill="FFFFFF"/>
                <w:lang w:val="zh-CN" w:eastAsia="zh-CN" w:bidi="zh-CN"/>
              </w:rPr>
              <w:t>各评分因素细分项</w:t>
            </w:r>
          </w:p>
        </w:tc>
        <w:tc>
          <w:tcPr>
            <w:tcW w:w="910" w:type="dxa"/>
            <w:tcBorders>
              <w:left w:val="single" w:color="auto" w:sz="4" w:space="0"/>
            </w:tcBorders>
            <w:vAlign w:val="center"/>
          </w:tcPr>
          <w:p w14:paraId="30D4DE14">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分值</w:t>
            </w:r>
          </w:p>
        </w:tc>
        <w:tc>
          <w:tcPr>
            <w:tcW w:w="4781" w:type="dxa"/>
            <w:vMerge w:val="continue"/>
            <w:vAlign w:val="center"/>
          </w:tcPr>
          <w:p w14:paraId="62B0BA0A">
            <w:pPr>
              <w:widowControl w:val="0"/>
              <w:snapToGrid w:val="0"/>
              <w:spacing w:line="320" w:lineRule="exact"/>
              <w:jc w:val="center"/>
              <w:rPr>
                <w:rFonts w:hint="eastAsia" w:ascii="宋体" w:hAnsi="宋体" w:eastAsia="宋体" w:cs="宋体"/>
                <w:sz w:val="21"/>
                <w:szCs w:val="21"/>
                <w:highlight w:val="none"/>
                <w:lang w:val="en-US" w:eastAsia="en-US" w:bidi="ar-SA"/>
              </w:rPr>
            </w:pPr>
          </w:p>
        </w:tc>
      </w:tr>
      <w:tr w14:paraId="76C6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vAlign w:val="center"/>
          </w:tcPr>
          <w:p w14:paraId="17F96373">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2.2.4（1）</w:t>
            </w:r>
          </w:p>
        </w:tc>
        <w:tc>
          <w:tcPr>
            <w:tcW w:w="979" w:type="dxa"/>
            <w:vMerge w:val="restart"/>
            <w:tcBorders>
              <w:top w:val="single" w:color="auto" w:sz="4" w:space="0"/>
            </w:tcBorders>
            <w:vAlign w:val="center"/>
          </w:tcPr>
          <w:p w14:paraId="2CB5E661">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实施</w:t>
            </w:r>
          </w:p>
          <w:p w14:paraId="6977F916">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方案</w:t>
            </w:r>
          </w:p>
          <w:p w14:paraId="53A2C436">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（暗标）</w:t>
            </w:r>
          </w:p>
        </w:tc>
        <w:tc>
          <w:tcPr>
            <w:tcW w:w="675" w:type="dxa"/>
            <w:vMerge w:val="restart"/>
            <w:tcBorders>
              <w:top w:val="single" w:color="auto" w:sz="4" w:space="0"/>
            </w:tcBorders>
            <w:vAlign w:val="center"/>
          </w:tcPr>
          <w:p w14:paraId="339EB6C6">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40</w:t>
            </w:r>
            <w:r>
              <w:rPr>
                <w:rFonts w:hint="eastAsia" w:ascii="宋体" w:hAnsi="宋体" w:eastAsia="宋体" w:cs="宋体"/>
                <w:sz w:val="21"/>
                <w:szCs w:val="21"/>
                <w:highlight w:val="none"/>
                <w:lang w:val="en-US" w:eastAsia="en-US" w:bidi="ar-SA"/>
              </w:rPr>
              <w:t>分</w:t>
            </w:r>
          </w:p>
        </w:tc>
        <w:tc>
          <w:tcPr>
            <w:tcW w:w="1566" w:type="dxa"/>
            <w:tcBorders>
              <w:top w:val="single" w:color="auto" w:sz="4" w:space="0"/>
            </w:tcBorders>
            <w:vAlign w:val="center"/>
          </w:tcPr>
          <w:p w14:paraId="30A9296F">
            <w:pPr>
              <w:widowControl w:val="0"/>
              <w:ind w:right="0" w:rightChars="0"/>
              <w:jc w:val="center"/>
              <w:rPr>
                <w:rFonts w:hint="eastAsia" w:ascii="宋体" w:hAnsi="宋体" w:eastAsia="宋体" w:cs="宋体"/>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总体工作思路及服务方案</w:t>
            </w:r>
          </w:p>
        </w:tc>
        <w:tc>
          <w:tcPr>
            <w:tcW w:w="910" w:type="dxa"/>
            <w:vAlign w:val="center"/>
          </w:tcPr>
          <w:p w14:paraId="5192954D">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10分</w:t>
            </w:r>
          </w:p>
        </w:tc>
        <w:tc>
          <w:tcPr>
            <w:tcW w:w="4781" w:type="dxa"/>
            <w:vAlign w:val="center"/>
          </w:tcPr>
          <w:p w14:paraId="5652706F">
            <w:pPr>
              <w:widowControl w:val="0"/>
              <w:ind w:left="0" w:leftChars="0" w:right="119" w:rightChars="0" w:firstLine="218" w:firstLineChars="104"/>
              <w:jc w:val="left"/>
              <w:rPr>
                <w:rFonts w:hint="eastAsia" w:ascii="Calibri" w:hAnsi="宋体" w:eastAsia="宋体" w:cs="Times New Roman"/>
                <w:kern w:val="2"/>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根据项目的服务需求做出深入分析，思路清晰， 实施步骤明晰，措施完善可行，对实施过程有规范的管理。优得</w:t>
            </w:r>
            <w:r>
              <w:rPr>
                <w:rFonts w:hint="eastAsia" w:ascii="Calibri" w:hAnsi="Calibri"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w:t>
            </w:r>
            <w:r>
              <w:rPr>
                <w:rFonts w:hint="eastAsia" w:ascii="Calibri" w:hAnsi="Calibri" w:eastAsia="宋体" w:cs="宋体"/>
                <w:color w:val="auto"/>
                <w:sz w:val="21"/>
                <w:szCs w:val="21"/>
                <w:highlight w:val="none"/>
                <w:lang w:val="en-US" w:eastAsia="zh-CN" w:bidi="ar-SA"/>
              </w:rPr>
              <w:t>1</w:t>
            </w:r>
            <w:r>
              <w:rPr>
                <w:rFonts w:hint="eastAsia" w:ascii="宋体" w:hAnsi="宋体" w:eastAsia="宋体" w:cs="宋体"/>
                <w:color w:val="auto"/>
                <w:sz w:val="21"/>
                <w:szCs w:val="21"/>
                <w:highlight w:val="none"/>
                <w:lang w:val="en-US" w:eastAsia="zh-CN" w:bidi="ar-SA"/>
              </w:rPr>
              <w:t>0</w:t>
            </w:r>
            <w:r>
              <w:rPr>
                <w:rFonts w:hint="eastAsia" w:ascii="宋体" w:hAnsi="宋体" w:eastAsia="宋体" w:cs="宋体"/>
                <w:color w:val="auto"/>
                <w:sz w:val="21"/>
                <w:szCs w:val="21"/>
                <w:highlight w:val="none"/>
                <w:lang w:val="en-US" w:eastAsia="en-US" w:bidi="ar-SA"/>
              </w:rPr>
              <w:t>分，中得</w:t>
            </w:r>
            <w:r>
              <w:rPr>
                <w:rFonts w:hint="eastAsia" w:ascii="Calibri" w:hAnsi="Calibri"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w:t>
            </w:r>
            <w:r>
              <w:rPr>
                <w:rFonts w:hint="eastAsia" w:ascii="Calibri" w:hAnsi="Calibri"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分，一般得</w:t>
            </w:r>
            <w:r>
              <w:rPr>
                <w:rFonts w:hint="eastAsia" w:ascii="Calibri" w:hAnsi="Calibri"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分。</w:t>
            </w:r>
          </w:p>
        </w:tc>
      </w:tr>
      <w:tr w14:paraId="04002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vAlign w:val="center"/>
          </w:tcPr>
          <w:p w14:paraId="44BAC3EB">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979" w:type="dxa"/>
            <w:vMerge w:val="continue"/>
            <w:vAlign w:val="center"/>
          </w:tcPr>
          <w:p w14:paraId="7A07DE75">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675" w:type="dxa"/>
            <w:vMerge w:val="continue"/>
            <w:vAlign w:val="center"/>
          </w:tcPr>
          <w:p w14:paraId="533EA0A2">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1566" w:type="dxa"/>
            <w:vAlign w:val="center"/>
          </w:tcPr>
          <w:p w14:paraId="17839F56">
            <w:pPr>
              <w:widowControl w:val="0"/>
              <w:ind w:right="0" w:rightChars="0"/>
              <w:jc w:val="center"/>
              <w:rPr>
                <w:rFonts w:hint="eastAsia" w:ascii="Calibri" w:hAnsi="宋体" w:eastAsia="宋体" w:cs="宋体"/>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根据实际情况，对本项目特点的认识和理解</w:t>
            </w:r>
          </w:p>
        </w:tc>
        <w:tc>
          <w:tcPr>
            <w:tcW w:w="910" w:type="dxa"/>
            <w:vAlign w:val="center"/>
          </w:tcPr>
          <w:p w14:paraId="7482F0C4">
            <w:pPr>
              <w:widowControl/>
              <w:snapToGrid w:val="0"/>
              <w:spacing w:line="320" w:lineRule="exact"/>
              <w:jc w:val="center"/>
              <w:textAlignment w:val="top"/>
              <w:rPr>
                <w:rFonts w:hint="eastAsia" w:ascii="Calibri" w:hAnsi="宋体" w:eastAsia="宋体" w:cs="宋体"/>
                <w:kern w:val="0"/>
                <w:sz w:val="21"/>
                <w:szCs w:val="21"/>
                <w:highlight w:val="none"/>
                <w:lang w:eastAsia="en-US"/>
              </w:rPr>
            </w:pPr>
            <w:r>
              <w:rPr>
                <w:rFonts w:hint="eastAsia" w:ascii="宋体" w:hAnsi="宋体" w:eastAsia="宋体" w:cs="宋体"/>
                <w:color w:val="auto"/>
                <w:kern w:val="0"/>
                <w:sz w:val="21"/>
                <w:szCs w:val="21"/>
                <w:highlight w:val="none"/>
                <w:lang w:val="en-US" w:eastAsia="zh-CN"/>
              </w:rPr>
              <w:t>10分</w:t>
            </w:r>
          </w:p>
        </w:tc>
        <w:tc>
          <w:tcPr>
            <w:tcW w:w="4781" w:type="dxa"/>
            <w:vAlign w:val="center"/>
          </w:tcPr>
          <w:p w14:paraId="79722D1B">
            <w:pPr>
              <w:widowControl w:val="0"/>
              <w:ind w:left="0" w:leftChars="0" w:right="119" w:rightChars="0" w:firstLine="218" w:firstLineChars="104"/>
              <w:jc w:val="left"/>
              <w:rPr>
                <w:rFonts w:hint="eastAsia" w:ascii="Calibri" w:hAnsi="宋体" w:eastAsia="宋体" w:cs="宋体"/>
                <w:spacing w:val="-4"/>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对本项目特点的认识和理解，能把握其重点、难点并给出有效的处理方法。优得</w:t>
            </w:r>
            <w:r>
              <w:rPr>
                <w:rFonts w:hint="eastAsia" w:ascii="Calibri" w:hAnsi="Calibri"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w:t>
            </w:r>
            <w:r>
              <w:rPr>
                <w:rFonts w:hint="eastAsia" w:ascii="Calibri" w:hAnsi="Calibri" w:eastAsia="宋体" w:cs="宋体"/>
                <w:color w:val="auto"/>
                <w:sz w:val="21"/>
                <w:szCs w:val="21"/>
                <w:highlight w:val="none"/>
                <w:lang w:val="en-US" w:eastAsia="zh-CN" w:bidi="ar-SA"/>
              </w:rPr>
              <w:t>10</w:t>
            </w:r>
            <w:r>
              <w:rPr>
                <w:rFonts w:hint="eastAsia" w:ascii="宋体" w:hAnsi="宋体" w:eastAsia="宋体" w:cs="宋体"/>
                <w:color w:val="auto"/>
                <w:sz w:val="21"/>
                <w:szCs w:val="21"/>
                <w:highlight w:val="none"/>
                <w:lang w:val="en-US" w:eastAsia="en-US" w:bidi="ar-SA"/>
              </w:rPr>
              <w:t>分，中得</w:t>
            </w:r>
            <w:r>
              <w:rPr>
                <w:rFonts w:hint="eastAsia" w:ascii="Calibri" w:hAnsi="Calibri"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w:t>
            </w:r>
            <w:r>
              <w:rPr>
                <w:rFonts w:hint="eastAsia" w:ascii="Calibri" w:hAnsi="Calibri"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分，一般得</w:t>
            </w:r>
            <w:r>
              <w:rPr>
                <w:rFonts w:hint="eastAsia" w:ascii="Calibri" w:hAnsi="Calibri"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分。</w:t>
            </w:r>
          </w:p>
        </w:tc>
      </w:tr>
      <w:tr w14:paraId="1A75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741" w:type="dxa"/>
            <w:vMerge w:val="continue"/>
            <w:vAlign w:val="center"/>
          </w:tcPr>
          <w:p w14:paraId="01660063">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979" w:type="dxa"/>
            <w:vMerge w:val="continue"/>
            <w:vAlign w:val="center"/>
          </w:tcPr>
          <w:p w14:paraId="188CB613">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675" w:type="dxa"/>
            <w:vMerge w:val="continue"/>
            <w:vAlign w:val="center"/>
          </w:tcPr>
          <w:p w14:paraId="7C6E5CD4">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1566" w:type="dxa"/>
            <w:vAlign w:val="center"/>
          </w:tcPr>
          <w:p w14:paraId="5B4443F0">
            <w:pPr>
              <w:widowControl w:val="0"/>
              <w:ind w:right="0" w:rightChars="0"/>
              <w:jc w:val="center"/>
              <w:rPr>
                <w:rFonts w:hint="default" w:ascii="Calibri" w:hAnsi="宋体" w:eastAsia="宋体" w:cs="宋体"/>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进度、计划安排及保证进度的承诺</w:t>
            </w:r>
          </w:p>
        </w:tc>
        <w:tc>
          <w:tcPr>
            <w:tcW w:w="910" w:type="dxa"/>
            <w:vAlign w:val="center"/>
          </w:tcPr>
          <w:p w14:paraId="275C6772">
            <w:pPr>
              <w:widowControl/>
              <w:snapToGrid w:val="0"/>
              <w:spacing w:line="320" w:lineRule="exact"/>
              <w:jc w:val="center"/>
              <w:textAlignment w:val="top"/>
              <w:rPr>
                <w:rFonts w:hint="eastAsia" w:ascii="Calibri" w:hAnsi="宋体" w:eastAsia="宋体" w:cs="宋体"/>
                <w:kern w:val="0"/>
                <w:sz w:val="21"/>
                <w:szCs w:val="21"/>
                <w:highlight w:val="none"/>
                <w:lang w:eastAsia="en-US"/>
              </w:rPr>
            </w:pPr>
            <w:r>
              <w:rPr>
                <w:rFonts w:hint="eastAsia" w:ascii="宋体" w:hAnsi="宋体" w:eastAsia="宋体" w:cs="宋体"/>
                <w:color w:val="auto"/>
                <w:kern w:val="0"/>
                <w:sz w:val="21"/>
                <w:szCs w:val="21"/>
                <w:highlight w:val="none"/>
                <w:lang w:val="en-US" w:eastAsia="zh-CN"/>
              </w:rPr>
              <w:t>10分</w:t>
            </w:r>
          </w:p>
        </w:tc>
        <w:tc>
          <w:tcPr>
            <w:tcW w:w="4781" w:type="dxa"/>
            <w:vAlign w:val="center"/>
          </w:tcPr>
          <w:p w14:paraId="395B733F">
            <w:pPr>
              <w:widowControl w:val="0"/>
              <w:ind w:left="0" w:leftChars="0" w:right="119" w:rightChars="0" w:firstLine="218" w:firstLineChars="104"/>
              <w:jc w:val="left"/>
              <w:rPr>
                <w:rFonts w:hint="eastAsia" w:ascii="宋体" w:hAnsi="宋体" w:eastAsia="宋体" w:cs="宋体"/>
                <w:i w:val="0"/>
                <w:iCs w:val="0"/>
                <w:caps w:val="0"/>
                <w:color w:val="000000"/>
                <w:spacing w:val="0"/>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主要根据</w:t>
            </w:r>
            <w:r>
              <w:rPr>
                <w:rFonts w:hint="eastAsia" w:ascii="宋体" w:hAnsi="宋体" w:eastAsia="宋体" w:cs="宋体"/>
                <w:color w:val="auto"/>
                <w:sz w:val="21"/>
                <w:szCs w:val="21"/>
                <w:highlight w:val="none"/>
                <w:lang w:val="en-US" w:eastAsia="zh-CN" w:bidi="ar-SA"/>
              </w:rPr>
              <w:t>投标人</w:t>
            </w:r>
            <w:r>
              <w:rPr>
                <w:rFonts w:hint="eastAsia" w:ascii="宋体" w:hAnsi="宋体" w:eastAsia="宋体" w:cs="宋体"/>
                <w:color w:val="auto"/>
                <w:sz w:val="21"/>
                <w:szCs w:val="21"/>
                <w:highlight w:val="none"/>
                <w:lang w:val="en-US" w:eastAsia="en-US" w:bidi="ar-SA"/>
              </w:rPr>
              <w:t>具体的进度、计划安排时间及违约承诺等方面考虑。优得</w:t>
            </w: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～10分，中得</w:t>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w:t>
            </w: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分，一般得</w:t>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分。</w:t>
            </w:r>
          </w:p>
        </w:tc>
      </w:tr>
      <w:tr w14:paraId="562D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741" w:type="dxa"/>
            <w:vMerge w:val="continue"/>
            <w:vAlign w:val="center"/>
          </w:tcPr>
          <w:p w14:paraId="489DA2FE">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979" w:type="dxa"/>
            <w:vMerge w:val="continue"/>
            <w:vAlign w:val="center"/>
          </w:tcPr>
          <w:p w14:paraId="35F37D94">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675" w:type="dxa"/>
            <w:vMerge w:val="continue"/>
            <w:vAlign w:val="center"/>
          </w:tcPr>
          <w:p w14:paraId="726E1EF2">
            <w:pPr>
              <w:widowControl w:val="0"/>
              <w:snapToGrid w:val="0"/>
              <w:spacing w:line="320" w:lineRule="exact"/>
              <w:jc w:val="center"/>
              <w:rPr>
                <w:rFonts w:hint="eastAsia" w:ascii="宋体" w:hAnsi="宋体" w:eastAsia="宋体" w:cs="宋体"/>
                <w:sz w:val="21"/>
                <w:szCs w:val="21"/>
                <w:highlight w:val="none"/>
                <w:lang w:val="en-US" w:eastAsia="zh-CN" w:bidi="ar-SA"/>
              </w:rPr>
            </w:pPr>
          </w:p>
        </w:tc>
        <w:tc>
          <w:tcPr>
            <w:tcW w:w="1566" w:type="dxa"/>
            <w:vAlign w:val="center"/>
          </w:tcPr>
          <w:p w14:paraId="0A954AB0">
            <w:pPr>
              <w:widowControl w:val="0"/>
              <w:ind w:right="0" w:rightChars="0"/>
              <w:jc w:val="center"/>
              <w:rPr>
                <w:rFonts w:hint="default" w:ascii="Calibri" w:hAnsi="宋体" w:eastAsia="宋体" w:cs="宋体"/>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服务质量保证措施、</w:t>
            </w:r>
            <w:r>
              <w:rPr>
                <w:rFonts w:hint="eastAsia" w:ascii="宋体" w:hAnsi="宋体" w:eastAsia="宋体" w:cs="宋体"/>
                <w:color w:val="auto"/>
                <w:sz w:val="21"/>
                <w:szCs w:val="21"/>
                <w:highlight w:val="none"/>
                <w:lang w:val="en-US" w:eastAsia="zh-CN" w:bidi="ar-SA"/>
              </w:rPr>
              <w:t>服务承诺及</w:t>
            </w:r>
            <w:r>
              <w:rPr>
                <w:rFonts w:hint="eastAsia" w:ascii="宋体" w:hAnsi="宋体" w:eastAsia="宋体" w:cs="宋体"/>
                <w:color w:val="auto"/>
                <w:sz w:val="21"/>
                <w:szCs w:val="21"/>
                <w:highlight w:val="none"/>
                <w:lang w:val="en-US" w:eastAsia="en-US" w:bidi="ar-SA"/>
              </w:rPr>
              <w:t>保密措施</w:t>
            </w:r>
          </w:p>
        </w:tc>
        <w:tc>
          <w:tcPr>
            <w:tcW w:w="910" w:type="dxa"/>
            <w:vAlign w:val="center"/>
          </w:tcPr>
          <w:p w14:paraId="7889D2D8">
            <w:pPr>
              <w:widowControl/>
              <w:snapToGrid w:val="0"/>
              <w:spacing w:line="320" w:lineRule="exact"/>
              <w:jc w:val="center"/>
              <w:textAlignment w:val="top"/>
              <w:rPr>
                <w:rFonts w:hint="eastAsia" w:ascii="Calibri" w:hAnsi="宋体" w:eastAsia="宋体" w:cs="宋体"/>
                <w:kern w:val="0"/>
                <w:sz w:val="21"/>
                <w:szCs w:val="21"/>
                <w:highlight w:val="none"/>
                <w:lang w:eastAsia="en-US"/>
              </w:rPr>
            </w:pPr>
            <w:r>
              <w:rPr>
                <w:rFonts w:hint="eastAsia" w:ascii="宋体" w:hAnsi="宋体" w:eastAsia="宋体" w:cs="宋体"/>
                <w:color w:val="auto"/>
                <w:kern w:val="0"/>
                <w:sz w:val="21"/>
                <w:szCs w:val="21"/>
                <w:highlight w:val="none"/>
                <w:lang w:val="en-US" w:eastAsia="zh-CN"/>
              </w:rPr>
              <w:t>10分</w:t>
            </w:r>
          </w:p>
        </w:tc>
        <w:tc>
          <w:tcPr>
            <w:tcW w:w="4781" w:type="dxa"/>
            <w:vAlign w:val="center"/>
          </w:tcPr>
          <w:p w14:paraId="2BE2E4C7">
            <w:pPr>
              <w:widowControl w:val="0"/>
              <w:ind w:left="0" w:leftChars="0" w:right="119" w:rightChars="0" w:firstLine="218" w:firstLineChars="104"/>
              <w:jc w:val="left"/>
              <w:rPr>
                <w:rFonts w:hint="eastAsia" w:ascii="宋体" w:hAnsi="宋体" w:eastAsia="宋体" w:cs="宋体"/>
                <w:i w:val="0"/>
                <w:iCs w:val="0"/>
                <w:caps w:val="0"/>
                <w:color w:val="000000"/>
                <w:spacing w:val="0"/>
                <w:sz w:val="21"/>
                <w:szCs w:val="21"/>
                <w:highlight w:val="none"/>
                <w:lang w:val="en-US" w:eastAsia="zh-CN" w:bidi="ar-SA"/>
              </w:rPr>
            </w:pPr>
            <w:r>
              <w:rPr>
                <w:rFonts w:hint="eastAsia" w:ascii="宋体" w:hAnsi="宋体" w:eastAsia="宋体" w:cs="宋体"/>
                <w:color w:val="auto"/>
                <w:sz w:val="21"/>
                <w:szCs w:val="21"/>
                <w:highlight w:val="none"/>
                <w:lang w:val="en-US" w:eastAsia="en-US" w:bidi="ar-SA"/>
              </w:rPr>
              <w:t>根据质量控制措施、准确度、工作时效高效、快捷及</w:t>
            </w:r>
            <w:r>
              <w:rPr>
                <w:rFonts w:hint="eastAsia" w:ascii="宋体" w:hAnsi="宋体" w:eastAsia="宋体" w:cs="宋体"/>
                <w:color w:val="auto"/>
                <w:sz w:val="21"/>
                <w:szCs w:val="21"/>
                <w:highlight w:val="none"/>
                <w:lang w:val="en-US" w:eastAsia="zh-CN" w:bidi="ar-SA"/>
              </w:rPr>
              <w:t>服务承诺和保密措施等</w:t>
            </w:r>
            <w:r>
              <w:rPr>
                <w:rFonts w:hint="eastAsia" w:ascii="宋体" w:hAnsi="宋体" w:eastAsia="宋体" w:cs="宋体"/>
                <w:color w:val="auto"/>
                <w:sz w:val="21"/>
                <w:szCs w:val="21"/>
                <w:highlight w:val="none"/>
                <w:lang w:val="en-US" w:eastAsia="en-US" w:bidi="ar-SA"/>
              </w:rPr>
              <w:t>方面考虑。优得</w:t>
            </w: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～10分，中得</w:t>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w:t>
            </w:r>
            <w:r>
              <w:rPr>
                <w:rFonts w:hint="eastAsia" w:ascii="宋体" w:hAnsi="宋体" w:eastAsia="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en-US" w:bidi="ar-SA"/>
              </w:rPr>
              <w:t>分，一般得</w:t>
            </w:r>
            <w:r>
              <w:rPr>
                <w:rFonts w:hint="eastAsia" w:ascii="宋体" w:hAnsi="宋体" w:eastAsia="宋体" w:cs="宋体"/>
                <w:color w:val="auto"/>
                <w:sz w:val="21"/>
                <w:szCs w:val="21"/>
                <w:highlight w:val="none"/>
                <w:lang w:val="en-US" w:eastAsia="zh-CN" w:bidi="ar-SA"/>
              </w:rPr>
              <w:t>6</w:t>
            </w:r>
            <w:r>
              <w:rPr>
                <w:rFonts w:hint="eastAsia" w:ascii="宋体" w:hAnsi="宋体" w:eastAsia="宋体" w:cs="宋体"/>
                <w:color w:val="auto"/>
                <w:sz w:val="21"/>
                <w:szCs w:val="21"/>
                <w:highlight w:val="none"/>
                <w:lang w:val="en-US" w:eastAsia="en-US" w:bidi="ar-SA"/>
              </w:rPr>
              <w:t>分。</w:t>
            </w:r>
          </w:p>
        </w:tc>
      </w:tr>
      <w:tr w14:paraId="299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vAlign w:val="center"/>
          </w:tcPr>
          <w:p w14:paraId="13037668">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2.2.4（2）</w:t>
            </w:r>
          </w:p>
        </w:tc>
        <w:tc>
          <w:tcPr>
            <w:tcW w:w="979" w:type="dxa"/>
            <w:tcBorders>
              <w:top w:val="nil"/>
            </w:tcBorders>
            <w:vAlign w:val="center"/>
          </w:tcPr>
          <w:p w14:paraId="3A80BBEB">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主要人员</w:t>
            </w:r>
          </w:p>
        </w:tc>
        <w:tc>
          <w:tcPr>
            <w:tcW w:w="675" w:type="dxa"/>
            <w:tcBorders>
              <w:top w:val="nil"/>
            </w:tcBorders>
            <w:vAlign w:val="center"/>
          </w:tcPr>
          <w:p w14:paraId="264409E8">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10</w:t>
            </w:r>
            <w:r>
              <w:rPr>
                <w:rFonts w:hint="eastAsia" w:ascii="宋体" w:hAnsi="宋体" w:eastAsia="宋体" w:cs="宋体"/>
                <w:sz w:val="21"/>
                <w:szCs w:val="21"/>
                <w:highlight w:val="none"/>
                <w:lang w:val="en-US" w:eastAsia="en-US" w:bidi="ar-SA"/>
              </w:rPr>
              <w:t>分</w:t>
            </w:r>
          </w:p>
        </w:tc>
        <w:tc>
          <w:tcPr>
            <w:tcW w:w="1566" w:type="dxa"/>
            <w:vAlign w:val="center"/>
          </w:tcPr>
          <w:p w14:paraId="2D4D3C18">
            <w:pPr>
              <w:snapToGrid w:val="0"/>
              <w:spacing w:line="320" w:lineRule="exact"/>
              <w:jc w:val="center"/>
              <w:rPr>
                <w:rFonts w:hint="eastAsia" w:ascii="宋体" w:hAnsi="宋体" w:eastAsia="宋体" w:cs="宋体"/>
                <w:kern w:val="2"/>
                <w:sz w:val="21"/>
                <w:szCs w:val="21"/>
                <w:highlight w:val="none"/>
                <w:lang w:eastAsia="en-US"/>
              </w:rPr>
            </w:pPr>
            <w:r>
              <w:rPr>
                <w:rFonts w:hint="eastAsia" w:ascii="Calibri" w:hAnsi="宋体" w:eastAsia="宋体" w:cs="宋体"/>
                <w:kern w:val="0"/>
                <w:sz w:val="21"/>
                <w:szCs w:val="21"/>
                <w:highlight w:val="none"/>
                <w:lang w:eastAsia="en-US"/>
              </w:rPr>
              <w:t>主要人员</w:t>
            </w:r>
          </w:p>
        </w:tc>
        <w:tc>
          <w:tcPr>
            <w:tcW w:w="910" w:type="dxa"/>
            <w:vAlign w:val="center"/>
          </w:tcPr>
          <w:p w14:paraId="1BC38252">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10</w:t>
            </w:r>
            <w:r>
              <w:rPr>
                <w:rFonts w:hint="eastAsia" w:ascii="宋体" w:hAnsi="宋体" w:eastAsia="宋体" w:cs="宋体"/>
                <w:sz w:val="21"/>
                <w:szCs w:val="21"/>
                <w:highlight w:val="none"/>
                <w:lang w:val="en-US" w:eastAsia="en-US" w:bidi="ar-SA"/>
              </w:rPr>
              <w:t>分</w:t>
            </w:r>
          </w:p>
        </w:tc>
        <w:tc>
          <w:tcPr>
            <w:tcW w:w="4781" w:type="dxa"/>
            <w:tcBorders>
              <w:bottom w:val="single" w:color="auto" w:sz="4" w:space="0"/>
            </w:tcBorders>
            <w:vAlign w:val="center"/>
          </w:tcPr>
          <w:p w14:paraId="61A0E74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120" w:afterAutospacing="0" w:line="320" w:lineRule="exact"/>
              <w:ind w:left="0" w:right="0"/>
              <w:textAlignment w:val="auto"/>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1.项目负责人</w:t>
            </w:r>
            <w:r>
              <w:rPr>
                <w:rFonts w:hint="eastAsia" w:ascii="宋体" w:hAnsi="宋体" w:eastAsia="宋体" w:cs="宋体"/>
                <w:sz w:val="21"/>
                <w:szCs w:val="21"/>
                <w:highlight w:val="none"/>
                <w:lang w:val="en-US" w:eastAsia="en-US" w:bidi="ar-SA"/>
              </w:rPr>
              <w:t>满足“资格审查条件（项目负责人最低要求）”得</w:t>
            </w:r>
            <w:r>
              <w:rPr>
                <w:rFonts w:hint="eastAsia" w:ascii="宋体" w:hAnsi="宋体" w:eastAsia="宋体" w:cs="宋体"/>
                <w:sz w:val="21"/>
                <w:szCs w:val="21"/>
                <w:highlight w:val="none"/>
                <w:lang w:val="en-US" w:eastAsia="zh-CN" w:bidi="ar-SA"/>
              </w:rPr>
              <w:t>6</w:t>
            </w:r>
            <w:r>
              <w:rPr>
                <w:rFonts w:hint="eastAsia" w:ascii="宋体" w:hAnsi="宋体" w:eastAsia="宋体" w:cs="宋体"/>
                <w:sz w:val="21"/>
                <w:szCs w:val="21"/>
                <w:highlight w:val="none"/>
                <w:lang w:val="en-US" w:eastAsia="en-US" w:bidi="ar-SA"/>
              </w:rPr>
              <w:t>分</w:t>
            </w:r>
            <w:r>
              <w:rPr>
                <w:rFonts w:hint="eastAsia" w:ascii="宋体" w:hAnsi="宋体" w:eastAsia="宋体" w:cs="宋体"/>
                <w:sz w:val="21"/>
                <w:szCs w:val="21"/>
                <w:highlight w:val="none"/>
                <w:lang w:val="en-US" w:eastAsia="zh-CN" w:bidi="ar-SA"/>
              </w:rPr>
              <w:t>；</w:t>
            </w:r>
          </w:p>
          <w:p w14:paraId="0D5DEEAE">
            <w:pPr>
              <w:widowControl w:val="0"/>
              <w:snapToGrid w:val="0"/>
              <w:spacing w:after="120" w:line="320" w:lineRule="exact"/>
              <w:rPr>
                <w:rFonts w:hint="eastAsia" w:ascii="宋体" w:hAnsi="宋体" w:eastAsia="宋体" w:cs="宋体"/>
                <w:sz w:val="21"/>
                <w:szCs w:val="21"/>
                <w:highlight w:val="none"/>
                <w:lang w:val="en-US" w:eastAsia="zh-CN" w:bidi="ar-SA"/>
              </w:rPr>
            </w:pPr>
            <w:r>
              <w:rPr>
                <w:rFonts w:hint="eastAsia" w:ascii="宋体" w:hAnsi="宋体" w:eastAsia="宋体" w:cs="宋体"/>
                <w:sz w:val="21"/>
                <w:szCs w:val="21"/>
                <w:highlight w:val="none"/>
                <w:lang w:val="en-US" w:eastAsia="zh-CN" w:bidi="ar-SA"/>
              </w:rPr>
              <w:t>2.项目负责人每增加1项</w:t>
            </w:r>
            <w:r>
              <w:rPr>
                <w:rFonts w:hint="eastAsia" w:ascii="宋体" w:hAnsi="宋体" w:eastAsia="宋体" w:cs="宋体"/>
                <w:sz w:val="21"/>
                <w:szCs w:val="21"/>
                <w:highlight w:val="none"/>
                <w:lang w:val="en-US" w:eastAsia="en-US" w:bidi="ar-SA"/>
              </w:rPr>
              <w:t>满足“资格审查条件（项目负责人最低要求）”</w:t>
            </w:r>
            <w:r>
              <w:rPr>
                <w:rFonts w:hint="eastAsia" w:ascii="宋体" w:hAnsi="宋体" w:eastAsia="宋体" w:cs="宋体"/>
                <w:sz w:val="21"/>
                <w:szCs w:val="21"/>
                <w:highlight w:val="none"/>
                <w:lang w:val="en-US" w:eastAsia="zh-CN" w:bidi="ar-SA"/>
              </w:rPr>
              <w:t>业绩加2</w:t>
            </w:r>
            <w:r>
              <w:rPr>
                <w:rFonts w:hint="eastAsia" w:ascii="宋体" w:hAnsi="宋体" w:eastAsia="宋体" w:cs="宋体"/>
                <w:sz w:val="21"/>
                <w:szCs w:val="21"/>
                <w:highlight w:val="none"/>
                <w:lang w:val="en-US" w:eastAsia="en-US" w:bidi="ar-SA"/>
              </w:rPr>
              <w:t>分，最多加</w:t>
            </w:r>
            <w:r>
              <w:rPr>
                <w:rFonts w:hint="eastAsia" w:ascii="宋体" w:hAnsi="宋体" w:eastAsia="宋体" w:cs="宋体"/>
                <w:sz w:val="21"/>
                <w:szCs w:val="21"/>
                <w:highlight w:val="none"/>
                <w:lang w:val="en-US" w:eastAsia="zh-CN" w:bidi="ar-SA"/>
              </w:rPr>
              <w:t>4</w:t>
            </w:r>
            <w:r>
              <w:rPr>
                <w:rFonts w:hint="eastAsia" w:ascii="宋体" w:hAnsi="宋体" w:eastAsia="宋体" w:cs="宋体"/>
                <w:sz w:val="21"/>
                <w:szCs w:val="21"/>
                <w:highlight w:val="none"/>
                <w:lang w:val="en-US" w:eastAsia="en-US" w:bidi="ar-SA"/>
              </w:rPr>
              <w:t>分。</w:t>
            </w:r>
          </w:p>
        </w:tc>
      </w:tr>
      <w:tr w14:paraId="3F5C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vAlign w:val="center"/>
          </w:tcPr>
          <w:p w14:paraId="27F1C7FD">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2.2.4（3）</w:t>
            </w:r>
          </w:p>
        </w:tc>
        <w:tc>
          <w:tcPr>
            <w:tcW w:w="979" w:type="dxa"/>
            <w:tcBorders>
              <w:top w:val="nil"/>
            </w:tcBorders>
            <w:vAlign w:val="center"/>
          </w:tcPr>
          <w:p w14:paraId="7E5020B5">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评标价</w:t>
            </w:r>
          </w:p>
        </w:tc>
        <w:tc>
          <w:tcPr>
            <w:tcW w:w="675" w:type="dxa"/>
            <w:tcBorders>
              <w:top w:val="nil"/>
              <w:bottom w:val="single" w:color="auto" w:sz="4" w:space="0"/>
            </w:tcBorders>
            <w:vAlign w:val="center"/>
          </w:tcPr>
          <w:p w14:paraId="7E58165E">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30分</w:t>
            </w:r>
          </w:p>
        </w:tc>
        <w:tc>
          <w:tcPr>
            <w:tcW w:w="7257" w:type="dxa"/>
            <w:gridSpan w:val="3"/>
            <w:tcBorders>
              <w:bottom w:val="single" w:color="auto" w:sz="4" w:space="0"/>
            </w:tcBorders>
            <w:vAlign w:val="center"/>
          </w:tcPr>
          <w:p w14:paraId="6A266EE3">
            <w:pPr>
              <w:snapToGrid w:val="0"/>
              <w:spacing w:line="320" w:lineRule="exact"/>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评标价得分计算公式：</w:t>
            </w:r>
          </w:p>
          <w:p w14:paraId="1502196F">
            <w:pPr>
              <w:snapToGrid w:val="0"/>
              <w:spacing w:line="320" w:lineRule="exact"/>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（1）如果投标人的评标价＞评标基准价，则评标价得分=F-（投标人评标价-评标基准价）/评标基准价×100×E1；</w:t>
            </w:r>
          </w:p>
          <w:p w14:paraId="187EFE46">
            <w:pPr>
              <w:snapToGrid w:val="0"/>
              <w:spacing w:line="320" w:lineRule="exact"/>
              <w:jc w:val="left"/>
              <w:rPr>
                <w:rFonts w:hint="eastAsia" w:ascii="宋体" w:hAnsi="宋体" w:eastAsia="宋体" w:cs="宋体"/>
                <w:kern w:val="2"/>
                <w:sz w:val="21"/>
                <w:szCs w:val="21"/>
                <w:highlight w:val="none"/>
                <w:lang w:eastAsia="zh-CN"/>
              </w:rPr>
            </w:pPr>
            <w:r>
              <w:rPr>
                <w:rFonts w:hint="eastAsia" w:ascii="宋体" w:hAnsi="宋体" w:eastAsia="宋体" w:cs="宋体"/>
                <w:kern w:val="2"/>
                <w:sz w:val="21"/>
                <w:szCs w:val="21"/>
                <w:highlight w:val="none"/>
                <w:lang w:eastAsia="zh-CN"/>
              </w:rPr>
              <w:t>（2）如果投标人的评标价≤评标基准价，则评标价得分=F+（投标人评标价-评标基准价）/评标基准价×100×E2。</w:t>
            </w:r>
          </w:p>
          <w:p w14:paraId="0B58E55A">
            <w:pPr>
              <w:snapToGrid w:val="0"/>
              <w:spacing w:line="320" w:lineRule="exact"/>
              <w:jc w:val="left"/>
              <w:rPr>
                <w:rFonts w:hint="eastAsia" w:ascii="宋体" w:hAnsi="宋体" w:eastAsia="宋体" w:cs="宋体"/>
                <w:kern w:val="2"/>
                <w:sz w:val="21"/>
                <w:szCs w:val="21"/>
                <w:highlight w:val="none"/>
                <w:lang w:eastAsia="en-US"/>
              </w:rPr>
            </w:pPr>
            <w:r>
              <w:rPr>
                <w:rFonts w:hint="eastAsia" w:ascii="宋体" w:hAnsi="宋体" w:eastAsia="宋体" w:cs="宋体"/>
                <w:kern w:val="2"/>
                <w:sz w:val="21"/>
                <w:szCs w:val="21"/>
                <w:highlight w:val="none"/>
                <w:lang w:eastAsia="zh-CN"/>
              </w:rPr>
              <w:t>其中，F=30；E1=0.4；E2=0.2；评标价最低得分为0分。</w:t>
            </w:r>
            <w:r>
              <w:rPr>
                <w:rFonts w:hint="eastAsia" w:ascii="宋体" w:hAnsi="宋体" w:eastAsia="宋体" w:cs="宋体"/>
                <w:kern w:val="2"/>
                <w:sz w:val="21"/>
                <w:szCs w:val="21"/>
                <w:highlight w:val="none"/>
                <w:lang w:eastAsia="en-US"/>
              </w:rPr>
              <w:t>得分保留两位小数。</w:t>
            </w:r>
          </w:p>
        </w:tc>
      </w:tr>
      <w:tr w14:paraId="5318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741" w:type="dxa"/>
            <w:vAlign w:val="center"/>
          </w:tcPr>
          <w:p w14:paraId="177F4FE0">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2.2.4（4）</w:t>
            </w:r>
          </w:p>
        </w:tc>
        <w:tc>
          <w:tcPr>
            <w:tcW w:w="979" w:type="dxa"/>
            <w:vAlign w:val="center"/>
          </w:tcPr>
          <w:p w14:paraId="2273C728">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其他因素</w:t>
            </w:r>
          </w:p>
        </w:tc>
        <w:tc>
          <w:tcPr>
            <w:tcW w:w="675" w:type="dxa"/>
            <w:tcBorders>
              <w:top w:val="single" w:color="auto" w:sz="4" w:space="0"/>
            </w:tcBorders>
            <w:vAlign w:val="center"/>
          </w:tcPr>
          <w:p w14:paraId="2C622509">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20分</w:t>
            </w:r>
          </w:p>
        </w:tc>
        <w:tc>
          <w:tcPr>
            <w:tcW w:w="1566" w:type="dxa"/>
            <w:tcBorders>
              <w:top w:val="single" w:color="auto" w:sz="4" w:space="0"/>
            </w:tcBorders>
            <w:vAlign w:val="center"/>
          </w:tcPr>
          <w:p w14:paraId="5CF96072">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en-US" w:bidi="ar-SA"/>
              </w:rPr>
              <w:t>业绩</w:t>
            </w:r>
          </w:p>
        </w:tc>
        <w:tc>
          <w:tcPr>
            <w:tcW w:w="910" w:type="dxa"/>
            <w:tcBorders>
              <w:top w:val="single" w:color="auto" w:sz="4" w:space="0"/>
            </w:tcBorders>
            <w:vAlign w:val="center"/>
          </w:tcPr>
          <w:p w14:paraId="66B2F6FA">
            <w:pPr>
              <w:widowControl w:val="0"/>
              <w:snapToGrid w:val="0"/>
              <w:spacing w:line="320" w:lineRule="exact"/>
              <w:jc w:val="center"/>
              <w:rPr>
                <w:rFonts w:hint="eastAsia" w:ascii="宋体" w:hAnsi="宋体" w:eastAsia="宋体" w:cs="宋体"/>
                <w:sz w:val="21"/>
                <w:szCs w:val="21"/>
                <w:highlight w:val="none"/>
                <w:lang w:val="en-US" w:eastAsia="en-US" w:bidi="ar-SA"/>
              </w:rPr>
            </w:pPr>
            <w:r>
              <w:rPr>
                <w:rFonts w:hint="eastAsia" w:ascii="宋体" w:hAnsi="宋体" w:eastAsia="宋体" w:cs="宋体"/>
                <w:sz w:val="21"/>
                <w:szCs w:val="21"/>
                <w:highlight w:val="none"/>
                <w:lang w:val="en-US" w:eastAsia="zh-CN" w:bidi="ar-SA"/>
              </w:rPr>
              <w:t>20</w:t>
            </w:r>
            <w:r>
              <w:rPr>
                <w:rFonts w:hint="eastAsia" w:ascii="宋体" w:hAnsi="宋体" w:eastAsia="宋体" w:cs="宋体"/>
                <w:sz w:val="21"/>
                <w:szCs w:val="21"/>
                <w:highlight w:val="none"/>
                <w:lang w:val="en-US" w:eastAsia="en-US" w:bidi="ar-SA"/>
              </w:rPr>
              <w:t>分</w:t>
            </w:r>
          </w:p>
        </w:tc>
        <w:tc>
          <w:tcPr>
            <w:tcW w:w="4781" w:type="dxa"/>
            <w:tcBorders>
              <w:top w:val="single" w:color="auto" w:sz="4" w:space="0"/>
            </w:tcBorders>
            <w:vAlign w:val="center"/>
          </w:tcPr>
          <w:p w14:paraId="2BFDCE93">
            <w:pPr>
              <w:snapToGrid w:val="0"/>
              <w:spacing w:line="320" w:lineRule="exact"/>
              <w:jc w:val="left"/>
              <w:rPr>
                <w:rFonts w:hint="eastAsia" w:ascii="宋体" w:hAnsi="宋体" w:eastAsia="宋体" w:cs="宋体"/>
                <w:kern w:val="2"/>
                <w:sz w:val="21"/>
                <w:szCs w:val="21"/>
                <w:highlight w:val="none"/>
                <w:lang w:eastAsia="zh-CN"/>
              </w:rPr>
            </w:pPr>
            <w:bookmarkStart w:id="4" w:name="OLE_LINK2"/>
            <w:r>
              <w:rPr>
                <w:rFonts w:hint="eastAsia" w:ascii="宋体" w:hAnsi="宋体" w:eastAsia="宋体" w:cs="宋体"/>
                <w:kern w:val="2"/>
                <w:sz w:val="21"/>
                <w:szCs w:val="21"/>
                <w:highlight w:val="none"/>
                <w:lang w:eastAsia="zh-CN"/>
              </w:rPr>
              <w:t>满足“资格审查条件（业绩最低要求）”得</w:t>
            </w:r>
            <w:r>
              <w:rPr>
                <w:rFonts w:hint="eastAsia" w:ascii="宋体" w:hAnsi="宋体" w:eastAsia="宋体" w:cs="宋体"/>
                <w:kern w:val="2"/>
                <w:sz w:val="21"/>
                <w:szCs w:val="21"/>
                <w:highlight w:val="none"/>
                <w:lang w:val="en-US" w:eastAsia="zh-CN"/>
              </w:rPr>
              <w:t>12</w:t>
            </w:r>
            <w:r>
              <w:rPr>
                <w:rFonts w:hint="eastAsia" w:ascii="宋体" w:hAnsi="宋体" w:eastAsia="宋体" w:cs="宋体"/>
                <w:kern w:val="2"/>
                <w:sz w:val="21"/>
                <w:szCs w:val="21"/>
                <w:highlight w:val="none"/>
                <w:lang w:eastAsia="zh-CN"/>
              </w:rPr>
              <w:t>分；</w:t>
            </w:r>
          </w:p>
          <w:p w14:paraId="16C24D9B">
            <w:pPr>
              <w:snapToGrid w:val="0"/>
              <w:spacing w:line="32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每增加1项</w:t>
            </w:r>
            <w:r>
              <w:rPr>
                <w:rFonts w:hint="eastAsia" w:ascii="宋体" w:hAnsi="宋体" w:eastAsia="宋体" w:cs="宋体"/>
                <w:kern w:val="0"/>
                <w:sz w:val="21"/>
                <w:szCs w:val="21"/>
                <w:highlight w:val="none"/>
                <w:lang w:eastAsia="en-US"/>
              </w:rPr>
              <w:t>满足“资格审查条件（</w:t>
            </w:r>
            <w:r>
              <w:rPr>
                <w:rFonts w:hint="eastAsia" w:ascii="宋体" w:hAnsi="宋体" w:eastAsia="宋体" w:cs="宋体"/>
                <w:kern w:val="2"/>
                <w:sz w:val="21"/>
                <w:szCs w:val="21"/>
                <w:highlight w:val="none"/>
                <w:lang w:eastAsia="zh-CN"/>
              </w:rPr>
              <w:t>业绩最低要求</w:t>
            </w:r>
            <w:r>
              <w:rPr>
                <w:rFonts w:hint="eastAsia" w:ascii="宋体" w:hAnsi="宋体" w:eastAsia="宋体" w:cs="宋体"/>
                <w:kern w:val="0"/>
                <w:sz w:val="21"/>
                <w:szCs w:val="21"/>
                <w:highlight w:val="none"/>
                <w:lang w:eastAsia="en-US"/>
              </w:rPr>
              <w:t>）”</w:t>
            </w:r>
            <w:r>
              <w:rPr>
                <w:rFonts w:hint="eastAsia" w:ascii="宋体" w:hAnsi="宋体" w:eastAsia="宋体" w:cs="宋体"/>
                <w:kern w:val="0"/>
                <w:sz w:val="21"/>
                <w:szCs w:val="21"/>
                <w:highlight w:val="none"/>
                <w:lang w:val="en-US" w:eastAsia="zh-CN"/>
              </w:rPr>
              <w:t>的</w:t>
            </w:r>
            <w:r>
              <w:rPr>
                <w:rFonts w:hint="eastAsia" w:ascii="宋体" w:hAnsi="宋体" w:eastAsia="宋体" w:cs="宋体"/>
                <w:kern w:val="0"/>
                <w:sz w:val="21"/>
                <w:szCs w:val="21"/>
                <w:highlight w:val="none"/>
                <w:lang w:eastAsia="en-US"/>
              </w:rPr>
              <w:t>业绩</w:t>
            </w:r>
            <w:r>
              <w:rPr>
                <w:rFonts w:hint="eastAsia" w:ascii="宋体" w:hAnsi="宋体" w:eastAsia="宋体" w:cs="宋体"/>
                <w:kern w:val="2"/>
                <w:sz w:val="21"/>
                <w:szCs w:val="21"/>
                <w:highlight w:val="none"/>
                <w:lang w:eastAsia="zh-CN"/>
              </w:rPr>
              <w:t>加</w:t>
            </w:r>
            <w:r>
              <w:rPr>
                <w:rFonts w:hint="eastAsia" w:ascii="宋体" w:hAnsi="宋体" w:eastAsia="宋体" w:cs="宋体"/>
                <w:kern w:val="2"/>
                <w:sz w:val="21"/>
                <w:szCs w:val="21"/>
                <w:highlight w:val="none"/>
                <w:lang w:val="en-US" w:eastAsia="zh-CN"/>
              </w:rPr>
              <w:t>4</w:t>
            </w:r>
            <w:r>
              <w:rPr>
                <w:rFonts w:hint="eastAsia" w:ascii="宋体" w:hAnsi="宋体" w:eastAsia="宋体" w:cs="宋体"/>
                <w:kern w:val="2"/>
                <w:sz w:val="21"/>
                <w:szCs w:val="21"/>
                <w:highlight w:val="none"/>
                <w:lang w:eastAsia="zh-CN"/>
              </w:rPr>
              <w:t>分，最多加</w:t>
            </w:r>
            <w:r>
              <w:rPr>
                <w:rFonts w:hint="eastAsia" w:ascii="宋体" w:hAnsi="宋体" w:eastAsia="宋体" w:cs="宋体"/>
                <w:kern w:val="2"/>
                <w:sz w:val="21"/>
                <w:szCs w:val="21"/>
                <w:highlight w:val="none"/>
                <w:lang w:val="en-US" w:eastAsia="zh-CN"/>
              </w:rPr>
              <w:t>8</w:t>
            </w:r>
            <w:r>
              <w:rPr>
                <w:rFonts w:hint="eastAsia" w:ascii="宋体" w:hAnsi="宋体" w:eastAsia="宋体" w:cs="宋体"/>
                <w:kern w:val="2"/>
                <w:sz w:val="21"/>
                <w:szCs w:val="21"/>
                <w:highlight w:val="none"/>
                <w:lang w:eastAsia="zh-CN"/>
              </w:rPr>
              <w:t>分。</w:t>
            </w:r>
            <w:bookmarkEnd w:id="4"/>
          </w:p>
        </w:tc>
      </w:tr>
    </w:tbl>
    <w:p w14:paraId="4A731505">
      <w:pPr>
        <w:jc w:val="left"/>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zh-CN" w:eastAsia="zh-CN"/>
        </w:rPr>
        <w:t>注：1、第2.2.4（1）项各评委打分保留1位小数，投标人该项得分以各评委打分平均值计算所得，保留两位小数，第三位小数四舍五入。</w:t>
      </w:r>
    </w:p>
    <w:p w14:paraId="68327502">
      <w:r>
        <w:rPr>
          <w:rFonts w:hint="eastAsia" w:ascii="宋体" w:hAnsi="宋体" w:eastAsia="宋体" w:cs="宋体"/>
          <w:sz w:val="21"/>
          <w:szCs w:val="21"/>
          <w:highlight w:val="none"/>
          <w:lang w:val="en-US" w:eastAsia="zh-CN" w:bidi="ar-SA"/>
        </w:rPr>
        <w:t>2、</w:t>
      </w:r>
      <w:r>
        <w:rPr>
          <w:rFonts w:hint="eastAsia" w:ascii="宋体" w:hAnsi="宋体" w:eastAsia="宋体" w:cs="宋体"/>
          <w:sz w:val="21"/>
          <w:szCs w:val="21"/>
          <w:highlight w:val="none"/>
          <w:lang w:val="zh-CN" w:eastAsia="zh-CN" w:bidi="ar-SA"/>
        </w:rPr>
        <w:t>第2.2.4（1）项评</w:t>
      </w:r>
      <w:r>
        <w:rPr>
          <w:rFonts w:hint="eastAsia" w:ascii="宋体" w:hAnsi="宋体" w:eastAsia="宋体" w:cs="宋体"/>
          <w:sz w:val="21"/>
          <w:szCs w:val="21"/>
          <w:highlight w:val="none"/>
          <w:lang w:val="en-US" w:eastAsia="zh-CN" w:bidi="ar-SA"/>
        </w:rPr>
        <w:t>分</w:t>
      </w:r>
      <w:r>
        <w:rPr>
          <w:rFonts w:hint="eastAsia" w:ascii="宋体" w:hAnsi="宋体" w:eastAsia="宋体" w:cs="宋体"/>
          <w:sz w:val="21"/>
          <w:szCs w:val="21"/>
          <w:highlight w:val="none"/>
          <w:lang w:val="zh-CN" w:eastAsia="zh-CN" w:bidi="ar-SA"/>
        </w:rPr>
        <w:t>因素</w:t>
      </w:r>
      <w:r>
        <w:rPr>
          <w:rFonts w:hint="eastAsia" w:ascii="宋体" w:hAnsi="宋体" w:eastAsia="宋体" w:cs="宋体"/>
          <w:sz w:val="21"/>
          <w:szCs w:val="21"/>
          <w:highlight w:val="none"/>
          <w:lang w:val="en-US" w:eastAsia="zh-CN" w:bidi="ar-SA"/>
        </w:rPr>
        <w:t>细分项</w:t>
      </w:r>
      <w:r>
        <w:rPr>
          <w:rFonts w:hint="eastAsia" w:ascii="宋体" w:hAnsi="宋体" w:eastAsia="宋体" w:cs="宋体"/>
          <w:sz w:val="21"/>
          <w:szCs w:val="21"/>
          <w:highlight w:val="none"/>
          <w:lang w:val="zh-CN" w:eastAsia="zh-CN" w:bidi="ar-SA"/>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58CC8">
    <w:pPr>
      <w:widowControl w:val="0"/>
      <w:bidi w:val="0"/>
      <w:spacing w:after="120"/>
      <w:rPr>
        <w:rFonts w:ascii="Times New Roman" w:hAnsi="Times New Roman" w:eastAsia="宋体" w:cs="宋体"/>
        <w:sz w:val="18"/>
        <w:szCs w:val="24"/>
        <w:lang w:val="en-US" w:eastAsia="en-US" w:bidi="ar-SA"/>
      </w:rPr>
    </w:pPr>
    <w:r>
      <w:rPr>
        <w:rFonts w:ascii="Times New Roman" w:hAnsi="Times New Roman" w:eastAsia="宋体" w:cs="宋体"/>
        <w:sz w:val="18"/>
        <w:szCs w:val="24"/>
        <w:lang w:val="en-US" w:eastAsia="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AC05E5">
                          <w:pPr>
                            <w:widowControl w:val="0"/>
                            <w:tabs>
                              <w:tab w:val="center" w:pos="4153"/>
                              <w:tab w:val="right" w:pos="8306"/>
                            </w:tabs>
                            <w:snapToGrid w:val="0"/>
                            <w:rPr>
                              <w:rFonts w:ascii="Calibri" w:hAnsi="Calibri" w:eastAsia="宋体" w:cs="宋体"/>
                              <w:sz w:val="18"/>
                              <w:szCs w:val="18"/>
                              <w:lang w:val="en-US" w:eastAsia="en-US" w:bidi="ar-SA"/>
                            </w:rPr>
                          </w:pPr>
                          <w:r>
                            <w:rPr>
                              <w:rFonts w:ascii="Calibri" w:hAnsi="Calibri" w:eastAsia="宋体" w:cs="宋体"/>
                              <w:sz w:val="18"/>
                              <w:szCs w:val="18"/>
                              <w:lang w:val="en-US" w:eastAsia="en-US" w:bidi="ar-SA"/>
                            </w:rPr>
                            <w:fldChar w:fldCharType="begin"/>
                          </w:r>
                          <w:r>
                            <w:rPr>
                              <w:rFonts w:ascii="Calibri" w:hAnsi="Calibri" w:eastAsia="宋体" w:cs="宋体"/>
                              <w:sz w:val="18"/>
                              <w:szCs w:val="18"/>
                              <w:lang w:val="en-US" w:eastAsia="en-US" w:bidi="ar-SA"/>
                            </w:rPr>
                            <w:instrText xml:space="preserve"> PAGE  \* MERGEFORMAT </w:instrText>
                          </w:r>
                          <w:r>
                            <w:rPr>
                              <w:rFonts w:ascii="Calibri" w:hAnsi="Calibri" w:eastAsia="宋体" w:cs="宋体"/>
                              <w:sz w:val="18"/>
                              <w:szCs w:val="18"/>
                              <w:lang w:val="en-US" w:eastAsia="en-US" w:bidi="ar-SA"/>
                            </w:rPr>
                            <w:fldChar w:fldCharType="separate"/>
                          </w:r>
                          <w:r>
                            <w:rPr>
                              <w:rFonts w:ascii="Calibri" w:hAnsi="Calibri" w:eastAsia="宋体" w:cs="宋体"/>
                              <w:sz w:val="18"/>
                              <w:szCs w:val="18"/>
                              <w:lang w:val="en-US" w:eastAsia="en-US" w:bidi="ar-SA"/>
                            </w:rPr>
                            <w:t>2</w:t>
                          </w:r>
                          <w:r>
                            <w:rPr>
                              <w:rFonts w:ascii="Calibri" w:hAnsi="Calibri" w:eastAsia="宋体" w:cs="宋体"/>
                              <w:sz w:val="18"/>
                              <w:szCs w:val="18"/>
                              <w:lang w:val="en-US" w:eastAsia="en-US" w:bidi="ar-SA"/>
                            </w:rPr>
                            <w:fldChar w:fldCharType="end"/>
                          </w:r>
                        </w:p>
                      </w:txbxContent>
                    </wps:txbx>
                    <wps:bodyPr wrap="none" lIns="0" tIns="0" rIns="0" bIns="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CfP38UBAACQ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k5FqgH97iFg495NQR6ipGA4qM5qWKm3C83vOevqR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wnz9/FAQAAkAMAAA4AAAAAAAAAAQAgAAAAHgEAAGRycy9lMm9Eb2MueG1s&#10;UEsFBgAAAAAGAAYAWQEAAFUFAAAAAA==&#10;">
              <v:fill on="f" focussize="0,0"/>
              <v:stroke on="f"/>
              <v:imagedata o:title=""/>
              <o:lock v:ext="edit" aspectratio="f"/>
              <v:textbox inset="0mm,0mm,0mm,0mm" style="mso-fit-shape-to-text:t;">
                <w:txbxContent>
                  <w:p w14:paraId="71AC05E5">
                    <w:pPr>
                      <w:widowControl w:val="0"/>
                      <w:tabs>
                        <w:tab w:val="center" w:pos="4153"/>
                        <w:tab w:val="right" w:pos="8306"/>
                      </w:tabs>
                      <w:snapToGrid w:val="0"/>
                      <w:rPr>
                        <w:rFonts w:ascii="Calibri" w:hAnsi="Calibri" w:eastAsia="宋体" w:cs="宋体"/>
                        <w:sz w:val="18"/>
                        <w:szCs w:val="18"/>
                        <w:lang w:val="en-US" w:eastAsia="en-US" w:bidi="ar-SA"/>
                      </w:rPr>
                    </w:pPr>
                    <w:r>
                      <w:rPr>
                        <w:rFonts w:ascii="Calibri" w:hAnsi="Calibri" w:eastAsia="宋体" w:cs="宋体"/>
                        <w:sz w:val="18"/>
                        <w:szCs w:val="18"/>
                        <w:lang w:val="en-US" w:eastAsia="en-US" w:bidi="ar-SA"/>
                      </w:rPr>
                      <w:fldChar w:fldCharType="begin"/>
                    </w:r>
                    <w:r>
                      <w:rPr>
                        <w:rFonts w:ascii="Calibri" w:hAnsi="Calibri" w:eastAsia="宋体" w:cs="宋体"/>
                        <w:sz w:val="18"/>
                        <w:szCs w:val="18"/>
                        <w:lang w:val="en-US" w:eastAsia="en-US" w:bidi="ar-SA"/>
                      </w:rPr>
                      <w:instrText xml:space="preserve"> PAGE  \* MERGEFORMAT </w:instrText>
                    </w:r>
                    <w:r>
                      <w:rPr>
                        <w:rFonts w:ascii="Calibri" w:hAnsi="Calibri" w:eastAsia="宋体" w:cs="宋体"/>
                        <w:sz w:val="18"/>
                        <w:szCs w:val="18"/>
                        <w:lang w:val="en-US" w:eastAsia="en-US" w:bidi="ar-SA"/>
                      </w:rPr>
                      <w:fldChar w:fldCharType="separate"/>
                    </w:r>
                    <w:r>
                      <w:rPr>
                        <w:rFonts w:ascii="Calibri" w:hAnsi="Calibri" w:eastAsia="宋体" w:cs="宋体"/>
                        <w:sz w:val="18"/>
                        <w:szCs w:val="18"/>
                        <w:lang w:val="en-US" w:eastAsia="en-US" w:bidi="ar-SA"/>
                      </w:rPr>
                      <w:t>2</w:t>
                    </w:r>
                    <w:r>
                      <w:rPr>
                        <w:rFonts w:ascii="Calibri" w:hAnsi="Calibri" w:eastAsia="宋体" w:cs="宋体"/>
                        <w:sz w:val="18"/>
                        <w:szCs w:val="18"/>
                        <w:lang w:val="en-US" w:eastAsia="en-US"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DB0B0">
    <w:pPr>
      <w:widowControl w:val="0"/>
      <w:tabs>
        <w:tab w:val="center" w:pos="4153"/>
        <w:tab w:val="right" w:pos="8306"/>
      </w:tabs>
      <w:snapToGrid w:val="0"/>
      <w:rPr>
        <w:rFonts w:ascii="Calibri" w:hAnsi="Calibri" w:eastAsia="宋体" w:cs="宋体"/>
        <w:sz w:val="18"/>
        <w:szCs w:val="18"/>
        <w:lang w:val="en-US" w:eastAsia="en-US"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E546DB"/>
    <w:rsid w:val="2F8266AE"/>
    <w:rsid w:val="36775040"/>
    <w:rsid w:val="60304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2302</Words>
  <Characters>2634</Characters>
  <Lines>0</Lines>
  <Paragraphs>0</Paragraphs>
  <TotalTime>0</TotalTime>
  <ScaleCrop>false</ScaleCrop>
  <LinksUpToDate>false</LinksUpToDate>
  <CharactersWithSpaces>2660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李娜</cp:lastModifiedBy>
  <dcterms:modified xsi:type="dcterms:W3CDTF">2026-07-24T08:48:03Z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CF58DBFDBD8A45269F9CDECC14BC5366_12</vt:lpwstr>
  </property>
  <property fmtid="{D5CDD505-2E9C-101B-9397-08002B2CF9AE}" pid="4" name="KSOTemplateDocerSaveRecord">
    <vt:lpwstr>eyJoZGlkIjoiOWYyZDYxNTJjZmI2NmVkYTMyOWVjMGFiZjEzZGM5NjgiLCJ1c2VySWQiOiIxNTI1NDExOTAzIn0=</vt:lpwstr>
  </property>
</Properties>
</file>