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F929">
      <w:pPr>
        <w:rPr>
          <w:rFonts w:hint="eastAsia" w:ascii="宋体" w:hAnsi="宋体" w:cs="宋体"/>
          <w:b/>
          <w:color w:val="auto"/>
          <w:sz w:val="28"/>
          <w:szCs w:val="28"/>
          <w:highlight w:val="none"/>
        </w:rPr>
      </w:pPr>
      <w:bookmarkStart w:id="19" w:name="_GoBack"/>
      <w:bookmarkEnd w:id="19"/>
      <w:r>
        <w:rPr>
          <w:rFonts w:hint="eastAsia" w:ascii="宋体" w:hAnsi="宋体" w:cs="宋体"/>
          <w:b/>
          <w:color w:val="auto"/>
          <w:sz w:val="28"/>
          <w:szCs w:val="28"/>
          <w:highlight w:val="none"/>
        </w:rPr>
        <w:t>附件1：资格审查条件</w:t>
      </w:r>
    </w:p>
    <w:p w14:paraId="19639AD3">
      <w:pPr>
        <w:pStyle w:val="16"/>
        <w:rPr>
          <w:rFonts w:hint="eastAsia"/>
          <w:color w:val="auto"/>
          <w:highlight w:val="none"/>
        </w:rPr>
      </w:pPr>
    </w:p>
    <w:p w14:paraId="54EFB1F6">
      <w:pPr>
        <w:adjustRightInd w:val="0"/>
        <w:snapToGrid w:val="0"/>
        <w:spacing w:line="360" w:lineRule="auto"/>
        <w:jc w:val="center"/>
        <w:rPr>
          <w:rFonts w:ascii="宋体" w:hAnsi="宋体"/>
          <w:b/>
          <w:bCs/>
          <w:snapToGrid w:val="0"/>
          <w:color w:val="auto"/>
          <w:kern w:val="0"/>
          <w:sz w:val="24"/>
          <w:szCs w:val="24"/>
          <w:highlight w:val="none"/>
        </w:rPr>
      </w:pPr>
    </w:p>
    <w:p w14:paraId="27962F0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58"/>
        <w:gridCol w:w="7164"/>
      </w:tblGrid>
      <w:tr w14:paraId="7BCB825D">
        <w:tblPrEx>
          <w:tblCellMar>
            <w:top w:w="0" w:type="dxa"/>
            <w:left w:w="108" w:type="dxa"/>
            <w:bottom w:w="0" w:type="dxa"/>
            <w:right w:w="108" w:type="dxa"/>
          </w:tblCellMar>
        </w:tblPrEx>
        <w:trPr>
          <w:trHeight w:val="567" w:hRule="atLeast"/>
          <w:jc w:val="center"/>
        </w:trPr>
        <w:tc>
          <w:tcPr>
            <w:tcW w:w="1418" w:type="dxa"/>
            <w:tcBorders>
              <w:top w:val="single" w:color="000000" w:sz="2" w:space="0"/>
              <w:left w:val="single" w:color="auto" w:sz="4" w:space="0"/>
              <w:bottom w:val="single" w:color="000000" w:sz="4" w:space="0"/>
              <w:right w:val="single" w:color="000000" w:sz="2" w:space="0"/>
            </w:tcBorders>
            <w:noWrap w:val="0"/>
            <w:vAlign w:val="center"/>
          </w:tcPr>
          <w:p w14:paraId="4E6D284E">
            <w:pPr>
              <w:adjustRightInd w:val="0"/>
              <w:snapToGrid w:val="0"/>
              <w:spacing w:line="240" w:lineRule="auto"/>
              <w:jc w:val="center"/>
              <w:textAlignment w:val="baseline"/>
              <w:rPr>
                <w:rStyle w:val="17"/>
                <w:rFonts w:hint="eastAsia" w:ascii="宋体" w:hAnsi="宋体" w:eastAsia="宋体"/>
                <w:b w:val="0"/>
                <w:bCs w:val="0"/>
                <w:snapToGrid w:val="0"/>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标段号</w:t>
            </w:r>
          </w:p>
        </w:tc>
        <w:tc>
          <w:tcPr>
            <w:tcW w:w="7598" w:type="dxa"/>
            <w:tcBorders>
              <w:top w:val="single" w:color="000000" w:sz="2" w:space="0"/>
              <w:left w:val="single" w:color="auto" w:sz="4" w:space="0"/>
              <w:bottom w:val="single" w:color="000000" w:sz="4" w:space="0"/>
              <w:right w:val="single" w:color="000000" w:sz="2" w:space="0"/>
            </w:tcBorders>
            <w:noWrap w:val="0"/>
            <w:vAlign w:val="center"/>
          </w:tcPr>
          <w:p w14:paraId="71D46251">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Style w:val="17"/>
                <w:rFonts w:ascii="宋体" w:hAnsi="宋体"/>
                <w:b w:val="0"/>
                <w:bCs w:val="0"/>
                <w:snapToGrid w:val="0"/>
                <w:color w:val="auto"/>
                <w:kern w:val="0"/>
                <w:sz w:val="24"/>
                <w:szCs w:val="24"/>
                <w:highlight w:val="none"/>
              </w:rPr>
              <w:t>资质要求</w:t>
            </w:r>
          </w:p>
        </w:tc>
      </w:tr>
      <w:tr w14:paraId="32C0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1418" w:type="dxa"/>
            <w:tcBorders>
              <w:top w:val="single" w:color="000000" w:sz="2" w:space="0"/>
              <w:left w:val="single" w:color="auto" w:sz="4" w:space="0"/>
              <w:bottom w:val="single" w:color="000000" w:sz="2" w:space="0"/>
              <w:right w:val="single" w:color="000000" w:sz="2" w:space="0"/>
            </w:tcBorders>
            <w:noWrap w:val="0"/>
            <w:vAlign w:val="center"/>
          </w:tcPr>
          <w:p w14:paraId="499FE688">
            <w:pPr>
              <w:pStyle w:val="19"/>
              <w:adjustRightInd w:val="0"/>
              <w:snapToGrid w:val="0"/>
              <w:spacing w:line="240" w:lineRule="auto"/>
              <w:jc w:val="center"/>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四标段</w:t>
            </w:r>
          </w:p>
        </w:tc>
        <w:tc>
          <w:tcPr>
            <w:tcW w:w="7598" w:type="dxa"/>
            <w:tcBorders>
              <w:top w:val="single" w:color="000000" w:sz="2" w:space="0"/>
              <w:left w:val="single" w:color="auto" w:sz="4" w:space="0"/>
              <w:bottom w:val="single" w:color="000000" w:sz="2" w:space="0"/>
              <w:right w:val="single" w:color="000000" w:sz="2" w:space="0"/>
            </w:tcBorders>
            <w:noWrap w:val="0"/>
            <w:vAlign w:val="center"/>
          </w:tcPr>
          <w:p w14:paraId="7E4AE318">
            <w:pPr>
              <w:adjustRightInd w:val="0"/>
              <w:snapToGrid w:val="0"/>
              <w:spacing w:line="240" w:lineRule="auto"/>
              <w:jc w:val="both"/>
              <w:rPr>
                <w:rStyle w:val="17"/>
                <w:rFonts w:hint="default" w:hAnsi="宋体"/>
                <w:bCs w:val="0"/>
                <w:snapToGrid w:val="0"/>
                <w:color w:val="0000FF"/>
                <w:sz w:val="24"/>
                <w:szCs w:val="24"/>
                <w:highlight w:val="none"/>
                <w:lang w:val="en-US" w:eastAsia="zh-CN"/>
              </w:rPr>
            </w:pPr>
            <w:r>
              <w:rPr>
                <w:rStyle w:val="17"/>
                <w:rFonts w:hint="eastAsia" w:hAnsi="宋体"/>
                <w:bCs w:val="0"/>
                <w:snapToGrid w:val="0"/>
                <w:color w:val="auto"/>
                <w:sz w:val="24"/>
                <w:szCs w:val="24"/>
                <w:highlight w:val="none"/>
                <w:lang w:val="en-US" w:eastAsia="zh-CN"/>
              </w:rPr>
              <w:t>制造商：投标人应是中华人民共和国境内的法人或其他组织，持有有效的营业执照。</w:t>
            </w:r>
          </w:p>
          <w:p w14:paraId="4C64F4AB">
            <w:pPr>
              <w:pStyle w:val="19"/>
              <w:adjustRightInd w:val="0"/>
              <w:snapToGrid w:val="0"/>
              <w:spacing w:line="240" w:lineRule="auto"/>
              <w:jc w:val="both"/>
              <w:rPr>
                <w:rFonts w:hint="eastAsia" w:hAnsi="宋体"/>
                <w:color w:val="auto"/>
                <w:sz w:val="24"/>
                <w:szCs w:val="24"/>
                <w:highlight w:val="none"/>
              </w:rPr>
            </w:pPr>
            <w:r>
              <w:rPr>
                <w:rStyle w:val="17"/>
                <w:rFonts w:hint="eastAsia" w:hAnsi="宋体"/>
                <w:bCs w:val="0"/>
                <w:snapToGrid w:val="0"/>
                <w:color w:val="auto"/>
                <w:sz w:val="24"/>
                <w:szCs w:val="24"/>
                <w:highlight w:val="none"/>
                <w:lang w:val="en-US" w:eastAsia="zh-CN"/>
              </w:rPr>
              <w:t>代理商：投标人应是中华人民共和国境内的法人或其他组织，持有有效的营业执照；具有制造商出具的针对本招标项目所投设备的唯一授权书，且该制造商满足前述关于“制造商”的要求。</w:t>
            </w:r>
          </w:p>
        </w:tc>
      </w:tr>
    </w:tbl>
    <w:p w14:paraId="33C79E4A">
      <w:pPr>
        <w:pStyle w:val="7"/>
        <w:spacing w:line="240" w:lineRule="auto"/>
        <w:ind w:left="0" w:leftChars="0" w:firstLine="0" w:firstLineChars="0"/>
        <w:jc w:val="center"/>
        <w:rPr>
          <w:rFonts w:hint="eastAsia"/>
          <w:color w:val="auto"/>
          <w:sz w:val="24"/>
          <w:szCs w:val="24"/>
          <w:highlight w:val="none"/>
        </w:rPr>
      </w:pPr>
    </w:p>
    <w:p w14:paraId="440DCFD6">
      <w:pPr>
        <w:spacing w:line="240" w:lineRule="auto"/>
        <w:jc w:val="center"/>
        <w:rPr>
          <w:rFonts w:ascii="宋体" w:hAnsi="宋体"/>
          <w:b/>
          <w:bCs/>
          <w:snapToGrid w:val="0"/>
          <w:color w:val="auto"/>
          <w:kern w:val="0"/>
          <w:sz w:val="24"/>
          <w:szCs w:val="24"/>
          <w:highlight w:val="none"/>
        </w:rPr>
      </w:pPr>
    </w:p>
    <w:p w14:paraId="2312B167">
      <w:pPr>
        <w:spacing w:line="240" w:lineRule="auto"/>
        <w:jc w:val="center"/>
        <w:rPr>
          <w:rFonts w:ascii="宋体" w:hAnsi="宋体"/>
          <w:b/>
          <w:bCs/>
          <w:snapToGrid w:val="0"/>
          <w:color w:val="auto"/>
          <w:kern w:val="0"/>
          <w:sz w:val="24"/>
          <w:szCs w:val="24"/>
          <w:highlight w:val="none"/>
        </w:rPr>
      </w:pPr>
    </w:p>
    <w:p w14:paraId="0105073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13"/>
        <w:gridCol w:w="7609"/>
      </w:tblGrid>
      <w:tr w14:paraId="7E7A7633">
        <w:tblPrEx>
          <w:tblCellMar>
            <w:top w:w="0" w:type="dxa"/>
            <w:left w:w="108" w:type="dxa"/>
            <w:bottom w:w="0" w:type="dxa"/>
            <w:right w:w="108" w:type="dxa"/>
          </w:tblCellMar>
        </w:tblPrEx>
        <w:trPr>
          <w:trHeight w:val="567" w:hRule="atLeast"/>
          <w:jc w:val="center"/>
        </w:trPr>
        <w:tc>
          <w:tcPr>
            <w:tcW w:w="536" w:type="pct"/>
            <w:tcBorders>
              <w:top w:val="single" w:color="000000" w:sz="2" w:space="0"/>
              <w:left w:val="single" w:color="auto" w:sz="4" w:space="0"/>
              <w:bottom w:val="single" w:color="000000" w:sz="4" w:space="0"/>
              <w:right w:val="single" w:color="000000" w:sz="2" w:space="0"/>
            </w:tcBorders>
            <w:noWrap w:val="0"/>
            <w:vAlign w:val="center"/>
          </w:tcPr>
          <w:p w14:paraId="5692F734">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Fonts w:hint="eastAsia" w:ascii="宋体" w:hAnsi="宋体" w:cs="宋体"/>
                <w:b w:val="0"/>
                <w:bCs w:val="0"/>
                <w:color w:val="auto"/>
                <w:sz w:val="24"/>
                <w:szCs w:val="24"/>
                <w:highlight w:val="none"/>
                <w:lang w:val="en-US" w:eastAsia="zh-CN"/>
              </w:rPr>
              <w:t>标段号</w:t>
            </w:r>
          </w:p>
        </w:tc>
        <w:tc>
          <w:tcPr>
            <w:tcW w:w="4463" w:type="pct"/>
            <w:tcBorders>
              <w:top w:val="single" w:color="000000" w:sz="2" w:space="0"/>
              <w:left w:val="single" w:color="auto" w:sz="4" w:space="0"/>
              <w:bottom w:val="single" w:color="000000" w:sz="4" w:space="0"/>
              <w:right w:val="single" w:color="000000" w:sz="2" w:space="0"/>
            </w:tcBorders>
            <w:noWrap w:val="0"/>
            <w:vAlign w:val="center"/>
          </w:tcPr>
          <w:p w14:paraId="43266013">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业绩要求</w:t>
            </w:r>
          </w:p>
        </w:tc>
      </w:tr>
      <w:tr w14:paraId="12B3C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6" w:type="pct"/>
            <w:tcBorders>
              <w:top w:val="single" w:color="000000" w:sz="2" w:space="0"/>
              <w:left w:val="single" w:color="auto" w:sz="4" w:space="0"/>
              <w:bottom w:val="single" w:color="000000" w:sz="2" w:space="0"/>
              <w:right w:val="single" w:color="000000" w:sz="2" w:space="0"/>
            </w:tcBorders>
            <w:noWrap w:val="0"/>
            <w:vAlign w:val="center"/>
          </w:tcPr>
          <w:p w14:paraId="34357469">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四标段</w:t>
            </w:r>
          </w:p>
        </w:tc>
        <w:tc>
          <w:tcPr>
            <w:tcW w:w="4463" w:type="pct"/>
            <w:tcBorders>
              <w:top w:val="single" w:color="000000" w:sz="2" w:space="0"/>
              <w:left w:val="single" w:color="auto" w:sz="4" w:space="0"/>
              <w:bottom w:val="single" w:color="000000" w:sz="2" w:space="0"/>
              <w:right w:val="single" w:color="000000" w:sz="2" w:space="0"/>
            </w:tcBorders>
            <w:noWrap w:val="0"/>
            <w:vAlign w:val="center"/>
          </w:tcPr>
          <w:p w14:paraId="3E66884E">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近3年内（2023年7月1日至投标截止时间，以合同签订时间为准），承揽过一项所投品牌的电机智能传感器供货业绩。</w:t>
            </w:r>
          </w:p>
        </w:tc>
      </w:tr>
    </w:tbl>
    <w:p w14:paraId="3F0A4072">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注：</w:t>
      </w:r>
      <w:r>
        <w:rPr>
          <w:rFonts w:hint="eastAsia" w:ascii="宋体" w:hAnsi="宋体" w:cs="宋体"/>
          <w:b/>
          <w:bCs/>
          <w:kern w:val="0"/>
          <w:sz w:val="24"/>
          <w:szCs w:val="24"/>
          <w:highlight w:val="none"/>
          <w:lang w:val="en-US" w:eastAsia="zh-CN" w:bidi="ar"/>
        </w:rPr>
        <w:t>（1）四标段</w:t>
      </w:r>
      <w:r>
        <w:rPr>
          <w:rFonts w:hint="eastAsia" w:ascii="宋体" w:hAnsi="宋体" w:eastAsia="宋体" w:cs="宋体"/>
          <w:b/>
          <w:bCs/>
          <w:kern w:val="0"/>
          <w:sz w:val="24"/>
          <w:szCs w:val="24"/>
          <w:highlight w:val="none"/>
          <w:lang w:val="en-US" w:eastAsia="zh-CN" w:bidi="ar"/>
        </w:rPr>
        <w:t>代理商和制造商的业绩不可互用</w:t>
      </w:r>
      <w:r>
        <w:rPr>
          <w:rFonts w:hint="eastAsia" w:ascii="宋体" w:hAnsi="宋体" w:cs="宋体"/>
          <w:b/>
          <w:bCs/>
          <w:kern w:val="0"/>
          <w:sz w:val="24"/>
          <w:szCs w:val="24"/>
          <w:highlight w:val="none"/>
          <w:lang w:val="en-US" w:eastAsia="zh-CN" w:bidi="ar"/>
        </w:rPr>
        <w:t>。</w:t>
      </w:r>
    </w:p>
    <w:p w14:paraId="77EBE237">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Times New Roman"/>
          <w:b/>
          <w:bCs/>
          <w:kern w:val="0"/>
          <w:sz w:val="24"/>
          <w:szCs w:val="24"/>
          <w:highlight w:val="none"/>
        </w:rPr>
      </w:pPr>
      <w:r>
        <w:rPr>
          <w:rFonts w:hint="eastAsia" w:ascii="宋体" w:hAnsi="宋体" w:cs="宋体"/>
          <w:b/>
          <w:bCs/>
          <w:kern w:val="0"/>
          <w:sz w:val="24"/>
          <w:szCs w:val="24"/>
          <w:highlight w:val="none"/>
          <w:lang w:val="en-US" w:eastAsia="zh-CN" w:bidi="ar"/>
        </w:rPr>
        <w:t>（2）所有标段</w:t>
      </w:r>
      <w:r>
        <w:rPr>
          <w:rFonts w:hint="eastAsia" w:ascii="宋体" w:hAnsi="宋体" w:eastAsia="宋体" w:cs="宋体"/>
          <w:b/>
          <w:bCs/>
          <w:kern w:val="0"/>
          <w:sz w:val="24"/>
          <w:szCs w:val="24"/>
          <w:highlight w:val="none"/>
          <w:lang w:val="en-US" w:eastAsia="zh-CN" w:bidi="ar"/>
        </w:rPr>
        <w:t>业绩不包含制造商和代理商签订的合同</w:t>
      </w:r>
      <w:r>
        <w:rPr>
          <w:rFonts w:hint="eastAsia" w:ascii="宋体" w:hAnsi="宋体" w:cs="宋体"/>
          <w:b/>
          <w:bCs/>
          <w:kern w:val="0"/>
          <w:sz w:val="24"/>
          <w:szCs w:val="24"/>
          <w:highlight w:val="none"/>
          <w:lang w:val="en-US" w:eastAsia="zh-CN" w:bidi="ar"/>
        </w:rPr>
        <w:t>。</w:t>
      </w:r>
    </w:p>
    <w:p w14:paraId="5A98957C">
      <w:pPr>
        <w:adjustRightInd w:val="0"/>
        <w:snapToGrid w:val="0"/>
        <w:spacing w:line="360" w:lineRule="auto"/>
        <w:jc w:val="center"/>
        <w:rPr>
          <w:rFonts w:ascii="宋体" w:hAnsi="宋体"/>
          <w:b/>
          <w:bCs/>
          <w:snapToGrid w:val="0"/>
          <w:color w:val="auto"/>
          <w:kern w:val="0"/>
          <w:sz w:val="24"/>
          <w:szCs w:val="24"/>
          <w:highlight w:val="none"/>
        </w:rPr>
      </w:pPr>
    </w:p>
    <w:p w14:paraId="5758ADE0">
      <w:pPr>
        <w:adjustRightInd w:val="0"/>
        <w:snapToGrid w:val="0"/>
        <w:spacing w:line="360" w:lineRule="auto"/>
        <w:jc w:val="center"/>
        <w:rPr>
          <w:rFonts w:ascii="宋体" w:hAnsi="宋体"/>
          <w:b/>
          <w:bCs/>
          <w:snapToGrid w:val="0"/>
          <w:color w:val="auto"/>
          <w:kern w:val="0"/>
          <w:sz w:val="24"/>
          <w:szCs w:val="24"/>
          <w:highlight w:val="none"/>
        </w:rPr>
      </w:pPr>
    </w:p>
    <w:p w14:paraId="62E5D90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EC5F4EF">
        <w:tblPrEx>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4C35864">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信誉要求</w:t>
            </w:r>
          </w:p>
        </w:tc>
      </w:tr>
      <w:tr w14:paraId="0042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31E71AB0">
            <w:pPr>
              <w:pStyle w:val="15"/>
              <w:spacing w:line="240" w:lineRule="auto"/>
              <w:ind w:firstLineChars="200"/>
              <w:rPr>
                <w:rStyle w:val="17"/>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7</w:t>
            </w:r>
            <w:r>
              <w:rPr>
                <w:rFonts w:hint="eastAsia" w:ascii="宋体" w:hAnsi="宋体"/>
                <w:snapToGrid w:val="0"/>
                <w:color w:val="auto"/>
                <w:sz w:val="24"/>
                <w:szCs w:val="24"/>
                <w:highlight w:val="none"/>
                <w:lang w:bidi="ar"/>
              </w:rPr>
              <w:t>月1日至今）不曾在</w:t>
            </w:r>
            <w:r>
              <w:rPr>
                <w:rFonts w:hint="eastAsia" w:ascii="宋体" w:hAnsi="宋体"/>
                <w:snapToGrid w:val="0"/>
                <w:color w:val="auto"/>
                <w:sz w:val="24"/>
                <w:szCs w:val="24"/>
                <w:highlight w:val="none"/>
                <w:lang w:val="en-US" w:eastAsia="zh-CN" w:bidi="ar"/>
              </w:rPr>
              <w:t>高速公路机电</w:t>
            </w:r>
            <w:r>
              <w:rPr>
                <w:rFonts w:hint="eastAsia" w:ascii="宋体" w:hAnsi="宋体"/>
                <w:snapToGrid w:val="0"/>
                <w:color w:val="auto"/>
                <w:sz w:val="24"/>
                <w:szCs w:val="24"/>
                <w:highlight w:val="none"/>
                <w:lang w:bidi="ar"/>
              </w:rPr>
              <w:t>设备供货合同中违约而被驱逐或因投标人自身的原因而使</w:t>
            </w:r>
            <w:r>
              <w:rPr>
                <w:rFonts w:hint="eastAsia" w:ascii="宋体" w:hAnsi="宋体"/>
                <w:snapToGrid w:val="0"/>
                <w:color w:val="auto"/>
                <w:sz w:val="24"/>
                <w:szCs w:val="24"/>
                <w:highlight w:val="none"/>
                <w:lang w:val="en-US" w:eastAsia="zh-CN" w:bidi="ar"/>
              </w:rPr>
              <w:t>高速公路机电</w:t>
            </w:r>
            <w:r>
              <w:rPr>
                <w:rFonts w:hint="eastAsia" w:ascii="宋体" w:hAnsi="宋体"/>
                <w:snapToGrid w:val="0"/>
                <w:color w:val="auto"/>
                <w:sz w:val="24"/>
                <w:szCs w:val="24"/>
                <w:highlight w:val="none"/>
                <w:lang w:bidi="ar"/>
              </w:rPr>
              <w:t>设备供货合同被解除。</w:t>
            </w:r>
          </w:p>
        </w:tc>
      </w:tr>
    </w:tbl>
    <w:p w14:paraId="6A03DBA2">
      <w:pPr>
        <w:jc w:val="center"/>
        <w:rPr>
          <w:rFonts w:hint="eastAsia" w:ascii="黑体" w:hAnsi="黑体" w:eastAsia="黑体" w:cs="黑体"/>
          <w:bCs/>
          <w:sz w:val="24"/>
        </w:rPr>
      </w:pPr>
    </w:p>
    <w:p w14:paraId="12833400">
      <w:pPr>
        <w:jc w:val="center"/>
        <w:rPr>
          <w:rFonts w:hint="eastAsia" w:ascii="黑体" w:hAnsi="黑体" w:eastAsia="黑体" w:cs="黑体"/>
          <w:bCs/>
          <w:sz w:val="24"/>
          <w:highlight w:val="yellow"/>
        </w:rPr>
      </w:pPr>
    </w:p>
    <w:p w14:paraId="0D5E5E6D">
      <w:pPr>
        <w:pStyle w:val="5"/>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47943860"/>
      <w:bookmarkStart w:id="1" w:name="_Toc136511007"/>
      <w:bookmarkStart w:id="2" w:name="_Toc16918"/>
      <w:bookmarkStart w:id="3" w:name="_Toc1047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6EFE227B">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792892"/>
      <w:bookmarkStart w:id="5" w:name="_Toc459307890"/>
      <w:bookmarkStart w:id="6" w:name="_Toc450319202"/>
      <w:bookmarkStart w:id="7" w:name="_Toc134792409"/>
      <w:bookmarkStart w:id="8" w:name="_Toc509660966"/>
      <w:bookmarkStart w:id="9" w:name="_Toc509659998"/>
      <w:bookmarkStart w:id="10" w:name="_Toc531949857"/>
      <w:bookmarkStart w:id="11" w:name="_Toc134890444"/>
      <w:bookmarkStart w:id="12" w:name="_Toc502992691"/>
      <w:bookmarkStart w:id="13" w:name="_Toc134792341"/>
      <w:bookmarkStart w:id="14" w:name="_Toc134890522"/>
      <w:bookmarkStart w:id="15" w:name="_Toc444088432"/>
      <w:bookmarkStart w:id="16" w:name="_Toc445382083"/>
      <w:bookmarkStart w:id="17" w:name="_Toc445222503"/>
      <w:bookmarkStart w:id="18" w:name="_Toc444271617"/>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5C4702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9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C63BD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61F2D9D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E6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A66E8DE">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E75C0C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3156367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0E49677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得分由高到低顺序确定</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3名投标人进入第二个信封评审。若</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得分相同，以技术</w:t>
            </w:r>
            <w:r>
              <w:rPr>
                <w:rFonts w:hint="eastAsia" w:ascii="宋体" w:hAnsi="宋体" w:eastAsia="宋体" w:cs="宋体"/>
                <w:color w:val="auto"/>
                <w:sz w:val="24"/>
                <w:szCs w:val="24"/>
                <w:highlight w:val="none"/>
                <w:lang w:val="en-US" w:eastAsia="zh-CN"/>
              </w:rPr>
              <w:t>暗标</w:t>
            </w:r>
            <w:r>
              <w:rPr>
                <w:rFonts w:hint="eastAsia" w:ascii="宋体" w:hAnsi="宋体" w:eastAsia="宋体" w:cs="宋体"/>
                <w:color w:val="auto"/>
                <w:sz w:val="24"/>
                <w:szCs w:val="24"/>
                <w:highlight w:val="none"/>
              </w:rPr>
              <w:t>得分高的投标人优先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技术暗标得分也相同的，以</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合同金额高的</w:t>
            </w:r>
            <w:r>
              <w:rPr>
                <w:rFonts w:hint="eastAsia" w:ascii="宋体" w:hAnsi="宋体" w:eastAsia="宋体" w:cs="宋体"/>
                <w:color w:val="auto"/>
                <w:sz w:val="24"/>
                <w:szCs w:val="24"/>
                <w:highlight w:val="none"/>
              </w:rPr>
              <w:t>投标人优先。未通过第一信封评审</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未进入前3名的投标人，其第二信</w:t>
            </w:r>
            <w:r>
              <w:rPr>
                <w:rFonts w:hint="eastAsia" w:ascii="宋体" w:hAnsi="宋体" w:cs="宋体"/>
                <w:color w:val="auto"/>
                <w:sz w:val="24"/>
                <w:szCs w:val="24"/>
                <w:highlight w:val="none"/>
                <w:lang w:val="en-US" w:eastAsia="zh-CN"/>
              </w:rPr>
              <w:t>封在整个评标期间不再开封，不随任何因素发生变化</w:t>
            </w:r>
            <w:r>
              <w:rPr>
                <w:rFonts w:hint="eastAsia" w:ascii="宋体" w:hAnsi="宋体" w:eastAsia="宋体" w:cs="宋体"/>
                <w:color w:val="auto"/>
                <w:sz w:val="24"/>
                <w:szCs w:val="24"/>
                <w:highlight w:val="none"/>
              </w:rPr>
              <w:t>。</w:t>
            </w:r>
          </w:p>
          <w:p w14:paraId="00B60BB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评标委员会按评标价由低到高的顺序，向招标人推荐1-3名中标候选人。</w:t>
            </w:r>
          </w:p>
          <w:p w14:paraId="2E95DF5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39260CBF">
            <w:pPr>
              <w:numPr>
                <w:ilvl w:val="0"/>
                <w:numId w:val="2"/>
              </w:num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第一个信封技术得分较高的优先；</w:t>
            </w:r>
          </w:p>
          <w:p w14:paraId="55FBD56E">
            <w:pPr>
              <w:numPr>
                <w:ilvl w:val="0"/>
                <w:numId w:val="0"/>
              </w:num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sz w:val="24"/>
                <w:szCs w:val="24"/>
                <w:highlight w:val="none"/>
                <w:lang w:eastAsia="zh-CN"/>
              </w:rPr>
              <w:t>第一个信封技术部分（明标）得分较高的</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eastAsia="zh-CN"/>
              </w:rPr>
              <w:t>优先；</w:t>
            </w:r>
          </w:p>
          <w:p w14:paraId="3AF304AC">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w:t>
            </w:r>
            <w:r>
              <w:rPr>
                <w:rFonts w:hint="eastAsia" w:ascii="宋体" w:hAnsi="宋体" w:eastAsia="宋体" w:cs="宋体"/>
                <w:color w:val="auto"/>
                <w:sz w:val="24"/>
                <w:szCs w:val="24"/>
                <w:highlight w:val="none"/>
              </w:rPr>
              <w:t>的投标人优先；</w:t>
            </w:r>
          </w:p>
        </w:tc>
      </w:tr>
      <w:tr w14:paraId="0F9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129EE1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36A3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3321A62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6847FDC">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5CCE8DC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56ACE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39AEE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C6213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525D2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3F75936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67E165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1EE7DA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32BFD5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0501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（8）同一投标人未提交两个以上不同的投标文件。</w:t>
            </w:r>
          </w:p>
          <w:p w14:paraId="6AF6FD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154A37D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5E31544C">
            <w:pPr>
              <w:snapToGrid w:val="0"/>
              <w:spacing w:line="240" w:lineRule="auto"/>
              <w:rPr>
                <w:rFonts w:hint="eastAsia" w:ascii="宋体" w:hAnsi="宋体" w:cs="宋体"/>
                <w:strike w:val="0"/>
                <w:dstrike w:val="0"/>
                <w:color w:val="auto"/>
                <w:sz w:val="24"/>
                <w:szCs w:val="24"/>
                <w:highlight w:val="none"/>
                <w:lang w:val="en-US" w:eastAsia="zh-CN"/>
              </w:rPr>
            </w:pPr>
            <w:r>
              <w:rPr>
                <w:rFonts w:hint="eastAsia" w:ascii="宋体" w:hAnsi="宋体" w:cs="宋体"/>
                <w:strike w:val="0"/>
                <w:dstrike w:val="0"/>
                <w:color w:val="auto"/>
                <w:sz w:val="24"/>
                <w:szCs w:val="24"/>
                <w:highlight w:val="none"/>
                <w:lang w:val="en-US" w:eastAsia="zh-CN"/>
              </w:rPr>
              <w:t>（11）投标人递交的投标文件与所投标段一致。</w:t>
            </w:r>
          </w:p>
          <w:p w14:paraId="3F16AC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）投标文件对招标文件的实质性要求和条件作出响应。</w:t>
            </w:r>
          </w:p>
          <w:p w14:paraId="66F4C219">
            <w:pPr>
              <w:snapToGrid w:val="0"/>
              <w:spacing w:line="240" w:lineRule="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）投标文件中投标设备的主要技术指标满足招标文件（</w:t>
            </w:r>
            <w:r>
              <w:rPr>
                <w:rFonts w:hint="eastAsia" w:ascii="宋体" w:hAnsi="宋体" w:cs="宋体"/>
                <w:strike w:val="0"/>
                <w:dstrike w:val="0"/>
                <w:color w:val="auto"/>
                <w:sz w:val="24"/>
                <w:szCs w:val="24"/>
                <w:highlight w:val="none"/>
                <w:lang w:val="en-US" w:eastAsia="zh-CN"/>
              </w:rPr>
              <w:t>供货要求中</w:t>
            </w:r>
            <w:r>
              <w:rPr>
                <w:rFonts w:hint="eastAsia" w:ascii="宋体" w:hAnsi="宋体" w:eastAsia="宋体" w:cs="宋体"/>
                <w:strike w:val="0"/>
                <w:dstrike w:val="0"/>
                <w:color w:val="auto"/>
                <w:sz w:val="24"/>
                <w:szCs w:val="24"/>
                <w:highlight w:val="none"/>
              </w:rPr>
              <w:t>带</w:t>
            </w:r>
            <w:r>
              <w:rPr>
                <w:rFonts w:hint="eastAsia"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的条款）的要求</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并按照招标文件1.11.3款规定列举相关材料</w:t>
            </w:r>
            <w:r>
              <w:rPr>
                <w:rFonts w:hint="eastAsia" w:ascii="宋体" w:hAnsi="宋体" w:eastAsia="宋体" w:cs="宋体"/>
                <w:strike w:val="0"/>
                <w:dstrike w:val="0"/>
                <w:color w:val="auto"/>
                <w:sz w:val="24"/>
                <w:szCs w:val="24"/>
                <w:highlight w:val="none"/>
              </w:rPr>
              <w:t>。</w:t>
            </w:r>
          </w:p>
          <w:p w14:paraId="4E1E1D5C">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4</w:t>
            </w:r>
            <w:r>
              <w:rPr>
                <w:rFonts w:hint="eastAsia" w:ascii="宋体" w:hAnsi="宋体" w:eastAsia="宋体" w:cs="宋体"/>
                <w:strike w:val="0"/>
                <w:dstrike w:val="0"/>
                <w:color w:val="auto"/>
                <w:sz w:val="24"/>
                <w:szCs w:val="24"/>
                <w:highlight w:val="none"/>
              </w:rPr>
              <w:t>）权利义务符合招标文件规定：</w:t>
            </w:r>
          </w:p>
          <w:p w14:paraId="69F48319">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a．投标人应接受招标文件规定的风险划分原则，未提出新的风险划分办法；</w:t>
            </w:r>
          </w:p>
          <w:p w14:paraId="1ACEAD40">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b．投标人未增加发包人的责任范围，或减少投标人义务；</w:t>
            </w:r>
          </w:p>
          <w:p w14:paraId="1D58A522">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c．投标人未提出不同的验收、计量、支付办法；</w:t>
            </w:r>
          </w:p>
          <w:p w14:paraId="2DEFB7CD">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d．投标人对合同纠纷、事故处理办法未提出异议；</w:t>
            </w:r>
          </w:p>
          <w:p w14:paraId="63A19FA3">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e．投标人在投标活动中无欺诈行为；</w:t>
            </w:r>
          </w:p>
          <w:p w14:paraId="16BF593C">
            <w:pPr>
              <w:snapToGrid w:val="0"/>
              <w:spacing w:line="320" w:lineRule="exact"/>
              <w:jc w:val="left"/>
              <w:textAlignment w:val="baseline"/>
              <w:rPr>
                <w:rFonts w:hint="eastAsia" w:ascii="宋体" w:hAnsi="宋体" w:cs="宋体"/>
                <w:strike w:val="0"/>
                <w:dstrike w:val="0"/>
                <w:color w:val="auto"/>
                <w:kern w:val="0"/>
                <w:szCs w:val="21"/>
                <w:highlight w:val="none"/>
              </w:rPr>
            </w:pPr>
            <w:r>
              <w:rPr>
                <w:rFonts w:hint="eastAsia" w:ascii="宋体" w:hAnsi="宋体" w:eastAsia="宋体" w:cs="宋体"/>
                <w:strike w:val="0"/>
                <w:dstrike w:val="0"/>
                <w:color w:val="auto"/>
                <w:sz w:val="24"/>
                <w:szCs w:val="24"/>
                <w:highlight w:val="none"/>
              </w:rPr>
              <w:t>f．投标人未对合同条款有重要保留</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kern w:val="0"/>
                <w:szCs w:val="21"/>
                <w:highlight w:val="none"/>
              </w:rPr>
              <w:t xml:space="preserve"> </w:t>
            </w:r>
          </w:p>
          <w:p w14:paraId="0199018F">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第一个信封（技术文件）评审标准： </w:t>
            </w:r>
          </w:p>
          <w:p w14:paraId="2C7BB2F6">
            <w:pPr>
              <w:widowControl/>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技术建议书（暗标）编制符合招标文件第二章“投标人须知”第 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款的规定。</w:t>
            </w:r>
          </w:p>
          <w:p w14:paraId="1451828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01BCDA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54962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补遗书编号（如有）、投标价（包括大写金额和小写金额）；</w:t>
            </w:r>
          </w:p>
          <w:p w14:paraId="545C67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w:t>
            </w:r>
            <w:r>
              <w:rPr>
                <w:rFonts w:hint="eastAsia" w:ascii="宋体" w:hAnsi="宋体" w:cs="宋体"/>
                <w:color w:val="auto"/>
                <w:sz w:val="24"/>
                <w:szCs w:val="24"/>
                <w:highlight w:val="none"/>
                <w:lang w:val="en-US" w:eastAsia="zh-CN"/>
              </w:rPr>
              <w:t>的所投标段</w:t>
            </w:r>
            <w:r>
              <w:rPr>
                <w:rFonts w:hint="eastAsia" w:ascii="宋体" w:hAnsi="宋体" w:eastAsia="宋体" w:cs="宋体"/>
                <w:color w:val="auto"/>
                <w:sz w:val="24"/>
                <w:szCs w:val="24"/>
                <w:highlight w:val="none"/>
              </w:rPr>
              <w:t>的最高</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11EFB639">
            <w:pPr>
              <w:snapToGrid w:val="0"/>
              <w:spacing w:line="32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p w14:paraId="67F73E12">
            <w:pPr>
              <w:snapToGrid w:val="0"/>
              <w:spacing w:line="240" w:lineRule="auto"/>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（7）投标人递交的投标文件与所投标段一致。</w:t>
            </w:r>
          </w:p>
        </w:tc>
      </w:tr>
      <w:tr w14:paraId="340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3" w:hRule="atLeast"/>
          <w:jc w:val="center"/>
        </w:trPr>
        <w:tc>
          <w:tcPr>
            <w:tcW w:w="1143" w:type="dxa"/>
            <w:noWrap w:val="0"/>
            <w:vAlign w:val="center"/>
          </w:tcPr>
          <w:p w14:paraId="3B6DD91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6499C9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1E2C76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（1）投标人具备有效的企业营业执照和基本账户开户许可证（或基本存款账户信息）；</w:t>
            </w:r>
          </w:p>
          <w:p w14:paraId="1A0EC9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817BA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8A351F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206B7BC4">
            <w:p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投标人不存在第二章“投标人须知”第1.4.3项规定的任何一种情形。</w:t>
            </w:r>
          </w:p>
        </w:tc>
      </w:tr>
      <w:tr w14:paraId="38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498532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1049145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8BA597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D3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210E1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425FDF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12304A1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E954D5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1CA7B4D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0分</w:t>
            </w:r>
          </w:p>
          <w:p w14:paraId="107BEC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482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D73A48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3B8A5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31C6DA4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07407BF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5E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3103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46F11C7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642717A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w:t>
            </w:r>
            <w:r>
              <w:rPr>
                <w:rFonts w:hint="eastAsia" w:ascii="宋体" w:hAnsi="宋体" w:cs="宋体"/>
                <w:color w:val="auto"/>
                <w:sz w:val="24"/>
                <w:szCs w:val="24"/>
                <w:highlight w:val="none"/>
                <w:lang w:val="en-US" w:eastAsia="zh-CN"/>
              </w:rPr>
              <w:t>进入第二信封</w:t>
            </w:r>
            <w:r>
              <w:rPr>
                <w:rFonts w:hint="eastAsia" w:ascii="宋体" w:hAnsi="宋体" w:eastAsia="宋体" w:cs="宋体"/>
                <w:color w:val="auto"/>
                <w:sz w:val="24"/>
                <w:szCs w:val="24"/>
                <w:highlight w:val="none"/>
              </w:rPr>
              <w:t>评审</w:t>
            </w:r>
          </w:p>
        </w:tc>
      </w:tr>
      <w:tr w14:paraId="06CD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2460" w:type="dxa"/>
            <w:gridSpan w:val="2"/>
            <w:noWrap w:val="0"/>
            <w:vAlign w:val="center"/>
          </w:tcPr>
          <w:p w14:paraId="6A1F8F5B">
            <w:pPr>
              <w:snapToGrid w:val="0"/>
              <w:spacing w:line="24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3.5.3异常低价评审</w:t>
            </w:r>
          </w:p>
        </w:tc>
        <w:tc>
          <w:tcPr>
            <w:tcW w:w="7197" w:type="dxa"/>
            <w:noWrap w:val="0"/>
            <w:vAlign w:val="center"/>
          </w:tcPr>
          <w:p w14:paraId="0297F68F">
            <w:pPr>
              <w:snapToGrid w:val="0"/>
              <w:spacing w:line="240" w:lineRule="auto"/>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本款修改为：</w:t>
            </w:r>
          </w:p>
          <w:p w14:paraId="1351EAF6">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none"/>
              </w:rPr>
              <w:t xml:space="preserve"> 投标人存在须知前附表3.2.5项情形的</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strike w:val="0"/>
                <w:dstrike w:val="0"/>
                <w:color w:val="auto"/>
                <w:sz w:val="24"/>
                <w:szCs w:val="24"/>
                <w:highlight w:val="none"/>
                <w:u w:val="none"/>
                <w:lang w:val="en-US" w:eastAsia="zh-CN"/>
              </w:rPr>
              <w:t>评标委员会</w:t>
            </w:r>
            <w:r>
              <w:rPr>
                <w:rFonts w:hint="eastAsia" w:ascii="宋体" w:hAnsi="宋体" w:eastAsia="宋体" w:cs="宋体"/>
                <w:strike w:val="0"/>
                <w:dstrike w:val="0"/>
                <w:color w:val="auto"/>
                <w:sz w:val="24"/>
                <w:szCs w:val="24"/>
                <w:highlight w:val="none"/>
                <w:u w:val="none"/>
              </w:rPr>
              <w:t>应当要求该投标人</w:t>
            </w:r>
            <w:r>
              <w:rPr>
                <w:rFonts w:hint="eastAsia" w:ascii="宋体" w:hAnsi="宋体" w:cs="宋体"/>
                <w:strike w:val="0"/>
                <w:dstrike w:val="0"/>
                <w:color w:val="auto"/>
                <w:sz w:val="24"/>
                <w:szCs w:val="24"/>
                <w:highlight w:val="none"/>
                <w:u w:val="none"/>
                <w:lang w:val="en-US" w:eastAsia="zh-CN"/>
              </w:rPr>
              <w:t>在规定时间内</w:t>
            </w:r>
            <w:r>
              <w:rPr>
                <w:rFonts w:hint="eastAsia" w:ascii="宋体" w:hAnsi="宋体" w:eastAsia="宋体" w:cs="宋体"/>
                <w:strike w:val="0"/>
                <w:dstrike w:val="0"/>
                <w:color w:val="auto"/>
                <w:sz w:val="24"/>
                <w:szCs w:val="24"/>
                <w:highlight w:val="none"/>
                <w:u w:val="none"/>
              </w:rPr>
              <w:t>作出书面说明并提供相应的证明材料</w:t>
            </w:r>
            <w:r>
              <w:rPr>
                <w:rFonts w:hint="eastAsia" w:ascii="宋体" w:hAnsi="宋体" w:eastAsia="宋体" w:cs="宋体"/>
                <w:strike w:val="0"/>
                <w:dstrike w:val="0"/>
                <w:color w:val="auto"/>
                <w:sz w:val="24"/>
                <w:szCs w:val="24"/>
                <w:highlight w:val="none"/>
                <w:u w:val="none"/>
                <w:lang w:val="en-US" w:eastAsia="zh-CN"/>
              </w:rPr>
              <w:t>。</w:t>
            </w:r>
            <w:r>
              <w:rPr>
                <w:rFonts w:hint="eastAsia" w:ascii="宋体" w:hAnsi="宋体" w:eastAsia="宋体" w:cs="宋体"/>
                <w:strike w:val="0"/>
                <w:dstrike w:val="0"/>
                <w:color w:val="auto"/>
                <w:sz w:val="24"/>
                <w:szCs w:val="24"/>
                <w:highlight w:val="none"/>
                <w:u w:val="none"/>
              </w:rPr>
              <w:t>投标人不能合理说明或者不能提供相应证明材料的，评标委员会应当认定该投标人以低于成本或影响履约的异常低价竞标，否决其投标。</w:t>
            </w:r>
          </w:p>
        </w:tc>
      </w:tr>
      <w:tr w14:paraId="7F1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E3EB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61A5BA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08170B61">
            <w:pPr>
              <w:widowControl/>
              <w:adjustRightInd w:val="0"/>
              <w:snapToGrid w:val="0"/>
              <w:textAlignment w:val="center"/>
              <w:rPr>
                <w:rFonts w:ascii="宋体" w:hAnsi="宋体"/>
                <w:snapToGrid w:val="0"/>
                <w:color w:val="auto"/>
                <w:kern w:val="0"/>
                <w:sz w:val="24"/>
                <w:szCs w:val="24"/>
                <w:highlight w:val="none"/>
                <w:lang w:bidi="ar"/>
              </w:rPr>
            </w:pPr>
            <w:r>
              <w:rPr>
                <w:rFonts w:hint="eastAsia" w:ascii="宋体" w:hAnsi="宋体"/>
                <w:snapToGrid w:val="0"/>
                <w:color w:val="auto"/>
                <w:kern w:val="0"/>
                <w:sz w:val="24"/>
                <w:szCs w:val="24"/>
                <w:highlight w:val="none"/>
                <w:lang w:bidi="ar"/>
              </w:rPr>
              <w:t>本款修改为：</w:t>
            </w:r>
          </w:p>
          <w:p w14:paraId="49FFA8C5">
            <w:pPr>
              <w:widowControl/>
              <w:adjustRightInd w:val="0"/>
              <w:snapToGrid w:val="0"/>
              <w:textAlignment w:val="center"/>
              <w:rPr>
                <w:rFonts w:ascii="宋体" w:hAnsi="宋体"/>
                <w:snapToGrid w:val="0"/>
                <w:color w:val="auto"/>
                <w:kern w:val="0"/>
                <w:sz w:val="24"/>
                <w:szCs w:val="24"/>
                <w:highlight w:val="none"/>
                <w:lang w:bidi="ar"/>
              </w:rPr>
            </w:pPr>
            <w:r>
              <w:rPr>
                <w:rFonts w:hint="eastAsia" w:ascii="宋体" w:hAnsi="宋体"/>
                <w:snapToGrid w:val="0"/>
                <w:color w:val="auto"/>
                <w:kern w:val="0"/>
                <w:sz w:val="24"/>
                <w:szCs w:val="24"/>
                <w:highlight w:val="none"/>
                <w:lang w:bidi="ar"/>
              </w:rPr>
              <w:t>在评标过程中，评标委员会应对投标人以下信息进行查询：</w:t>
            </w:r>
          </w:p>
          <w:p w14:paraId="0BEE61D1">
            <w:pPr>
              <w:snapToGrid w:val="0"/>
              <w:spacing w:line="240" w:lineRule="auto"/>
              <w:rPr>
                <w:rFonts w:hint="eastAsia" w:ascii="宋体" w:hAnsi="宋体"/>
                <w:snapToGrid w:val="0"/>
                <w:color w:val="auto"/>
                <w:kern w:val="0"/>
                <w:sz w:val="24"/>
                <w:szCs w:val="24"/>
                <w:highlight w:val="none"/>
                <w:lang w:bidi="ar"/>
              </w:rPr>
            </w:pPr>
            <w:r>
              <w:rPr>
                <w:rFonts w:hint="eastAsia" w:ascii="宋体" w:hAnsi="宋体"/>
                <w:snapToGrid w:val="0"/>
                <w:color w:val="auto"/>
                <w:kern w:val="0"/>
                <w:sz w:val="24"/>
                <w:szCs w:val="24"/>
                <w:highlight w:val="none"/>
                <w:lang w:bidi="ar"/>
              </w:rPr>
              <w:t>评标委员会在评标过程中将对投标人的信誉情况进行查询。如投标</w:t>
            </w:r>
          </w:p>
          <w:p w14:paraId="0653C25B">
            <w:pPr>
              <w:snapToGrid w:val="0"/>
              <w:spacing w:line="240" w:lineRule="auto"/>
              <w:rPr>
                <w:rFonts w:hint="eastAsia" w:ascii="宋体" w:hAnsi="宋体"/>
                <w:snapToGrid w:val="0"/>
                <w:color w:val="auto"/>
                <w:kern w:val="0"/>
                <w:sz w:val="24"/>
                <w:szCs w:val="24"/>
                <w:highlight w:val="none"/>
                <w:lang w:bidi="ar"/>
              </w:rPr>
            </w:pPr>
            <w:r>
              <w:rPr>
                <w:rFonts w:hint="eastAsia" w:ascii="宋体" w:hAnsi="宋体"/>
                <w:snapToGrid w:val="0"/>
                <w:color w:val="auto"/>
                <w:kern w:val="0"/>
                <w:sz w:val="24"/>
                <w:szCs w:val="24"/>
                <w:highlight w:val="none"/>
                <w:lang w:bidi="ar"/>
              </w:rPr>
              <w:t>人存在下列情形之一的，评标委员会应否决其投标。</w:t>
            </w:r>
          </w:p>
          <w:p w14:paraId="37C301A4">
            <w:pPr>
              <w:snapToGrid w:val="0"/>
              <w:spacing w:line="240" w:lineRule="auto"/>
              <w:rPr>
                <w:rFonts w:hint="eastAsia" w:ascii="宋体" w:hAnsi="宋体"/>
                <w:snapToGrid w:val="0"/>
                <w:color w:val="auto"/>
                <w:kern w:val="0"/>
                <w:sz w:val="24"/>
                <w:szCs w:val="24"/>
                <w:highlight w:val="none"/>
                <w:lang w:bidi="ar"/>
              </w:rPr>
            </w:pPr>
            <w:r>
              <w:rPr>
                <w:rFonts w:hint="eastAsia" w:ascii="宋体" w:hAnsi="宋体"/>
                <w:snapToGrid w:val="0"/>
                <w:color w:val="auto"/>
                <w:kern w:val="0"/>
                <w:sz w:val="24"/>
                <w:szCs w:val="24"/>
                <w:highlight w:val="none"/>
                <w:lang w:bidi="ar"/>
              </w:rPr>
              <w:t>(1)在国家企业信用信息公示系统(https://www.gsxt.gov.cn/)中被列入严重违法失信名单(黑名单)(不含分公司，事业单位不适用);</w:t>
            </w:r>
          </w:p>
          <w:p w14:paraId="1483F563">
            <w:pPr>
              <w:snapToGrid w:val="0"/>
              <w:spacing w:line="240" w:lineRule="auto"/>
              <w:rPr>
                <w:rFonts w:hint="eastAsia" w:ascii="宋体" w:hAnsi="宋体"/>
                <w:snapToGrid w:val="0"/>
                <w:color w:val="auto"/>
                <w:kern w:val="0"/>
                <w:sz w:val="24"/>
                <w:szCs w:val="24"/>
                <w:highlight w:val="none"/>
                <w:lang w:bidi="ar"/>
              </w:rPr>
            </w:pPr>
            <w:r>
              <w:rPr>
                <w:rFonts w:hint="eastAsia" w:ascii="宋体" w:hAnsi="宋体"/>
                <w:snapToGrid w:val="0"/>
                <w:color w:val="auto"/>
                <w:kern w:val="0"/>
                <w:sz w:val="24"/>
                <w:szCs w:val="24"/>
                <w:highlight w:val="none"/>
                <w:lang w:bidi="ar"/>
              </w:rPr>
              <w:t>(2)在“信用中国"网站(http://www.creditchina.gov.cn/)中被列入经营(活动)异常名录、重大税收违法失信主体名单和政府采购严重违法失信行为记录名单(均不含分公司);</w:t>
            </w:r>
          </w:p>
          <w:p w14:paraId="784A723F">
            <w:pPr>
              <w:snapToGrid w:val="0"/>
              <w:spacing w:line="240" w:lineRule="auto"/>
              <w:rPr>
                <w:rFonts w:hint="eastAsia" w:ascii="宋体" w:hAnsi="宋体"/>
                <w:snapToGrid w:val="0"/>
                <w:color w:val="auto"/>
                <w:kern w:val="0"/>
                <w:sz w:val="24"/>
                <w:szCs w:val="24"/>
                <w:highlight w:val="none"/>
                <w:lang w:bidi="ar"/>
              </w:rPr>
            </w:pPr>
            <w:r>
              <w:rPr>
                <w:rFonts w:hint="eastAsia" w:ascii="宋体" w:hAnsi="宋体"/>
                <w:snapToGrid w:val="0"/>
                <w:color w:val="auto"/>
                <w:kern w:val="0"/>
                <w:sz w:val="24"/>
                <w:szCs w:val="24"/>
                <w:highlight w:val="none"/>
                <w:lang w:bidi="ar"/>
              </w:rPr>
              <w:t>(3)在中国执行信息公开网(zxgk.court.gov.cn)中被列入失信被执行人(不含分公司)。</w:t>
            </w:r>
          </w:p>
          <w:p w14:paraId="01D8A145">
            <w:pPr>
              <w:snapToGrid w:val="0"/>
              <w:spacing w:line="240" w:lineRule="auto"/>
              <w:rPr>
                <w:rFonts w:hint="eastAsia" w:ascii="宋体" w:hAnsi="宋体" w:eastAsia="宋体" w:cs="宋体"/>
                <w:color w:val="auto"/>
                <w:sz w:val="24"/>
                <w:szCs w:val="24"/>
                <w:highlight w:val="none"/>
              </w:rPr>
            </w:pPr>
            <w:r>
              <w:rPr>
                <w:rFonts w:hint="eastAsia" w:ascii="宋体" w:hAnsi="宋体"/>
                <w:snapToGrid w:val="0"/>
                <w:color w:val="auto"/>
                <w:kern w:val="0"/>
                <w:sz w:val="24"/>
                <w:szCs w:val="24"/>
                <w:highlight w:val="none"/>
                <w:lang w:val="en-US" w:eastAsia="zh-CN" w:bidi="ar"/>
              </w:rPr>
              <w:t>注：以上查询结果以开标当日查询结果为准。</w:t>
            </w:r>
          </w:p>
        </w:tc>
      </w:tr>
      <w:tr w14:paraId="1DB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48660B7">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p>
        </w:tc>
        <w:tc>
          <w:tcPr>
            <w:tcW w:w="1317" w:type="dxa"/>
            <w:noWrap w:val="0"/>
            <w:vAlign w:val="center"/>
          </w:tcPr>
          <w:p w14:paraId="5D87B5D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投标人其他异常投标情形</w:t>
            </w:r>
          </w:p>
        </w:tc>
        <w:tc>
          <w:tcPr>
            <w:tcW w:w="7197" w:type="dxa"/>
            <w:noWrap w:val="0"/>
            <w:vAlign w:val="center"/>
          </w:tcPr>
          <w:p w14:paraId="2D08EE75">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评标委员会在评标过程中发现存在投标文件异常一致或投标活动异常关联等异常投标情形的，</w:t>
            </w:r>
            <w:r>
              <w:rPr>
                <w:rFonts w:hint="eastAsia" w:ascii="宋体" w:hAnsi="宋体" w:eastAsia="宋体" w:cs="宋体"/>
                <w:strike w:val="0"/>
                <w:dstrike w:val="0"/>
                <w:color w:val="auto"/>
                <w:sz w:val="24"/>
                <w:szCs w:val="24"/>
                <w:highlight w:val="none"/>
                <w:u w:val="none"/>
              </w:rPr>
              <w:t>应当要求投标人在规定时间内作出书面说明并提供相应的证明材料。投标人不能合理说明或者不能提供相应证明材料的，评标委员会应当认定投标人</w:t>
            </w:r>
            <w:r>
              <w:rPr>
                <w:rFonts w:hint="eastAsia" w:ascii="宋体" w:hAnsi="宋体" w:eastAsia="宋体" w:cs="宋体"/>
                <w:strike w:val="0"/>
                <w:dstrike w:val="0"/>
                <w:color w:val="auto"/>
                <w:sz w:val="24"/>
                <w:szCs w:val="24"/>
                <w:highlight w:val="none"/>
                <w:lang w:val="en-US" w:eastAsia="zh-CN"/>
              </w:rPr>
              <w:t>存在投标文件异常一致或投标活动异常关联等异常投标情形，</w:t>
            </w:r>
            <w:r>
              <w:rPr>
                <w:rFonts w:hint="eastAsia" w:ascii="宋体" w:hAnsi="宋体" w:cs="宋体"/>
                <w:strike w:val="0"/>
                <w:dstrike w:val="0"/>
                <w:color w:val="auto"/>
                <w:sz w:val="24"/>
                <w:szCs w:val="24"/>
                <w:highlight w:val="none"/>
                <w:lang w:val="en-US" w:eastAsia="zh-CN"/>
              </w:rPr>
              <w:t>并</w:t>
            </w:r>
            <w:r>
              <w:rPr>
                <w:rFonts w:hint="eastAsia" w:ascii="宋体" w:hAnsi="宋体" w:eastAsia="宋体" w:cs="宋体"/>
                <w:strike w:val="0"/>
                <w:dstrike w:val="0"/>
                <w:color w:val="auto"/>
                <w:sz w:val="24"/>
                <w:szCs w:val="24"/>
                <w:highlight w:val="none"/>
                <w:lang w:val="en-US" w:eastAsia="zh-CN"/>
              </w:rPr>
              <w:t>否决其投标。</w:t>
            </w:r>
          </w:p>
          <w:p w14:paraId="6C3352F4">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有下列情形之一的，属于投标文件异常一致或投标活动异常关联等异常投标情形：</w:t>
            </w:r>
          </w:p>
          <w:p w14:paraId="46FCBA9D">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（1）投标人投标文件制作机器码雷同；</w:t>
            </w:r>
          </w:p>
          <w:p w14:paraId="669CB213">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（2）投标文件创建标识码雷同；</w:t>
            </w:r>
          </w:p>
          <w:p w14:paraId="7764FE70">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（3）投标文件制作计算机MAC地址雷同；</w:t>
            </w:r>
          </w:p>
          <w:p w14:paraId="7D36871A">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（4）投标文件制作计算机硬盘序列号雷同；</w:t>
            </w:r>
          </w:p>
          <w:p w14:paraId="5C5E9A5B">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（5）招标文件下载IP地址雷同；</w:t>
            </w:r>
          </w:p>
          <w:p w14:paraId="73B3949F">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（6）投标文件上传IP地址雷同；</w:t>
            </w:r>
          </w:p>
          <w:p w14:paraId="2ED6368C">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（7）投标文件解密IP地址雷同。</w:t>
            </w:r>
          </w:p>
        </w:tc>
      </w:tr>
    </w:tbl>
    <w:p w14:paraId="196F5469">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2"/>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0CC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06DD6880">
            <w:pPr>
              <w:pStyle w:val="9"/>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67B67F27">
            <w:pPr>
              <w:pStyle w:val="9"/>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C4F5707">
            <w:pPr>
              <w:pStyle w:val="9"/>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3A651958">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14:paraId="450C3D2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165B730C">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1B6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71E4AC2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D664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3D5AB274">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c>
          <w:tcPr>
            <w:tcW w:w="2216" w:type="dxa"/>
            <w:vMerge w:val="restart"/>
            <w:noWrap w:val="0"/>
            <w:vAlign w:val="center"/>
          </w:tcPr>
          <w:p w14:paraId="40FB50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67A67C4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0分</w:t>
            </w:r>
          </w:p>
        </w:tc>
        <w:tc>
          <w:tcPr>
            <w:tcW w:w="4119" w:type="dxa"/>
            <w:noWrap w:val="0"/>
            <w:vAlign w:val="center"/>
          </w:tcPr>
          <w:p w14:paraId="1D44307F">
            <w:pPr>
              <w:ind w:right="11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满足资格审查条件(业绩最低要求)得1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tc>
      </w:tr>
      <w:tr w14:paraId="2960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7B3DD3DD">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636DA07C">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4B0156EE">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28059973">
            <w:pPr>
              <w:snapToGrid w:val="0"/>
              <w:spacing w:line="320" w:lineRule="exact"/>
              <w:rPr>
                <w:rFonts w:hint="eastAsia" w:ascii="宋体" w:hAnsi="宋体" w:cs="宋体"/>
                <w:color w:val="auto"/>
                <w:sz w:val="24"/>
                <w:szCs w:val="24"/>
                <w:highlight w:val="none"/>
              </w:rPr>
            </w:pPr>
          </w:p>
        </w:tc>
        <w:tc>
          <w:tcPr>
            <w:tcW w:w="4119" w:type="dxa"/>
            <w:noWrap w:val="0"/>
            <w:vAlign w:val="center"/>
          </w:tcPr>
          <w:p w14:paraId="24FEFE9D">
            <w:pPr>
              <w:snapToGrid w:val="0"/>
              <w:spacing w:line="32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每增加1项满足资格审查条件（业绩最低要求）的供货业绩加2分，最多加8分。</w:t>
            </w:r>
          </w:p>
        </w:tc>
      </w:tr>
      <w:tr w14:paraId="7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restart"/>
            <w:noWrap w:val="0"/>
            <w:vAlign w:val="center"/>
          </w:tcPr>
          <w:p w14:paraId="7C347ED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5B052F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24CD4470">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2F735311">
            <w:pPr>
              <w:pStyle w:val="2"/>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color w:val="auto"/>
                <w:highlight w:val="none"/>
                <w:lang w:eastAsia="zh-CN"/>
              </w:rPr>
              <w:t>0</w:t>
            </w:r>
            <w:r>
              <w:rPr>
                <w:rFonts w:hint="eastAsia"/>
                <w:color w:val="auto"/>
                <w:highlight w:val="none"/>
                <w:lang w:eastAsia="zh-CN"/>
              </w:rPr>
              <w:t>分）</w:t>
            </w:r>
          </w:p>
        </w:tc>
        <w:tc>
          <w:tcPr>
            <w:tcW w:w="2216" w:type="dxa"/>
            <w:noWrap w:val="0"/>
            <w:vAlign w:val="center"/>
          </w:tcPr>
          <w:p w14:paraId="191B6578">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投标设备整体评价</w:t>
            </w:r>
          </w:p>
        </w:tc>
        <w:tc>
          <w:tcPr>
            <w:tcW w:w="894" w:type="dxa"/>
            <w:noWrap w:val="0"/>
            <w:vAlign w:val="center"/>
          </w:tcPr>
          <w:p w14:paraId="75D63C5F">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119" w:type="dxa"/>
            <w:noWrap w:val="0"/>
            <w:vAlign w:val="center"/>
          </w:tcPr>
          <w:p w14:paraId="2490800A">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1.设备整体性能优越、功能齐全、完善，自动化水平高，完全满足招标文件要求，得</w:t>
            </w:r>
            <w:r>
              <w:rPr>
                <w:rFonts w:hint="eastAsia" w:ascii="宋体" w:hAnsi="宋体" w:cs="宋体"/>
                <w:color w:val="auto"/>
                <w:sz w:val="24"/>
                <w:szCs w:val="24"/>
                <w:highlight w:val="none"/>
                <w:lang w:val="en-US" w:eastAsia="zh-CN"/>
              </w:rPr>
              <w:t>16-20</w:t>
            </w:r>
            <w:r>
              <w:rPr>
                <w:rFonts w:hint="eastAsia" w:ascii="宋体" w:hAnsi="宋体" w:eastAsia="宋体" w:cs="宋体"/>
                <w:color w:val="auto"/>
                <w:sz w:val="24"/>
                <w:szCs w:val="24"/>
                <w:highlight w:val="none"/>
              </w:rPr>
              <w:t>分；</w:t>
            </w:r>
          </w:p>
          <w:p w14:paraId="468C9DC1">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2.设备整体性能较高、功能较齐全、较完善，自动化水平较高，满足招标文件要求，得</w:t>
            </w:r>
            <w:r>
              <w:rPr>
                <w:rFonts w:hint="eastAsia" w:ascii="宋体" w:hAnsi="宋体" w:cs="宋体"/>
                <w:color w:val="auto"/>
                <w:sz w:val="24"/>
                <w:szCs w:val="24"/>
                <w:highlight w:val="none"/>
                <w:lang w:val="en-US" w:eastAsia="zh-CN"/>
              </w:rPr>
              <w:t>12-16</w:t>
            </w:r>
            <w:r>
              <w:rPr>
                <w:rFonts w:hint="eastAsia" w:ascii="宋体" w:hAnsi="宋体" w:eastAsia="宋体" w:cs="宋体"/>
                <w:color w:val="auto"/>
                <w:sz w:val="24"/>
                <w:szCs w:val="24"/>
                <w:highlight w:val="none"/>
              </w:rPr>
              <w:t>分；</w:t>
            </w:r>
          </w:p>
          <w:p w14:paraId="76CB4AD5">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3.设备整体性能一般，功能一般，自动化水平一般，基本满足招标文件要求，得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B2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continue"/>
            <w:noWrap w:val="0"/>
            <w:vAlign w:val="center"/>
          </w:tcPr>
          <w:p w14:paraId="550FC127">
            <w:pPr>
              <w:jc w:val="center"/>
              <w:rPr>
                <w:rFonts w:hint="eastAsia" w:ascii="宋体" w:hAnsi="宋体" w:cs="宋体"/>
                <w:color w:val="auto"/>
                <w:kern w:val="0"/>
                <w:sz w:val="24"/>
                <w:szCs w:val="24"/>
                <w:highlight w:val="none"/>
              </w:rPr>
            </w:pPr>
          </w:p>
        </w:tc>
        <w:tc>
          <w:tcPr>
            <w:tcW w:w="1186" w:type="dxa"/>
            <w:vMerge w:val="continue"/>
            <w:noWrap w:val="0"/>
            <w:vAlign w:val="center"/>
          </w:tcPr>
          <w:p w14:paraId="144041B6">
            <w:pPr>
              <w:jc w:val="center"/>
              <w:rPr>
                <w:rFonts w:hint="eastAsia" w:ascii="宋体" w:hAnsi="宋体" w:cs="宋体"/>
                <w:color w:val="auto"/>
                <w:kern w:val="0"/>
                <w:sz w:val="24"/>
                <w:szCs w:val="24"/>
                <w:highlight w:val="none"/>
              </w:rPr>
            </w:pPr>
          </w:p>
        </w:tc>
        <w:tc>
          <w:tcPr>
            <w:tcW w:w="2216" w:type="dxa"/>
            <w:vMerge w:val="restart"/>
            <w:noWrap w:val="0"/>
            <w:vAlign w:val="center"/>
          </w:tcPr>
          <w:p w14:paraId="43A864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投标设备技术性能指标响应程度</w:t>
            </w:r>
          </w:p>
        </w:tc>
        <w:tc>
          <w:tcPr>
            <w:tcW w:w="894" w:type="dxa"/>
            <w:vMerge w:val="restart"/>
            <w:noWrap w:val="0"/>
            <w:vAlign w:val="center"/>
          </w:tcPr>
          <w:p w14:paraId="2E25541C">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top"/>
          </w:tcPr>
          <w:p w14:paraId="00F040F7">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1.投标产品选型合理，主要组成部件的技术性能参数及功能参数指标高，实用性强、产品设计科学合理、质量可靠，得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68CCC702">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2.投标产品选型较合理，主要组成部件的技术性能参数及功能参数指标较高，实用性较强、产品设计较合理、质量较可靠，得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4546223F">
            <w:pPr>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3.投标产品选型一般，主要组成部件的技术性能参数及功能参数指标一般，实用性一般、产品设计一般、质量一般，得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278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959" w:type="dxa"/>
            <w:vMerge w:val="continue"/>
            <w:noWrap w:val="0"/>
            <w:vAlign w:val="center"/>
          </w:tcPr>
          <w:p w14:paraId="789CF3C4">
            <w:pPr>
              <w:jc w:val="center"/>
              <w:rPr>
                <w:rFonts w:hint="eastAsia" w:ascii="宋体" w:hAnsi="宋体" w:cs="宋体"/>
                <w:color w:val="auto"/>
                <w:kern w:val="0"/>
                <w:sz w:val="24"/>
                <w:szCs w:val="24"/>
                <w:highlight w:val="none"/>
              </w:rPr>
            </w:pPr>
          </w:p>
        </w:tc>
        <w:tc>
          <w:tcPr>
            <w:tcW w:w="1186" w:type="dxa"/>
            <w:vMerge w:val="continue"/>
            <w:noWrap w:val="0"/>
            <w:vAlign w:val="center"/>
          </w:tcPr>
          <w:p w14:paraId="4BA45C7D">
            <w:pPr>
              <w:jc w:val="center"/>
              <w:rPr>
                <w:rFonts w:hint="eastAsia" w:ascii="宋体" w:hAnsi="宋体" w:cs="宋体"/>
                <w:color w:val="auto"/>
                <w:kern w:val="0"/>
                <w:sz w:val="24"/>
                <w:szCs w:val="24"/>
                <w:highlight w:val="none"/>
              </w:rPr>
            </w:pPr>
          </w:p>
        </w:tc>
        <w:tc>
          <w:tcPr>
            <w:tcW w:w="2216" w:type="dxa"/>
            <w:vMerge w:val="restart"/>
            <w:noWrap w:val="0"/>
            <w:vAlign w:val="center"/>
          </w:tcPr>
          <w:p w14:paraId="09840C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供货能力及进度保障（暗标）</w:t>
            </w:r>
          </w:p>
        </w:tc>
        <w:tc>
          <w:tcPr>
            <w:tcW w:w="894" w:type="dxa"/>
            <w:vMerge w:val="restart"/>
            <w:noWrap w:val="0"/>
            <w:vAlign w:val="center"/>
          </w:tcPr>
          <w:p w14:paraId="0018FC0E">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top"/>
          </w:tcPr>
          <w:p w14:paraId="158BD368">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1.投标人提供的供货方案切实可行、供货能力强、交货进度有保障、能够保质保量的完成供货，针对供货过程中的特殊情况有预案，得16-20分；</w:t>
            </w:r>
          </w:p>
          <w:p w14:paraId="613FC94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2.投标人提供的供货方案可行、供货能力较强、交货进度满足招标文件要求，得12-16分；</w:t>
            </w:r>
          </w:p>
          <w:p w14:paraId="730BA81E">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3.投标人提供的供货方案一般、供货能力一般、交货进度基本满足招标文件要求，得12分。</w:t>
            </w:r>
          </w:p>
        </w:tc>
      </w:tr>
      <w:tr w14:paraId="605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59" w:type="dxa"/>
            <w:vMerge w:val="continue"/>
            <w:noWrap w:val="0"/>
            <w:vAlign w:val="center"/>
          </w:tcPr>
          <w:p w14:paraId="16AF6A0F">
            <w:pPr>
              <w:jc w:val="center"/>
              <w:rPr>
                <w:rFonts w:hint="eastAsia" w:ascii="宋体" w:hAnsi="宋体" w:cs="宋体"/>
                <w:color w:val="auto"/>
                <w:kern w:val="0"/>
                <w:sz w:val="24"/>
                <w:szCs w:val="24"/>
                <w:highlight w:val="none"/>
              </w:rPr>
            </w:pPr>
          </w:p>
        </w:tc>
        <w:tc>
          <w:tcPr>
            <w:tcW w:w="1186" w:type="dxa"/>
            <w:vMerge w:val="continue"/>
            <w:noWrap w:val="0"/>
            <w:vAlign w:val="center"/>
          </w:tcPr>
          <w:p w14:paraId="25905584">
            <w:pPr>
              <w:jc w:val="center"/>
              <w:rPr>
                <w:rFonts w:hint="eastAsia" w:ascii="宋体" w:hAnsi="宋体" w:cs="宋体"/>
                <w:color w:val="auto"/>
                <w:kern w:val="0"/>
                <w:sz w:val="24"/>
                <w:szCs w:val="24"/>
                <w:highlight w:val="none"/>
              </w:rPr>
            </w:pPr>
          </w:p>
        </w:tc>
        <w:tc>
          <w:tcPr>
            <w:tcW w:w="2216" w:type="dxa"/>
            <w:noWrap w:val="0"/>
            <w:vAlign w:val="center"/>
          </w:tcPr>
          <w:p w14:paraId="1939BE8A">
            <w:pPr>
              <w:pStyle w:val="20"/>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技术服务及质保期服务</w:t>
            </w:r>
          </w:p>
          <w:p w14:paraId="2EDC6CC7">
            <w:pPr>
              <w:pStyle w:val="2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（暗标）</w:t>
            </w:r>
          </w:p>
        </w:tc>
        <w:tc>
          <w:tcPr>
            <w:tcW w:w="894" w:type="dxa"/>
            <w:noWrap w:val="0"/>
            <w:vAlign w:val="center"/>
          </w:tcPr>
          <w:p w14:paraId="7F2EA7E9">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center"/>
          </w:tcPr>
          <w:p w14:paraId="6B62CA0B">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服务方案切实可行，针对性强，</w:t>
            </w:r>
            <w:r>
              <w:rPr>
                <w:rFonts w:hint="eastAsia" w:ascii="宋体" w:hAnsi="宋体" w:eastAsia="宋体" w:cs="宋体"/>
                <w:color w:val="auto"/>
                <w:sz w:val="24"/>
                <w:szCs w:val="24"/>
                <w:highlight w:val="none"/>
              </w:rPr>
              <w:t>服务体系完善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7A90BDA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服务方案较切实可行，针对性较强，</w:t>
            </w:r>
            <w:r>
              <w:rPr>
                <w:rFonts w:hint="eastAsia" w:ascii="宋体" w:hAnsi="宋体" w:eastAsia="宋体" w:cs="宋体"/>
                <w:color w:val="auto"/>
                <w:sz w:val="24"/>
                <w:szCs w:val="24"/>
                <w:highlight w:val="none"/>
              </w:rPr>
              <w:t>服务体系较完善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p w14:paraId="3644ACBF">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服务方案基本可行，</w:t>
            </w:r>
            <w:r>
              <w:rPr>
                <w:rFonts w:hint="eastAsia" w:ascii="宋体" w:hAnsi="宋体" w:eastAsia="宋体" w:cs="宋体"/>
                <w:color w:val="auto"/>
                <w:sz w:val="24"/>
                <w:szCs w:val="24"/>
                <w:highlight w:val="none"/>
              </w:rPr>
              <w:t>服务体系基本完善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w:t>
            </w:r>
          </w:p>
        </w:tc>
      </w:tr>
      <w:tr w14:paraId="080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CACC85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5DCA60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50E61056">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tcBorders>
              <w:bottom w:val="single" w:color="auto" w:sz="4" w:space="0"/>
            </w:tcBorders>
            <w:noWrap w:val="0"/>
            <w:vAlign w:val="center"/>
          </w:tcPr>
          <w:p w14:paraId="720F304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4BFBD247">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46ED200A">
      <w:pPr>
        <w:pStyle w:val="9"/>
        <w:adjustRightInd w:val="0"/>
        <w:snapToGrid w:val="0"/>
        <w:spacing w:line="360" w:lineRule="auto"/>
        <w:jc w:val="left"/>
        <w:textAlignment w:val="baseline"/>
        <w:rPr>
          <w:rFonts w:hint="eastAsia" w:hAnsi="宋体" w:eastAsia="宋体"/>
          <w:snapToGrid w:val="0"/>
          <w:color w:val="auto"/>
          <w:kern w:val="0"/>
          <w:sz w:val="24"/>
          <w:szCs w:val="24"/>
          <w:highlight w:val="yellow"/>
          <w:lang w:eastAsia="zh-CN"/>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DF6A1FF">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第2.2.</w:t>
      </w:r>
      <w:r>
        <w:rPr>
          <w:rFonts w:hint="eastAsia" w:hAnsi="宋体"/>
          <w:snapToGrid w:val="0"/>
          <w:color w:val="auto"/>
          <w:kern w:val="0"/>
          <w:sz w:val="24"/>
          <w:szCs w:val="24"/>
          <w:highlight w:val="none"/>
          <w:lang w:val="en-US" w:eastAsia="zh-CN"/>
        </w:rPr>
        <w:t>1</w:t>
      </w:r>
      <w:r>
        <w:rPr>
          <w:rFonts w:hint="eastAsia" w:hAnsi="宋体"/>
          <w:snapToGrid w:val="0"/>
          <w:color w:val="auto"/>
          <w:kern w:val="0"/>
          <w:sz w:val="24"/>
          <w:szCs w:val="24"/>
          <w:highlight w:val="none"/>
        </w:rPr>
        <w:t>（</w:t>
      </w:r>
      <w:r>
        <w:rPr>
          <w:rFonts w:hint="eastAsia" w:hAnsi="宋体"/>
          <w:snapToGrid w:val="0"/>
          <w:color w:val="auto"/>
          <w:kern w:val="0"/>
          <w:sz w:val="24"/>
          <w:szCs w:val="24"/>
          <w:highlight w:val="none"/>
          <w:lang w:val="en-US" w:eastAsia="zh-CN"/>
        </w:rPr>
        <w:t>2</w:t>
      </w:r>
      <w:r>
        <w:rPr>
          <w:rFonts w:hint="eastAsia" w:hAnsi="宋体"/>
          <w:snapToGrid w:val="0"/>
          <w:color w:val="auto"/>
          <w:kern w:val="0"/>
          <w:sz w:val="24"/>
          <w:szCs w:val="24"/>
          <w:highlight w:val="none"/>
        </w:rPr>
        <w:t>）项评标委员会成员对某一项评分因素的评分低于权重分值 60%的，应在评标报告中作出说明。评审</w:t>
      </w:r>
      <w:r>
        <w:rPr>
          <w:rFonts w:hint="eastAsia" w:hAnsi="宋体"/>
          <w:snapToGrid w:val="0"/>
          <w:color w:val="auto"/>
          <w:kern w:val="0"/>
          <w:sz w:val="24"/>
          <w:szCs w:val="24"/>
          <w:highlight w:val="none"/>
          <w:lang w:val="en-US" w:eastAsia="zh-CN"/>
        </w:rPr>
        <w:t>因素细分项</w:t>
      </w:r>
      <w:r>
        <w:rPr>
          <w:rFonts w:hint="eastAsia" w:hAnsi="宋体"/>
          <w:snapToGrid w:val="0"/>
          <w:color w:val="auto"/>
          <w:kern w:val="0"/>
          <w:sz w:val="24"/>
          <w:szCs w:val="24"/>
          <w:highlight w:val="none"/>
        </w:rPr>
        <w:t>缺项则该项得0分。</w:t>
      </w:r>
    </w:p>
    <w:p w14:paraId="612620E6">
      <w:pPr>
        <w:rPr>
          <w:rFonts w:hint="eastAsia" w:ascii="宋体" w:hAnsi="宋体"/>
          <w:b/>
          <w:bCs/>
          <w:snapToGrid w:val="0"/>
          <w:color w:val="auto"/>
          <w:kern w:val="0"/>
          <w:sz w:val="24"/>
          <w:highlight w:val="none"/>
          <w:lang w:val="en-US" w:eastAsia="zh-CN"/>
        </w:rPr>
      </w:pPr>
      <w:r>
        <w:rPr>
          <w:rFonts w:hint="eastAsia" w:ascii="宋体" w:hAnsi="宋体"/>
          <w:b/>
          <w:bCs/>
          <w:snapToGrid w:val="0"/>
          <w:color w:val="auto"/>
          <w:kern w:val="0"/>
          <w:sz w:val="24"/>
          <w:highlight w:val="none"/>
          <w:lang w:val="en-US" w:eastAsia="zh-CN"/>
        </w:rPr>
        <w:br w:type="page"/>
      </w:r>
    </w:p>
    <w:p w14:paraId="5BC17DD1">
      <w:pPr>
        <w:pStyle w:val="4"/>
        <w:adjustRightInd w:val="0"/>
        <w:snapToGrid w:val="0"/>
        <w:spacing w:before="0" w:after="0"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、标段划分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3529"/>
        <w:gridCol w:w="1880"/>
        <w:gridCol w:w="1885"/>
      </w:tblGrid>
      <w:tr w14:paraId="28D3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Pr>
          <w:p w14:paraId="41714C07">
            <w:pPr>
              <w:pStyle w:val="4"/>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标段</w:t>
            </w:r>
          </w:p>
        </w:tc>
        <w:tc>
          <w:tcPr>
            <w:tcW w:w="3757" w:type="dxa"/>
          </w:tcPr>
          <w:p w14:paraId="2B28E626">
            <w:pPr>
              <w:pStyle w:val="4"/>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主要内容</w:t>
            </w:r>
          </w:p>
        </w:tc>
        <w:tc>
          <w:tcPr>
            <w:tcW w:w="1986" w:type="dxa"/>
          </w:tcPr>
          <w:p w14:paraId="3A0E569F">
            <w:pPr>
              <w:pStyle w:val="4"/>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设备名称</w:t>
            </w:r>
          </w:p>
        </w:tc>
        <w:tc>
          <w:tcPr>
            <w:tcW w:w="1986" w:type="dxa"/>
          </w:tcPr>
          <w:p w14:paraId="6D899B5F">
            <w:pPr>
              <w:pStyle w:val="4"/>
              <w:adjustRightInd w:val="0"/>
              <w:snapToGrid w:val="0"/>
              <w:spacing w:before="0" w:after="0" w:line="360" w:lineRule="auto"/>
              <w:jc w:val="center"/>
              <w:rPr>
                <w:rFonts w:hint="default" w:ascii="宋体" w:hAnsi="宋体"/>
                <w:b/>
                <w:bCs/>
                <w:strike/>
                <w:dstrike w:val="0"/>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数量</w:t>
            </w:r>
          </w:p>
        </w:tc>
      </w:tr>
      <w:tr w14:paraId="4C35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restart"/>
          </w:tcPr>
          <w:p w14:paraId="7B1C0E34">
            <w:pPr>
              <w:pStyle w:val="4"/>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四标段</w:t>
            </w:r>
          </w:p>
        </w:tc>
        <w:tc>
          <w:tcPr>
            <w:tcW w:w="3757" w:type="dxa"/>
            <w:vMerge w:val="restart"/>
          </w:tcPr>
          <w:p w14:paraId="3CE6E7C2">
            <w:pPr>
              <w:pStyle w:val="4"/>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电机智能传感器及蓝牙网关</w:t>
            </w:r>
          </w:p>
        </w:tc>
        <w:tc>
          <w:tcPr>
            <w:tcW w:w="1986" w:type="dxa"/>
          </w:tcPr>
          <w:p w14:paraId="599C9CF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电机智能传感器</w:t>
            </w:r>
          </w:p>
        </w:tc>
        <w:tc>
          <w:tcPr>
            <w:tcW w:w="1986" w:type="dxa"/>
          </w:tcPr>
          <w:p w14:paraId="135F0CC6">
            <w:pPr>
              <w:adjustRightInd w:val="0"/>
              <w:snapToGrid w:val="0"/>
              <w:spacing w:before="0" w:after="0" w:line="360" w:lineRule="auto"/>
              <w:jc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432</w:t>
            </w:r>
            <w:r>
              <w:rPr>
                <w:rFonts w:hint="eastAsia" w:ascii="Times New Roman" w:hAnsi="Times New Roman" w:eastAsia="宋体" w:cs="Times New Roman"/>
                <w:highlight w:val="none"/>
                <w:lang w:val="en-US" w:eastAsia="zh-CN"/>
              </w:rPr>
              <w:t>套</w:t>
            </w:r>
          </w:p>
        </w:tc>
      </w:tr>
      <w:tr w14:paraId="712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continue"/>
          </w:tcPr>
          <w:p w14:paraId="47B744E2">
            <w:pPr>
              <w:pStyle w:val="4"/>
              <w:adjustRightInd w:val="0"/>
              <w:snapToGrid w:val="0"/>
              <w:spacing w:before="0" w:after="0" w:line="360" w:lineRule="auto"/>
              <w:jc w:val="both"/>
            </w:pPr>
          </w:p>
        </w:tc>
        <w:tc>
          <w:tcPr>
            <w:tcW w:w="3757" w:type="dxa"/>
            <w:vMerge w:val="continue"/>
          </w:tcPr>
          <w:p w14:paraId="4DFEC8E5">
            <w:pPr>
              <w:pStyle w:val="4"/>
              <w:adjustRightInd w:val="0"/>
              <w:snapToGrid w:val="0"/>
              <w:spacing w:before="0" w:after="0" w:line="360" w:lineRule="auto"/>
              <w:jc w:val="both"/>
            </w:pPr>
          </w:p>
        </w:tc>
        <w:tc>
          <w:tcPr>
            <w:tcW w:w="1986" w:type="dxa"/>
          </w:tcPr>
          <w:p w14:paraId="7293A4F7">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蓝牙网关</w:t>
            </w:r>
          </w:p>
        </w:tc>
        <w:tc>
          <w:tcPr>
            <w:tcW w:w="1986" w:type="dxa"/>
          </w:tcPr>
          <w:p w14:paraId="2806F799">
            <w:pPr>
              <w:adjustRightInd w:val="0"/>
              <w:snapToGrid w:val="0"/>
              <w:spacing w:before="0" w:after="0" w:line="360" w:lineRule="auto"/>
              <w:jc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184</w:t>
            </w:r>
            <w:r>
              <w:rPr>
                <w:rFonts w:hint="eastAsia" w:ascii="Times New Roman" w:hAnsi="Times New Roman" w:eastAsia="宋体" w:cs="Times New Roman"/>
                <w:highlight w:val="none"/>
                <w:lang w:val="en-US" w:eastAsia="zh-CN"/>
              </w:rPr>
              <w:t>套</w:t>
            </w:r>
          </w:p>
        </w:tc>
      </w:tr>
    </w:tbl>
    <w:p w14:paraId="187D18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63572"/>
    <w:multiLevelType w:val="singleLevel"/>
    <w:tmpl w:val="56F63572"/>
    <w:lvl w:ilvl="0" w:tentative="0">
      <w:start w:val="1"/>
      <w:numFmt w:val="decimal"/>
      <w:suff w:val="nothing"/>
      <w:lvlText w:val="（%1）"/>
      <w:lvlJc w:val="left"/>
    </w:lvl>
  </w:abstractNum>
  <w:abstractNum w:abstractNumId="1">
    <w:nsid w:val="79EE45B9"/>
    <w:multiLevelType w:val="singleLevel"/>
    <w:tmpl w:val="79EE45B9"/>
    <w:lvl w:ilvl="0" w:tentative="0">
      <w:start w:val="1"/>
      <w:numFmt w:val="decimal"/>
      <w:pStyle w:val="10"/>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34FB3"/>
    <w:rsid w:val="0C634FB3"/>
    <w:rsid w:val="175F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9"/>
    <w:pPr>
      <w:keepNext/>
      <w:keepLines/>
      <w:spacing w:before="260" w:after="260" w:line="416" w:lineRule="auto"/>
      <w:jc w:val="center"/>
      <w:outlineLvl w:val="1"/>
    </w:pPr>
    <w:rPr>
      <w:rFonts w:ascii="Cambria" w:hAnsi="Cambria"/>
      <w:b/>
      <w:bCs/>
      <w:sz w:val="32"/>
      <w:szCs w:val="32"/>
    </w:rPr>
  </w:style>
  <w:style w:type="paragraph" w:styleId="5">
    <w:name w:val="heading 3"/>
    <w:basedOn w:val="1"/>
    <w:next w:val="1"/>
    <w:qFormat/>
    <w:uiPriority w:val="9"/>
    <w:pPr>
      <w:keepNext/>
      <w:keepLines/>
      <w:spacing w:before="50" w:beforeLines="50" w:line="415" w:lineRule="auto"/>
      <w:outlineLvl w:val="2"/>
    </w:pPr>
    <w:rPr>
      <w:b/>
      <w:bCs/>
      <w:sz w:val="32"/>
      <w:szCs w:val="32"/>
    </w:rPr>
  </w:style>
  <w:style w:type="paragraph" w:styleId="6">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100"/>
      <w:jc w:val="left"/>
    </w:pPr>
    <w:rPr>
      <w:rFonts w:ascii="宋体" w:hAnsi="宋体" w:cs="Times New Roman"/>
      <w:kern w:val="0"/>
      <w:szCs w:val="21"/>
      <w:lang w:eastAsia="en-US"/>
    </w:rPr>
  </w:style>
  <w:style w:type="paragraph" w:styleId="3">
    <w:name w:val="Body Text 2"/>
    <w:basedOn w:val="1"/>
    <w:qFormat/>
    <w:uiPriority w:val="99"/>
    <w:rPr>
      <w:rFonts w:ascii="宋体" w:hAnsi="宋体"/>
      <w:sz w:val="28"/>
    </w:rPr>
  </w:style>
  <w:style w:type="paragraph" w:styleId="7">
    <w:name w:val="toa heading"/>
    <w:basedOn w:val="1"/>
    <w:next w:val="1"/>
    <w:unhideWhenUsed/>
    <w:qFormat/>
    <w:uiPriority w:val="99"/>
    <w:pPr>
      <w:spacing w:before="120"/>
      <w:ind w:firstLine="560" w:firstLineChars="200"/>
    </w:pPr>
    <w:rPr>
      <w:rFonts w:ascii="Cambria" w:hAnsi="Cambria"/>
      <w:szCs w:val="24"/>
    </w:rPr>
  </w:style>
  <w:style w:type="paragraph" w:styleId="8">
    <w:name w:val="Body Text Indent"/>
    <w:basedOn w:val="1"/>
    <w:unhideWhenUsed/>
    <w:qFormat/>
    <w:uiPriority w:val="99"/>
    <w:pPr>
      <w:spacing w:after="120"/>
      <w:ind w:left="420" w:leftChars="200"/>
    </w:pPr>
  </w:style>
  <w:style w:type="paragraph" w:styleId="9">
    <w:name w:val="Plain Text"/>
    <w:basedOn w:val="1"/>
    <w:next w:val="10"/>
    <w:qFormat/>
    <w:uiPriority w:val="0"/>
    <w:rPr>
      <w:rFonts w:ascii="宋体" w:hAnsi="Courier New"/>
      <w:szCs w:val="20"/>
    </w:rPr>
  </w:style>
  <w:style w:type="paragraph" w:styleId="10">
    <w:name w:val="List Number 5"/>
    <w:basedOn w:val="1"/>
    <w:qFormat/>
    <w:uiPriority w:val="0"/>
    <w:pPr>
      <w:numPr>
        <w:ilvl w:val="0"/>
        <w:numId w:val="1"/>
      </w:numPr>
    </w:pPr>
  </w:style>
  <w:style w:type="paragraph" w:styleId="11">
    <w:name w:val="Body Text First Indent 2"/>
    <w:basedOn w:val="8"/>
    <w:unhideWhenUsed/>
    <w:qFormat/>
    <w:uiPriority w:val="99"/>
    <w:pPr>
      <w:tabs>
        <w:tab w:val="left" w:pos="5580"/>
      </w:tabs>
      <w:ind w:left="420" w:leftChars="200" w:firstLine="420"/>
    </w:pPr>
    <w:rPr>
      <w:rFonts w:ascii="Times New Roman" w:hAnsi="Times New Roman"/>
      <w:sz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1正文"/>
    <w:basedOn w:val="1"/>
    <w:autoRedefine/>
    <w:qFormat/>
    <w:uiPriority w:val="0"/>
    <w:pPr>
      <w:ind w:firstLine="480"/>
    </w:pPr>
    <w:rPr>
      <w:rFonts w:cs="宋体"/>
      <w:szCs w:val="24"/>
    </w:rPr>
  </w:style>
  <w:style w:type="paragraph" w:customStyle="1" w:styleId="16">
    <w:name w:val="大标题"/>
    <w:basedOn w:val="1"/>
    <w:next w:val="11"/>
    <w:autoRedefine/>
    <w:qFormat/>
    <w:uiPriority w:val="0"/>
    <w:pPr>
      <w:jc w:val="center"/>
    </w:pPr>
    <w:rPr>
      <w:rFonts w:ascii="Arial" w:hAnsi="Arial"/>
      <w:b/>
      <w:sz w:val="28"/>
    </w:rPr>
  </w:style>
  <w:style w:type="character" w:customStyle="1" w:styleId="17">
    <w:name w:val="NormalCharacter"/>
    <w:link w:val="18"/>
    <w:autoRedefine/>
    <w:qFormat/>
    <w:uiPriority w:val="0"/>
    <w:rPr>
      <w:kern w:val="0"/>
      <w:sz w:val="20"/>
      <w:szCs w:val="20"/>
    </w:rPr>
  </w:style>
  <w:style w:type="paragraph" w:customStyle="1" w:styleId="18">
    <w:name w:val="UserStyle_24"/>
    <w:basedOn w:val="1"/>
    <w:link w:val="17"/>
    <w:autoRedefine/>
    <w:qFormat/>
    <w:uiPriority w:val="0"/>
    <w:pPr>
      <w:widowControl/>
      <w:spacing w:line="360" w:lineRule="auto"/>
      <w:ind w:firstLine="200" w:firstLineChars="200"/>
      <w:jc w:val="left"/>
    </w:pPr>
    <w:rPr>
      <w:kern w:val="0"/>
      <w:sz w:val="20"/>
      <w:szCs w:val="20"/>
    </w:rPr>
  </w:style>
  <w:style w:type="paragraph" w:customStyle="1" w:styleId="19">
    <w:name w:val="UserStyle_340"/>
    <w:basedOn w:val="1"/>
    <w:autoRedefine/>
    <w:qFormat/>
    <w:uiPriority w:val="0"/>
    <w:pPr>
      <w:widowControl/>
      <w:spacing w:line="340" w:lineRule="exact"/>
      <w:jc w:val="center"/>
    </w:pPr>
    <w:rPr>
      <w:rFonts w:ascii="宋体" w:hAnsi="Calibri"/>
      <w:bCs/>
      <w:color w:val="000000"/>
      <w:kern w:val="0"/>
      <w:szCs w:val="21"/>
    </w:rPr>
  </w:style>
  <w:style w:type="paragraph" w:customStyle="1" w:styleId="20">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5575</Words>
  <Characters>6238</Characters>
  <Lines>0</Lines>
  <Paragraphs>0</Paragraphs>
  <TotalTime>0</TotalTime>
  <ScaleCrop>false</ScaleCrop>
  <LinksUpToDate>false</LinksUpToDate>
  <CharactersWithSpaces>6313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2026-07-22T03:04:00Z</dcterms:created>
  <dc:creator>鲁鹏</dc:creator>
  <cp:lastModifiedBy>冯士峰</cp:lastModifiedBy>
  <dcterms:modified xsi:type="dcterms:W3CDTF">2026-07-23T09:31:38Z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356128AEE9D8440FB62D61A64EC4E31E_11</vt:lpwstr>
  </property>
  <property fmtid="{D5CDD505-2E9C-101B-9397-08002B2CF9AE}" pid="4" name="KSOTemplateDocerSaveRecord">
    <vt:lpwstr>eyJoZGlkIjoiMjNhMGNiNzBmYzRmYmU1YWU1ZDVjYzI3MTI0YTIzZjQiLCJ1c2VySWQiOiIxNjg3ODQzOTczIn0=</vt:lpwstr>
  </property>
</Properties>
</file>