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6DF61">
      <w:pPr>
        <w:adjustRightInd w:val="0"/>
        <w:snapToGrid w:val="0"/>
        <w:spacing w:after="0" w:line="360" w:lineRule="auto"/>
        <w:rPr>
          <w:rFonts w:ascii="宋体" w:hAnsi="宋体" w:eastAsia="宋体" w:cs="Times New Roman"/>
          <w:b/>
          <w:sz w:val="28"/>
          <w:szCs w:val="28"/>
          <w14:ligatures w14:val="none"/>
        </w:rPr>
      </w:pPr>
      <w:bookmarkStart w:id="3" w:name="_GoBack"/>
      <w:bookmarkEnd w:id="3"/>
      <w:r>
        <w:rPr>
          <w:rFonts w:ascii="宋体" w:hAnsi="宋体" w:eastAsia="宋体" w:cs="Times New Roman"/>
          <w:b/>
          <w:sz w:val="24"/>
          <w14:ligatures w14:val="none"/>
        </w:rPr>
        <w:t>附件1：</w:t>
      </w:r>
      <w:r>
        <w:rPr>
          <w:rFonts w:ascii="宋体" w:hAnsi="宋体" w:eastAsia="宋体" w:cs="Times New Roman"/>
          <w:b/>
          <w:sz w:val="24"/>
          <w:szCs w:val="22"/>
          <w14:ligatures w14:val="none"/>
        </w:rPr>
        <w:t>资格审查条件</w:t>
      </w:r>
    </w:p>
    <w:p w14:paraId="6824433C">
      <w:pPr>
        <w:keepNext/>
        <w:keepLines/>
        <w:spacing w:before="260" w:after="260" w:line="300" w:lineRule="exact"/>
        <w:jc w:val="center"/>
        <w:outlineLvl w:val="2"/>
        <w:rPr>
          <w:rFonts w:ascii="宋体" w:hAnsi="宋体" w:eastAsia="宋体" w:cs="Times New Roman"/>
          <w:b/>
          <w:kern w:val="0"/>
          <w:sz w:val="24"/>
          <w14:ligatures w14:val="none"/>
        </w:rPr>
      </w:pPr>
      <w:r>
        <w:rPr>
          <w:rFonts w:ascii="宋体" w:hAnsi="宋体" w:eastAsia="宋体" w:cs="Times New Roman"/>
          <w:b/>
          <w:kern w:val="0"/>
          <w:sz w:val="24"/>
          <w14:ligatures w14:val="none"/>
        </w:rPr>
        <w:t>附录1 资格审查条件（资质最低要求）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61"/>
      </w:tblGrid>
      <w:tr w14:paraId="38CB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8861" w:type="dxa"/>
            <w:tcBorders>
              <w:top w:val="single" w:color="auto" w:sz="4" w:space="0"/>
              <w:left w:val="single" w:color="auto" w:sz="4" w:space="0"/>
              <w:bottom w:val="single" w:color="auto" w:sz="4" w:space="0"/>
              <w:right w:val="single" w:color="auto" w:sz="4" w:space="0"/>
            </w:tcBorders>
            <w:vAlign w:val="center"/>
          </w:tcPr>
          <w:p w14:paraId="52343B13">
            <w:pPr>
              <w:spacing w:before="100" w:beforeAutospacing="1" w:after="100" w:afterAutospacing="1" w:line="240" w:lineRule="auto"/>
              <w:jc w:val="center"/>
              <w:rPr>
                <w:rFonts w:ascii="宋体" w:hAnsi="宋体" w:eastAsia="宋体" w:cs="Times New Roman"/>
                <w:sz w:val="21"/>
                <w:szCs w:val="21"/>
                <w14:ligatures w14:val="none"/>
              </w:rPr>
            </w:pPr>
            <w:bookmarkStart w:id="0" w:name="OLE_LINK2"/>
            <w:bookmarkStart w:id="1" w:name="OLE_LINK9"/>
            <w:r>
              <w:rPr>
                <w:rFonts w:ascii="宋体" w:hAnsi="宋体" w:eastAsia="宋体" w:cs="Times New Roman"/>
                <w:sz w:val="21"/>
                <w:szCs w:val="21"/>
                <w14:ligatures w14:val="none"/>
              </w:rPr>
              <w:t>资质等级要求</w:t>
            </w:r>
          </w:p>
        </w:tc>
      </w:tr>
      <w:tr w14:paraId="6D76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atLeast"/>
          <w:jc w:val="center"/>
        </w:trPr>
        <w:tc>
          <w:tcPr>
            <w:tcW w:w="8861" w:type="dxa"/>
            <w:tcBorders>
              <w:top w:val="single" w:color="auto" w:sz="4" w:space="0"/>
              <w:left w:val="single" w:color="auto" w:sz="4" w:space="0"/>
              <w:bottom w:val="single" w:color="auto" w:sz="4" w:space="0"/>
              <w:right w:val="single" w:color="auto" w:sz="4" w:space="0"/>
            </w:tcBorders>
            <w:vAlign w:val="center"/>
          </w:tcPr>
          <w:p w14:paraId="63812BB4">
            <w:pPr>
              <w:spacing w:after="0" w:line="288" w:lineRule="auto"/>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具备独立企业法人资格，具有有效的营业执照，具有公安部第三研究所认证发放的《网络安全等级测评与检测评估机构服务认证证书》或《网络安全服务认证证书等级保护测评服务认证》。 </w:t>
            </w:r>
          </w:p>
        </w:tc>
      </w:tr>
    </w:tbl>
    <w:p w14:paraId="75DD9E06">
      <w:pPr>
        <w:spacing w:after="0" w:line="240" w:lineRule="auto"/>
        <w:jc w:val="center"/>
        <w:rPr>
          <w:rFonts w:ascii="宋体" w:hAnsi="宋体" w:eastAsia="宋体" w:cs="Times New Roman"/>
          <w:b/>
          <w:sz w:val="28"/>
          <w:szCs w:val="22"/>
          <w14:ligatures w14:val="none"/>
        </w:rPr>
      </w:pPr>
    </w:p>
    <w:p w14:paraId="52043873">
      <w:pPr>
        <w:keepNext/>
        <w:keepLines/>
        <w:spacing w:before="260" w:after="260" w:line="300" w:lineRule="exact"/>
        <w:jc w:val="center"/>
        <w:outlineLvl w:val="2"/>
        <w:rPr>
          <w:rFonts w:ascii="宋体" w:hAnsi="宋体" w:eastAsia="宋体" w:cs="Times New Roman"/>
          <w:b/>
          <w:kern w:val="0"/>
          <w:sz w:val="24"/>
          <w14:ligatures w14:val="none"/>
        </w:rPr>
      </w:pPr>
      <w:r>
        <w:rPr>
          <w:rFonts w:ascii="宋体" w:hAnsi="宋体" w:eastAsia="宋体" w:cs="Times New Roman"/>
          <w:b/>
          <w:kern w:val="0"/>
          <w:sz w:val="24"/>
          <w14:ligatures w14:val="none"/>
        </w:rPr>
        <w:t>附录2 资格审查条件(业绩最低要求)</w:t>
      </w:r>
    </w:p>
    <w:tbl>
      <w:tblPr>
        <w:tblStyle w:val="16"/>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4"/>
      </w:tblGrid>
      <w:tr w14:paraId="398F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904" w:type="dxa"/>
            <w:tcBorders>
              <w:top w:val="single" w:color="auto" w:sz="4" w:space="0"/>
              <w:left w:val="single" w:color="auto" w:sz="4" w:space="0"/>
              <w:bottom w:val="single" w:color="auto" w:sz="4" w:space="0"/>
              <w:right w:val="single" w:color="auto" w:sz="4" w:space="0"/>
            </w:tcBorders>
            <w:vAlign w:val="center"/>
          </w:tcPr>
          <w:p w14:paraId="06F67FC1">
            <w:pPr>
              <w:spacing w:after="0" w:line="280" w:lineRule="exact"/>
              <w:jc w:val="center"/>
              <w:rPr>
                <w:rFonts w:ascii="宋体" w:hAnsi="宋体" w:eastAsia="宋体" w:cs="Times New Roman"/>
                <w:sz w:val="21"/>
                <w:szCs w:val="22"/>
                <w14:ligatures w14:val="none"/>
              </w:rPr>
            </w:pPr>
            <w:r>
              <w:rPr>
                <w:rFonts w:ascii="宋体" w:hAnsi="宋体" w:eastAsia="宋体" w:cs="Times New Roman"/>
                <w:sz w:val="21"/>
                <w:szCs w:val="22"/>
                <w14:ligatures w14:val="none"/>
              </w:rPr>
              <w:t>业绩要求</w:t>
            </w:r>
          </w:p>
        </w:tc>
      </w:tr>
      <w:tr w14:paraId="5DFE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904" w:type="dxa"/>
            <w:tcBorders>
              <w:top w:val="single" w:color="auto" w:sz="4" w:space="0"/>
              <w:left w:val="single" w:color="auto" w:sz="4" w:space="0"/>
              <w:bottom w:val="single" w:color="auto" w:sz="4" w:space="0"/>
              <w:right w:val="single" w:color="auto" w:sz="4" w:space="0"/>
            </w:tcBorders>
            <w:vAlign w:val="center"/>
          </w:tcPr>
          <w:p w14:paraId="59B05D78">
            <w:pPr>
              <w:adjustRightInd w:val="0"/>
              <w:snapToGrid w:val="0"/>
              <w:spacing w:after="0" w:line="360" w:lineRule="auto"/>
              <w:ind w:firstLine="420" w:firstLineChars="200"/>
              <w:jc w:val="both"/>
              <w:rPr>
                <w:rFonts w:ascii="宋体" w:hAnsi="宋体" w:eastAsia="宋体" w:cs="Times New Roman"/>
                <w:b/>
                <w:bCs/>
                <w:sz w:val="21"/>
                <w:szCs w:val="21"/>
                <w14:ligatures w14:val="none"/>
              </w:rPr>
            </w:pPr>
            <w:r>
              <w:rPr>
                <w:rFonts w:ascii="宋体" w:hAnsi="宋体" w:eastAsia="宋体" w:cs="Times New Roman"/>
                <w:sz w:val="21"/>
                <w:szCs w:val="21"/>
                <w14:ligatures w14:val="none"/>
              </w:rPr>
              <w:t>近3年内（2023年7月1日至今，以合同签订时间为准）），至少承担过1项网络安全等保测评服务项目。</w:t>
            </w:r>
          </w:p>
        </w:tc>
      </w:tr>
    </w:tbl>
    <w:p w14:paraId="0C69F5FE">
      <w:pPr>
        <w:spacing w:after="0" w:line="240" w:lineRule="auto"/>
        <w:jc w:val="center"/>
        <w:rPr>
          <w:rFonts w:ascii="宋体" w:hAnsi="宋体" w:eastAsia="宋体" w:cs="Times New Roman"/>
          <w:b/>
          <w:sz w:val="24"/>
          <w:szCs w:val="22"/>
          <w14:ligatures w14:val="none"/>
        </w:rPr>
      </w:pPr>
    </w:p>
    <w:p w14:paraId="580EB7A3">
      <w:pPr>
        <w:spacing w:after="0" w:line="240" w:lineRule="auto"/>
        <w:jc w:val="center"/>
        <w:rPr>
          <w:rFonts w:ascii="宋体" w:hAnsi="宋体" w:eastAsia="宋体" w:cs="Times New Roman"/>
          <w:b/>
          <w:sz w:val="24"/>
          <w:szCs w:val="22"/>
          <w14:ligatures w14:val="none"/>
        </w:rPr>
      </w:pPr>
    </w:p>
    <w:p w14:paraId="47A7C20E">
      <w:pPr>
        <w:keepNext/>
        <w:keepLines/>
        <w:spacing w:before="120" w:after="260" w:line="300" w:lineRule="exact"/>
        <w:jc w:val="center"/>
        <w:outlineLvl w:val="2"/>
        <w:rPr>
          <w:rFonts w:ascii="宋体" w:hAnsi="宋体" w:eastAsia="宋体" w:cs="Times New Roman"/>
          <w:b/>
          <w:kern w:val="0"/>
          <w:sz w:val="24"/>
          <w14:ligatures w14:val="none"/>
        </w:rPr>
      </w:pPr>
      <w:r>
        <w:rPr>
          <w:rFonts w:ascii="宋体" w:hAnsi="宋体" w:eastAsia="宋体" w:cs="Times New Roman"/>
          <w:b/>
          <w:kern w:val="0"/>
          <w:sz w:val="24"/>
          <w14:ligatures w14:val="none"/>
        </w:rPr>
        <w:t xml:space="preserve">附录3 资格审查条件（信誉最低要求）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49"/>
      </w:tblGrid>
      <w:tr w14:paraId="0142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jc w:val="center"/>
        </w:trPr>
        <w:tc>
          <w:tcPr>
            <w:tcW w:w="9049" w:type="dxa"/>
            <w:tcBorders>
              <w:top w:val="single" w:color="auto" w:sz="4" w:space="0"/>
              <w:left w:val="single" w:color="auto" w:sz="4" w:space="0"/>
              <w:bottom w:val="single" w:color="auto" w:sz="4" w:space="0"/>
              <w:right w:val="single" w:color="auto" w:sz="4" w:space="0"/>
            </w:tcBorders>
            <w:vAlign w:val="center"/>
          </w:tcPr>
          <w:p w14:paraId="09CC64C3">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信誉要求 </w:t>
            </w:r>
          </w:p>
        </w:tc>
      </w:tr>
      <w:tr w14:paraId="381D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9049" w:type="dxa"/>
            <w:tcBorders>
              <w:top w:val="single" w:color="auto" w:sz="4" w:space="0"/>
              <w:left w:val="single" w:color="auto" w:sz="4" w:space="0"/>
              <w:bottom w:val="single" w:color="auto" w:sz="4" w:space="0"/>
              <w:right w:val="single" w:color="auto" w:sz="4" w:space="0"/>
            </w:tcBorders>
            <w:vAlign w:val="center"/>
          </w:tcPr>
          <w:p w14:paraId="6598F5DF">
            <w:pPr>
              <w:spacing w:after="0" w:line="288" w:lineRule="auto"/>
              <w:ind w:firstLine="420" w:firstLineChars="200"/>
              <w:jc w:val="both"/>
              <w:rPr>
                <w:rFonts w:ascii="宋体" w:hAnsi="宋体" w:eastAsia="宋体" w:cs="Times New Roman"/>
                <w:sz w:val="21"/>
                <w:szCs w:val="22"/>
                <w14:ligatures w14:val="none"/>
              </w:rPr>
            </w:pPr>
            <w:r>
              <w:rPr>
                <w:rFonts w:ascii="宋体" w:hAnsi="宋体" w:eastAsia="宋体" w:cs="Times New Roman"/>
                <w:sz w:val="21"/>
                <w:szCs w:val="22"/>
                <w14:ligatures w14:val="none"/>
              </w:rPr>
              <w:t>投标人在近1年内(2025年7月1日至今)</w:t>
            </w:r>
            <w:r>
              <w:rPr>
                <w:rFonts w:ascii="宋体" w:hAnsi="宋体" w:eastAsia="宋体" w:cs="Times New Roman"/>
                <w:sz w:val="21"/>
                <w:szCs w:val="21"/>
                <w14:ligatures w14:val="none"/>
              </w:rPr>
              <w:t>不曾在</w:t>
            </w:r>
            <w:r>
              <w:rPr>
                <w:rFonts w:ascii="宋体" w:hAnsi="Times New Roman" w:eastAsia="宋体" w:cs="宋体"/>
                <w:kern w:val="0"/>
                <w:sz w:val="21"/>
                <w:szCs w:val="21"/>
                <w14:ligatures w14:val="none"/>
              </w:rPr>
              <w:t>网络安全等保测评服务</w:t>
            </w:r>
            <w:r>
              <w:rPr>
                <w:rFonts w:ascii="宋体" w:hAnsi="宋体" w:eastAsia="宋体" w:cs="Times New Roman"/>
                <w:sz w:val="21"/>
                <w:szCs w:val="21"/>
                <w14:ligatures w14:val="none"/>
              </w:rPr>
              <w:t>合同中违约而被驱逐或因投标人自身的原因而使</w:t>
            </w:r>
            <w:r>
              <w:rPr>
                <w:rFonts w:ascii="宋体" w:hAnsi="Times New Roman" w:eastAsia="宋体" w:cs="宋体"/>
                <w:kern w:val="0"/>
                <w:sz w:val="21"/>
                <w:szCs w:val="21"/>
                <w14:ligatures w14:val="none"/>
              </w:rPr>
              <w:t>网络安全等保测评服务</w:t>
            </w:r>
            <w:r>
              <w:rPr>
                <w:rFonts w:ascii="宋体" w:hAnsi="宋体" w:eastAsia="宋体" w:cs="Times New Roman"/>
                <w:sz w:val="21"/>
                <w:szCs w:val="21"/>
                <w14:ligatures w14:val="none"/>
              </w:rPr>
              <w:t>合同被解除。</w:t>
            </w:r>
          </w:p>
        </w:tc>
      </w:tr>
    </w:tbl>
    <w:p w14:paraId="59B0EF6E">
      <w:pPr>
        <w:spacing w:after="0" w:line="360" w:lineRule="exact"/>
        <w:rPr>
          <w:rFonts w:ascii="宋体" w:hAnsi="宋体" w:eastAsia="宋体" w:cs="Times New Roman"/>
          <w:b/>
          <w:sz w:val="24"/>
          <w:szCs w:val="22"/>
          <w14:ligatures w14:val="none"/>
        </w:rPr>
      </w:pPr>
    </w:p>
    <w:bookmarkEnd w:id="0"/>
    <w:p w14:paraId="73DE27D3">
      <w:pPr>
        <w:keepNext/>
        <w:keepLines/>
        <w:spacing w:before="120" w:after="260" w:line="300" w:lineRule="exact"/>
        <w:jc w:val="center"/>
        <w:outlineLvl w:val="2"/>
        <w:rPr>
          <w:rFonts w:ascii="宋体" w:hAnsi="宋体" w:eastAsia="宋体" w:cs="Times New Roman"/>
          <w:b/>
          <w:kern w:val="0"/>
          <w:sz w:val="24"/>
          <w14:ligatures w14:val="none"/>
        </w:rPr>
      </w:pPr>
      <w:r>
        <w:rPr>
          <w:rFonts w:ascii="宋体" w:hAnsi="宋体" w:eastAsia="宋体" w:cs="Times New Roman"/>
          <w:b/>
          <w:kern w:val="0"/>
          <w:sz w:val="24"/>
          <w14:ligatures w14:val="none"/>
        </w:rPr>
        <w:t xml:space="preserve">附录4 资格审查条件（项目负责人最低要求） </w:t>
      </w:r>
    </w:p>
    <w:tbl>
      <w:tblPr>
        <w:tblStyle w:val="16"/>
        <w:tblW w:w="8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8"/>
        <w:gridCol w:w="1418"/>
        <w:gridCol w:w="6326"/>
      </w:tblGrid>
      <w:tr w14:paraId="6B59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jc w:val="center"/>
        </w:trPr>
        <w:tc>
          <w:tcPr>
            <w:tcW w:w="1238" w:type="dxa"/>
            <w:tcBorders>
              <w:top w:val="single" w:color="auto" w:sz="4" w:space="0"/>
              <w:left w:val="single" w:color="auto" w:sz="4" w:space="0"/>
              <w:bottom w:val="single" w:color="auto" w:sz="4" w:space="0"/>
              <w:right w:val="single" w:color="auto" w:sz="4" w:space="0"/>
            </w:tcBorders>
            <w:vAlign w:val="center"/>
          </w:tcPr>
          <w:p w14:paraId="2CAAB3D4">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人员</w:t>
            </w:r>
          </w:p>
        </w:tc>
        <w:tc>
          <w:tcPr>
            <w:tcW w:w="1418" w:type="dxa"/>
            <w:tcBorders>
              <w:top w:val="single" w:color="auto" w:sz="4" w:space="0"/>
              <w:left w:val="single" w:color="auto" w:sz="4" w:space="0"/>
              <w:bottom w:val="single" w:color="auto" w:sz="4" w:space="0"/>
              <w:right w:val="single" w:color="auto" w:sz="4" w:space="0"/>
            </w:tcBorders>
            <w:vAlign w:val="center"/>
          </w:tcPr>
          <w:p w14:paraId="2BC18E54">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数量</w:t>
            </w:r>
          </w:p>
        </w:tc>
        <w:tc>
          <w:tcPr>
            <w:tcW w:w="6326" w:type="dxa"/>
            <w:tcBorders>
              <w:top w:val="single" w:color="auto" w:sz="4" w:space="0"/>
              <w:left w:val="single" w:color="auto" w:sz="4" w:space="0"/>
              <w:bottom w:val="single" w:color="auto" w:sz="4" w:space="0"/>
              <w:right w:val="single" w:color="auto" w:sz="4" w:space="0"/>
            </w:tcBorders>
            <w:vAlign w:val="center"/>
          </w:tcPr>
          <w:p w14:paraId="3B7DFCD7">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Times New Roman" w:eastAsia="宋体" w:cs="宋体"/>
                <w:kern w:val="0"/>
                <w:sz w:val="21"/>
                <w:szCs w:val="21"/>
                <w14:ligatures w14:val="none"/>
              </w:rPr>
              <w:t>资格要求</w:t>
            </w:r>
            <w:r>
              <w:rPr>
                <w:rFonts w:ascii="宋体" w:hAnsi="宋体" w:eastAsia="宋体" w:cs="Times New Roman"/>
                <w:sz w:val="21"/>
                <w:szCs w:val="21"/>
                <w14:ligatures w14:val="none"/>
              </w:rPr>
              <w:t xml:space="preserve"> </w:t>
            </w:r>
          </w:p>
        </w:tc>
      </w:tr>
      <w:tr w14:paraId="28DF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1238" w:type="dxa"/>
            <w:tcBorders>
              <w:top w:val="single" w:color="auto" w:sz="4" w:space="0"/>
              <w:left w:val="single" w:color="auto" w:sz="4" w:space="0"/>
              <w:bottom w:val="single" w:color="auto" w:sz="4" w:space="0"/>
              <w:right w:val="single" w:color="auto" w:sz="4" w:space="0"/>
            </w:tcBorders>
            <w:vAlign w:val="center"/>
          </w:tcPr>
          <w:p w14:paraId="666F3135">
            <w:pPr>
              <w:spacing w:after="0" w:line="288" w:lineRule="auto"/>
              <w:jc w:val="center"/>
              <w:rPr>
                <w:rFonts w:ascii="宋体" w:hAnsi="宋体" w:eastAsia="宋体" w:cs="Times New Roman"/>
                <w:sz w:val="21"/>
                <w:szCs w:val="22"/>
                <w14:ligatures w14:val="none"/>
              </w:rPr>
            </w:pPr>
            <w:r>
              <w:rPr>
                <w:rFonts w:ascii="宋体" w:hAnsi="宋体" w:eastAsia="宋体" w:cs="Times New Roman"/>
                <w:sz w:val="21"/>
                <w:szCs w:val="22"/>
                <w14:ligatures w14:val="none"/>
              </w:rPr>
              <w:t>项目负责人</w:t>
            </w:r>
          </w:p>
        </w:tc>
        <w:tc>
          <w:tcPr>
            <w:tcW w:w="1418" w:type="dxa"/>
            <w:tcBorders>
              <w:top w:val="single" w:color="auto" w:sz="4" w:space="0"/>
              <w:left w:val="single" w:color="auto" w:sz="4" w:space="0"/>
              <w:bottom w:val="single" w:color="auto" w:sz="4" w:space="0"/>
              <w:right w:val="single" w:color="auto" w:sz="4" w:space="0"/>
            </w:tcBorders>
            <w:vAlign w:val="center"/>
          </w:tcPr>
          <w:p w14:paraId="52BFA9C6">
            <w:pPr>
              <w:spacing w:after="0" w:line="288" w:lineRule="auto"/>
              <w:jc w:val="center"/>
              <w:rPr>
                <w:rFonts w:ascii="宋体" w:hAnsi="宋体" w:eastAsia="宋体" w:cs="Times New Roman"/>
                <w:sz w:val="21"/>
                <w:szCs w:val="22"/>
                <w14:ligatures w14:val="none"/>
              </w:rPr>
            </w:pPr>
            <w:r>
              <w:rPr>
                <w:rFonts w:ascii="宋体" w:hAnsi="宋体" w:eastAsia="宋体" w:cs="Times New Roman"/>
                <w:sz w:val="21"/>
                <w:szCs w:val="22"/>
                <w14:ligatures w14:val="none"/>
              </w:rPr>
              <w:t>1</w:t>
            </w:r>
          </w:p>
        </w:tc>
        <w:tc>
          <w:tcPr>
            <w:tcW w:w="6326" w:type="dxa"/>
            <w:tcBorders>
              <w:top w:val="single" w:color="auto" w:sz="4" w:space="0"/>
              <w:left w:val="single" w:color="auto" w:sz="4" w:space="0"/>
              <w:bottom w:val="single" w:color="auto" w:sz="4" w:space="0"/>
              <w:right w:val="single" w:color="auto" w:sz="4" w:space="0"/>
            </w:tcBorders>
            <w:vAlign w:val="center"/>
          </w:tcPr>
          <w:p w14:paraId="1DE103DF">
            <w:pPr>
              <w:spacing w:after="0" w:line="288" w:lineRule="auto"/>
              <w:ind w:firstLine="420" w:firstLineChars="200"/>
              <w:jc w:val="both"/>
              <w:rPr>
                <w:rFonts w:ascii="宋体" w:hAnsi="宋体" w:eastAsia="宋体" w:cs="Times New Roman"/>
                <w:sz w:val="21"/>
                <w:szCs w:val="22"/>
                <w14:ligatures w14:val="none"/>
              </w:rPr>
            </w:pPr>
            <w:r>
              <w:rPr>
                <w:rFonts w:ascii="宋体" w:hAnsi="宋体" w:eastAsia="宋体" w:cs="Times New Roman"/>
                <w:sz w:val="21"/>
                <w:szCs w:val="22"/>
                <w14:ligatures w14:val="none"/>
              </w:rPr>
              <w:t>具有网络安全等级测评师高级证书。</w:t>
            </w:r>
          </w:p>
          <w:p w14:paraId="5C5E4DEA">
            <w:pPr>
              <w:spacing w:after="0" w:line="288" w:lineRule="auto"/>
              <w:ind w:firstLine="420" w:firstLineChars="200"/>
              <w:jc w:val="both"/>
              <w:rPr>
                <w:rFonts w:ascii="宋体" w:hAnsi="宋体" w:eastAsia="宋体" w:cs="Times New Roman"/>
                <w:sz w:val="21"/>
                <w:szCs w:val="22"/>
                <w14:ligatures w14:val="none"/>
              </w:rPr>
            </w:pPr>
            <w:r>
              <w:rPr>
                <w:rFonts w:ascii="宋体" w:hAnsi="宋体" w:eastAsia="宋体" w:cs="Times New Roman"/>
                <w:sz w:val="21"/>
                <w:szCs w:val="22"/>
                <w14:ligatures w14:val="none"/>
              </w:rPr>
              <w:t>近3年（2023年7月1日至今，以合同签订时间为准）至少担任过1项网络安全等保测评服务的项目负责人或技术负责人。</w:t>
            </w:r>
          </w:p>
        </w:tc>
      </w:tr>
      <w:bookmarkEnd w:id="1"/>
    </w:tbl>
    <w:p w14:paraId="3037AD60">
      <w:pPr>
        <w:spacing w:after="0" w:line="360" w:lineRule="exact"/>
        <w:rPr>
          <w:rFonts w:ascii="宋体" w:hAnsi="宋体" w:eastAsia="宋体" w:cs="Times New Roman"/>
          <w:b/>
          <w:sz w:val="24"/>
          <w:szCs w:val="22"/>
          <w14:ligatures w14:val="none"/>
        </w:rPr>
      </w:pPr>
    </w:p>
    <w:p w14:paraId="63031124">
      <w:pPr>
        <w:adjustRightInd w:val="0"/>
        <w:spacing w:after="0" w:line="400" w:lineRule="atLeast"/>
        <w:ind w:firstLine="367" w:firstLineChars="175"/>
        <w:jc w:val="both"/>
        <w:rPr>
          <w:rFonts w:ascii="宋体" w:hAnsi="宋体" w:eastAsia="宋体" w:cs="Times New Roman"/>
          <w:sz w:val="24"/>
          <w14:ligatures w14:val="none"/>
        </w:rPr>
      </w:pPr>
      <w:r>
        <w:rPr>
          <w:rFonts w:ascii="宋体" w:hAnsi="宋体" w:eastAsia="宋体" w:cs="Times New Roman"/>
          <w:sz w:val="21"/>
          <w:szCs w:val="22"/>
          <w14:ligatures w14:val="none"/>
        </w:rPr>
        <w:br w:type="page"/>
      </w:r>
      <w:r>
        <w:rPr>
          <w:rFonts w:ascii="宋体" w:hAnsi="宋体" w:eastAsia="宋体" w:cs="Times New Roman"/>
          <w:sz w:val="24"/>
          <w14:ligatures w14:val="none"/>
        </w:rPr>
        <w:t>附件2：评标办法</w:t>
      </w:r>
    </w:p>
    <w:p w14:paraId="07B5870C">
      <w:pPr>
        <w:spacing w:after="0" w:line="240" w:lineRule="auto"/>
        <w:jc w:val="both"/>
        <w:rPr>
          <w:rFonts w:ascii="宋体" w:hAnsi="宋体" w:eastAsia="宋体" w:cs="Times New Roman"/>
          <w:bCs/>
          <w:kern w:val="0"/>
          <w:sz w:val="30"/>
          <w:szCs w:val="30"/>
          <w14:ligatures w14:val="none"/>
        </w:rPr>
      </w:pPr>
      <w:r>
        <w:rPr>
          <w:rFonts w:ascii="宋体" w:hAnsi="宋体" w:eastAsia="宋体" w:cs="Times New Roman"/>
          <w:sz w:val="21"/>
          <w:szCs w:val="22"/>
          <w14:ligatures w14:val="none"/>
        </w:rPr>
        <w:t>评标办法前附表</w:t>
      </w:r>
      <w:r>
        <w:rPr>
          <w:rFonts w:ascii="宋体" w:hAnsi="宋体" w:eastAsia="宋体" w:cs="Times New Roman"/>
          <w:sz w:val="21"/>
          <w:szCs w:val="21"/>
          <w14:ligatures w14:val="none"/>
        </w:rPr>
        <w:t xml:space="preserve"> </w:t>
      </w:r>
    </w:p>
    <w:tbl>
      <w:tblPr>
        <w:tblStyle w:val="16"/>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6"/>
        <w:gridCol w:w="989"/>
        <w:gridCol w:w="7775"/>
      </w:tblGrid>
      <w:tr w14:paraId="442D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tblHeader/>
          <w:jc w:val="center"/>
        </w:trPr>
        <w:tc>
          <w:tcPr>
            <w:tcW w:w="836" w:type="dxa"/>
            <w:tcBorders>
              <w:top w:val="single" w:color="auto" w:sz="4" w:space="0"/>
              <w:left w:val="single" w:color="auto" w:sz="4" w:space="0"/>
              <w:bottom w:val="single" w:color="auto" w:sz="4" w:space="0"/>
              <w:right w:val="single" w:color="auto" w:sz="4" w:space="0"/>
            </w:tcBorders>
            <w:vAlign w:val="center"/>
          </w:tcPr>
          <w:p w14:paraId="5A0A793A">
            <w:pPr>
              <w:spacing w:before="100" w:beforeAutospacing="1" w:after="100" w:afterAutospacing="1" w:line="240" w:lineRule="auto"/>
              <w:jc w:val="center"/>
              <w:rPr>
                <w:rFonts w:ascii="宋体" w:hAnsi="宋体" w:eastAsia="宋体" w:cs="Times New Roman"/>
                <w:sz w:val="21"/>
                <w:szCs w:val="21"/>
                <w14:ligatures w14:val="none"/>
              </w:rPr>
            </w:pPr>
            <w:bookmarkStart w:id="2" w:name="OLE_LINK3"/>
            <w:r>
              <w:rPr>
                <w:rFonts w:ascii="宋体" w:hAnsi="宋体" w:eastAsia="宋体" w:cs="Times New Roman"/>
                <w:sz w:val="21"/>
                <w:szCs w:val="21"/>
                <w14:ligatures w14:val="none"/>
              </w:rPr>
              <w:t xml:space="preserve">条款号 </w:t>
            </w:r>
          </w:p>
        </w:tc>
        <w:tc>
          <w:tcPr>
            <w:tcW w:w="989" w:type="dxa"/>
            <w:tcBorders>
              <w:top w:val="single" w:color="auto" w:sz="4" w:space="0"/>
              <w:left w:val="single" w:color="auto" w:sz="4" w:space="0"/>
              <w:bottom w:val="single" w:color="auto" w:sz="4" w:space="0"/>
              <w:right w:val="single" w:color="auto" w:sz="4" w:space="0"/>
            </w:tcBorders>
            <w:vAlign w:val="center"/>
          </w:tcPr>
          <w:p w14:paraId="5ED983CE">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条款名称 </w:t>
            </w:r>
          </w:p>
        </w:tc>
        <w:tc>
          <w:tcPr>
            <w:tcW w:w="7775" w:type="dxa"/>
            <w:tcBorders>
              <w:top w:val="single" w:color="auto" w:sz="4" w:space="0"/>
              <w:left w:val="single" w:color="auto" w:sz="4" w:space="0"/>
              <w:bottom w:val="single" w:color="auto" w:sz="4" w:space="0"/>
              <w:right w:val="single" w:color="auto" w:sz="4" w:space="0"/>
            </w:tcBorders>
            <w:vAlign w:val="center"/>
          </w:tcPr>
          <w:p w14:paraId="59A25897">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评审因素与评审标准 </w:t>
            </w:r>
          </w:p>
        </w:tc>
      </w:tr>
      <w:tr w14:paraId="39AC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6"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20E60DB2">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1 </w:t>
            </w:r>
          </w:p>
        </w:tc>
        <w:tc>
          <w:tcPr>
            <w:tcW w:w="989" w:type="dxa"/>
            <w:tcBorders>
              <w:top w:val="single" w:color="auto" w:sz="4" w:space="0"/>
              <w:left w:val="single" w:color="auto" w:sz="4" w:space="0"/>
              <w:bottom w:val="single" w:color="auto" w:sz="4" w:space="0"/>
              <w:right w:val="single" w:color="auto" w:sz="4" w:space="0"/>
            </w:tcBorders>
            <w:vAlign w:val="center"/>
          </w:tcPr>
          <w:p w14:paraId="34A83A1C">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评标办法 </w:t>
            </w:r>
          </w:p>
        </w:tc>
        <w:tc>
          <w:tcPr>
            <w:tcW w:w="7775" w:type="dxa"/>
            <w:tcBorders>
              <w:top w:val="single" w:color="auto" w:sz="4" w:space="0"/>
              <w:left w:val="single" w:color="auto" w:sz="4" w:space="0"/>
              <w:bottom w:val="single" w:color="auto" w:sz="4" w:space="0"/>
              <w:right w:val="single" w:color="auto" w:sz="4" w:space="0"/>
            </w:tcBorders>
            <w:vAlign w:val="center"/>
          </w:tcPr>
          <w:p w14:paraId="34CA12D9">
            <w:pPr>
              <w:widowControl/>
              <w:spacing w:after="0" w:line="360" w:lineRule="exact"/>
              <w:ind w:firstLine="420" w:firstLineChars="200"/>
              <w:rPr>
                <w:rFonts w:ascii="宋体" w:hAnsi="宋体" w:eastAsia="宋体" w:cs="Times New Roman"/>
                <w:sz w:val="21"/>
                <w:szCs w:val="21"/>
                <w14:ligatures w14:val="none"/>
              </w:rPr>
            </w:pPr>
            <w:r>
              <w:rPr>
                <w:rFonts w:ascii="宋体" w:hAnsi="宋体" w:eastAsia="宋体" w:cs="Times New Roman"/>
                <w:sz w:val="21"/>
                <w:szCs w:val="21"/>
                <w14:ligatures w14: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4741DE08">
            <w:pPr>
              <w:widowControl/>
              <w:spacing w:after="0" w:line="360" w:lineRule="exact"/>
              <w:ind w:firstLine="420" w:firstLineChars="200"/>
              <w:rPr>
                <w:rFonts w:ascii="宋体" w:hAnsi="宋体" w:eastAsia="宋体" w:cs="Times New Roman"/>
                <w:sz w:val="21"/>
                <w:szCs w:val="21"/>
                <w14:ligatures w14:val="none"/>
              </w:rPr>
            </w:pPr>
            <w:r>
              <w:rPr>
                <w:rFonts w:ascii="宋体" w:hAnsi="宋体" w:eastAsia="宋体" w:cs="Times New Roman"/>
                <w:sz w:val="21"/>
                <w:szCs w:val="21"/>
                <w14:ligatures w14:val="none"/>
              </w:rPr>
              <w:t>（1）评标价低的投标人优先；</w:t>
            </w:r>
          </w:p>
          <w:p w14:paraId="44EFB285">
            <w:pPr>
              <w:widowControl/>
              <w:spacing w:after="0" w:line="360" w:lineRule="exact"/>
              <w:ind w:firstLine="420" w:firstLineChars="200"/>
              <w:rPr>
                <w:rFonts w:ascii="宋体" w:hAnsi="宋体" w:eastAsia="宋体" w:cs="Times New Roman"/>
                <w:sz w:val="21"/>
                <w:szCs w:val="21"/>
                <w14:ligatures w14:val="none"/>
              </w:rPr>
            </w:pPr>
            <w:r>
              <w:rPr>
                <w:rFonts w:ascii="宋体" w:hAnsi="宋体" w:eastAsia="宋体" w:cs="Times New Roman"/>
                <w:sz w:val="21"/>
                <w:szCs w:val="21"/>
                <w14:ligatures w14:val="none"/>
              </w:rPr>
              <w:t>（2）技术得分较高的投标人优先；</w:t>
            </w:r>
          </w:p>
          <w:p w14:paraId="3AA07B72">
            <w:pPr>
              <w:widowControl/>
              <w:spacing w:after="0" w:line="360" w:lineRule="exact"/>
              <w:ind w:firstLine="420" w:firstLineChars="200"/>
              <w:rPr>
                <w:rFonts w:ascii="宋体" w:hAnsi="宋体" w:eastAsia="宋体" w:cs="Times New Roman"/>
                <w:sz w:val="21"/>
                <w:szCs w:val="21"/>
                <w14:ligatures w14:val="none"/>
              </w:rPr>
            </w:pPr>
            <w:r>
              <w:rPr>
                <w:rFonts w:ascii="宋体" w:hAnsi="宋体" w:eastAsia="宋体" w:cs="Times New Roman"/>
                <w:sz w:val="21"/>
                <w:szCs w:val="21"/>
                <w14:ligatures w14:val="none"/>
              </w:rPr>
              <w:t>（3）满足资格审查条件(业绩最低要求)的</w:t>
            </w:r>
            <w:r>
              <w:rPr>
                <w:rFonts w:ascii="宋体" w:hAnsi="宋体" w:eastAsia="宋体" w:cs="宋体"/>
                <w:bCs/>
                <w:sz w:val="21"/>
                <w:szCs w:val="21"/>
                <w14:ligatures w14:val="none"/>
              </w:rPr>
              <w:t>业绩</w:t>
            </w:r>
            <w:r>
              <w:rPr>
                <w:rFonts w:ascii="宋体" w:hAnsi="宋体" w:eastAsia="宋体" w:cs="Times New Roman"/>
                <w:sz w:val="21"/>
                <w:szCs w:val="21"/>
                <w14:ligatures w14:val="none"/>
              </w:rPr>
              <w:t xml:space="preserve">累计金额高的优先。 </w:t>
            </w:r>
          </w:p>
        </w:tc>
      </w:tr>
      <w:tr w14:paraId="219A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6" w:type="dxa"/>
            <w:tcBorders>
              <w:top w:val="single" w:color="auto" w:sz="4" w:space="0"/>
              <w:left w:val="single" w:color="auto" w:sz="4" w:space="0"/>
              <w:bottom w:val="single" w:color="auto" w:sz="4" w:space="0"/>
              <w:right w:val="single" w:color="auto" w:sz="4" w:space="0"/>
            </w:tcBorders>
            <w:vAlign w:val="center"/>
          </w:tcPr>
          <w:p w14:paraId="300900B9">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2.1.1</w:t>
            </w:r>
          </w:p>
          <w:p w14:paraId="646D8F86">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2.1.3 </w:t>
            </w:r>
          </w:p>
        </w:tc>
        <w:tc>
          <w:tcPr>
            <w:tcW w:w="989" w:type="dxa"/>
            <w:tcBorders>
              <w:top w:val="single" w:color="auto" w:sz="4" w:space="0"/>
              <w:left w:val="single" w:color="auto" w:sz="4" w:space="0"/>
              <w:bottom w:val="single" w:color="auto" w:sz="4" w:space="0"/>
              <w:right w:val="single" w:color="auto" w:sz="4" w:space="0"/>
            </w:tcBorders>
            <w:vAlign w:val="center"/>
          </w:tcPr>
          <w:p w14:paraId="5A27EB1C">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形式评审与响应性评审标准 </w:t>
            </w:r>
          </w:p>
        </w:tc>
        <w:tc>
          <w:tcPr>
            <w:tcW w:w="7775" w:type="dxa"/>
            <w:tcBorders>
              <w:top w:val="single" w:color="auto" w:sz="4" w:space="0"/>
              <w:left w:val="single" w:color="auto" w:sz="4" w:space="0"/>
              <w:bottom w:val="single" w:color="auto" w:sz="4" w:space="0"/>
              <w:right w:val="single" w:color="auto" w:sz="4" w:space="0"/>
            </w:tcBorders>
            <w:vAlign w:val="center"/>
          </w:tcPr>
          <w:p w14:paraId="48736C6F">
            <w:pPr>
              <w:tabs>
                <w:tab w:val="left" w:pos="3060"/>
              </w:tabs>
              <w:spacing w:after="0" w:line="320" w:lineRule="exact"/>
              <w:jc w:val="both"/>
              <w:rPr>
                <w:rFonts w:ascii="宋体" w:hAnsi="宋体" w:eastAsia="宋体" w:cs="Times New Roman"/>
                <w:b/>
                <w:sz w:val="21"/>
                <w:szCs w:val="21"/>
                <w14:ligatures w14:val="none"/>
              </w:rPr>
            </w:pPr>
            <w:r>
              <w:rPr>
                <w:rFonts w:ascii="宋体" w:hAnsi="宋体" w:eastAsia="宋体" w:cs="Times New Roman"/>
                <w:b/>
                <w:sz w:val="21"/>
                <w:szCs w:val="21"/>
                <w14:ligatures w14:val="none"/>
              </w:rPr>
              <w:t>第一个信封（商务及技术文件）评审标准:</w:t>
            </w:r>
          </w:p>
          <w:p w14:paraId="0F13C14F">
            <w:pPr>
              <w:widowControl/>
              <w:spacing w:after="0" w:line="360" w:lineRule="exact"/>
              <w:ind w:firstLine="420" w:firstLineChars="200"/>
              <w:rPr>
                <w:rFonts w:ascii="宋体" w:hAnsi="宋体" w:eastAsia="宋体" w:cs="Times New Roman"/>
                <w:sz w:val="21"/>
                <w:szCs w:val="21"/>
                <w14:ligatures w14:val="none"/>
              </w:rPr>
            </w:pPr>
            <w:r>
              <w:rPr>
                <w:rFonts w:ascii="宋体" w:hAnsi="宋体" w:eastAsia="宋体" w:cs="Times New Roman"/>
                <w:sz w:val="21"/>
                <w:szCs w:val="21"/>
                <w14:ligatures w14:val="none"/>
              </w:rPr>
              <w:t>（1）投标文件按照招标文件规定的格式、内容填写，字迹清晰可辨：</w:t>
            </w:r>
          </w:p>
          <w:p w14:paraId="03EBA528">
            <w:pPr>
              <w:widowControl/>
              <w:spacing w:after="0" w:line="360" w:lineRule="exact"/>
              <w:ind w:firstLine="420" w:firstLineChars="200"/>
              <w:rPr>
                <w:rFonts w:ascii="宋体" w:hAnsi="宋体" w:eastAsia="宋体" w:cs="Times New Roman"/>
                <w:sz w:val="21"/>
                <w:szCs w:val="21"/>
                <w14:ligatures w14:val="none"/>
              </w:rPr>
            </w:pPr>
            <w:r>
              <w:rPr>
                <w:rFonts w:ascii="宋体" w:hAnsi="宋体" w:eastAsia="宋体" w:cs="Times New Roman"/>
                <w:sz w:val="21"/>
                <w:szCs w:val="21"/>
                <w14:ligatures w14:val="none"/>
              </w:rPr>
              <w:t>a．投标函按招标文件规定填报了项目名称、补遗书编号（如有）、项目负责人、服务期限期限、质量要求及安全目标；</w:t>
            </w:r>
          </w:p>
          <w:p w14:paraId="022B9E84">
            <w:pPr>
              <w:widowControl/>
              <w:spacing w:after="0" w:line="360" w:lineRule="exact"/>
              <w:ind w:firstLine="420" w:firstLineChars="200"/>
              <w:rPr>
                <w:rFonts w:ascii="宋体" w:hAnsi="宋体" w:eastAsia="宋体" w:cs="Times New Roman"/>
                <w:sz w:val="21"/>
                <w:szCs w:val="21"/>
                <w14:ligatures w14:val="none"/>
              </w:rPr>
            </w:pPr>
            <w:r>
              <w:rPr>
                <w:rFonts w:ascii="宋体" w:hAnsi="宋体" w:eastAsia="宋体" w:cs="Times New Roman"/>
                <w:sz w:val="21"/>
                <w:szCs w:val="21"/>
                <w14:ligatures w14:val="none"/>
              </w:rPr>
              <w:t>b．投标文件组成齐全完整，内容均按规定填写。</w:t>
            </w:r>
          </w:p>
          <w:p w14:paraId="5E6CDD28">
            <w:pPr>
              <w:widowControl/>
              <w:spacing w:after="0" w:line="360" w:lineRule="exact"/>
              <w:ind w:firstLine="420" w:firstLineChars="200"/>
              <w:rPr>
                <w:rFonts w:ascii="宋体" w:hAnsi="宋体" w:eastAsia="宋体" w:cs="Times New Roman"/>
                <w:sz w:val="21"/>
                <w:szCs w:val="21"/>
                <w14:ligatures w14:val="none"/>
              </w:rPr>
            </w:pPr>
            <w:r>
              <w:rPr>
                <w:rFonts w:ascii="宋体" w:hAnsi="宋体" w:eastAsia="宋体" w:cs="Times New Roman"/>
                <w:sz w:val="21"/>
                <w:szCs w:val="21"/>
                <w14:ligatures w14:val="none"/>
              </w:rPr>
              <w:t>（2）投标文件上法定代表人或其委托代理人的签字、投标人的单位章盖章齐全，符合招标文件规定。</w:t>
            </w:r>
          </w:p>
          <w:p w14:paraId="116D3203">
            <w:pPr>
              <w:tabs>
                <w:tab w:val="left" w:pos="3060"/>
              </w:tabs>
              <w:spacing w:after="0" w:line="32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（3）投标人按照招标文件规定的金额、形式、时效和内容提供了投标保证金，并符合投标人须知前附表3.4.1项的相关规定。</w:t>
            </w:r>
          </w:p>
          <w:p w14:paraId="2524457A">
            <w:pPr>
              <w:tabs>
                <w:tab w:val="left" w:pos="3060"/>
              </w:tabs>
              <w:spacing w:after="0" w:line="360" w:lineRule="exact"/>
              <w:ind w:firstLine="525" w:firstLineChars="250"/>
              <w:jc w:val="both"/>
              <w:rPr>
                <w:rFonts w:ascii="宋体" w:hAnsi="宋体" w:eastAsia="宋体" w:cs="Times New Roman"/>
                <w:sz w:val="21"/>
                <w:szCs w:val="21"/>
                <w14:ligatures w14:val="none"/>
              </w:rPr>
            </w:pPr>
            <w:r>
              <w:rPr>
                <w:rFonts w:ascii="宋体" w:hAnsi="宋体" w:eastAsia="宋体" w:cs="Times New Roman"/>
                <w:sz w:val="21"/>
                <w:szCs w:val="21"/>
                <w14:ligatures w14:val="none"/>
              </w:rPr>
              <w:t>（4）投标人法定代表人授权委托代理人签署投标文件的，须提交授权委托书，且授权人和被授权人均在授权书上签名。</w:t>
            </w:r>
          </w:p>
          <w:p w14:paraId="7B8A2F7C">
            <w:pPr>
              <w:tabs>
                <w:tab w:val="left" w:pos="3060"/>
              </w:tabs>
              <w:spacing w:after="0" w:line="360" w:lineRule="exact"/>
              <w:ind w:firstLine="525" w:firstLineChars="250"/>
              <w:jc w:val="both"/>
              <w:rPr>
                <w:rFonts w:ascii="宋体" w:hAnsi="宋体" w:eastAsia="宋体" w:cs="Times New Roman"/>
                <w:sz w:val="21"/>
                <w:szCs w:val="21"/>
                <w14:ligatures w14:val="none"/>
              </w:rPr>
            </w:pPr>
            <w:r>
              <w:rPr>
                <w:rFonts w:ascii="宋体" w:hAnsi="宋体" w:eastAsia="宋体" w:cs="Times New Roman"/>
                <w:sz w:val="21"/>
                <w:szCs w:val="21"/>
                <w14:ligatures w14:val="none"/>
              </w:rPr>
              <w:t>（5）投标人法定代表人亲自签署投标文件的，提供了法定代表人身份证明，且法定代表人在法定代表人身份证明上签名。</w:t>
            </w:r>
          </w:p>
          <w:p w14:paraId="7F4CA3E6">
            <w:pPr>
              <w:tabs>
                <w:tab w:val="left" w:pos="3060"/>
              </w:tabs>
              <w:spacing w:after="0" w:line="360" w:lineRule="exact"/>
              <w:ind w:firstLine="525" w:firstLineChars="250"/>
              <w:jc w:val="both"/>
              <w:rPr>
                <w:rFonts w:ascii="宋体" w:hAnsi="宋体" w:eastAsia="宋体" w:cs="Times New Roman"/>
                <w:sz w:val="21"/>
                <w:szCs w:val="21"/>
                <w14:ligatures w14:val="none"/>
              </w:rPr>
            </w:pPr>
            <w:r>
              <w:rPr>
                <w:rFonts w:ascii="宋体" w:hAnsi="宋体" w:eastAsia="宋体" w:cs="Times New Roman"/>
                <w:sz w:val="21"/>
                <w:szCs w:val="21"/>
                <w14:ligatures w14:val="none"/>
              </w:rPr>
              <w:t>（6）投标人未以联合体形式投标。</w:t>
            </w:r>
          </w:p>
          <w:p w14:paraId="3A38B880">
            <w:pPr>
              <w:tabs>
                <w:tab w:val="left" w:pos="3060"/>
              </w:tabs>
              <w:spacing w:after="0" w:line="360" w:lineRule="exact"/>
              <w:ind w:firstLine="525" w:firstLineChars="250"/>
              <w:jc w:val="both"/>
              <w:rPr>
                <w:rFonts w:ascii="宋体" w:hAnsi="宋体" w:eastAsia="宋体" w:cs="Times New Roman"/>
                <w:sz w:val="21"/>
                <w:szCs w:val="21"/>
                <w14:ligatures w14:val="none"/>
              </w:rPr>
            </w:pPr>
            <w:r>
              <w:rPr>
                <w:rFonts w:ascii="宋体" w:hAnsi="宋体" w:eastAsia="宋体" w:cs="Times New Roman"/>
                <w:sz w:val="21"/>
                <w:szCs w:val="21"/>
                <w14:ligatures w14:val="none"/>
              </w:rPr>
              <w:t>（7）同一投标人未提交两个以上不同的投标文件。</w:t>
            </w:r>
          </w:p>
          <w:p w14:paraId="2D0AC96A">
            <w:pPr>
              <w:tabs>
                <w:tab w:val="left" w:pos="3060"/>
              </w:tabs>
              <w:spacing w:after="0" w:line="360" w:lineRule="exact"/>
              <w:ind w:firstLine="525" w:firstLineChars="250"/>
              <w:jc w:val="both"/>
              <w:rPr>
                <w:rFonts w:ascii="宋体" w:hAnsi="宋体" w:eastAsia="宋体" w:cs="Times New Roman"/>
                <w:sz w:val="21"/>
                <w:szCs w:val="21"/>
                <w14:ligatures w14:val="none"/>
              </w:rPr>
            </w:pPr>
            <w:r>
              <w:rPr>
                <w:rFonts w:ascii="宋体" w:hAnsi="宋体" w:eastAsia="宋体" w:cs="Times New Roman"/>
                <w:sz w:val="21"/>
                <w:szCs w:val="21"/>
                <w14:ligatures w14:val="none"/>
              </w:rPr>
              <w:t>（8）投标文件中未出现有关投标报价的内容。</w:t>
            </w:r>
          </w:p>
          <w:p w14:paraId="11DDA2DB">
            <w:pPr>
              <w:tabs>
                <w:tab w:val="left" w:pos="3060"/>
              </w:tabs>
              <w:spacing w:after="0" w:line="360" w:lineRule="exact"/>
              <w:ind w:firstLine="525" w:firstLineChars="250"/>
              <w:jc w:val="both"/>
              <w:rPr>
                <w:rFonts w:ascii="宋体" w:hAnsi="宋体" w:eastAsia="宋体" w:cs="Times New Roman"/>
                <w:sz w:val="21"/>
                <w:szCs w:val="21"/>
                <w14:ligatures w14:val="none"/>
              </w:rPr>
            </w:pPr>
            <w:r>
              <w:rPr>
                <w:rFonts w:ascii="宋体" w:hAnsi="宋体" w:eastAsia="宋体" w:cs="Times New Roman"/>
                <w:sz w:val="21"/>
                <w:szCs w:val="21"/>
                <w14:ligatures w14:val="none"/>
              </w:rPr>
              <w:t>（9）投标文件载明的招标项目完成期限符合招标文件规定的时限。</w:t>
            </w:r>
          </w:p>
          <w:p w14:paraId="7EBD59A3">
            <w:pPr>
              <w:tabs>
                <w:tab w:val="left" w:pos="3060"/>
              </w:tabs>
              <w:spacing w:after="0" w:line="360" w:lineRule="exact"/>
              <w:ind w:firstLine="525" w:firstLineChars="250"/>
              <w:jc w:val="both"/>
              <w:rPr>
                <w:rFonts w:ascii="宋体" w:hAnsi="宋体" w:eastAsia="宋体" w:cs="Times New Roman"/>
                <w:sz w:val="21"/>
                <w:szCs w:val="21"/>
                <w14:ligatures w14:val="none"/>
              </w:rPr>
            </w:pPr>
            <w:r>
              <w:rPr>
                <w:rFonts w:ascii="宋体" w:hAnsi="宋体" w:eastAsia="宋体" w:cs="Times New Roman"/>
                <w:sz w:val="21"/>
                <w:szCs w:val="21"/>
                <w14:ligatures w14:val="none"/>
              </w:rPr>
              <w:t>（10）投标人未对本项目提出分包计划。</w:t>
            </w:r>
          </w:p>
          <w:p w14:paraId="4124B741">
            <w:pPr>
              <w:tabs>
                <w:tab w:val="left" w:pos="3060"/>
              </w:tabs>
              <w:spacing w:after="0" w:line="360" w:lineRule="exact"/>
              <w:ind w:firstLine="525" w:firstLineChars="250"/>
              <w:jc w:val="both"/>
              <w:rPr>
                <w:rFonts w:ascii="宋体" w:hAnsi="宋体" w:eastAsia="宋体" w:cs="Times New Roman"/>
                <w:sz w:val="21"/>
                <w:szCs w:val="21"/>
                <w14:ligatures w14:val="none"/>
              </w:rPr>
            </w:pPr>
            <w:r>
              <w:rPr>
                <w:rFonts w:ascii="宋体" w:hAnsi="宋体" w:eastAsia="宋体" w:cs="Times New Roman"/>
                <w:sz w:val="21"/>
                <w:szCs w:val="21"/>
                <w14:ligatures w14:val="none"/>
              </w:rPr>
              <w:t>（11）投标文件对招标文件的实质性要求和条件作出响应。</w:t>
            </w:r>
          </w:p>
          <w:p w14:paraId="389707F7">
            <w:pPr>
              <w:tabs>
                <w:tab w:val="left" w:pos="3060"/>
              </w:tabs>
              <w:spacing w:after="0" w:line="360" w:lineRule="exact"/>
              <w:ind w:firstLine="525" w:firstLineChars="250"/>
              <w:jc w:val="both"/>
              <w:rPr>
                <w:rFonts w:ascii="宋体" w:hAnsi="宋体" w:eastAsia="宋体" w:cs="Times New Roman"/>
                <w:sz w:val="21"/>
                <w:szCs w:val="21"/>
                <w14:ligatures w14:val="none"/>
              </w:rPr>
            </w:pPr>
            <w:r>
              <w:rPr>
                <w:rFonts w:ascii="宋体" w:hAnsi="宋体" w:eastAsia="宋体" w:cs="Times New Roman"/>
                <w:sz w:val="21"/>
                <w:szCs w:val="21"/>
                <w14:ligatures w14:val="none"/>
              </w:rPr>
              <w:t>（12）权利义务符合招标文件规定：</w:t>
            </w:r>
          </w:p>
          <w:p w14:paraId="15194FEC">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a.投标人应接受招标文件规定的风险划分原则，未提出新的风险划分办法；</w:t>
            </w:r>
          </w:p>
          <w:p w14:paraId="071BC543">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b.投标人未增加发包人的责任范围，或减少投标人义务；</w:t>
            </w:r>
          </w:p>
          <w:p w14:paraId="4F6B5B7A">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c.投标人未提出不同的支付办法；</w:t>
            </w:r>
          </w:p>
          <w:p w14:paraId="64A143BD">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d.投标人对合同纠纷、事故处理办法未提出异议；</w:t>
            </w:r>
          </w:p>
          <w:p w14:paraId="19B0A37F">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e.投标人在投标活动中无欺诈行为；</w:t>
            </w:r>
          </w:p>
          <w:p w14:paraId="287CFFF4">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f.投标人未对合同条款有重要保留。</w:t>
            </w:r>
          </w:p>
          <w:p w14:paraId="5E73EBAF">
            <w:pPr>
              <w:tabs>
                <w:tab w:val="left" w:pos="3060"/>
              </w:tabs>
              <w:spacing w:after="0" w:line="320" w:lineRule="exact"/>
              <w:jc w:val="both"/>
              <w:rPr>
                <w:rFonts w:ascii="宋体" w:hAnsi="宋体" w:eastAsia="宋体" w:cs="Times New Roman"/>
                <w:b/>
                <w:sz w:val="21"/>
                <w:szCs w:val="21"/>
                <w14:ligatures w14:val="none"/>
              </w:rPr>
            </w:pPr>
            <w:r>
              <w:rPr>
                <w:rFonts w:ascii="宋体" w:hAnsi="宋体" w:eastAsia="宋体" w:cs="Times New Roman"/>
                <w:b/>
                <w:sz w:val="21"/>
                <w:szCs w:val="21"/>
                <w14:ligatures w14:val="none"/>
              </w:rPr>
              <w:t>第二个信封（报价文件）评审标准：</w:t>
            </w:r>
          </w:p>
          <w:p w14:paraId="202593AF">
            <w:pPr>
              <w:tabs>
                <w:tab w:val="left" w:pos="3060"/>
              </w:tabs>
              <w:spacing w:after="0" w:line="360" w:lineRule="exact"/>
              <w:ind w:firstLine="420" w:firstLineChars="200"/>
              <w:jc w:val="both"/>
              <w:rPr>
                <w:rFonts w:ascii="宋体" w:hAnsi="宋体" w:eastAsia="宋体" w:cs="Times New Roman"/>
                <w:bCs/>
                <w:sz w:val="21"/>
                <w:szCs w:val="21"/>
                <w14:ligatures w14:val="none"/>
              </w:rPr>
            </w:pPr>
            <w:r>
              <w:rPr>
                <w:rFonts w:ascii="宋体" w:hAnsi="宋体" w:eastAsia="宋体" w:cs="Times New Roman"/>
                <w:bCs/>
                <w:sz w:val="21"/>
                <w:szCs w:val="21"/>
                <w14:ligatures w14:val="none"/>
              </w:rPr>
              <w:t>（1）投标文件按照招标文件规定的格式、内容填写，字迹清晰可辨：</w:t>
            </w:r>
          </w:p>
          <w:p w14:paraId="5C9F64C2">
            <w:pPr>
              <w:tabs>
                <w:tab w:val="left" w:pos="3060"/>
              </w:tabs>
              <w:spacing w:after="0" w:line="360" w:lineRule="exact"/>
              <w:ind w:firstLine="420" w:firstLineChars="200"/>
              <w:jc w:val="both"/>
              <w:rPr>
                <w:rFonts w:ascii="宋体" w:hAnsi="宋体" w:eastAsia="宋体" w:cs="Times New Roman"/>
                <w:bCs/>
                <w:sz w:val="21"/>
                <w:szCs w:val="21"/>
                <w14:ligatures w14:val="none"/>
              </w:rPr>
            </w:pPr>
            <w:r>
              <w:rPr>
                <w:rFonts w:ascii="宋体" w:hAnsi="宋体" w:eastAsia="宋体" w:cs="Times New Roman"/>
                <w:bCs/>
                <w:sz w:val="21"/>
                <w:szCs w:val="21"/>
                <w14:ligatures w14:val="none"/>
              </w:rPr>
              <w:t>a.投标函按招标文件规定填报了项目名称、补遗书编号（如有）、投标价（包括大写金额和小写金额）；</w:t>
            </w:r>
          </w:p>
          <w:p w14:paraId="69E94B8D">
            <w:pPr>
              <w:tabs>
                <w:tab w:val="left" w:pos="3060"/>
              </w:tabs>
              <w:spacing w:after="0" w:line="360" w:lineRule="exact"/>
              <w:ind w:firstLine="420" w:firstLineChars="200"/>
              <w:jc w:val="both"/>
              <w:rPr>
                <w:rFonts w:ascii="宋体" w:hAnsi="宋体" w:eastAsia="宋体" w:cs="Times New Roman"/>
                <w:bCs/>
                <w:sz w:val="21"/>
                <w:szCs w:val="21"/>
                <w14:ligatures w14:val="none"/>
              </w:rPr>
            </w:pPr>
            <w:r>
              <w:rPr>
                <w:rFonts w:ascii="宋体" w:hAnsi="宋体" w:eastAsia="宋体" w:cs="Times New Roman"/>
                <w:bCs/>
                <w:sz w:val="21"/>
                <w:szCs w:val="21"/>
                <w14:ligatures w14:val="none"/>
              </w:rPr>
              <w:t>b．已</w:t>
            </w:r>
            <w:r>
              <w:rPr>
                <w:rFonts w:ascii="宋体" w:hAnsi="宋体" w:eastAsia="宋体" w:cs="Times New Roman"/>
                <w:sz w:val="21"/>
                <w:szCs w:val="21"/>
                <w14:ligatures w14:val="none"/>
              </w:rPr>
              <w:t>标价</w:t>
            </w:r>
            <w:r>
              <w:rPr>
                <w:rFonts w:ascii="宋体" w:hAnsi="宋体" w:eastAsia="宋体" w:cs="Times New Roman"/>
                <w:bCs/>
                <w:sz w:val="21"/>
                <w:szCs w:val="21"/>
                <w14:ligatures w14:val="none"/>
              </w:rPr>
              <w:t>清单说明文字与招标文件规定一致，未进行实质性修改和删减；</w:t>
            </w:r>
          </w:p>
          <w:p w14:paraId="360461B3">
            <w:pPr>
              <w:tabs>
                <w:tab w:val="left" w:pos="3060"/>
              </w:tabs>
              <w:spacing w:after="0" w:line="360" w:lineRule="exact"/>
              <w:ind w:firstLine="420" w:firstLineChars="200"/>
              <w:jc w:val="both"/>
              <w:rPr>
                <w:rFonts w:ascii="宋体" w:hAnsi="宋体" w:eastAsia="宋体" w:cs="Times New Roman"/>
                <w:bCs/>
                <w:sz w:val="21"/>
                <w:szCs w:val="21"/>
                <w14:ligatures w14:val="none"/>
              </w:rPr>
            </w:pPr>
            <w:r>
              <w:rPr>
                <w:rFonts w:ascii="宋体" w:hAnsi="宋体" w:eastAsia="宋体" w:cs="Times New Roman"/>
                <w:bCs/>
                <w:sz w:val="21"/>
                <w:szCs w:val="21"/>
                <w14:ligatures w14:val="none"/>
              </w:rPr>
              <w:t>c．投标文件组成齐全完整，内容均按规定填写。</w:t>
            </w:r>
          </w:p>
          <w:p w14:paraId="6124E512">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bCs/>
                <w:sz w:val="21"/>
                <w:szCs w:val="21"/>
                <w14:ligatures w14:val="none"/>
              </w:rPr>
              <w:t>（2）投标</w:t>
            </w:r>
            <w:r>
              <w:rPr>
                <w:rFonts w:ascii="宋体" w:hAnsi="宋体" w:eastAsia="宋体" w:cs="Times New Roman"/>
                <w:sz w:val="21"/>
                <w:szCs w:val="21"/>
                <w14:ligatures w14:val="none"/>
              </w:rPr>
              <w:t>文件</w:t>
            </w:r>
            <w:r>
              <w:rPr>
                <w:rFonts w:ascii="宋体" w:hAnsi="宋体" w:eastAsia="宋体" w:cs="Times New Roman"/>
                <w:bCs/>
                <w:sz w:val="21"/>
                <w:szCs w:val="21"/>
                <w14:ligatures w14:val="none"/>
              </w:rPr>
              <w:t>上法定代表人或其授权代理人的签字、投标人的单位章盖章齐全，符合招标文件规定。</w:t>
            </w:r>
          </w:p>
          <w:p w14:paraId="5F74C398">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（3）投标报价未超过招标文件设定的最高投标限价。</w:t>
            </w:r>
          </w:p>
          <w:p w14:paraId="1D80992E">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（4）投标报价的大写金额能够确定具体数值。</w:t>
            </w:r>
          </w:p>
          <w:p w14:paraId="69812FF5">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（5）同一投标人未提交两个以上不同的投标报价。</w:t>
            </w:r>
          </w:p>
          <w:p w14:paraId="1C19B754">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（6）</w:t>
            </w:r>
            <w:r>
              <w:rPr>
                <w:rFonts w:ascii="宋体" w:hAnsi="宋体" w:eastAsia="宋体" w:cs="Times New Roman"/>
                <w:bCs/>
                <w:sz w:val="21"/>
                <w:szCs w:val="21"/>
                <w14:ligatures w14:val="none"/>
              </w:rPr>
              <w:t>已</w:t>
            </w:r>
            <w:r>
              <w:rPr>
                <w:rFonts w:ascii="宋体" w:hAnsi="宋体" w:eastAsia="宋体" w:cs="Times New Roman"/>
                <w:sz w:val="21"/>
                <w:szCs w:val="21"/>
                <w14:ligatures w14:val="none"/>
              </w:rPr>
              <w:t>标价清单中的投标报价和投标函大写金额报价一致。</w:t>
            </w:r>
          </w:p>
        </w:tc>
      </w:tr>
      <w:tr w14:paraId="7759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6" w:type="dxa"/>
            <w:tcBorders>
              <w:top w:val="single" w:color="auto" w:sz="4" w:space="0"/>
              <w:left w:val="single" w:color="auto" w:sz="4" w:space="0"/>
              <w:bottom w:val="single" w:color="auto" w:sz="4" w:space="0"/>
              <w:right w:val="single" w:color="auto" w:sz="4" w:space="0"/>
            </w:tcBorders>
            <w:vAlign w:val="center"/>
          </w:tcPr>
          <w:p w14:paraId="4998350A">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2.1.2 </w:t>
            </w:r>
          </w:p>
        </w:tc>
        <w:tc>
          <w:tcPr>
            <w:tcW w:w="989" w:type="dxa"/>
            <w:tcBorders>
              <w:top w:val="single" w:color="auto" w:sz="4" w:space="0"/>
              <w:left w:val="single" w:color="auto" w:sz="4" w:space="0"/>
              <w:bottom w:val="single" w:color="auto" w:sz="4" w:space="0"/>
              <w:right w:val="single" w:color="auto" w:sz="4" w:space="0"/>
            </w:tcBorders>
            <w:vAlign w:val="center"/>
          </w:tcPr>
          <w:p w14:paraId="6F37A389">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资格评审标准 </w:t>
            </w:r>
          </w:p>
        </w:tc>
        <w:tc>
          <w:tcPr>
            <w:tcW w:w="7775" w:type="dxa"/>
            <w:tcBorders>
              <w:top w:val="single" w:color="auto" w:sz="4" w:space="0"/>
              <w:left w:val="single" w:color="auto" w:sz="4" w:space="0"/>
              <w:bottom w:val="single" w:color="auto" w:sz="4" w:space="0"/>
              <w:right w:val="single" w:color="auto" w:sz="4" w:space="0"/>
            </w:tcBorders>
            <w:vAlign w:val="center"/>
          </w:tcPr>
          <w:p w14:paraId="4489B5FB">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（1）投标人具备有效的营业执照和基本账户开户许可证或基本存款账户信息。</w:t>
            </w:r>
          </w:p>
          <w:p w14:paraId="721737B8">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（2）投标人的资质等级符合招标文件规定。</w:t>
            </w:r>
          </w:p>
          <w:p w14:paraId="7FC1905E">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（3）投标人的业绩符合招标文件规定。</w:t>
            </w:r>
          </w:p>
          <w:p w14:paraId="3FCC502C">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（4）投标人的信誉符合招标文件规定。</w:t>
            </w:r>
          </w:p>
          <w:p w14:paraId="1C2C82BA">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（5）投标人的项目负责人资格符合招标文件规定。</w:t>
            </w:r>
          </w:p>
          <w:p w14:paraId="729FCBC5">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（6）投标人不存在第二章“投标人须知”第1.4.3项或1.4.4项规定的任何一种情形。</w:t>
            </w:r>
          </w:p>
        </w:tc>
      </w:tr>
      <w:tr w14:paraId="2BF4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6" w:type="dxa"/>
            <w:tcBorders>
              <w:top w:val="single" w:color="auto" w:sz="4" w:space="0"/>
              <w:left w:val="single" w:color="auto" w:sz="4" w:space="0"/>
              <w:bottom w:val="single" w:color="auto" w:sz="4" w:space="0"/>
              <w:right w:val="single" w:color="auto" w:sz="4" w:space="0"/>
            </w:tcBorders>
            <w:vAlign w:val="center"/>
          </w:tcPr>
          <w:p w14:paraId="34F55F3B">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2.2.1 </w:t>
            </w:r>
          </w:p>
        </w:tc>
        <w:tc>
          <w:tcPr>
            <w:tcW w:w="989" w:type="dxa"/>
            <w:tcBorders>
              <w:top w:val="single" w:color="auto" w:sz="4" w:space="0"/>
              <w:left w:val="single" w:color="auto" w:sz="4" w:space="0"/>
              <w:bottom w:val="single" w:color="auto" w:sz="4" w:space="0"/>
              <w:right w:val="single" w:color="auto" w:sz="4" w:space="0"/>
            </w:tcBorders>
            <w:vAlign w:val="center"/>
          </w:tcPr>
          <w:p w14:paraId="44532955">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分值构成（总分100分） </w:t>
            </w:r>
          </w:p>
        </w:tc>
        <w:tc>
          <w:tcPr>
            <w:tcW w:w="7775" w:type="dxa"/>
            <w:tcBorders>
              <w:top w:val="single" w:color="auto" w:sz="4" w:space="0"/>
              <w:left w:val="single" w:color="auto" w:sz="4" w:space="0"/>
              <w:bottom w:val="single" w:color="auto" w:sz="4" w:space="0"/>
              <w:right w:val="single" w:color="auto" w:sz="4" w:space="0"/>
            </w:tcBorders>
            <w:vAlign w:val="center"/>
          </w:tcPr>
          <w:p w14:paraId="456585FC">
            <w:pPr>
              <w:spacing w:after="0" w:line="360" w:lineRule="exact"/>
              <w:jc w:val="both"/>
              <w:rPr>
                <w:rFonts w:ascii="宋体" w:hAnsi="宋体" w:eastAsia="宋体" w:cs="Times New Roman"/>
                <w:sz w:val="21"/>
                <w:szCs w:val="21"/>
                <w14:ligatures w14:val="none"/>
              </w:rPr>
            </w:pPr>
            <w:r>
              <w:rPr>
                <w:rFonts w:ascii="宋体" w:hAnsi="宋体" w:eastAsia="宋体" w:cs="Times New Roman"/>
                <w:b/>
                <w:sz w:val="21"/>
                <w:szCs w:val="21"/>
                <w14:ligatures w14:val="none"/>
              </w:rPr>
              <w:t>第一个信封（商务及技术文件）评分分值构成：</w:t>
            </w:r>
          </w:p>
          <w:p w14:paraId="62D1E1CC">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服务方案：       40分</w:t>
            </w:r>
          </w:p>
          <w:p w14:paraId="28D0335D">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主要人员：       20分</w:t>
            </w:r>
          </w:p>
          <w:p w14:paraId="564F51F9">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业    绩：       10分</w:t>
            </w:r>
          </w:p>
          <w:p w14:paraId="3C089978">
            <w:pPr>
              <w:spacing w:after="0" w:line="360" w:lineRule="exact"/>
              <w:jc w:val="both"/>
              <w:rPr>
                <w:rFonts w:ascii="宋体" w:hAnsi="宋体" w:eastAsia="宋体" w:cs="Times New Roman"/>
                <w:sz w:val="21"/>
                <w:szCs w:val="21"/>
                <w14:ligatures w14:val="none"/>
              </w:rPr>
            </w:pPr>
            <w:r>
              <w:rPr>
                <w:rFonts w:ascii="宋体" w:hAnsi="宋体" w:eastAsia="宋体" w:cs="Times New Roman"/>
                <w:b/>
                <w:sz w:val="21"/>
                <w:szCs w:val="21"/>
                <w14:ligatures w14:val="none"/>
              </w:rPr>
              <w:t>第二个信封（报价文件）评分分值构成：</w:t>
            </w:r>
          </w:p>
          <w:p w14:paraId="30F46C88">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评 标 价：       30分</w:t>
            </w:r>
          </w:p>
        </w:tc>
      </w:tr>
      <w:tr w14:paraId="7E62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6" w:type="dxa"/>
            <w:tcBorders>
              <w:top w:val="single" w:color="auto" w:sz="4" w:space="0"/>
              <w:left w:val="single" w:color="auto" w:sz="4" w:space="0"/>
              <w:bottom w:val="single" w:color="auto" w:sz="4" w:space="0"/>
              <w:right w:val="single" w:color="auto" w:sz="4" w:space="0"/>
            </w:tcBorders>
            <w:vAlign w:val="center"/>
          </w:tcPr>
          <w:p w14:paraId="5BD4A5F7">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2.2.2 </w:t>
            </w:r>
          </w:p>
        </w:tc>
        <w:tc>
          <w:tcPr>
            <w:tcW w:w="989" w:type="dxa"/>
            <w:tcBorders>
              <w:top w:val="single" w:color="auto" w:sz="4" w:space="0"/>
              <w:left w:val="single" w:color="auto" w:sz="4" w:space="0"/>
              <w:bottom w:val="single" w:color="auto" w:sz="4" w:space="0"/>
              <w:right w:val="single" w:color="auto" w:sz="4" w:space="0"/>
            </w:tcBorders>
            <w:vAlign w:val="center"/>
          </w:tcPr>
          <w:p w14:paraId="07EFCD73">
            <w:pPr>
              <w:spacing w:before="100" w:beforeAutospacing="1" w:after="100" w:afterAutospacing="1"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评标基准价计算方法 </w:t>
            </w:r>
          </w:p>
        </w:tc>
        <w:tc>
          <w:tcPr>
            <w:tcW w:w="7775" w:type="dxa"/>
            <w:tcBorders>
              <w:top w:val="single" w:color="auto" w:sz="4" w:space="0"/>
              <w:left w:val="single" w:color="auto" w:sz="4" w:space="0"/>
              <w:bottom w:val="single" w:color="auto" w:sz="4" w:space="0"/>
              <w:right w:val="single" w:color="auto" w:sz="4" w:space="0"/>
            </w:tcBorders>
            <w:vAlign w:val="center"/>
          </w:tcPr>
          <w:p w14:paraId="15A96AA7">
            <w:pPr>
              <w:spacing w:after="0" w:line="360" w:lineRule="exact"/>
              <w:jc w:val="both"/>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评标基准价的计算： </w:t>
            </w:r>
          </w:p>
          <w:p w14:paraId="1F6D5326">
            <w:pPr>
              <w:tabs>
                <w:tab w:val="left" w:pos="3060"/>
              </w:tabs>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(1)评标价的确定：</w:t>
            </w:r>
          </w:p>
          <w:p w14:paraId="401BA169">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评标价=投标函文字报价</w:t>
            </w:r>
          </w:p>
          <w:p w14:paraId="7F0C135B">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(2)评标价平均值的计算：</w:t>
            </w:r>
          </w:p>
          <w:p w14:paraId="0D4F7E93">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3DB79243">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(3)评标基准价的确定：</w:t>
            </w:r>
          </w:p>
          <w:p w14:paraId="4672EB68">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评标价平均值直接作为评标基准价。</w:t>
            </w:r>
          </w:p>
          <w:p w14:paraId="41BDD12B">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评标基准价保留小数点后两位，小数点后第三位四舍五入。</w:t>
            </w:r>
          </w:p>
          <w:p w14:paraId="2A0E370A">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2"/>
                <w14:ligatures w14: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126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6" w:type="dxa"/>
            <w:tcBorders>
              <w:top w:val="single" w:color="auto" w:sz="4" w:space="0"/>
              <w:left w:val="single" w:color="auto" w:sz="4" w:space="0"/>
              <w:bottom w:val="single" w:color="auto" w:sz="4" w:space="0"/>
              <w:right w:val="single" w:color="auto" w:sz="4" w:space="0"/>
            </w:tcBorders>
            <w:vAlign w:val="center"/>
          </w:tcPr>
          <w:p w14:paraId="197E239A">
            <w:pPr>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 xml:space="preserve">2.2.3 </w:t>
            </w:r>
          </w:p>
        </w:tc>
        <w:tc>
          <w:tcPr>
            <w:tcW w:w="989" w:type="dxa"/>
            <w:tcBorders>
              <w:top w:val="single" w:color="auto" w:sz="4" w:space="0"/>
              <w:left w:val="single" w:color="auto" w:sz="4" w:space="0"/>
              <w:bottom w:val="single" w:color="auto" w:sz="4" w:space="0"/>
              <w:right w:val="single" w:color="auto" w:sz="4" w:space="0"/>
            </w:tcBorders>
            <w:vAlign w:val="center"/>
          </w:tcPr>
          <w:p w14:paraId="17289234">
            <w:pPr>
              <w:spacing w:after="0"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评标价的偏差率计算公式</w:t>
            </w:r>
          </w:p>
        </w:tc>
        <w:tc>
          <w:tcPr>
            <w:tcW w:w="7775" w:type="dxa"/>
            <w:tcBorders>
              <w:top w:val="single" w:color="auto" w:sz="4" w:space="0"/>
              <w:left w:val="single" w:color="auto" w:sz="4" w:space="0"/>
              <w:bottom w:val="single" w:color="auto" w:sz="4" w:space="0"/>
              <w:right w:val="single" w:color="auto" w:sz="4" w:space="0"/>
            </w:tcBorders>
            <w:vAlign w:val="center"/>
          </w:tcPr>
          <w:p w14:paraId="0A7DA4C5">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偏差率=100%×(投标人评标价-评标基准价)/评标基准价</w:t>
            </w:r>
          </w:p>
        </w:tc>
      </w:tr>
      <w:tr w14:paraId="4E43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8"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14:paraId="1672C93E">
            <w:pPr>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3.6.1</w:t>
            </w:r>
          </w:p>
        </w:tc>
        <w:tc>
          <w:tcPr>
            <w:tcW w:w="989" w:type="dxa"/>
            <w:tcBorders>
              <w:top w:val="single" w:color="auto" w:sz="4" w:space="0"/>
              <w:left w:val="single" w:color="auto" w:sz="4" w:space="0"/>
              <w:bottom w:val="single" w:color="auto" w:sz="4" w:space="0"/>
              <w:right w:val="single" w:color="auto" w:sz="4" w:space="0"/>
            </w:tcBorders>
            <w:vAlign w:val="center"/>
          </w:tcPr>
          <w:p w14:paraId="4C9F1249">
            <w:pPr>
              <w:spacing w:after="0"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投标文件相关信息的核查</w:t>
            </w:r>
          </w:p>
        </w:tc>
        <w:tc>
          <w:tcPr>
            <w:tcW w:w="7775" w:type="dxa"/>
            <w:tcBorders>
              <w:top w:val="single" w:color="auto" w:sz="4" w:space="0"/>
              <w:left w:val="single" w:color="auto" w:sz="4" w:space="0"/>
              <w:bottom w:val="single" w:color="auto" w:sz="4" w:space="0"/>
              <w:right w:val="single" w:color="auto" w:sz="4" w:space="0"/>
            </w:tcBorders>
            <w:vAlign w:val="center"/>
          </w:tcPr>
          <w:p w14:paraId="0D8D4E4B">
            <w:pPr>
              <w:adjustRightInd w:val="0"/>
              <w:snapToGrid w:val="0"/>
              <w:spacing w:after="0" w:line="300" w:lineRule="exact"/>
              <w:jc w:val="both"/>
              <w:rPr>
                <w:rFonts w:ascii="宋体" w:hAnsi="宋体" w:eastAsia="宋体" w:cs="Times New Roman"/>
                <w:sz w:val="21"/>
                <w:szCs w:val="22"/>
                <w14:ligatures w14:val="none"/>
              </w:rPr>
            </w:pPr>
            <w:r>
              <w:rPr>
                <w:rFonts w:ascii="宋体" w:hAnsi="宋体" w:eastAsia="宋体" w:cs="Times New Roman"/>
                <w:sz w:val="21"/>
                <w:szCs w:val="22"/>
                <w14:ligatures w14:val="none"/>
              </w:rPr>
              <w:t>在评标过程中，评标委员会应对以下信息进行查询：</w:t>
            </w:r>
          </w:p>
          <w:p w14:paraId="01014993">
            <w:pPr>
              <w:spacing w:after="0" w:line="240" w:lineRule="auto"/>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1）评标委员会评标时在“国家企业信用信息公示系统（http://www.gsxt.gov.cn/)”对投标人的信用情况进行查询，若投标人存在被列入“严重违法失信名单（黑名单）信息”情形的（不含分公司），评标委员会应否决其投标。</w:t>
            </w:r>
          </w:p>
          <w:p w14:paraId="297033F7">
            <w:pPr>
              <w:spacing w:after="0" w:line="360" w:lineRule="exact"/>
              <w:ind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2）评标委员会评标时在“信用中国网站（http://www.creditchina.gov.cn/)”进行查询，若投标人存在被列入“失信被执行人（或中国执行信息公开网http://zxgk.court.gov.cn/shixin/被执行人查询）、经营（活动）异常名录信息查询、重大税收违法失信主体、安全生产严重失信主体名单、政府采购严重违法失信行为记录名单”情形的（均不含分公司），评标委员会应否决其投标。</w:t>
            </w:r>
          </w:p>
          <w:p w14:paraId="508660F9">
            <w:pPr>
              <w:spacing w:after="0" w:line="360" w:lineRule="exact"/>
              <w:ind w:firstLine="420" w:firstLineChars="200"/>
              <w:jc w:val="both"/>
              <w:rPr>
                <w:rFonts w:ascii="Times New Roman" w:hAnsi="Times New Roman" w:eastAsia="宋体" w:cs="Times New Roman"/>
                <w:sz w:val="21"/>
                <w:szCs w:val="22"/>
                <w14:ligatures w14:val="none"/>
              </w:rPr>
            </w:pPr>
            <w:r>
              <w:rPr>
                <w:rFonts w:ascii="宋体" w:hAnsi="宋体" w:eastAsia="宋体" w:cs="Times New Roman"/>
                <w:sz w:val="21"/>
                <w:szCs w:val="21"/>
                <w14:ligatures w14:val="none"/>
              </w:rPr>
              <w:t>（3）评标委员会在评标时按照投标人提供的验证方式对电子保函或电子保证保险进行验证。如投标人未提供电子保函或电子保证保险的验证方式，或根据提供的验证方式无法核实的，评标委员会应否决其投标。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249D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jc w:val="center"/>
        </w:trPr>
        <w:tc>
          <w:tcPr>
            <w:tcW w:w="9600" w:type="dxa"/>
            <w:gridSpan w:val="3"/>
            <w:tcBorders>
              <w:top w:val="single" w:color="auto" w:sz="4" w:space="0"/>
              <w:left w:val="single" w:color="auto" w:sz="4" w:space="0"/>
              <w:bottom w:val="single" w:color="auto" w:sz="4" w:space="0"/>
              <w:right w:val="single" w:color="auto" w:sz="4" w:space="0"/>
            </w:tcBorders>
            <w:vAlign w:val="center"/>
          </w:tcPr>
          <w:p w14:paraId="7F0CAEDD">
            <w:pPr>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需要补充的其他内容：无</w:t>
            </w:r>
          </w:p>
        </w:tc>
      </w:tr>
    </w:tbl>
    <w:p w14:paraId="40B9A870">
      <w:pPr>
        <w:spacing w:after="0" w:line="240" w:lineRule="auto"/>
        <w:rPr>
          <w:rFonts w:ascii="宋体" w:hAnsi="宋体" w:eastAsia="宋体" w:cs="Times New Roman"/>
          <w:sz w:val="21"/>
          <w:szCs w:val="21"/>
          <w14:ligatures w14:val="none"/>
        </w:rPr>
      </w:pPr>
      <w:r>
        <w:rPr>
          <w:rFonts w:ascii="宋体" w:hAnsi="宋体" w:eastAsia="宋体" w:cs="Times New Roman"/>
          <w:sz w:val="21"/>
          <w:szCs w:val="21"/>
          <w14:ligatures w14:val="none"/>
        </w:rPr>
        <w:br w:type="page"/>
      </w:r>
      <w:r>
        <w:rPr>
          <w:rFonts w:ascii="宋体" w:hAnsi="宋体" w:eastAsia="宋体" w:cs="Times New Roman"/>
          <w:sz w:val="21"/>
          <w:szCs w:val="21"/>
          <w14:ligatures w14:val="none"/>
        </w:rPr>
        <w:t>具体评分标准如下：</w:t>
      </w:r>
    </w:p>
    <w:tbl>
      <w:tblPr>
        <w:tblStyle w:val="16"/>
        <w:tblW w:w="9710"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57" w:type="dxa"/>
          <w:bottom w:w="0" w:type="dxa"/>
          <w:right w:w="57" w:type="dxa"/>
        </w:tblCellMar>
      </w:tblPr>
      <w:tblGrid>
        <w:gridCol w:w="735"/>
        <w:gridCol w:w="1030"/>
        <w:gridCol w:w="1124"/>
        <w:gridCol w:w="843"/>
        <w:gridCol w:w="5978"/>
      </w:tblGrid>
      <w:tr w14:paraId="5295FF8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561" w:hRule="atLeast"/>
          <w:jc w:val="center"/>
        </w:trPr>
        <w:tc>
          <w:tcPr>
            <w:tcW w:w="735" w:type="dxa"/>
            <w:vAlign w:val="center"/>
          </w:tcPr>
          <w:p w14:paraId="2D7F9792">
            <w:pPr>
              <w:spacing w:after="0"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序号</w:t>
            </w:r>
          </w:p>
        </w:tc>
        <w:tc>
          <w:tcPr>
            <w:tcW w:w="2154" w:type="dxa"/>
            <w:gridSpan w:val="2"/>
            <w:vAlign w:val="center"/>
          </w:tcPr>
          <w:p w14:paraId="12E68F70">
            <w:pPr>
              <w:spacing w:after="0"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评审项目</w:t>
            </w:r>
          </w:p>
        </w:tc>
        <w:tc>
          <w:tcPr>
            <w:tcW w:w="843" w:type="dxa"/>
            <w:vAlign w:val="center"/>
          </w:tcPr>
          <w:p w14:paraId="32197589">
            <w:pPr>
              <w:spacing w:after="0"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标准分</w:t>
            </w:r>
          </w:p>
        </w:tc>
        <w:tc>
          <w:tcPr>
            <w:tcW w:w="5978" w:type="dxa"/>
            <w:vAlign w:val="center"/>
          </w:tcPr>
          <w:p w14:paraId="15BEC4F1">
            <w:pPr>
              <w:spacing w:after="0" w:line="240" w:lineRule="auto"/>
              <w:jc w:val="center"/>
              <w:rPr>
                <w:rFonts w:ascii="宋体" w:hAnsi="宋体" w:eastAsia="宋体" w:cs="Times New Roman"/>
                <w:sz w:val="21"/>
                <w:szCs w:val="21"/>
                <w14:ligatures w14:val="none"/>
              </w:rPr>
            </w:pPr>
            <w:r>
              <w:rPr>
                <w:rFonts w:ascii="宋体" w:hAnsi="宋体" w:eastAsia="宋体" w:cs="Times New Roman"/>
                <w:sz w:val="21"/>
                <w:szCs w:val="21"/>
                <w14:ligatures w14:val="none"/>
              </w:rPr>
              <w:t>评     分     标     准</w:t>
            </w:r>
          </w:p>
        </w:tc>
      </w:tr>
      <w:tr w14:paraId="5F4B43E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1747" w:hRule="exact"/>
          <w:jc w:val="center"/>
        </w:trPr>
        <w:tc>
          <w:tcPr>
            <w:tcW w:w="735" w:type="dxa"/>
            <w:vMerge w:val="restart"/>
            <w:tcBorders>
              <w:right w:val="single" w:color="auto" w:sz="2" w:space="0"/>
            </w:tcBorders>
            <w:vAlign w:val="center"/>
          </w:tcPr>
          <w:p w14:paraId="5F79D8A7">
            <w:pPr>
              <w:snapToGrid w:val="0"/>
              <w:spacing w:after="0" w:line="240" w:lineRule="auto"/>
              <w:jc w:val="center"/>
              <w:rPr>
                <w:rFonts w:ascii="宋体" w:hAnsi="宋体" w:eastAsia="宋体" w:cs="宋体"/>
                <w:bCs/>
                <w:w w:val="90"/>
                <w:sz w:val="21"/>
                <w:szCs w:val="21"/>
                <w14:ligatures w14:val="none"/>
              </w:rPr>
            </w:pPr>
            <w:r>
              <w:rPr>
                <w:rFonts w:ascii="宋体" w:hAnsi="宋体" w:eastAsia="宋体" w:cs="宋体"/>
                <w:bCs/>
                <w:w w:val="90"/>
                <w:sz w:val="21"/>
                <w:szCs w:val="21"/>
                <w14:ligatures w14:val="none"/>
              </w:rPr>
              <w:t>2.2.4（1）</w:t>
            </w:r>
          </w:p>
        </w:tc>
        <w:tc>
          <w:tcPr>
            <w:tcW w:w="1030" w:type="dxa"/>
            <w:vMerge w:val="restart"/>
            <w:tcBorders>
              <w:left w:val="single" w:color="auto" w:sz="2" w:space="0"/>
              <w:right w:val="single" w:color="auto" w:sz="2" w:space="0"/>
            </w:tcBorders>
            <w:vAlign w:val="center"/>
          </w:tcPr>
          <w:p w14:paraId="6079785A">
            <w:pPr>
              <w:snapToGrid w:val="0"/>
              <w:spacing w:before="156" w:beforeLines="50" w:after="156" w:afterLines="5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服务方案</w:t>
            </w:r>
          </w:p>
          <w:p w14:paraId="2F0AEDF0">
            <w:pPr>
              <w:snapToGrid w:val="0"/>
              <w:spacing w:before="156" w:beforeLines="50" w:after="156" w:afterLines="5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（40分）</w:t>
            </w:r>
          </w:p>
        </w:tc>
        <w:tc>
          <w:tcPr>
            <w:tcW w:w="1124" w:type="dxa"/>
            <w:tcBorders>
              <w:left w:val="single" w:color="auto" w:sz="2" w:space="0"/>
            </w:tcBorders>
            <w:vAlign w:val="center"/>
          </w:tcPr>
          <w:p w14:paraId="5156D07A">
            <w:pPr>
              <w:snapToGrid w:val="0"/>
              <w:spacing w:before="156" w:beforeLines="50" w:after="156" w:afterLines="50" w:line="240" w:lineRule="auto"/>
              <w:jc w:val="center"/>
              <w:rPr>
                <w:rFonts w:ascii="宋体" w:hAnsi="宋体" w:eastAsia="宋体" w:cs="仿宋"/>
                <w:bCs/>
                <w:sz w:val="21"/>
                <w:szCs w:val="21"/>
                <w14:ligatures w14:val="none"/>
              </w:rPr>
            </w:pPr>
            <w:r>
              <w:rPr>
                <w:rFonts w:ascii="宋体" w:hAnsi="宋体" w:eastAsia="宋体" w:cs="仿宋"/>
                <w:bCs/>
                <w:sz w:val="21"/>
                <w:szCs w:val="21"/>
                <w14:ligatures w14:val="none"/>
              </w:rPr>
              <w:t>服务方案</w:t>
            </w:r>
          </w:p>
          <w:p w14:paraId="0A88AC52">
            <w:pPr>
              <w:snapToGrid w:val="0"/>
              <w:spacing w:before="156" w:beforeLines="50" w:after="156" w:afterLines="50" w:line="240" w:lineRule="auto"/>
              <w:jc w:val="center"/>
              <w:rPr>
                <w:rFonts w:ascii="宋体" w:hAnsi="宋体" w:eastAsia="宋体" w:cs="仿宋"/>
                <w:bCs/>
                <w:sz w:val="21"/>
                <w:szCs w:val="21"/>
                <w14:ligatures w14:val="none"/>
              </w:rPr>
            </w:pPr>
            <w:r>
              <w:rPr>
                <w:rFonts w:ascii="宋体" w:hAnsi="宋体" w:eastAsia="宋体" w:cs="仿宋"/>
                <w:bCs/>
                <w:sz w:val="21"/>
                <w:szCs w:val="21"/>
                <w14:ligatures w14:val="none"/>
              </w:rPr>
              <w:t>完整性</w:t>
            </w:r>
          </w:p>
        </w:tc>
        <w:tc>
          <w:tcPr>
            <w:tcW w:w="843" w:type="dxa"/>
            <w:vAlign w:val="center"/>
          </w:tcPr>
          <w:p w14:paraId="38476AA8">
            <w:pPr>
              <w:snapToGrid w:val="0"/>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10分</w:t>
            </w:r>
          </w:p>
        </w:tc>
        <w:tc>
          <w:tcPr>
            <w:tcW w:w="5978" w:type="dxa"/>
            <w:vAlign w:val="center"/>
          </w:tcPr>
          <w:p w14:paraId="26D37098">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关键服务项目基本满足项目要求招标文件要求，得6 分。</w:t>
            </w:r>
          </w:p>
          <w:p w14:paraId="18934E96">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关键服务项目存在轻微偏离（如部分服务内容简化）能较好满</w:t>
            </w:r>
          </w:p>
          <w:p w14:paraId="663AA263">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足项目要求，得6－8 分；</w:t>
            </w:r>
          </w:p>
          <w:p w14:paraId="72749E42">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整体方案完整覆盖编制、初评、渗透、整改、复评、报告等全</w:t>
            </w:r>
          </w:p>
          <w:p w14:paraId="7EE83233">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流程，且各环节流程设计合理、逻辑清晰、符合等保测评规范，</w:t>
            </w:r>
          </w:p>
          <w:p w14:paraId="2CDAC1D8">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完全满足项目要求，得8－10 分；</w:t>
            </w:r>
          </w:p>
        </w:tc>
      </w:tr>
      <w:tr w14:paraId="6E39A5C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997" w:hRule="exact"/>
          <w:jc w:val="center"/>
        </w:trPr>
        <w:tc>
          <w:tcPr>
            <w:tcW w:w="735" w:type="dxa"/>
            <w:vMerge w:val="continue"/>
            <w:tcBorders>
              <w:right w:val="single" w:color="auto" w:sz="2" w:space="0"/>
            </w:tcBorders>
            <w:vAlign w:val="center"/>
          </w:tcPr>
          <w:p w14:paraId="6579A75F">
            <w:pPr>
              <w:snapToGrid w:val="0"/>
              <w:spacing w:after="0" w:line="240" w:lineRule="auto"/>
              <w:jc w:val="center"/>
              <w:rPr>
                <w:rFonts w:ascii="宋体" w:hAnsi="宋体" w:eastAsia="宋体" w:cs="宋体"/>
                <w:bCs/>
                <w:w w:val="90"/>
                <w:sz w:val="21"/>
                <w:szCs w:val="21"/>
                <w14:ligatures w14:val="none"/>
              </w:rPr>
            </w:pPr>
          </w:p>
        </w:tc>
        <w:tc>
          <w:tcPr>
            <w:tcW w:w="1030" w:type="dxa"/>
            <w:vMerge w:val="continue"/>
            <w:tcBorders>
              <w:left w:val="single" w:color="auto" w:sz="2" w:space="0"/>
              <w:right w:val="single" w:color="auto" w:sz="2" w:space="0"/>
            </w:tcBorders>
            <w:vAlign w:val="center"/>
          </w:tcPr>
          <w:p w14:paraId="0716E445">
            <w:pPr>
              <w:snapToGrid w:val="0"/>
              <w:spacing w:after="0" w:line="240" w:lineRule="auto"/>
              <w:jc w:val="center"/>
              <w:rPr>
                <w:rFonts w:ascii="宋体" w:hAnsi="宋体" w:eastAsia="宋体" w:cs="宋体"/>
                <w:bCs/>
                <w:sz w:val="21"/>
                <w:szCs w:val="21"/>
                <w14:ligatures w14:val="none"/>
              </w:rPr>
            </w:pPr>
          </w:p>
        </w:tc>
        <w:tc>
          <w:tcPr>
            <w:tcW w:w="1124" w:type="dxa"/>
            <w:tcBorders>
              <w:left w:val="single" w:color="auto" w:sz="2" w:space="0"/>
            </w:tcBorders>
            <w:vAlign w:val="center"/>
          </w:tcPr>
          <w:p w14:paraId="143FEF1B">
            <w:pPr>
              <w:autoSpaceDE w:val="0"/>
              <w:autoSpaceDN w:val="0"/>
              <w:adjustRightInd w:val="0"/>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重点及难点分析</w:t>
            </w:r>
          </w:p>
        </w:tc>
        <w:tc>
          <w:tcPr>
            <w:tcW w:w="843" w:type="dxa"/>
            <w:vAlign w:val="center"/>
          </w:tcPr>
          <w:p w14:paraId="73C48F96">
            <w:pPr>
              <w:snapToGrid w:val="0"/>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10分</w:t>
            </w:r>
          </w:p>
        </w:tc>
        <w:tc>
          <w:tcPr>
            <w:tcW w:w="5978" w:type="dxa"/>
            <w:vAlign w:val="center"/>
          </w:tcPr>
          <w:p w14:paraId="56C550D9">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分析一般，得6 分；</w:t>
            </w:r>
          </w:p>
          <w:p w14:paraId="6ABB6946">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分析较全面、措施较得力，得6－8 分；</w:t>
            </w:r>
          </w:p>
          <w:p w14:paraId="32C29778">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分析透彻、措施具体得力，得8－10 分。</w:t>
            </w:r>
          </w:p>
        </w:tc>
      </w:tr>
      <w:tr w14:paraId="7F2A056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1672" w:hRule="atLeast"/>
          <w:jc w:val="center"/>
        </w:trPr>
        <w:tc>
          <w:tcPr>
            <w:tcW w:w="735" w:type="dxa"/>
            <w:vMerge w:val="continue"/>
            <w:tcBorders>
              <w:right w:val="single" w:color="auto" w:sz="2" w:space="0"/>
            </w:tcBorders>
            <w:vAlign w:val="center"/>
          </w:tcPr>
          <w:p w14:paraId="349A365D">
            <w:pPr>
              <w:snapToGrid w:val="0"/>
              <w:spacing w:after="0" w:line="240" w:lineRule="auto"/>
              <w:jc w:val="center"/>
              <w:rPr>
                <w:rFonts w:ascii="宋体" w:hAnsi="宋体" w:eastAsia="宋体" w:cs="宋体"/>
                <w:bCs/>
                <w:w w:val="90"/>
                <w:sz w:val="21"/>
                <w:szCs w:val="21"/>
                <w14:ligatures w14:val="none"/>
              </w:rPr>
            </w:pPr>
          </w:p>
        </w:tc>
        <w:tc>
          <w:tcPr>
            <w:tcW w:w="1030" w:type="dxa"/>
            <w:vMerge w:val="continue"/>
            <w:tcBorders>
              <w:left w:val="single" w:color="auto" w:sz="2" w:space="0"/>
              <w:right w:val="single" w:color="auto" w:sz="2" w:space="0"/>
            </w:tcBorders>
            <w:vAlign w:val="center"/>
          </w:tcPr>
          <w:p w14:paraId="1B244A8E">
            <w:pPr>
              <w:snapToGrid w:val="0"/>
              <w:spacing w:after="0" w:line="240" w:lineRule="auto"/>
              <w:jc w:val="center"/>
              <w:rPr>
                <w:rFonts w:ascii="宋体" w:hAnsi="宋体" w:eastAsia="宋体" w:cs="宋体"/>
                <w:bCs/>
                <w:sz w:val="21"/>
                <w:szCs w:val="21"/>
                <w14:ligatures w14:val="none"/>
              </w:rPr>
            </w:pPr>
          </w:p>
        </w:tc>
        <w:tc>
          <w:tcPr>
            <w:tcW w:w="1124" w:type="dxa"/>
            <w:tcBorders>
              <w:left w:val="single" w:color="auto" w:sz="2" w:space="0"/>
            </w:tcBorders>
            <w:vAlign w:val="center"/>
          </w:tcPr>
          <w:p w14:paraId="5A4CE8F9">
            <w:pPr>
              <w:snapToGrid w:val="0"/>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工作质量控制方法及措施</w:t>
            </w:r>
          </w:p>
        </w:tc>
        <w:tc>
          <w:tcPr>
            <w:tcW w:w="843" w:type="dxa"/>
            <w:vAlign w:val="center"/>
          </w:tcPr>
          <w:p w14:paraId="53928BEC">
            <w:pPr>
              <w:snapToGrid w:val="0"/>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10分</w:t>
            </w:r>
          </w:p>
        </w:tc>
        <w:tc>
          <w:tcPr>
            <w:tcW w:w="5978" w:type="dxa"/>
            <w:vAlign w:val="center"/>
          </w:tcPr>
          <w:p w14:paraId="380EB30D">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拟采取的控制方法及措施符合法律法规要求，针对性、可操作</w:t>
            </w:r>
          </w:p>
          <w:p w14:paraId="26F7DD28">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性一般，得6 分；</w:t>
            </w:r>
          </w:p>
          <w:p w14:paraId="0DEBFC6F">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拟采取的控制方法及措施符合法律法规要求，针对性、可操作</w:t>
            </w:r>
          </w:p>
          <w:p w14:paraId="313FEAF1">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性较强，得6－8 分；</w:t>
            </w:r>
          </w:p>
          <w:p w14:paraId="7C24F75D">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拟采取的控制方法及措施符合法律法规要求，针对性、可操作</w:t>
            </w:r>
          </w:p>
          <w:p w14:paraId="3132A67E">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性强，得8－10 分。</w:t>
            </w:r>
          </w:p>
        </w:tc>
      </w:tr>
      <w:tr w14:paraId="0DE99D4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983" w:hRule="atLeast"/>
          <w:jc w:val="center"/>
        </w:trPr>
        <w:tc>
          <w:tcPr>
            <w:tcW w:w="735" w:type="dxa"/>
            <w:vMerge w:val="continue"/>
            <w:tcBorders>
              <w:right w:val="single" w:color="auto" w:sz="2" w:space="0"/>
            </w:tcBorders>
            <w:vAlign w:val="center"/>
          </w:tcPr>
          <w:p w14:paraId="0A1EA4F4">
            <w:pPr>
              <w:snapToGrid w:val="0"/>
              <w:spacing w:after="0" w:line="240" w:lineRule="auto"/>
              <w:jc w:val="center"/>
              <w:rPr>
                <w:rFonts w:ascii="宋体" w:hAnsi="宋体" w:eastAsia="宋体" w:cs="宋体"/>
                <w:bCs/>
                <w:w w:val="90"/>
                <w:sz w:val="21"/>
                <w:szCs w:val="21"/>
                <w14:ligatures w14:val="none"/>
              </w:rPr>
            </w:pPr>
          </w:p>
        </w:tc>
        <w:tc>
          <w:tcPr>
            <w:tcW w:w="1030" w:type="dxa"/>
            <w:vMerge w:val="continue"/>
            <w:tcBorders>
              <w:left w:val="single" w:color="auto" w:sz="2" w:space="0"/>
              <w:right w:val="single" w:color="auto" w:sz="2" w:space="0"/>
            </w:tcBorders>
            <w:vAlign w:val="center"/>
          </w:tcPr>
          <w:p w14:paraId="54AAD86A">
            <w:pPr>
              <w:snapToGrid w:val="0"/>
              <w:spacing w:after="0" w:line="240" w:lineRule="auto"/>
              <w:jc w:val="center"/>
              <w:rPr>
                <w:rFonts w:ascii="宋体" w:hAnsi="宋体" w:eastAsia="宋体" w:cs="宋体"/>
                <w:bCs/>
                <w:sz w:val="21"/>
                <w:szCs w:val="21"/>
                <w14:ligatures w14:val="none"/>
              </w:rPr>
            </w:pPr>
          </w:p>
        </w:tc>
        <w:tc>
          <w:tcPr>
            <w:tcW w:w="1124" w:type="dxa"/>
            <w:tcBorders>
              <w:left w:val="single" w:color="auto" w:sz="2" w:space="0"/>
            </w:tcBorders>
            <w:vAlign w:val="center"/>
          </w:tcPr>
          <w:p w14:paraId="393D480E">
            <w:pPr>
              <w:snapToGrid w:val="0"/>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工作进度</w:t>
            </w:r>
          </w:p>
          <w:p w14:paraId="7F0209FD">
            <w:pPr>
              <w:snapToGrid w:val="0"/>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安排</w:t>
            </w:r>
          </w:p>
        </w:tc>
        <w:tc>
          <w:tcPr>
            <w:tcW w:w="843" w:type="dxa"/>
            <w:vAlign w:val="center"/>
          </w:tcPr>
          <w:p w14:paraId="0C462500">
            <w:pPr>
              <w:snapToGrid w:val="0"/>
              <w:spacing w:after="0" w:line="240" w:lineRule="auto"/>
              <w:jc w:val="center"/>
              <w:rPr>
                <w:rFonts w:ascii="宋体" w:hAnsi="宋体" w:eastAsia="宋体" w:cs="仿宋"/>
                <w:bCs/>
                <w:sz w:val="21"/>
                <w:szCs w:val="21"/>
                <w14:ligatures w14:val="none"/>
              </w:rPr>
            </w:pPr>
            <w:r>
              <w:rPr>
                <w:rFonts w:ascii="宋体" w:hAnsi="宋体" w:eastAsia="宋体" w:cs="宋体"/>
                <w:bCs/>
                <w:sz w:val="21"/>
                <w:szCs w:val="21"/>
                <w14:ligatures w14:val="none"/>
              </w:rPr>
              <w:t>5分</w:t>
            </w:r>
          </w:p>
        </w:tc>
        <w:tc>
          <w:tcPr>
            <w:tcW w:w="5978" w:type="dxa"/>
            <w:vAlign w:val="center"/>
          </w:tcPr>
          <w:p w14:paraId="7A062EAA">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进度安排一般，基本满足项目要求，得3 分；</w:t>
            </w:r>
          </w:p>
          <w:p w14:paraId="5A391C67">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进度安排较合理，能较好满足项目要求，得3－4 分；</w:t>
            </w:r>
          </w:p>
          <w:p w14:paraId="5C0383F1">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进度安排合理周密，完全满足项目要求，得4－5 分。</w:t>
            </w:r>
          </w:p>
        </w:tc>
      </w:tr>
      <w:tr w14:paraId="4A82A57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1147" w:hRule="exact"/>
          <w:jc w:val="center"/>
        </w:trPr>
        <w:tc>
          <w:tcPr>
            <w:tcW w:w="735" w:type="dxa"/>
            <w:vMerge w:val="continue"/>
            <w:tcBorders>
              <w:right w:val="single" w:color="auto" w:sz="2" w:space="0"/>
            </w:tcBorders>
            <w:vAlign w:val="center"/>
          </w:tcPr>
          <w:p w14:paraId="56446A43">
            <w:pPr>
              <w:snapToGrid w:val="0"/>
              <w:spacing w:after="0" w:line="240" w:lineRule="auto"/>
              <w:jc w:val="center"/>
              <w:rPr>
                <w:rFonts w:ascii="宋体" w:hAnsi="宋体" w:eastAsia="宋体" w:cs="宋体"/>
                <w:bCs/>
                <w:w w:val="90"/>
                <w:sz w:val="21"/>
                <w:szCs w:val="21"/>
                <w14:ligatures w14:val="none"/>
              </w:rPr>
            </w:pPr>
          </w:p>
        </w:tc>
        <w:tc>
          <w:tcPr>
            <w:tcW w:w="1030" w:type="dxa"/>
            <w:vMerge w:val="continue"/>
            <w:tcBorders>
              <w:left w:val="single" w:color="auto" w:sz="2" w:space="0"/>
              <w:right w:val="single" w:color="auto" w:sz="2" w:space="0"/>
            </w:tcBorders>
            <w:vAlign w:val="center"/>
          </w:tcPr>
          <w:p w14:paraId="19AD7DA2">
            <w:pPr>
              <w:snapToGrid w:val="0"/>
              <w:spacing w:after="0" w:line="240" w:lineRule="auto"/>
              <w:jc w:val="center"/>
              <w:rPr>
                <w:rFonts w:ascii="宋体" w:hAnsi="宋体" w:eastAsia="宋体" w:cs="宋体"/>
                <w:bCs/>
                <w:sz w:val="21"/>
                <w:szCs w:val="21"/>
                <w14:ligatures w14:val="none"/>
              </w:rPr>
            </w:pPr>
          </w:p>
        </w:tc>
        <w:tc>
          <w:tcPr>
            <w:tcW w:w="1124" w:type="dxa"/>
            <w:tcBorders>
              <w:left w:val="single" w:color="auto" w:sz="2" w:space="0"/>
            </w:tcBorders>
            <w:vAlign w:val="center"/>
          </w:tcPr>
          <w:p w14:paraId="2FB97BE8">
            <w:pPr>
              <w:snapToGrid w:val="0"/>
              <w:spacing w:after="0" w:line="240" w:lineRule="auto"/>
              <w:jc w:val="center"/>
              <w:rPr>
                <w:rFonts w:ascii="宋体" w:hAnsi="宋体" w:eastAsia="宋体" w:cs="仿宋"/>
                <w:bCs/>
                <w:sz w:val="21"/>
                <w:szCs w:val="21"/>
                <w14:ligatures w14:val="none"/>
              </w:rPr>
            </w:pPr>
            <w:r>
              <w:rPr>
                <w:rFonts w:ascii="宋体" w:hAnsi="宋体" w:eastAsia="宋体" w:cs="仿宋"/>
                <w:bCs/>
                <w:sz w:val="21"/>
                <w:szCs w:val="21"/>
                <w14:ligatures w14:val="none"/>
              </w:rPr>
              <w:t>技术支持</w:t>
            </w:r>
          </w:p>
          <w:p w14:paraId="79D334C4">
            <w:pPr>
              <w:snapToGrid w:val="0"/>
              <w:spacing w:after="0" w:line="240" w:lineRule="auto"/>
              <w:jc w:val="center"/>
              <w:rPr>
                <w:rFonts w:ascii="宋体" w:hAnsi="宋体" w:eastAsia="宋体" w:cs="仿宋"/>
                <w:bCs/>
                <w:sz w:val="21"/>
                <w:szCs w:val="21"/>
                <w14:ligatures w14:val="none"/>
              </w:rPr>
            </w:pPr>
            <w:r>
              <w:rPr>
                <w:rFonts w:ascii="宋体" w:hAnsi="宋体" w:eastAsia="宋体" w:cs="仿宋"/>
                <w:bCs/>
                <w:sz w:val="21"/>
                <w:szCs w:val="21"/>
                <w14:ligatures w14:val="none"/>
              </w:rPr>
              <w:t>方案</w:t>
            </w:r>
          </w:p>
        </w:tc>
        <w:tc>
          <w:tcPr>
            <w:tcW w:w="843" w:type="dxa"/>
            <w:vAlign w:val="center"/>
          </w:tcPr>
          <w:p w14:paraId="369C39F7">
            <w:pPr>
              <w:snapToGrid w:val="0"/>
              <w:spacing w:after="0" w:line="240" w:lineRule="auto"/>
              <w:jc w:val="center"/>
              <w:rPr>
                <w:rFonts w:ascii="宋体" w:hAnsi="宋体" w:eastAsia="宋体" w:cs="仿宋"/>
                <w:bCs/>
                <w:sz w:val="21"/>
                <w:szCs w:val="21"/>
                <w14:ligatures w14:val="none"/>
              </w:rPr>
            </w:pPr>
            <w:r>
              <w:rPr>
                <w:rFonts w:ascii="宋体" w:hAnsi="宋体" w:eastAsia="宋体" w:cs="宋体"/>
                <w:bCs/>
                <w:sz w:val="21"/>
                <w:szCs w:val="21"/>
                <w14:ligatures w14:val="none"/>
              </w:rPr>
              <w:t>5分</w:t>
            </w:r>
          </w:p>
        </w:tc>
        <w:tc>
          <w:tcPr>
            <w:tcW w:w="5978" w:type="dxa"/>
            <w:vAlign w:val="center"/>
          </w:tcPr>
          <w:p w14:paraId="22688ED3">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技术支持方案内容不明确或响应机制一般，得3 分；</w:t>
            </w:r>
          </w:p>
          <w:p w14:paraId="203C032E">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技术支持方案内容较明确或响应机制较完善，得3－4 分；</w:t>
            </w:r>
          </w:p>
          <w:p w14:paraId="3952BCF9">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明确提供等保业务技术支持（含问题解答、技术咨询、培训等），</w:t>
            </w:r>
          </w:p>
          <w:p w14:paraId="36287E50">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并建立合理响应机制确保及时有效服务，全项达标得4－5 分。</w:t>
            </w:r>
          </w:p>
        </w:tc>
      </w:tr>
      <w:tr w14:paraId="64497CD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2382" w:hRule="exact"/>
          <w:jc w:val="center"/>
        </w:trPr>
        <w:tc>
          <w:tcPr>
            <w:tcW w:w="735" w:type="dxa"/>
            <w:tcBorders>
              <w:right w:val="single" w:color="auto" w:sz="2" w:space="0"/>
            </w:tcBorders>
            <w:vAlign w:val="center"/>
          </w:tcPr>
          <w:p w14:paraId="1111CCDA">
            <w:pPr>
              <w:snapToGrid w:val="0"/>
              <w:spacing w:after="0" w:line="240" w:lineRule="auto"/>
              <w:jc w:val="center"/>
              <w:rPr>
                <w:rFonts w:ascii="宋体" w:hAnsi="宋体" w:eastAsia="宋体" w:cs="宋体"/>
                <w:bCs/>
                <w:w w:val="90"/>
                <w:sz w:val="21"/>
                <w:szCs w:val="21"/>
                <w14:ligatures w14:val="none"/>
              </w:rPr>
            </w:pPr>
            <w:r>
              <w:rPr>
                <w:rFonts w:ascii="宋体" w:hAnsi="宋体" w:eastAsia="宋体" w:cs="宋体"/>
                <w:bCs/>
                <w:w w:val="90"/>
                <w:sz w:val="21"/>
                <w:szCs w:val="21"/>
                <w14:ligatures w14:val="none"/>
              </w:rPr>
              <w:t>2.2.4（2）</w:t>
            </w:r>
          </w:p>
        </w:tc>
        <w:tc>
          <w:tcPr>
            <w:tcW w:w="1030" w:type="dxa"/>
            <w:tcBorders>
              <w:left w:val="single" w:color="auto" w:sz="2" w:space="0"/>
              <w:right w:val="single" w:color="auto" w:sz="2" w:space="0"/>
            </w:tcBorders>
            <w:vAlign w:val="center"/>
          </w:tcPr>
          <w:p w14:paraId="72EC70C7">
            <w:pPr>
              <w:snapToGrid w:val="0"/>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主要</w:t>
            </w:r>
          </w:p>
          <w:p w14:paraId="73AF7B39">
            <w:pPr>
              <w:snapToGrid w:val="0"/>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人员</w:t>
            </w:r>
          </w:p>
          <w:p w14:paraId="2E174081">
            <w:pPr>
              <w:snapToGrid w:val="0"/>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（20分）</w:t>
            </w:r>
          </w:p>
        </w:tc>
        <w:tc>
          <w:tcPr>
            <w:tcW w:w="1124" w:type="dxa"/>
            <w:tcBorders>
              <w:left w:val="single" w:color="auto" w:sz="2" w:space="0"/>
            </w:tcBorders>
            <w:vAlign w:val="center"/>
          </w:tcPr>
          <w:p w14:paraId="4D126603">
            <w:pPr>
              <w:snapToGrid w:val="0"/>
              <w:spacing w:after="0" w:line="240" w:lineRule="auto"/>
              <w:jc w:val="center"/>
              <w:rPr>
                <w:rFonts w:ascii="宋体" w:hAnsi="宋体" w:eastAsia="宋体" w:cs="仿宋"/>
                <w:bCs/>
                <w:sz w:val="21"/>
                <w:szCs w:val="21"/>
                <w14:ligatures w14:val="none"/>
              </w:rPr>
            </w:pPr>
            <w:r>
              <w:rPr>
                <w:rFonts w:ascii="宋体" w:hAnsi="宋体" w:eastAsia="宋体" w:cs="仿宋"/>
                <w:bCs/>
                <w:sz w:val="21"/>
                <w:szCs w:val="21"/>
                <w14:ligatures w14:val="none"/>
              </w:rPr>
              <w:t>项目负责</w:t>
            </w:r>
          </w:p>
          <w:p w14:paraId="55E05010">
            <w:pPr>
              <w:snapToGrid w:val="0"/>
              <w:spacing w:after="0" w:line="240" w:lineRule="auto"/>
              <w:jc w:val="center"/>
              <w:rPr>
                <w:rFonts w:ascii="宋体" w:hAnsi="宋体" w:eastAsia="宋体" w:cs="仿宋"/>
                <w:bCs/>
                <w:sz w:val="21"/>
                <w:szCs w:val="21"/>
                <w14:ligatures w14:val="none"/>
              </w:rPr>
            </w:pPr>
            <w:r>
              <w:rPr>
                <w:rFonts w:ascii="宋体" w:hAnsi="宋体" w:eastAsia="宋体" w:cs="仿宋"/>
                <w:bCs/>
                <w:sz w:val="21"/>
                <w:szCs w:val="21"/>
                <w14:ligatures w14:val="none"/>
              </w:rPr>
              <w:t>人</w:t>
            </w:r>
          </w:p>
        </w:tc>
        <w:tc>
          <w:tcPr>
            <w:tcW w:w="843" w:type="dxa"/>
            <w:vAlign w:val="center"/>
          </w:tcPr>
          <w:p w14:paraId="196C60E3">
            <w:pPr>
              <w:snapToGrid w:val="0"/>
              <w:spacing w:after="0" w:line="240" w:lineRule="auto"/>
              <w:jc w:val="center"/>
              <w:rPr>
                <w:rFonts w:ascii="宋体" w:hAnsi="宋体" w:eastAsia="宋体" w:cs="仿宋"/>
                <w:bCs/>
                <w:sz w:val="21"/>
                <w:szCs w:val="21"/>
                <w14:ligatures w14:val="none"/>
              </w:rPr>
            </w:pPr>
            <w:r>
              <w:rPr>
                <w:rFonts w:ascii="宋体" w:hAnsi="宋体" w:eastAsia="宋体" w:cs="仿宋"/>
                <w:bCs/>
                <w:sz w:val="21"/>
                <w:szCs w:val="21"/>
                <w14:ligatures w14:val="none"/>
              </w:rPr>
              <w:t>20分</w:t>
            </w:r>
          </w:p>
        </w:tc>
        <w:tc>
          <w:tcPr>
            <w:tcW w:w="5978" w:type="dxa"/>
            <w:vAlign w:val="center"/>
          </w:tcPr>
          <w:p w14:paraId="6DCDAD98">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满足资格审查条件(项目负责人最低要求)得12分；</w:t>
            </w:r>
          </w:p>
          <w:p w14:paraId="068984DA">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项目负责人每具有下列一个证书，加1.6分，最高加8分。</w:t>
            </w:r>
          </w:p>
          <w:p w14:paraId="64BA5092">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1、注册渗透测试工程师(CISP-PTE)证书；</w:t>
            </w:r>
          </w:p>
          <w:p w14:paraId="5AB1E5C7">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2、信息系统审计师认证证书(CCRC-ISA)证书；</w:t>
            </w:r>
          </w:p>
          <w:p w14:paraId="75C8DCFB">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3、网络安全架构师（高级）；</w:t>
            </w:r>
          </w:p>
          <w:p w14:paraId="35D27348">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4、高级数据安全工程师；</w:t>
            </w:r>
          </w:p>
          <w:p w14:paraId="659D72C9">
            <w:pPr>
              <w:snapToGrid w:val="0"/>
              <w:spacing w:after="0" w:line="240" w:lineRule="auto"/>
              <w:jc w:val="both"/>
              <w:rPr>
                <w:rFonts w:ascii="Times New Roman" w:hAnsi="Times New Roman" w:eastAsia="宋体" w:cs="Times New Roman"/>
                <w:sz w:val="21"/>
                <w:szCs w:val="22"/>
                <w14:ligatures w14:val="none"/>
              </w:rPr>
            </w:pPr>
            <w:r>
              <w:rPr>
                <w:rFonts w:ascii="宋体" w:hAnsi="宋体" w:eastAsia="宋体" w:cs="Times New Roman"/>
                <w:sz w:val="21"/>
                <w:szCs w:val="21"/>
                <w14:ligatures w14:val="none"/>
              </w:rPr>
              <w:t>5、人力资源和社会保障局颁发的专业技术职务任职资格证书中级职称（信息技术方向）。</w:t>
            </w:r>
          </w:p>
        </w:tc>
      </w:tr>
      <w:tr w14:paraId="3754B34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664" w:hRule="atLeast"/>
          <w:jc w:val="center"/>
        </w:trPr>
        <w:tc>
          <w:tcPr>
            <w:tcW w:w="735" w:type="dxa"/>
            <w:tcBorders>
              <w:right w:val="single" w:color="auto" w:sz="2" w:space="0"/>
            </w:tcBorders>
            <w:vAlign w:val="center"/>
          </w:tcPr>
          <w:p w14:paraId="7247D6B7">
            <w:pPr>
              <w:spacing w:after="0" w:line="240" w:lineRule="auto"/>
              <w:jc w:val="center"/>
              <w:rPr>
                <w:rFonts w:ascii="宋体" w:hAnsi="宋体" w:eastAsia="宋体" w:cs="宋体"/>
                <w:bCs/>
                <w:sz w:val="21"/>
                <w:szCs w:val="21"/>
                <w14:ligatures w14:val="none"/>
              </w:rPr>
            </w:pPr>
            <w:r>
              <w:rPr>
                <w:rFonts w:ascii="宋体" w:hAnsi="宋体" w:eastAsia="宋体" w:cs="宋体"/>
                <w:bCs/>
                <w:w w:val="90"/>
                <w:sz w:val="21"/>
                <w:szCs w:val="21"/>
                <w14:ligatures w14:val="none"/>
              </w:rPr>
              <w:t>2.2.4（3）</w:t>
            </w:r>
          </w:p>
        </w:tc>
        <w:tc>
          <w:tcPr>
            <w:tcW w:w="2154" w:type="dxa"/>
            <w:gridSpan w:val="2"/>
            <w:tcBorders>
              <w:left w:val="single" w:color="auto" w:sz="2" w:space="0"/>
            </w:tcBorders>
            <w:vAlign w:val="center"/>
          </w:tcPr>
          <w:p w14:paraId="49051FAB">
            <w:pPr>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评标价</w:t>
            </w:r>
          </w:p>
        </w:tc>
        <w:tc>
          <w:tcPr>
            <w:tcW w:w="843" w:type="dxa"/>
            <w:vAlign w:val="center"/>
          </w:tcPr>
          <w:p w14:paraId="649CC041">
            <w:pPr>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30分</w:t>
            </w:r>
          </w:p>
        </w:tc>
        <w:tc>
          <w:tcPr>
            <w:tcW w:w="5978" w:type="dxa"/>
            <w:vAlign w:val="center"/>
          </w:tcPr>
          <w:p w14:paraId="6C887559">
            <w:pPr>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评标价得分计算公式示例：</w:t>
            </w:r>
          </w:p>
          <w:p w14:paraId="4A0ABB36">
            <w:pPr>
              <w:spacing w:after="0" w:line="240" w:lineRule="auto"/>
              <w:ind w:firstLine="243" w:firstLineChars="116"/>
              <w:jc w:val="both"/>
              <w:rPr>
                <w:rFonts w:ascii="宋体" w:hAnsi="宋体" w:eastAsia="宋体" w:cs="Times New Roman"/>
                <w:sz w:val="21"/>
                <w:szCs w:val="21"/>
                <w14:ligatures w14:val="none"/>
              </w:rPr>
            </w:pPr>
            <w:r>
              <w:rPr>
                <w:rFonts w:ascii="宋体" w:hAnsi="宋体" w:eastAsia="宋体" w:cs="Times New Roman"/>
                <w:sz w:val="21"/>
                <w:szCs w:val="21"/>
                <w14:ligatures w14:val="none"/>
              </w:rPr>
              <w:t>（1）如果投标人的评标价＞评标基准价，则评标价得分=F-（投标人评标价-评标基准价）/评标基准价×100×E1；</w:t>
            </w:r>
          </w:p>
          <w:p w14:paraId="18BCE567">
            <w:pPr>
              <w:spacing w:after="0" w:line="240" w:lineRule="auto"/>
              <w:ind w:firstLine="243" w:firstLineChars="116"/>
              <w:jc w:val="both"/>
              <w:rPr>
                <w:rFonts w:ascii="宋体" w:hAnsi="宋体" w:eastAsia="宋体" w:cs="Times New Roman"/>
                <w:sz w:val="21"/>
                <w:szCs w:val="21"/>
                <w14:ligatures w14:val="none"/>
              </w:rPr>
            </w:pPr>
            <w:r>
              <w:rPr>
                <w:rFonts w:ascii="宋体" w:hAnsi="宋体" w:eastAsia="宋体" w:cs="Times New Roman"/>
                <w:sz w:val="21"/>
                <w:szCs w:val="21"/>
                <w14:ligatures w14:val="none"/>
              </w:rPr>
              <w:t>（2）如果投标人的评标价≤评标基准价，则评标价得分=F+(投标人评标价-评标基准价)/评标基准价×100×E2。</w:t>
            </w:r>
          </w:p>
          <w:p w14:paraId="21B971A4">
            <w:pPr>
              <w:spacing w:after="0" w:line="240" w:lineRule="auto"/>
              <w:ind w:firstLine="243" w:firstLineChars="116"/>
              <w:jc w:val="both"/>
              <w:rPr>
                <w:rFonts w:ascii="宋体" w:hAnsi="宋体" w:eastAsia="宋体" w:cs="Times New Roman"/>
                <w:sz w:val="21"/>
                <w:szCs w:val="21"/>
                <w14:ligatures w14:val="none"/>
              </w:rPr>
            </w:pPr>
            <w:r>
              <w:rPr>
                <w:rFonts w:ascii="宋体" w:hAnsi="宋体" w:eastAsia="宋体" w:cs="Times New Roman"/>
                <w:sz w:val="21"/>
                <w:szCs w:val="21"/>
                <w14:ligatures w14:val="none"/>
              </w:rPr>
              <w:t>其中，F=30；E1=0.2；E2=0.1。</w:t>
            </w:r>
          </w:p>
          <w:p w14:paraId="62497685">
            <w:pPr>
              <w:spacing w:after="0" w:line="240" w:lineRule="auto"/>
              <w:ind w:firstLine="243" w:firstLineChars="116"/>
              <w:jc w:val="both"/>
              <w:rPr>
                <w:rFonts w:ascii="Times New Roman" w:hAnsi="Times New Roman" w:eastAsia="宋体" w:cs="Times New Roman"/>
                <w:sz w:val="21"/>
                <w:szCs w:val="22"/>
                <w14:ligatures w14:val="none"/>
              </w:rPr>
            </w:pPr>
            <w:r>
              <w:rPr>
                <w:rFonts w:ascii="宋体" w:hAnsi="宋体" w:eastAsia="宋体" w:cs="Times New Roman"/>
                <w:sz w:val="21"/>
                <w:szCs w:val="21"/>
                <w14:ligatures w14:val="none"/>
              </w:rPr>
              <w:t>评标价最低得分为0分，评标价得分保留两位小数，第三位四舍五入。</w:t>
            </w:r>
          </w:p>
        </w:tc>
      </w:tr>
      <w:tr w14:paraId="300F1D42">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664" w:hRule="atLeast"/>
          <w:jc w:val="center"/>
        </w:trPr>
        <w:tc>
          <w:tcPr>
            <w:tcW w:w="735" w:type="dxa"/>
            <w:tcBorders>
              <w:right w:val="single" w:color="auto" w:sz="2" w:space="0"/>
            </w:tcBorders>
            <w:vAlign w:val="center"/>
          </w:tcPr>
          <w:p w14:paraId="476E2792">
            <w:pPr>
              <w:spacing w:after="0" w:line="240" w:lineRule="auto"/>
              <w:jc w:val="center"/>
              <w:rPr>
                <w:rFonts w:ascii="宋体" w:hAnsi="宋体" w:eastAsia="宋体" w:cs="宋体"/>
                <w:bCs/>
                <w:w w:val="90"/>
                <w:sz w:val="21"/>
                <w:szCs w:val="21"/>
                <w14:ligatures w14:val="none"/>
              </w:rPr>
            </w:pPr>
            <w:r>
              <w:rPr>
                <w:rFonts w:ascii="宋体" w:hAnsi="宋体" w:eastAsia="宋体" w:cs="宋体"/>
                <w:bCs/>
                <w:w w:val="90"/>
                <w:sz w:val="21"/>
                <w:szCs w:val="21"/>
                <w14:ligatures w14:val="none"/>
              </w:rPr>
              <w:t>2.2.4（4）</w:t>
            </w:r>
          </w:p>
        </w:tc>
        <w:tc>
          <w:tcPr>
            <w:tcW w:w="2154" w:type="dxa"/>
            <w:gridSpan w:val="2"/>
            <w:tcBorders>
              <w:left w:val="single" w:color="auto" w:sz="2" w:space="0"/>
            </w:tcBorders>
            <w:vAlign w:val="center"/>
          </w:tcPr>
          <w:p w14:paraId="67F0ED25">
            <w:pPr>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业绩</w:t>
            </w:r>
          </w:p>
        </w:tc>
        <w:tc>
          <w:tcPr>
            <w:tcW w:w="843" w:type="dxa"/>
            <w:vAlign w:val="center"/>
          </w:tcPr>
          <w:p w14:paraId="20C68DDE">
            <w:pPr>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10分</w:t>
            </w:r>
          </w:p>
        </w:tc>
        <w:tc>
          <w:tcPr>
            <w:tcW w:w="5978" w:type="dxa"/>
            <w:vAlign w:val="center"/>
          </w:tcPr>
          <w:p w14:paraId="7C3D46ED">
            <w:pPr>
              <w:snapToGrid w:val="0"/>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满足资格审查条件(业绩最低要求)得6分；</w:t>
            </w:r>
          </w:p>
          <w:p w14:paraId="55D6E4A9">
            <w:pPr>
              <w:spacing w:after="0" w:line="240"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每增加一项满足资格审查条件(业绩最低要求)的</w:t>
            </w:r>
            <w:r>
              <w:rPr>
                <w:rFonts w:ascii="宋体" w:hAnsi="宋体" w:eastAsia="宋体" w:cs="宋体"/>
                <w:bCs/>
                <w:sz w:val="21"/>
                <w:szCs w:val="21"/>
                <w14:ligatures w14:val="none"/>
              </w:rPr>
              <w:t>业绩加2分，最高加4分。</w:t>
            </w:r>
          </w:p>
        </w:tc>
      </w:tr>
      <w:tr w14:paraId="7A8E18A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2889" w:type="dxa"/>
            <w:gridSpan w:val="3"/>
            <w:vAlign w:val="center"/>
          </w:tcPr>
          <w:p w14:paraId="4EE23C1A">
            <w:pPr>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合计</w:t>
            </w:r>
          </w:p>
        </w:tc>
        <w:tc>
          <w:tcPr>
            <w:tcW w:w="843" w:type="dxa"/>
            <w:vAlign w:val="center"/>
          </w:tcPr>
          <w:p w14:paraId="58288417">
            <w:pPr>
              <w:spacing w:after="0" w:line="240" w:lineRule="auto"/>
              <w:jc w:val="center"/>
              <w:rPr>
                <w:rFonts w:ascii="宋体" w:hAnsi="宋体" w:eastAsia="宋体" w:cs="宋体"/>
                <w:bCs/>
                <w:sz w:val="21"/>
                <w:szCs w:val="21"/>
                <w14:ligatures w14:val="none"/>
              </w:rPr>
            </w:pPr>
            <w:r>
              <w:rPr>
                <w:rFonts w:ascii="宋体" w:hAnsi="宋体" w:eastAsia="宋体" w:cs="宋体"/>
                <w:bCs/>
                <w:sz w:val="21"/>
                <w:szCs w:val="21"/>
                <w14:ligatures w14:val="none"/>
              </w:rPr>
              <w:t>100分</w:t>
            </w:r>
          </w:p>
        </w:tc>
        <w:tc>
          <w:tcPr>
            <w:tcW w:w="5978" w:type="dxa"/>
            <w:vAlign w:val="center"/>
          </w:tcPr>
          <w:p w14:paraId="25604D9C">
            <w:pPr>
              <w:spacing w:after="0" w:line="240" w:lineRule="auto"/>
              <w:jc w:val="center"/>
              <w:rPr>
                <w:rFonts w:ascii="宋体" w:hAnsi="宋体" w:eastAsia="宋体" w:cs="宋体"/>
                <w:bCs/>
                <w:sz w:val="21"/>
                <w:szCs w:val="21"/>
                <w14:ligatures w14:val="none"/>
              </w:rPr>
            </w:pPr>
          </w:p>
        </w:tc>
      </w:tr>
    </w:tbl>
    <w:p w14:paraId="3855E890">
      <w:pPr>
        <w:spacing w:after="0" w:line="312" w:lineRule="auto"/>
        <w:jc w:val="both"/>
        <w:rPr>
          <w:rFonts w:ascii="宋体" w:hAnsi="宋体" w:eastAsia="宋体" w:cs="Times New Roman"/>
          <w:sz w:val="21"/>
          <w:szCs w:val="21"/>
          <w14:ligatures w14:val="none"/>
        </w:rPr>
      </w:pPr>
      <w:r>
        <w:rPr>
          <w:rFonts w:ascii="宋体" w:hAnsi="宋体" w:eastAsia="宋体" w:cs="Times New Roman"/>
          <w:sz w:val="21"/>
          <w:szCs w:val="21"/>
          <w14:ligatures w14:val="none"/>
        </w:rPr>
        <w:t>注：1、各分项得分为各评委打分算术平均值，评委打分平均值保留两位小数，第三位四舍五入。</w:t>
      </w:r>
    </w:p>
    <w:p w14:paraId="482A7343">
      <w:r>
        <w:rPr>
          <w:rFonts w:ascii="宋体" w:hAnsi="宋体" w:eastAsia="宋体" w:cs="Times New Roman"/>
          <w:sz w:val="21"/>
          <w:szCs w:val="21"/>
          <w14:ligatures w14:val="none"/>
        </w:rPr>
        <w:t>2、服务方案缺项则该项得0分。</w:t>
      </w:r>
      <w:bookmarkEnd w:id="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944"/>
    <w:rsid w:val="00264105"/>
    <w:rsid w:val="00270944"/>
    <w:rsid w:val="00353FF2"/>
    <w:rsid w:val="00C321EF"/>
    <w:rsid w:val="1DB371BE"/>
    <w:rsid w:val="7DE87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uiPriority w:val="99"/>
    <w:pPr>
      <w:tabs>
        <w:tab w:val="center" w:pos="4153"/>
        <w:tab w:val="right" w:pos="8306"/>
      </w:tabs>
      <w:snapToGrid w:val="0"/>
      <w:spacing w:line="240" w:lineRule="auto"/>
    </w:pPr>
    <w:rPr>
      <w:sz w:val="18"/>
      <w:szCs w:val="18"/>
    </w:rPr>
  </w:style>
  <w:style w:type="paragraph" w:styleId="12">
    <w:name w:val="header"/>
    <w:basedOn w:val="1"/>
    <w:link w:val="36"/>
    <w:unhideWhenUsed/>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footnote text"/>
    <w:basedOn w:val="1"/>
    <w:link w:val="38"/>
    <w:semiHidden/>
    <w:unhideWhenUsed/>
    <w:qFormat/>
    <w:uiPriority w:val="99"/>
    <w:pPr>
      <w:snapToGrid w:val="0"/>
    </w:pPr>
    <w:rPr>
      <w:sz w:val="18"/>
      <w:szCs w:val="18"/>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uiPriority w:val="9"/>
    <w:rPr>
      <w:rFonts w:cstheme="majorBidi"/>
      <w:color w:val="104862" w:themeColor="accent1" w:themeShade="BF"/>
      <w:sz w:val="24"/>
    </w:rPr>
  </w:style>
  <w:style w:type="character" w:customStyle="1" w:styleId="23">
    <w:name w:val="标题 6 字符"/>
    <w:basedOn w:val="17"/>
    <w:link w:val="7"/>
    <w:semiHidden/>
    <w:uiPriority w:val="9"/>
    <w:rPr>
      <w:rFonts w:cstheme="majorBidi"/>
      <w:b/>
      <w:bCs/>
      <w:color w:val="104862" w:themeColor="accent1" w:themeShade="BF"/>
    </w:rPr>
  </w:style>
  <w:style w:type="character" w:customStyle="1" w:styleId="24">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 w:type="character" w:customStyle="1" w:styleId="38">
    <w:name w:val="脚注文本 字符"/>
    <w:basedOn w:val="17"/>
    <w:link w:val="1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6</Pages>
  <Words>5220</Words>
  <Characters>5731</Characters>
  <Lines>198</Lines>
  <Paragraphs>212</Paragraphs>
  <TotalTime>0</TotalTime>
  <ScaleCrop>false</ScaleCrop>
  <LinksUpToDate>false</LinksUpToDate>
  <CharactersWithSpaces>5872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2026-07-20T08:33:00Z</dcterms:created>
  <dc:creator>admin</dc:creator>
  <cp:lastModifiedBy>左建</cp:lastModifiedBy>
  <dcterms:modified xsi:type="dcterms:W3CDTF">2026-07-20T09:21:02Z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eyJoZGlkIjoiMTdlNDYyNTVmMGUwYWU1ZDdiZTI0NGQyZTdjNjQxYzkiLCJ1c2VySWQiOiIxNjkyNDc3NjE0In0=</vt:lpwstr>
  </property>
  <property fmtid="{D5CDD505-2E9C-101B-9397-08002B2CF9AE}" pid="3" name="KSOProductBuildVer">
    <vt:lpwstr>2052-12.1.0.23542</vt:lpwstr>
  </property>
  <property fmtid="{D5CDD505-2E9C-101B-9397-08002B2CF9AE}" pid="4" name="ICV">
    <vt:lpwstr>325E0E4E7B7143A4B9258CB4FB93409F_13</vt:lpwstr>
  </property>
</Properties>
</file>