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F929">
      <w:pPr>
        <w:rPr>
          <w:rFonts w:hint="eastAsia" w:ascii="宋体" w:hAnsi="宋体" w:cs="宋体"/>
          <w:b/>
          <w:color w:val="auto"/>
          <w:sz w:val="28"/>
          <w:szCs w:val="28"/>
          <w:highlight w:val="none"/>
        </w:rPr>
      </w:pPr>
      <w:bookmarkStart w:id="19" w:name="_GoBack"/>
      <w:bookmarkEnd w:id="19"/>
      <w:r>
        <w:rPr>
          <w:rFonts w:hint="eastAsia" w:ascii="宋体" w:hAnsi="宋体" w:cs="宋体"/>
          <w:b/>
          <w:color w:val="auto"/>
          <w:sz w:val="28"/>
          <w:szCs w:val="28"/>
          <w:highlight w:val="none"/>
        </w:rPr>
        <w:t>附件1：资格审查条件</w:t>
      </w:r>
    </w:p>
    <w:p w14:paraId="19639AD3">
      <w:pPr>
        <w:pStyle w:val="19"/>
        <w:rPr>
          <w:rFonts w:hint="eastAsia"/>
          <w:color w:val="auto"/>
          <w:highlight w:val="none"/>
        </w:rPr>
      </w:pPr>
    </w:p>
    <w:p w14:paraId="27962F0B">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4"/>
        <w:tblW w:w="50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5"/>
      </w:tblGrid>
      <w:tr w14:paraId="7BCB8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080" w:type="dxa"/>
            <w:tcBorders>
              <w:top w:val="single" w:color="000000" w:sz="2" w:space="0"/>
              <w:left w:val="single" w:color="auto" w:sz="4" w:space="0"/>
              <w:bottom w:val="single" w:color="000000" w:sz="4" w:space="0"/>
              <w:right w:val="single" w:color="000000" w:sz="2" w:space="0"/>
            </w:tcBorders>
            <w:noWrap w:val="0"/>
            <w:vAlign w:val="center"/>
          </w:tcPr>
          <w:p w14:paraId="71D46251">
            <w:pPr>
              <w:adjustRightInd w:val="0"/>
              <w:snapToGrid w:val="0"/>
              <w:spacing w:line="240" w:lineRule="auto"/>
              <w:jc w:val="center"/>
              <w:textAlignment w:val="baseline"/>
              <w:rPr>
                <w:rStyle w:val="16"/>
                <w:rFonts w:ascii="宋体" w:hAnsi="宋体"/>
                <w:b w:val="0"/>
                <w:bCs w:val="0"/>
                <w:snapToGrid w:val="0"/>
                <w:color w:val="auto"/>
                <w:kern w:val="0"/>
                <w:sz w:val="24"/>
                <w:szCs w:val="24"/>
                <w:highlight w:val="none"/>
              </w:rPr>
            </w:pPr>
            <w:r>
              <w:rPr>
                <w:rStyle w:val="16"/>
                <w:rFonts w:ascii="宋体" w:hAnsi="宋体"/>
                <w:b w:val="0"/>
                <w:bCs w:val="0"/>
                <w:snapToGrid w:val="0"/>
                <w:color w:val="auto"/>
                <w:kern w:val="0"/>
                <w:sz w:val="24"/>
                <w:szCs w:val="24"/>
                <w:highlight w:val="none"/>
              </w:rPr>
              <w:t>资质要求</w:t>
            </w:r>
          </w:p>
        </w:tc>
      </w:tr>
      <w:tr w14:paraId="64BB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jc w:val="center"/>
        </w:trPr>
        <w:tc>
          <w:tcPr>
            <w:tcW w:w="9080" w:type="dxa"/>
            <w:tcBorders>
              <w:top w:val="single" w:color="000000" w:sz="2" w:space="0"/>
              <w:left w:val="single" w:color="auto" w:sz="4" w:space="0"/>
              <w:bottom w:val="single" w:color="000000" w:sz="2" w:space="0"/>
              <w:right w:val="single" w:color="000000" w:sz="2" w:space="0"/>
            </w:tcBorders>
            <w:noWrap w:val="0"/>
            <w:vAlign w:val="center"/>
          </w:tcPr>
          <w:p w14:paraId="7E4AE318">
            <w:pPr>
              <w:adjustRightInd w:val="0"/>
              <w:snapToGrid w:val="0"/>
              <w:spacing w:line="240" w:lineRule="auto"/>
              <w:jc w:val="both"/>
              <w:rPr>
                <w:rStyle w:val="16"/>
                <w:rFonts w:hint="default" w:hAnsi="宋体"/>
                <w:bCs w:val="0"/>
                <w:snapToGrid w:val="0"/>
                <w:color w:val="auto"/>
                <w:sz w:val="24"/>
                <w:szCs w:val="24"/>
                <w:highlight w:val="none"/>
                <w:lang w:val="en-US" w:eastAsia="zh-CN"/>
              </w:rPr>
            </w:pPr>
            <w:r>
              <w:rPr>
                <w:rStyle w:val="16"/>
                <w:rFonts w:hint="eastAsia" w:hAnsi="宋体"/>
                <w:bCs w:val="0"/>
                <w:snapToGrid w:val="0"/>
                <w:color w:val="auto"/>
                <w:sz w:val="24"/>
                <w:szCs w:val="24"/>
                <w:highlight w:val="none"/>
                <w:lang w:val="en-US" w:eastAsia="zh-CN"/>
              </w:rPr>
              <w:t>制造商：投标人应是中华人民共和国境内的法人或其他组织，持有有效的营业执照的</w:t>
            </w:r>
            <w:r>
              <w:rPr>
                <w:rFonts w:hint="eastAsia" w:hAnsi="宋体"/>
                <w:color w:val="auto"/>
                <w:sz w:val="24"/>
                <w:szCs w:val="24"/>
                <w:highlight w:val="none"/>
                <w:lang w:val="en-US" w:eastAsia="zh-CN"/>
              </w:rPr>
              <w:t>空调制造商。</w:t>
            </w:r>
          </w:p>
          <w:p w14:paraId="6BF6C1CB">
            <w:pPr>
              <w:pStyle w:val="20"/>
              <w:adjustRightInd w:val="0"/>
              <w:snapToGrid w:val="0"/>
              <w:spacing w:line="240" w:lineRule="auto"/>
              <w:jc w:val="both"/>
              <w:rPr>
                <w:rFonts w:hint="eastAsia" w:hAnsi="宋体"/>
                <w:color w:val="auto"/>
                <w:sz w:val="24"/>
                <w:szCs w:val="24"/>
                <w:highlight w:val="none"/>
              </w:rPr>
            </w:pPr>
            <w:r>
              <w:rPr>
                <w:rStyle w:val="16"/>
                <w:rFonts w:hint="eastAsia" w:hAnsi="宋体"/>
                <w:bCs w:val="0"/>
                <w:snapToGrid w:val="0"/>
                <w:color w:val="auto"/>
                <w:sz w:val="24"/>
                <w:szCs w:val="24"/>
                <w:highlight w:val="none"/>
                <w:lang w:val="en-US" w:eastAsia="zh-CN"/>
              </w:rPr>
              <w:t>代理商：投标人应是中华人民共和国境内的法人或其他组织，持有有效的营业执照；具有空调制造商出具的针对本招标项目所投设备的唯一授权书，且该制造商满足前述关于“制造商”的要求。</w:t>
            </w:r>
          </w:p>
        </w:tc>
      </w:tr>
    </w:tbl>
    <w:p w14:paraId="33C79E4A">
      <w:pPr>
        <w:pStyle w:val="4"/>
        <w:spacing w:line="240" w:lineRule="auto"/>
        <w:ind w:left="0" w:leftChars="0" w:firstLine="0" w:firstLineChars="0"/>
        <w:jc w:val="center"/>
        <w:rPr>
          <w:rFonts w:hint="eastAsia"/>
          <w:color w:val="auto"/>
          <w:sz w:val="24"/>
          <w:szCs w:val="24"/>
          <w:highlight w:val="none"/>
        </w:rPr>
      </w:pPr>
      <w:r>
        <w:rPr>
          <w:rFonts w:hint="eastAsia"/>
          <w:color w:val="auto"/>
          <w:sz w:val="24"/>
          <w:szCs w:val="24"/>
          <w:highlight w:val="none"/>
        </w:rPr>
        <w:t>注:所投电暖气无需提供授权书，无品牌限制，仅需满足供货需求规格型号要求即可。</w:t>
      </w:r>
    </w:p>
    <w:p w14:paraId="440DCFD6">
      <w:pPr>
        <w:spacing w:line="240" w:lineRule="auto"/>
        <w:jc w:val="center"/>
        <w:rPr>
          <w:rFonts w:ascii="宋体" w:hAnsi="宋体"/>
          <w:b/>
          <w:bCs/>
          <w:snapToGrid w:val="0"/>
          <w:color w:val="auto"/>
          <w:kern w:val="0"/>
          <w:sz w:val="24"/>
          <w:szCs w:val="24"/>
          <w:highlight w:val="none"/>
        </w:rPr>
      </w:pPr>
    </w:p>
    <w:p w14:paraId="2312B167">
      <w:pPr>
        <w:spacing w:line="240" w:lineRule="auto"/>
        <w:jc w:val="center"/>
        <w:rPr>
          <w:rFonts w:ascii="宋体" w:hAnsi="宋体"/>
          <w:b/>
          <w:bCs/>
          <w:snapToGrid w:val="0"/>
          <w:color w:val="auto"/>
          <w:kern w:val="0"/>
          <w:sz w:val="24"/>
          <w:szCs w:val="24"/>
          <w:highlight w:val="none"/>
        </w:rPr>
      </w:pPr>
    </w:p>
    <w:p w14:paraId="01050738">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4"/>
        <w:tblW w:w="499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05"/>
      </w:tblGrid>
      <w:tr w14:paraId="7E7A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43266013">
            <w:pPr>
              <w:adjustRightInd w:val="0"/>
              <w:snapToGrid w:val="0"/>
              <w:spacing w:line="240" w:lineRule="auto"/>
              <w:jc w:val="center"/>
              <w:textAlignment w:val="baseline"/>
              <w:rPr>
                <w:rStyle w:val="16"/>
                <w:rFonts w:ascii="宋体" w:hAnsi="宋体"/>
                <w:snapToGrid w:val="0"/>
                <w:color w:val="auto"/>
                <w:kern w:val="0"/>
                <w:sz w:val="24"/>
                <w:szCs w:val="24"/>
                <w:highlight w:val="none"/>
              </w:rPr>
            </w:pPr>
            <w:r>
              <w:rPr>
                <w:rStyle w:val="16"/>
                <w:rFonts w:ascii="宋体" w:hAnsi="宋体"/>
                <w:snapToGrid w:val="0"/>
                <w:color w:val="auto"/>
                <w:kern w:val="0"/>
                <w:sz w:val="24"/>
                <w:szCs w:val="24"/>
                <w:highlight w:val="none"/>
              </w:rPr>
              <w:t>业绩要求</w:t>
            </w:r>
          </w:p>
        </w:tc>
      </w:tr>
      <w:tr w14:paraId="2951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000" w:type="pct"/>
            <w:tcBorders>
              <w:top w:val="single" w:color="000000" w:sz="2" w:space="0"/>
              <w:left w:val="single" w:color="auto" w:sz="4" w:space="0"/>
              <w:bottom w:val="single" w:color="000000" w:sz="2" w:space="0"/>
              <w:right w:val="single" w:color="000000" w:sz="2" w:space="0"/>
            </w:tcBorders>
            <w:shd w:val="clear" w:color="auto" w:fill="auto"/>
            <w:noWrap w:val="0"/>
            <w:vAlign w:val="center"/>
          </w:tcPr>
          <w:p w14:paraId="06EF778A">
            <w:pPr>
              <w:adjustRightInd w:val="0"/>
              <w:snapToGrid w:val="0"/>
              <w:spacing w:line="240" w:lineRule="auto"/>
              <w:ind w:firstLine="480" w:firstLineChars="200"/>
              <w:jc w:val="left"/>
              <w:rPr>
                <w:rFonts w:hint="eastAsia" w:ascii="Times New Roman" w:hAnsi="宋体" w:eastAsia="宋体" w:cs="Times New Roman"/>
                <w:bCs w:val="0"/>
                <w:snapToGrid w:val="0"/>
                <w:color w:val="auto"/>
                <w:kern w:val="0"/>
                <w:sz w:val="24"/>
                <w:szCs w:val="24"/>
                <w:highlight w:val="none"/>
                <w:lang w:val="en-US" w:eastAsia="zh-CN" w:bidi="ar-SA"/>
              </w:rPr>
            </w:pPr>
            <w:r>
              <w:rPr>
                <w:rStyle w:val="16"/>
                <w:rFonts w:hint="eastAsia" w:ascii="Times New Roman" w:hAnsi="宋体" w:eastAsia="宋体" w:cs="Times New Roman"/>
                <w:bCs w:val="0"/>
                <w:snapToGrid w:val="0"/>
                <w:color w:val="auto"/>
                <w:sz w:val="24"/>
                <w:szCs w:val="24"/>
                <w:highlight w:val="none"/>
                <w:lang w:eastAsia="zh-CN"/>
              </w:rPr>
              <w:t>近</w:t>
            </w:r>
            <w:r>
              <w:rPr>
                <w:rStyle w:val="16"/>
                <w:rFonts w:hint="eastAsia" w:hAnsi="宋体" w:cs="Times New Roman"/>
                <w:bCs w:val="0"/>
                <w:snapToGrid w:val="0"/>
                <w:color w:val="auto"/>
                <w:sz w:val="24"/>
                <w:szCs w:val="24"/>
                <w:highlight w:val="none"/>
                <w:lang w:val="en-US" w:eastAsia="zh-CN"/>
              </w:rPr>
              <w:t>3</w:t>
            </w:r>
            <w:r>
              <w:rPr>
                <w:rStyle w:val="16"/>
                <w:rFonts w:hint="eastAsia" w:ascii="Times New Roman" w:hAnsi="宋体" w:eastAsia="宋体" w:cs="Times New Roman"/>
                <w:bCs w:val="0"/>
                <w:snapToGrid w:val="0"/>
                <w:color w:val="auto"/>
                <w:sz w:val="24"/>
                <w:szCs w:val="24"/>
                <w:highlight w:val="none"/>
                <w:lang w:eastAsia="zh-CN"/>
              </w:rPr>
              <w:t>年内（202</w:t>
            </w:r>
            <w:r>
              <w:rPr>
                <w:rStyle w:val="16"/>
                <w:rFonts w:hint="eastAsia" w:hAnsi="宋体" w:cs="Times New Roman"/>
                <w:bCs w:val="0"/>
                <w:snapToGrid w:val="0"/>
                <w:color w:val="auto"/>
                <w:sz w:val="24"/>
                <w:szCs w:val="24"/>
                <w:highlight w:val="none"/>
                <w:lang w:val="en-US" w:eastAsia="zh-CN"/>
              </w:rPr>
              <w:t>3</w:t>
            </w:r>
            <w:r>
              <w:rPr>
                <w:rStyle w:val="16"/>
                <w:rFonts w:hint="eastAsia" w:ascii="Times New Roman" w:hAnsi="宋体" w:eastAsia="宋体" w:cs="Times New Roman"/>
                <w:bCs w:val="0"/>
                <w:snapToGrid w:val="0"/>
                <w:color w:val="auto"/>
                <w:sz w:val="24"/>
                <w:szCs w:val="24"/>
                <w:highlight w:val="none"/>
                <w:lang w:eastAsia="zh-CN"/>
              </w:rPr>
              <w:t>年</w:t>
            </w:r>
            <w:r>
              <w:rPr>
                <w:rStyle w:val="16"/>
                <w:rFonts w:hint="eastAsia" w:hAnsi="宋体" w:cs="Times New Roman"/>
                <w:bCs w:val="0"/>
                <w:snapToGrid w:val="0"/>
                <w:color w:val="auto"/>
                <w:sz w:val="24"/>
                <w:szCs w:val="24"/>
                <w:highlight w:val="none"/>
                <w:lang w:val="en-US" w:eastAsia="zh-CN"/>
              </w:rPr>
              <w:t>6月1日</w:t>
            </w:r>
            <w:r>
              <w:rPr>
                <w:rStyle w:val="16"/>
                <w:rFonts w:hint="eastAsia" w:ascii="Times New Roman" w:hAnsi="宋体" w:eastAsia="宋体" w:cs="Times New Roman"/>
                <w:bCs w:val="0"/>
                <w:snapToGrid w:val="0"/>
                <w:color w:val="auto"/>
                <w:sz w:val="24"/>
                <w:szCs w:val="24"/>
                <w:highlight w:val="none"/>
                <w:lang w:eastAsia="zh-CN"/>
              </w:rPr>
              <w:t>至投标截止时间，以合同签订时间为准），</w:t>
            </w:r>
            <w:r>
              <w:rPr>
                <w:rStyle w:val="16"/>
                <w:rFonts w:hint="eastAsia" w:hAnsi="宋体" w:cs="Times New Roman"/>
                <w:bCs w:val="0"/>
                <w:snapToGrid w:val="0"/>
                <w:color w:val="auto"/>
                <w:sz w:val="24"/>
                <w:szCs w:val="24"/>
                <w:highlight w:val="none"/>
                <w:lang w:val="en-US" w:eastAsia="zh-CN"/>
              </w:rPr>
              <w:t>具有一项所投品牌多联机空调</w:t>
            </w:r>
            <w:r>
              <w:rPr>
                <w:rStyle w:val="16"/>
                <w:rFonts w:hint="eastAsia" w:ascii="Times New Roman" w:hAnsi="宋体" w:eastAsia="宋体" w:cs="Times New Roman"/>
                <w:bCs w:val="0"/>
                <w:snapToGrid w:val="0"/>
                <w:color w:val="auto"/>
                <w:sz w:val="24"/>
                <w:szCs w:val="24"/>
                <w:highlight w:val="none"/>
                <w:lang w:val="en-US" w:eastAsia="zh-CN"/>
              </w:rPr>
              <w:t>的</w:t>
            </w:r>
            <w:r>
              <w:rPr>
                <w:rStyle w:val="16"/>
                <w:rFonts w:hint="eastAsia" w:ascii="Times New Roman" w:hAnsi="宋体" w:eastAsia="宋体" w:cs="Times New Roman"/>
                <w:bCs w:val="0"/>
                <w:snapToGrid w:val="0"/>
                <w:color w:val="auto"/>
                <w:sz w:val="24"/>
                <w:szCs w:val="24"/>
                <w:highlight w:val="none"/>
                <w:lang w:eastAsia="zh-CN"/>
              </w:rPr>
              <w:t>供货业绩。</w:t>
            </w:r>
          </w:p>
        </w:tc>
      </w:tr>
    </w:tbl>
    <w:p w14:paraId="3F0A4072">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注：（1）代理商和制造商的业绩不可互用。</w:t>
      </w:r>
    </w:p>
    <w:p w14:paraId="5758ADE0">
      <w:pPr>
        <w:adjustRightInd w:val="0"/>
        <w:snapToGrid w:val="0"/>
        <w:spacing w:line="360" w:lineRule="auto"/>
        <w:jc w:val="center"/>
        <w:rPr>
          <w:rFonts w:ascii="宋体" w:hAnsi="宋体"/>
          <w:b/>
          <w:bCs/>
          <w:snapToGrid w:val="0"/>
          <w:color w:val="auto"/>
          <w:kern w:val="0"/>
          <w:sz w:val="24"/>
          <w:szCs w:val="24"/>
          <w:highlight w:val="none"/>
        </w:rPr>
      </w:pPr>
    </w:p>
    <w:p w14:paraId="62E5D905">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EC5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24C35864">
            <w:pPr>
              <w:adjustRightInd w:val="0"/>
              <w:snapToGrid w:val="0"/>
              <w:spacing w:line="240" w:lineRule="auto"/>
              <w:jc w:val="center"/>
              <w:textAlignment w:val="baseline"/>
              <w:rPr>
                <w:rStyle w:val="16"/>
                <w:rFonts w:ascii="宋体" w:hAnsi="宋体"/>
                <w:snapToGrid w:val="0"/>
                <w:color w:val="auto"/>
                <w:kern w:val="0"/>
                <w:sz w:val="24"/>
                <w:szCs w:val="24"/>
                <w:highlight w:val="none"/>
              </w:rPr>
            </w:pPr>
            <w:r>
              <w:rPr>
                <w:rStyle w:val="16"/>
                <w:rFonts w:ascii="宋体" w:hAnsi="宋体"/>
                <w:snapToGrid w:val="0"/>
                <w:color w:val="auto"/>
                <w:kern w:val="0"/>
                <w:sz w:val="24"/>
                <w:szCs w:val="24"/>
                <w:highlight w:val="none"/>
              </w:rPr>
              <w:t>信誉要求</w:t>
            </w:r>
          </w:p>
        </w:tc>
      </w:tr>
      <w:tr w14:paraId="0042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31E71AB0">
            <w:pPr>
              <w:pStyle w:val="18"/>
              <w:spacing w:line="240" w:lineRule="auto"/>
              <w:ind w:firstLineChars="200"/>
              <w:rPr>
                <w:rStyle w:val="16"/>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6月1日</w:t>
            </w:r>
            <w:r>
              <w:rPr>
                <w:rFonts w:hint="eastAsia" w:ascii="宋体" w:hAnsi="宋体"/>
                <w:snapToGrid w:val="0"/>
                <w:color w:val="auto"/>
                <w:sz w:val="24"/>
                <w:szCs w:val="24"/>
                <w:highlight w:val="none"/>
                <w:lang w:bidi="ar"/>
              </w:rPr>
              <w:t>至今）不曾在</w:t>
            </w:r>
            <w:r>
              <w:rPr>
                <w:rFonts w:hint="eastAsia" w:ascii="宋体" w:hAnsi="宋体"/>
                <w:snapToGrid w:val="0"/>
                <w:color w:val="auto"/>
                <w:sz w:val="24"/>
                <w:szCs w:val="24"/>
                <w:highlight w:val="none"/>
                <w:lang w:val="en-US" w:eastAsia="zh-CN" w:bidi="ar"/>
              </w:rPr>
              <w:t>多联机空调</w:t>
            </w:r>
            <w:r>
              <w:rPr>
                <w:rFonts w:hint="eastAsia" w:ascii="宋体" w:hAnsi="宋体"/>
                <w:snapToGrid w:val="0"/>
                <w:color w:val="auto"/>
                <w:sz w:val="24"/>
                <w:szCs w:val="24"/>
                <w:highlight w:val="none"/>
                <w:lang w:bidi="ar"/>
              </w:rPr>
              <w:t>供货合同中违约而被驱逐或因投标人自身的原因而使</w:t>
            </w:r>
            <w:r>
              <w:rPr>
                <w:rFonts w:hint="eastAsia" w:ascii="宋体" w:hAnsi="宋体"/>
                <w:snapToGrid w:val="0"/>
                <w:color w:val="auto"/>
                <w:sz w:val="24"/>
                <w:szCs w:val="24"/>
                <w:highlight w:val="none"/>
                <w:lang w:val="en-US" w:eastAsia="zh-CN" w:bidi="ar"/>
              </w:rPr>
              <w:t>多联机空调</w:t>
            </w:r>
            <w:r>
              <w:rPr>
                <w:rFonts w:hint="eastAsia" w:ascii="宋体" w:hAnsi="宋体"/>
                <w:snapToGrid w:val="0"/>
                <w:color w:val="auto"/>
                <w:sz w:val="24"/>
                <w:szCs w:val="24"/>
                <w:highlight w:val="none"/>
                <w:lang w:bidi="ar"/>
              </w:rPr>
              <w:t>供货合同被解除。</w:t>
            </w:r>
          </w:p>
        </w:tc>
      </w:tr>
    </w:tbl>
    <w:p w14:paraId="6A03DBA2">
      <w:pPr>
        <w:jc w:val="center"/>
        <w:rPr>
          <w:rFonts w:hint="eastAsia" w:ascii="黑体" w:hAnsi="黑体" w:eastAsia="黑体" w:cs="黑体"/>
          <w:bCs/>
          <w:color w:val="auto"/>
          <w:sz w:val="24"/>
          <w:highlight w:val="none"/>
        </w:rPr>
      </w:pPr>
    </w:p>
    <w:p w14:paraId="12833400">
      <w:pPr>
        <w:jc w:val="center"/>
        <w:rPr>
          <w:rFonts w:hint="eastAsia" w:ascii="黑体" w:hAnsi="黑体" w:eastAsia="黑体" w:cs="黑体"/>
          <w:bCs/>
          <w:color w:val="auto"/>
          <w:sz w:val="24"/>
          <w:highlight w:val="none"/>
        </w:rPr>
      </w:pPr>
    </w:p>
    <w:p w14:paraId="2F215673">
      <w:pPr>
        <w:widowControl/>
        <w:jc w:val="left"/>
        <w:rPr>
          <w:rFonts w:ascii="宋体" w:hAnsi="宋体"/>
          <w:b/>
          <w:color w:val="auto"/>
          <w:sz w:val="24"/>
          <w:highlight w:val="none"/>
        </w:rPr>
      </w:pPr>
    </w:p>
    <w:p w14:paraId="04B13BA1">
      <w:pPr>
        <w:pStyle w:val="5"/>
        <w:rPr>
          <w:rFonts w:hint="eastAsia"/>
          <w:color w:val="auto"/>
          <w:highlight w:val="none"/>
        </w:rPr>
      </w:pPr>
    </w:p>
    <w:p w14:paraId="0D5E5E6D">
      <w:pPr>
        <w:pStyle w:val="2"/>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47943860"/>
      <w:bookmarkStart w:id="1" w:name="_Toc136511007"/>
      <w:bookmarkStart w:id="2" w:name="_Toc16918"/>
      <w:bookmarkStart w:id="3" w:name="_Toc10475"/>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6EFE227B">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450319202"/>
      <w:bookmarkStart w:id="5" w:name="_Toc134890522"/>
      <w:bookmarkStart w:id="6" w:name="_Toc531949857"/>
      <w:bookmarkStart w:id="7" w:name="_Toc459307890"/>
      <w:bookmarkStart w:id="8" w:name="_Toc502992691"/>
      <w:bookmarkStart w:id="9" w:name="_Toc134890444"/>
      <w:bookmarkStart w:id="10" w:name="_Toc134792409"/>
      <w:bookmarkStart w:id="11" w:name="_Toc134792892"/>
      <w:bookmarkStart w:id="12" w:name="_Toc509659998"/>
      <w:bookmarkStart w:id="13" w:name="_Toc509660966"/>
      <w:bookmarkStart w:id="14" w:name="_Toc134792341"/>
      <w:bookmarkStart w:id="15" w:name="_Toc445222503"/>
      <w:bookmarkStart w:id="16" w:name="_Toc444271617"/>
      <w:bookmarkStart w:id="17" w:name="_Toc444088432"/>
      <w:bookmarkStart w:id="18" w:name="_Toc445382083"/>
      <w:r>
        <w:rPr>
          <w:rFonts w:ascii="宋体" w:hAnsi="宋体"/>
          <w:b/>
          <w:bCs/>
          <w:snapToGrid w:val="0"/>
          <w:color w:val="auto"/>
          <w:kern w:val="0"/>
          <w:sz w:val="24"/>
          <w:highlight w:val="none"/>
        </w:rPr>
        <w:t>评标办法（技术评分最低标价法）</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65C47028">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4"/>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9D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0C63BD4F">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61F2D9D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E6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A66E8DE">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2E75C0C1">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3156367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171D386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评标委员会对满足招标文件实质性要求的投标文件第一个信封，按照本章第2.2款规定的评分标准进行打分，并按</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得分由高到低顺序确定</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3名投标人进入第二个信封评审。若</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得分相同，以技术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得分高的投标人优先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lang w:val="en-US" w:eastAsia="zh-CN"/>
              </w:rPr>
              <w:t>得分也相同的，以</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val="en-US" w:eastAsia="zh-CN"/>
              </w:rPr>
              <w:t>部分（明标）</w:t>
            </w:r>
            <w:r>
              <w:rPr>
                <w:rFonts w:hint="eastAsia" w:ascii="宋体" w:hAnsi="宋体" w:eastAsia="宋体" w:cs="宋体"/>
                <w:color w:val="auto"/>
                <w:sz w:val="24"/>
                <w:szCs w:val="24"/>
                <w:highlight w:val="none"/>
              </w:rPr>
              <w:t>得分高的投标人优先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val="en-US" w:eastAsia="zh-CN"/>
              </w:rPr>
              <w:t>部分（明标）</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eastAsia="zh-CN"/>
              </w:rPr>
              <w:t>也相同的，</w:t>
            </w:r>
            <w:r>
              <w:rPr>
                <w:rFonts w:hint="eastAsia" w:ascii="宋体" w:hAnsi="宋体" w:eastAsia="宋体" w:cs="宋体"/>
                <w:color w:val="auto"/>
                <w:sz w:val="24"/>
                <w:szCs w:val="24"/>
                <w:highlight w:val="none"/>
              </w:rPr>
              <w:t>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合同金额高的</w:t>
            </w:r>
            <w:r>
              <w:rPr>
                <w:rFonts w:hint="eastAsia" w:ascii="宋体" w:hAnsi="宋体" w:eastAsia="宋体" w:cs="宋体"/>
                <w:color w:val="auto"/>
                <w:sz w:val="24"/>
                <w:szCs w:val="24"/>
                <w:highlight w:val="none"/>
              </w:rPr>
              <w:t>投标人优先。未通过第一信封评审</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综合得分</w:t>
            </w:r>
            <w:r>
              <w:rPr>
                <w:rFonts w:hint="eastAsia" w:ascii="宋体" w:hAnsi="宋体" w:eastAsia="宋体" w:cs="宋体"/>
                <w:color w:val="auto"/>
                <w:sz w:val="24"/>
                <w:szCs w:val="24"/>
                <w:highlight w:val="none"/>
              </w:rPr>
              <w:t>未进入前3名的投标人，其第二信封在整个评标期间不再开封，不随任何因素发生变化。</w:t>
            </w:r>
          </w:p>
          <w:p w14:paraId="00B60BB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评标委员会按评标价由低到高的顺序，向招标人推荐1-3名中标候选人。</w:t>
            </w:r>
          </w:p>
          <w:p w14:paraId="2E95DF5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评标价相等时，评标委员会依次按照以下优先顺序推荐中标候选人：</w:t>
            </w:r>
          </w:p>
          <w:p w14:paraId="39260CBF">
            <w:pPr>
              <w:numPr>
                <w:ilvl w:val="0"/>
                <w:numId w:val="2"/>
              </w:num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第一个信封技术</w:t>
            </w:r>
            <w:r>
              <w:rPr>
                <w:rFonts w:hint="eastAsia" w:ascii="宋体" w:hAnsi="宋体" w:cs="宋体"/>
                <w:color w:val="auto"/>
                <w:sz w:val="24"/>
                <w:szCs w:val="24"/>
                <w:highlight w:val="none"/>
                <w:lang w:eastAsia="zh-CN"/>
              </w:rPr>
              <w:t>部分</w:t>
            </w:r>
            <w:r>
              <w:rPr>
                <w:rFonts w:hint="eastAsia" w:ascii="宋体" w:hAnsi="宋体" w:eastAsia="宋体" w:cs="宋体"/>
                <w:color w:val="auto"/>
                <w:sz w:val="24"/>
                <w:szCs w:val="24"/>
                <w:highlight w:val="none"/>
              </w:rPr>
              <w:t>得分较高的优先；</w:t>
            </w:r>
          </w:p>
          <w:p w14:paraId="5BFF5504">
            <w:pPr>
              <w:numPr>
                <w:ilvl w:val="0"/>
                <w:numId w:val="2"/>
              </w:numPr>
              <w:snapToGrid w:val="0"/>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第一个信封技术</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eastAsia="zh-CN"/>
              </w:rPr>
              <w:t>部分（明标）得分较高的优先；</w:t>
            </w:r>
          </w:p>
          <w:p w14:paraId="3AF304AC">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w:t>
            </w:r>
            <w:r>
              <w:rPr>
                <w:rFonts w:hint="eastAsia" w:ascii="宋体" w:hAnsi="宋体" w:eastAsia="宋体" w:cs="宋体"/>
                <w:color w:val="auto"/>
                <w:sz w:val="24"/>
                <w:szCs w:val="24"/>
                <w:highlight w:val="none"/>
              </w:rPr>
              <w:t>的投标人优先；</w:t>
            </w:r>
          </w:p>
        </w:tc>
      </w:tr>
      <w:tr w14:paraId="0F9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0129EE1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6736A36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3321A62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06847FDC">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第一个信封（商务文件）评审标准：</w:t>
            </w:r>
          </w:p>
          <w:p w14:paraId="5CCE8DC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356ACE5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39AEEC9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2C6213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4525D23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3F75936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67E1651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1EE7DAE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432BFD58">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14:paraId="1D0501B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（8）同一投标人未提交两个以上不同的投标文件。</w:t>
            </w:r>
          </w:p>
          <w:p w14:paraId="6AF6FD7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14:paraId="154A37D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3F16ACC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）投标文件对招标文件的实质性要求和条件作出响应。</w:t>
            </w:r>
          </w:p>
          <w:p w14:paraId="66F4C219">
            <w:pPr>
              <w:snapToGrid w:val="0"/>
              <w:spacing w:line="240" w:lineRule="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rPr>
              <w:t>）投标文件中投标设备的主要技术指标满足招标文件（</w:t>
            </w:r>
            <w:r>
              <w:rPr>
                <w:rFonts w:hint="eastAsia" w:ascii="宋体" w:hAnsi="宋体" w:cs="宋体"/>
                <w:strike w:val="0"/>
                <w:dstrike w:val="0"/>
                <w:color w:val="auto"/>
                <w:sz w:val="24"/>
                <w:szCs w:val="24"/>
                <w:highlight w:val="none"/>
                <w:lang w:val="en-US" w:eastAsia="zh-CN"/>
              </w:rPr>
              <w:t>供货要求中</w:t>
            </w:r>
            <w:r>
              <w:rPr>
                <w:rFonts w:hint="eastAsia" w:ascii="宋体" w:hAnsi="宋体" w:eastAsia="宋体" w:cs="宋体"/>
                <w:strike w:val="0"/>
                <w:dstrike w:val="0"/>
                <w:color w:val="auto"/>
                <w:sz w:val="24"/>
                <w:szCs w:val="24"/>
                <w:highlight w:val="none"/>
              </w:rPr>
              <w:t>带</w:t>
            </w:r>
            <w:r>
              <w:rPr>
                <w:rFonts w:hint="eastAsia"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的条款）的要求</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并按照招标文件1.11.3款规定提供相关材料</w:t>
            </w:r>
            <w:r>
              <w:rPr>
                <w:rFonts w:hint="eastAsia" w:ascii="宋体" w:hAnsi="宋体" w:eastAsia="宋体" w:cs="宋体"/>
                <w:strike w:val="0"/>
                <w:dstrike w:val="0"/>
                <w:color w:val="auto"/>
                <w:sz w:val="24"/>
                <w:szCs w:val="24"/>
                <w:highlight w:val="none"/>
              </w:rPr>
              <w:t>。</w:t>
            </w:r>
          </w:p>
          <w:p w14:paraId="4E1E1D5C">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）权利义务符合招标文件规定：</w:t>
            </w:r>
          </w:p>
          <w:p w14:paraId="69F48319">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a．投标人应接受招标文件规定的风险划分原则，未提出新的风险划分办法；</w:t>
            </w:r>
          </w:p>
          <w:p w14:paraId="1ACEAD40">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b．投标人未增加发包人的责任范围，或减少投标人义务；</w:t>
            </w:r>
          </w:p>
          <w:p w14:paraId="1D58A522">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c．投标人未提出不同的验收、计量、支付办法；</w:t>
            </w:r>
          </w:p>
          <w:p w14:paraId="2DEFB7CD">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d．投标人对合同纠纷、事故处理办法未提出异议；</w:t>
            </w:r>
          </w:p>
          <w:p w14:paraId="63A19FA3">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e．投标人在投标活动中无欺诈行为；</w:t>
            </w:r>
          </w:p>
          <w:p w14:paraId="6BE343EF">
            <w:pPr>
              <w:snapToGrid w:val="0"/>
              <w:spacing w:line="320" w:lineRule="exact"/>
              <w:jc w:val="left"/>
              <w:textAlignment w:val="baseline"/>
              <w:rPr>
                <w:rFonts w:hint="eastAsia" w:ascii="宋体" w:hAnsi="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f．投标人未对合同条款有重要保留</w:t>
            </w:r>
            <w:r>
              <w:rPr>
                <w:rFonts w:hint="eastAsia" w:ascii="宋体" w:hAnsi="宋体" w:cs="宋体"/>
                <w:strike w:val="0"/>
                <w:dstrike w:val="0"/>
                <w:color w:val="auto"/>
                <w:sz w:val="24"/>
                <w:szCs w:val="24"/>
                <w:highlight w:val="none"/>
                <w:lang w:eastAsia="zh-CN"/>
              </w:rPr>
              <w:t>。</w:t>
            </w:r>
          </w:p>
          <w:p w14:paraId="0199018F">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第一个信封（技术文件）评审标准： </w:t>
            </w:r>
          </w:p>
          <w:p w14:paraId="2C7BB2F6">
            <w:pPr>
              <w:widowControl/>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技术建议书（暗标）编制符合招标文件第二章“投标人须知”第 10.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款的规定。</w:t>
            </w:r>
          </w:p>
          <w:p w14:paraId="14518285">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01BCDAA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454962E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补遗书编号（如有）、投标</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（包括大写金额和小写金额）；</w:t>
            </w:r>
          </w:p>
          <w:p w14:paraId="545C670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067994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09517E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最高</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限价。</w:t>
            </w:r>
          </w:p>
          <w:p w14:paraId="4C36118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1E8C89A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未提交调价函。</w:t>
            </w:r>
          </w:p>
          <w:p w14:paraId="7E47AA3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67F73E12">
            <w:pPr>
              <w:snapToGrid w:val="0"/>
              <w:spacing w:line="320" w:lineRule="exact"/>
              <w:jc w:val="left"/>
              <w:textAlignment w:val="baseline"/>
              <w:rPr>
                <w:rFonts w:hint="default" w:eastAsia="宋体"/>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分项报价表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w:t>
            </w:r>
            <w:r>
              <w:rPr>
                <w:rFonts w:hint="eastAsia" w:ascii="宋体" w:hAnsi="宋体" w:cs="宋体"/>
                <w:color w:val="auto"/>
                <w:sz w:val="24"/>
                <w:szCs w:val="24"/>
                <w:highlight w:val="none"/>
                <w:lang w:eastAsia="zh-CN"/>
              </w:rPr>
              <w:t>投标报价</w:t>
            </w:r>
            <w:r>
              <w:rPr>
                <w:rFonts w:hint="eastAsia" w:ascii="宋体" w:hAnsi="宋体" w:eastAsia="宋体" w:cs="宋体"/>
                <w:color w:val="auto"/>
                <w:sz w:val="24"/>
                <w:szCs w:val="24"/>
                <w:highlight w:val="none"/>
              </w:rPr>
              <w:t>大写金额一致。</w:t>
            </w:r>
          </w:p>
        </w:tc>
      </w:tr>
      <w:tr w14:paraId="340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3" w:hRule="atLeast"/>
          <w:jc w:val="center"/>
        </w:trPr>
        <w:tc>
          <w:tcPr>
            <w:tcW w:w="1143" w:type="dxa"/>
            <w:noWrap w:val="0"/>
            <w:vAlign w:val="center"/>
          </w:tcPr>
          <w:p w14:paraId="3B6DD91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6499C9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1E2C76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（1）投标人具备有效的企业营业执照和基本账户开户许可证（或基本存款账户信息）；</w:t>
            </w:r>
          </w:p>
          <w:p w14:paraId="1A0EC9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4817BA7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68A351F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206B7BC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（5）投标人不存在第二章“投标人须知”第1.4.3项规定的任何一种情形。</w:t>
            </w:r>
          </w:p>
        </w:tc>
      </w:tr>
      <w:tr w14:paraId="38B3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498532C">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1049145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78BA597B">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D3D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2210E13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425FDF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12304A1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2E954D5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1CA7B4D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rPr>
              <w:t>分</w:t>
            </w:r>
          </w:p>
          <w:p w14:paraId="107BEC00">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4828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D73A48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23B8A5D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31C6DA4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07407BF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05E6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3563103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14:paraId="46F11C7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18691402">
            <w:pPr>
              <w:adjustRightInd w:val="0"/>
              <w:snapToGrid w:val="0"/>
              <w:spacing w:line="24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w:t>
            </w:r>
            <w:r>
              <w:rPr>
                <w:rFonts w:hint="eastAsia" w:ascii="宋体" w:hAnsi="宋体" w:cs="宋体"/>
                <w:color w:val="auto"/>
                <w:sz w:val="24"/>
                <w:szCs w:val="24"/>
                <w:highlight w:val="none"/>
                <w:lang w:val="en-US" w:eastAsia="zh-CN"/>
              </w:rPr>
              <w:t>进入第二信封</w:t>
            </w:r>
            <w:r>
              <w:rPr>
                <w:rFonts w:hint="eastAsia" w:ascii="宋体" w:hAnsi="宋体" w:eastAsia="宋体" w:cs="宋体"/>
                <w:color w:val="auto"/>
                <w:sz w:val="24"/>
                <w:szCs w:val="24"/>
                <w:highlight w:val="none"/>
              </w:rPr>
              <w:t>评审</w:t>
            </w:r>
            <w:r>
              <w:rPr>
                <w:rFonts w:hint="eastAsia" w:ascii="宋体" w:hAnsi="宋体" w:cs="宋体"/>
                <w:color w:val="auto"/>
                <w:sz w:val="24"/>
                <w:szCs w:val="24"/>
                <w:highlight w:val="none"/>
                <w:lang w:eastAsia="zh-CN"/>
              </w:rPr>
              <w:t>。</w:t>
            </w:r>
          </w:p>
        </w:tc>
      </w:tr>
      <w:tr w14:paraId="06CD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2460" w:type="dxa"/>
            <w:gridSpan w:val="2"/>
            <w:noWrap w:val="0"/>
            <w:vAlign w:val="center"/>
          </w:tcPr>
          <w:p w14:paraId="6A1F8F5B">
            <w:pPr>
              <w:snapToGrid w:val="0"/>
              <w:spacing w:line="24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3.5.3异常低价评审</w:t>
            </w:r>
          </w:p>
        </w:tc>
        <w:tc>
          <w:tcPr>
            <w:tcW w:w="7197" w:type="dxa"/>
            <w:noWrap w:val="0"/>
            <w:vAlign w:val="center"/>
          </w:tcPr>
          <w:p w14:paraId="0297F68F">
            <w:pPr>
              <w:snapToGrid w:val="0"/>
              <w:spacing w:line="240" w:lineRule="auto"/>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本款修改为：</w:t>
            </w:r>
          </w:p>
          <w:p w14:paraId="1351EAF6">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u w:val="none"/>
              </w:rPr>
              <w:t>评标委员会发现投标人的投标报价低于最高投标限价的60 %</w:t>
            </w:r>
            <w:r>
              <w:rPr>
                <w:rFonts w:hint="eastAsia" w:ascii="宋体" w:hAnsi="宋体" w:cs="宋体"/>
                <w:strike w:val="0"/>
                <w:dstrike w:val="0"/>
                <w:color w:val="auto"/>
                <w:sz w:val="24"/>
                <w:szCs w:val="24"/>
                <w:highlight w:val="none"/>
                <w:u w:val="none"/>
                <w:lang w:eastAsia="zh-CN"/>
              </w:rPr>
              <w:t>（</w:t>
            </w:r>
            <w:r>
              <w:rPr>
                <w:rFonts w:hint="eastAsia" w:ascii="宋体" w:hAnsi="宋体" w:cs="宋体"/>
                <w:strike w:val="0"/>
                <w:dstrike w:val="0"/>
                <w:color w:val="auto"/>
                <w:sz w:val="24"/>
                <w:szCs w:val="24"/>
                <w:highlight w:val="none"/>
                <w:u w:val="none"/>
                <w:lang w:val="en-US" w:eastAsia="zh-CN"/>
              </w:rPr>
              <w:t>含</w:t>
            </w:r>
            <w:r>
              <w:rPr>
                <w:rFonts w:hint="eastAsia" w:ascii="宋体" w:hAnsi="宋体" w:cs="宋体"/>
                <w:strike w:val="0"/>
                <w:dstrike w:val="0"/>
                <w:color w:val="auto"/>
                <w:sz w:val="24"/>
                <w:szCs w:val="24"/>
                <w:highlight w:val="none"/>
                <w:u w:val="none"/>
                <w:lang w:eastAsia="zh-CN"/>
              </w:rPr>
              <w:t>）</w:t>
            </w:r>
            <w:r>
              <w:rPr>
                <w:rFonts w:hint="eastAsia" w:ascii="宋体" w:hAnsi="宋体" w:eastAsia="宋体" w:cs="宋体"/>
                <w:strike w:val="0"/>
                <w:dstrike w:val="0"/>
                <w:color w:val="auto"/>
                <w:sz w:val="24"/>
                <w:szCs w:val="24"/>
                <w:highlight w:val="none"/>
                <w:u w:val="none"/>
              </w:rPr>
              <w:t>时，应当要求该投标人在规定时间内作出书面说明并提供相应的证明材料。投标人不能合理说明或者不能提供相应证明材料的，评标委员会应当认定该投标人以低于成本或者影响履约的异常低价竞标，并否决其投标。</w:t>
            </w:r>
          </w:p>
        </w:tc>
      </w:tr>
      <w:tr w14:paraId="7F1E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6E3EBA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061A5BA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3C828FC2">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4854F9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70CB323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w:t>
            </w:r>
            <w:r>
              <w:rPr>
                <w:rFonts w:hint="eastAsia" w:ascii="宋体" w:hAnsi="宋体" w:eastAsia="宋体" w:cs="宋体"/>
                <w:snapToGrid w:val="0"/>
                <w:color w:val="auto"/>
                <w:sz w:val="24"/>
                <w:szCs w:val="24"/>
                <w:highlight w:val="none"/>
                <w:lang w:bidi="ar"/>
              </w:rPr>
              <w:t>国家企业信用信息公示系统（http://www.gsxt.gov.cn/）中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w:t>
            </w:r>
            <w:r>
              <w:rPr>
                <w:rFonts w:hint="eastAsia" w:ascii="宋体" w:hAnsi="宋体" w:eastAsia="宋体" w:cs="宋体"/>
                <w:snapToGrid w:val="0"/>
                <w:color w:val="auto"/>
                <w:sz w:val="24"/>
                <w:szCs w:val="24"/>
                <w:highlight w:val="none"/>
                <w:lang w:eastAsia="zh-CN" w:bidi="ar"/>
              </w:rPr>
              <w:t>列入严重违法失信名单（黑名单）</w:t>
            </w:r>
            <w:r>
              <w:rPr>
                <w:rFonts w:hint="eastAsia" w:ascii="宋体" w:hAnsi="宋体" w:eastAsia="宋体" w:cs="宋体"/>
                <w:snapToGrid w:val="0"/>
                <w:color w:val="auto"/>
                <w:sz w:val="24"/>
                <w:szCs w:val="24"/>
                <w:highlight w:val="none"/>
                <w:lang w:bidi="ar"/>
              </w:rPr>
              <w:t>（不含分公司）、在“信用中国”网站（http://www.creditchina.gov.cn/）中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被列入</w:t>
            </w:r>
            <w:r>
              <w:rPr>
                <w:rFonts w:hint="eastAsia" w:ascii="宋体" w:hAnsi="宋体" w:cs="宋体"/>
                <w:snapToGrid w:val="0"/>
                <w:color w:val="auto"/>
                <w:sz w:val="24"/>
                <w:szCs w:val="24"/>
                <w:highlight w:val="none"/>
                <w:lang w:eastAsia="zh-CN" w:bidi="ar"/>
              </w:rPr>
              <w:t>失信被执行人、经营（活动）异常名录</w:t>
            </w:r>
            <w:r>
              <w:rPr>
                <w:rFonts w:hint="eastAsia" w:ascii="宋体" w:hAnsi="宋体" w:eastAsia="宋体" w:cs="宋体"/>
                <w:snapToGrid w:val="0"/>
                <w:color w:val="auto"/>
                <w:sz w:val="24"/>
                <w:szCs w:val="24"/>
                <w:highlight w:val="none"/>
                <w:lang w:bidi="ar"/>
              </w:rPr>
              <w:t>、重大税收违法失信主体</w:t>
            </w:r>
            <w:r>
              <w:rPr>
                <w:rFonts w:hint="eastAsia" w:ascii="宋体" w:hAnsi="宋体" w:cs="宋体"/>
                <w:snapToGrid w:val="0"/>
                <w:color w:val="auto"/>
                <w:sz w:val="24"/>
                <w:szCs w:val="24"/>
                <w:highlight w:val="none"/>
                <w:lang w:eastAsia="zh-CN" w:bidi="ar"/>
              </w:rPr>
              <w:t>、政府采购严重违法失信行为记录名单、安全生产严重失信主体名单</w:t>
            </w:r>
            <w:r>
              <w:rPr>
                <w:rFonts w:hint="eastAsia" w:ascii="宋体" w:hAnsi="宋体" w:eastAsia="宋体" w:cs="宋体"/>
                <w:snapToGrid w:val="0"/>
                <w:color w:val="auto"/>
                <w:sz w:val="24"/>
                <w:szCs w:val="24"/>
                <w:highlight w:val="none"/>
                <w:lang w:bidi="ar"/>
              </w:rPr>
              <w:t>（均不含分公司）</w:t>
            </w:r>
            <w:r>
              <w:rPr>
                <w:rFonts w:hint="eastAsia" w:ascii="宋体" w:hAnsi="宋体" w:eastAsia="宋体" w:cs="宋体"/>
                <w:color w:val="auto"/>
                <w:sz w:val="24"/>
                <w:szCs w:val="24"/>
                <w:highlight w:val="none"/>
              </w:rPr>
              <w:t>）的复核结果一致。如投标人未提供相关网页截图或所附截图与复核结果不一致导致不能满足资格评审要求的，评标委员会应否决其投标。</w:t>
            </w:r>
          </w:p>
          <w:p w14:paraId="78C0325F">
            <w:pPr>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r>
              <w:rPr>
                <w:rFonts w:hint="eastAsia" w:ascii="宋体" w:hAnsi="宋体" w:cs="宋体"/>
                <w:color w:val="auto"/>
                <w:sz w:val="24"/>
                <w:szCs w:val="24"/>
                <w:highlight w:val="none"/>
                <w:lang w:val="en-US" w:eastAsia="zh-CN"/>
              </w:rPr>
              <w:t xml:space="preserve">  </w:t>
            </w:r>
          </w:p>
          <w:p w14:paraId="7FEA4F66">
            <w:pPr>
              <w:snapToGrid w:val="0"/>
              <w:spacing w:line="240" w:lineRule="auto"/>
              <w:rPr>
                <w:rFonts w:hint="eastAsia" w:ascii="宋体" w:hAnsi="宋体" w:eastAsia="宋体" w:cs="宋体"/>
                <w:strike/>
                <w:dstrike w:val="0"/>
                <w:color w:val="auto"/>
                <w:sz w:val="24"/>
                <w:szCs w:val="24"/>
                <w:highlight w:val="none"/>
              </w:rPr>
            </w:pPr>
          </w:p>
        </w:tc>
      </w:tr>
      <w:tr w14:paraId="1DB3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48660B7">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3.6.3</w:t>
            </w:r>
          </w:p>
        </w:tc>
        <w:tc>
          <w:tcPr>
            <w:tcW w:w="1317" w:type="dxa"/>
            <w:noWrap w:val="0"/>
            <w:vAlign w:val="center"/>
          </w:tcPr>
          <w:p w14:paraId="5D87B5DA">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投标人其他异常投标情形</w:t>
            </w:r>
          </w:p>
        </w:tc>
        <w:tc>
          <w:tcPr>
            <w:tcW w:w="7197" w:type="dxa"/>
            <w:noWrap w:val="0"/>
            <w:vAlign w:val="center"/>
          </w:tcPr>
          <w:p w14:paraId="2D08EE75">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评标委员会在评标过程中发现存在投标文件异常一致或投标活动异常关联等异常投标情形的，</w:t>
            </w:r>
            <w:r>
              <w:rPr>
                <w:rFonts w:hint="eastAsia" w:ascii="宋体" w:hAnsi="宋体" w:eastAsia="宋体" w:cs="宋体"/>
                <w:strike w:val="0"/>
                <w:dstrike w:val="0"/>
                <w:color w:val="auto"/>
                <w:sz w:val="24"/>
                <w:szCs w:val="24"/>
                <w:highlight w:val="none"/>
                <w:u w:val="none"/>
              </w:rPr>
              <w:t>应当要求投标人在规定时间内作出书面说明并提供相应的证明材料。投标人不能合理说明或者不能提供相应证明材料的，评标委员会应当认定投标人</w:t>
            </w:r>
            <w:r>
              <w:rPr>
                <w:rFonts w:hint="eastAsia" w:ascii="宋体" w:hAnsi="宋体" w:eastAsia="宋体" w:cs="宋体"/>
                <w:strike w:val="0"/>
                <w:dstrike w:val="0"/>
                <w:color w:val="auto"/>
                <w:sz w:val="24"/>
                <w:szCs w:val="24"/>
                <w:highlight w:val="none"/>
                <w:lang w:val="en-US" w:eastAsia="zh-CN"/>
              </w:rPr>
              <w:t>存在串通投标等违法行为，</w:t>
            </w:r>
            <w:r>
              <w:rPr>
                <w:rFonts w:hint="eastAsia" w:ascii="宋体" w:hAnsi="宋体" w:cs="宋体"/>
                <w:strike w:val="0"/>
                <w:dstrike w:val="0"/>
                <w:color w:val="auto"/>
                <w:sz w:val="24"/>
                <w:szCs w:val="24"/>
                <w:highlight w:val="none"/>
                <w:lang w:val="en-US" w:eastAsia="zh-CN"/>
              </w:rPr>
              <w:t>并</w:t>
            </w:r>
            <w:r>
              <w:rPr>
                <w:rFonts w:hint="eastAsia" w:ascii="宋体" w:hAnsi="宋体" w:eastAsia="宋体" w:cs="宋体"/>
                <w:strike w:val="0"/>
                <w:dstrike w:val="0"/>
                <w:color w:val="auto"/>
                <w:sz w:val="24"/>
                <w:szCs w:val="24"/>
                <w:highlight w:val="none"/>
                <w:lang w:val="en-US" w:eastAsia="zh-CN"/>
              </w:rPr>
              <w:t>否决其投标。</w:t>
            </w:r>
          </w:p>
          <w:p w14:paraId="6C3352F4">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有下列情形之一的，属于投标文件异常一致或投标活动异常关联等异常投标情形：</w:t>
            </w:r>
          </w:p>
          <w:p w14:paraId="46FCBA9D">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（1）投标人投标文件制作机器码雷同；</w:t>
            </w:r>
          </w:p>
          <w:p w14:paraId="669CB213">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（2）投标文件创建标识码雷同；</w:t>
            </w:r>
          </w:p>
          <w:p w14:paraId="7764FE70">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（3）投标文件制作计算机MAC地址雷同；</w:t>
            </w:r>
          </w:p>
          <w:p w14:paraId="7D36871A">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（4）投标文件制作计算机硬盘序列号雷同；</w:t>
            </w:r>
          </w:p>
          <w:p w14:paraId="5C5E9A5B">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（5）招标文件下载IP地址雷同；</w:t>
            </w:r>
          </w:p>
          <w:p w14:paraId="73B3949F">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（6）投标文件上传IP地址雷同；</w:t>
            </w:r>
          </w:p>
          <w:p w14:paraId="1878B025">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（7）投标文件解密IP地址雷同。</w:t>
            </w:r>
          </w:p>
        </w:tc>
      </w:tr>
    </w:tbl>
    <w:p w14:paraId="196F5469">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4"/>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1507"/>
        <w:gridCol w:w="787"/>
        <w:gridCol w:w="4935"/>
      </w:tblGrid>
      <w:tr w14:paraId="0CCE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9" w:type="dxa"/>
            <w:noWrap w:val="0"/>
            <w:vAlign w:val="center"/>
          </w:tcPr>
          <w:p w14:paraId="06DD6880">
            <w:pPr>
              <w:pStyle w:val="10"/>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67B67F27">
            <w:pPr>
              <w:pStyle w:val="10"/>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5C4F5707">
            <w:pPr>
              <w:pStyle w:val="10"/>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1507" w:type="dxa"/>
            <w:noWrap w:val="0"/>
            <w:vAlign w:val="center"/>
          </w:tcPr>
          <w:p w14:paraId="3A651958">
            <w:pPr>
              <w:adjustRightInd w:val="0"/>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评分因素</w:t>
            </w:r>
          </w:p>
        </w:tc>
        <w:tc>
          <w:tcPr>
            <w:tcW w:w="787" w:type="dxa"/>
            <w:noWrap w:val="0"/>
            <w:vAlign w:val="center"/>
          </w:tcPr>
          <w:p w14:paraId="450C3D25">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935" w:type="dxa"/>
            <w:noWrap w:val="0"/>
            <w:vAlign w:val="center"/>
          </w:tcPr>
          <w:p w14:paraId="165B730C">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1B60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71E4AC21">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3D6649E">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3D5AB274">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商务部分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tc>
        <w:tc>
          <w:tcPr>
            <w:tcW w:w="1507" w:type="dxa"/>
            <w:vMerge w:val="restart"/>
            <w:noWrap w:val="0"/>
            <w:vAlign w:val="center"/>
          </w:tcPr>
          <w:p w14:paraId="40FB507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787" w:type="dxa"/>
            <w:vMerge w:val="restart"/>
            <w:noWrap w:val="0"/>
            <w:vAlign w:val="center"/>
          </w:tcPr>
          <w:p w14:paraId="67A67C42">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0分</w:t>
            </w:r>
          </w:p>
        </w:tc>
        <w:tc>
          <w:tcPr>
            <w:tcW w:w="4935" w:type="dxa"/>
            <w:noWrap w:val="0"/>
            <w:vAlign w:val="center"/>
          </w:tcPr>
          <w:p w14:paraId="1D44307F">
            <w:pPr>
              <w:ind w:right="113"/>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满足资格审查条件(业绩最低要求)得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43D3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3131CA5D">
            <w:pPr>
              <w:jc w:val="center"/>
              <w:rPr>
                <w:rFonts w:hint="eastAsia" w:ascii="宋体" w:hAnsi="宋体" w:cs="宋体"/>
                <w:color w:val="auto"/>
                <w:kern w:val="0"/>
                <w:sz w:val="24"/>
                <w:szCs w:val="24"/>
                <w:highlight w:val="none"/>
              </w:rPr>
            </w:pPr>
          </w:p>
        </w:tc>
        <w:tc>
          <w:tcPr>
            <w:tcW w:w="1186" w:type="dxa"/>
            <w:vMerge w:val="continue"/>
            <w:noWrap w:val="0"/>
            <w:vAlign w:val="center"/>
          </w:tcPr>
          <w:p w14:paraId="67D40068">
            <w:pPr>
              <w:jc w:val="center"/>
              <w:rPr>
                <w:rFonts w:hint="eastAsia" w:ascii="宋体" w:hAnsi="宋体" w:cs="宋体"/>
                <w:color w:val="auto"/>
                <w:kern w:val="0"/>
                <w:sz w:val="24"/>
                <w:szCs w:val="24"/>
                <w:highlight w:val="none"/>
              </w:rPr>
            </w:pPr>
          </w:p>
        </w:tc>
        <w:tc>
          <w:tcPr>
            <w:tcW w:w="1507" w:type="dxa"/>
            <w:vMerge w:val="continue"/>
            <w:noWrap w:val="0"/>
            <w:vAlign w:val="center"/>
          </w:tcPr>
          <w:p w14:paraId="6CC326B1">
            <w:pPr>
              <w:adjustRightInd w:val="0"/>
              <w:snapToGrid w:val="0"/>
              <w:jc w:val="center"/>
              <w:rPr>
                <w:rFonts w:hint="eastAsia" w:ascii="宋体" w:hAnsi="宋体" w:eastAsia="宋体" w:cs="宋体"/>
                <w:color w:val="auto"/>
                <w:sz w:val="24"/>
                <w:szCs w:val="24"/>
                <w:highlight w:val="none"/>
              </w:rPr>
            </w:pPr>
          </w:p>
        </w:tc>
        <w:tc>
          <w:tcPr>
            <w:tcW w:w="787" w:type="dxa"/>
            <w:vMerge w:val="continue"/>
            <w:noWrap w:val="0"/>
            <w:vAlign w:val="center"/>
          </w:tcPr>
          <w:p w14:paraId="7A735E45">
            <w:pPr>
              <w:jc w:val="center"/>
              <w:rPr>
                <w:rFonts w:hint="eastAsia" w:ascii="宋体" w:hAnsi="宋体" w:cs="宋体"/>
                <w:color w:val="auto"/>
                <w:kern w:val="0"/>
                <w:sz w:val="24"/>
                <w:szCs w:val="24"/>
                <w:highlight w:val="none"/>
              </w:rPr>
            </w:pPr>
          </w:p>
        </w:tc>
        <w:tc>
          <w:tcPr>
            <w:tcW w:w="4935" w:type="dxa"/>
            <w:noWrap w:val="0"/>
            <w:vAlign w:val="center"/>
          </w:tcPr>
          <w:p w14:paraId="17C3116F">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每增加1项满足资格审查条件（业绩最低要求）的供货业绩的加2分，最多加8分</w:t>
            </w:r>
          </w:p>
        </w:tc>
      </w:tr>
      <w:tr w14:paraId="7A0E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restart"/>
            <w:noWrap w:val="0"/>
            <w:vAlign w:val="center"/>
          </w:tcPr>
          <w:p w14:paraId="7C347ED2">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15B052F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24CD4470">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p>
          <w:p w14:paraId="2F735311">
            <w:pPr>
              <w:pStyle w:val="5"/>
              <w:jc w:val="both"/>
              <w:rPr>
                <w:rFonts w:hint="eastAsia"/>
                <w:color w:val="auto"/>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8</w:t>
            </w:r>
            <w:r>
              <w:rPr>
                <w:color w:val="auto"/>
                <w:sz w:val="24"/>
                <w:szCs w:val="24"/>
                <w:highlight w:val="none"/>
                <w:lang w:eastAsia="zh-CN"/>
              </w:rPr>
              <w:t>0</w:t>
            </w:r>
            <w:r>
              <w:rPr>
                <w:rFonts w:hint="eastAsia"/>
                <w:color w:val="auto"/>
                <w:sz w:val="24"/>
                <w:szCs w:val="24"/>
                <w:highlight w:val="none"/>
                <w:lang w:eastAsia="zh-CN"/>
              </w:rPr>
              <w:t>分）</w:t>
            </w:r>
          </w:p>
        </w:tc>
        <w:tc>
          <w:tcPr>
            <w:tcW w:w="1507" w:type="dxa"/>
            <w:noWrap w:val="0"/>
            <w:vAlign w:val="center"/>
          </w:tcPr>
          <w:p w14:paraId="191B6578">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投标设备整体评价</w:t>
            </w:r>
          </w:p>
        </w:tc>
        <w:tc>
          <w:tcPr>
            <w:tcW w:w="787" w:type="dxa"/>
            <w:noWrap w:val="0"/>
            <w:vAlign w:val="center"/>
          </w:tcPr>
          <w:p w14:paraId="75D63C5F">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分</w:t>
            </w:r>
          </w:p>
        </w:tc>
        <w:tc>
          <w:tcPr>
            <w:tcW w:w="4935" w:type="dxa"/>
            <w:noWrap w:val="0"/>
            <w:vAlign w:val="center"/>
          </w:tcPr>
          <w:p w14:paraId="2490800A">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1.设备整体性能优越、功能齐全、完善，自动化水平高，完全满足招标文件要求，得</w:t>
            </w:r>
            <w:r>
              <w:rPr>
                <w:rFonts w:hint="eastAsia" w:ascii="宋体" w:hAnsi="宋体" w:cs="宋体"/>
                <w:color w:val="auto"/>
                <w:sz w:val="24"/>
                <w:szCs w:val="24"/>
                <w:highlight w:val="none"/>
                <w:lang w:val="en-US" w:eastAsia="zh-CN"/>
              </w:rPr>
              <w:t>16-20</w:t>
            </w:r>
            <w:r>
              <w:rPr>
                <w:rFonts w:hint="eastAsia" w:ascii="宋体" w:hAnsi="宋体" w:eastAsia="宋体" w:cs="宋体"/>
                <w:color w:val="auto"/>
                <w:sz w:val="24"/>
                <w:szCs w:val="24"/>
                <w:highlight w:val="none"/>
              </w:rPr>
              <w:t>分；</w:t>
            </w:r>
          </w:p>
          <w:p w14:paraId="468C9DC1">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2.设备整体性能较高、功能较齐全、较完善，自动化水平较高，满足招标文件要求，得</w:t>
            </w:r>
            <w:r>
              <w:rPr>
                <w:rFonts w:hint="eastAsia" w:ascii="宋体" w:hAnsi="宋体" w:cs="宋体"/>
                <w:color w:val="auto"/>
                <w:sz w:val="24"/>
                <w:szCs w:val="24"/>
                <w:highlight w:val="none"/>
                <w:lang w:val="en-US" w:eastAsia="zh-CN"/>
              </w:rPr>
              <w:t>12-16</w:t>
            </w:r>
            <w:r>
              <w:rPr>
                <w:rFonts w:hint="eastAsia" w:ascii="宋体" w:hAnsi="宋体" w:eastAsia="宋体" w:cs="宋体"/>
                <w:color w:val="auto"/>
                <w:sz w:val="24"/>
                <w:szCs w:val="24"/>
                <w:highlight w:val="none"/>
              </w:rPr>
              <w:t>分；</w:t>
            </w:r>
          </w:p>
          <w:p w14:paraId="76CB4AD5">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3.设备整体性能一般，功能一般，自动化水平一般，基本满足招标文件要求，得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3B2D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continue"/>
            <w:noWrap w:val="0"/>
            <w:vAlign w:val="center"/>
          </w:tcPr>
          <w:p w14:paraId="550FC127">
            <w:pPr>
              <w:jc w:val="center"/>
              <w:rPr>
                <w:rFonts w:hint="eastAsia" w:ascii="宋体" w:hAnsi="宋体" w:cs="宋体"/>
                <w:color w:val="auto"/>
                <w:kern w:val="0"/>
                <w:sz w:val="24"/>
                <w:szCs w:val="24"/>
                <w:highlight w:val="none"/>
              </w:rPr>
            </w:pPr>
          </w:p>
        </w:tc>
        <w:tc>
          <w:tcPr>
            <w:tcW w:w="1186" w:type="dxa"/>
            <w:vMerge w:val="continue"/>
            <w:noWrap w:val="0"/>
            <w:vAlign w:val="center"/>
          </w:tcPr>
          <w:p w14:paraId="144041B6">
            <w:pPr>
              <w:jc w:val="center"/>
              <w:rPr>
                <w:rFonts w:hint="eastAsia" w:ascii="宋体" w:hAnsi="宋体" w:cs="宋体"/>
                <w:color w:val="auto"/>
                <w:kern w:val="0"/>
                <w:sz w:val="24"/>
                <w:szCs w:val="24"/>
                <w:highlight w:val="none"/>
              </w:rPr>
            </w:pPr>
          </w:p>
        </w:tc>
        <w:tc>
          <w:tcPr>
            <w:tcW w:w="1507" w:type="dxa"/>
            <w:noWrap w:val="0"/>
            <w:vAlign w:val="center"/>
          </w:tcPr>
          <w:p w14:paraId="43A8647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投标设备技术性能指标响应程度</w:t>
            </w:r>
          </w:p>
        </w:tc>
        <w:tc>
          <w:tcPr>
            <w:tcW w:w="787" w:type="dxa"/>
            <w:noWrap w:val="0"/>
            <w:vAlign w:val="center"/>
          </w:tcPr>
          <w:p w14:paraId="2E25541C">
            <w:pPr>
              <w:jc w:val="center"/>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分</w:t>
            </w:r>
          </w:p>
        </w:tc>
        <w:tc>
          <w:tcPr>
            <w:tcW w:w="4935" w:type="dxa"/>
            <w:noWrap w:val="0"/>
            <w:vAlign w:val="top"/>
          </w:tcPr>
          <w:p w14:paraId="00F040F7">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1.投标产品选型合理，主要组成部件的技术性能参数及功能参数指标高，实用性强、产品设计科学合理、质量可靠，得</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68CCC702">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2.投标产品选型较合理，主要组成部件的技术性能参数及功能参数指标较高，实用性较强、产品设计较合理、质量较可靠，得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p w14:paraId="4546223F">
            <w:pPr>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3.投标产品选型一般，主要组成部件的技术性能参数及功能参数指标一般，实用性一般、产品设计一般、质量一般，得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278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959" w:type="dxa"/>
            <w:vMerge w:val="continue"/>
            <w:noWrap w:val="0"/>
            <w:vAlign w:val="center"/>
          </w:tcPr>
          <w:p w14:paraId="789CF3C4">
            <w:pPr>
              <w:jc w:val="center"/>
              <w:rPr>
                <w:rFonts w:hint="eastAsia" w:ascii="宋体" w:hAnsi="宋体" w:cs="宋体"/>
                <w:color w:val="auto"/>
                <w:kern w:val="0"/>
                <w:sz w:val="24"/>
                <w:szCs w:val="24"/>
                <w:highlight w:val="none"/>
              </w:rPr>
            </w:pPr>
          </w:p>
        </w:tc>
        <w:tc>
          <w:tcPr>
            <w:tcW w:w="1186" w:type="dxa"/>
            <w:vMerge w:val="continue"/>
            <w:noWrap w:val="0"/>
            <w:vAlign w:val="center"/>
          </w:tcPr>
          <w:p w14:paraId="4BA45C7D">
            <w:pPr>
              <w:jc w:val="center"/>
              <w:rPr>
                <w:rFonts w:hint="eastAsia" w:ascii="宋体" w:hAnsi="宋体" w:cs="宋体"/>
                <w:color w:val="auto"/>
                <w:kern w:val="0"/>
                <w:sz w:val="24"/>
                <w:szCs w:val="24"/>
                <w:highlight w:val="none"/>
              </w:rPr>
            </w:pPr>
          </w:p>
        </w:tc>
        <w:tc>
          <w:tcPr>
            <w:tcW w:w="1507" w:type="dxa"/>
            <w:noWrap w:val="0"/>
            <w:vAlign w:val="center"/>
          </w:tcPr>
          <w:p w14:paraId="09840C4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供货能力及进度保障（暗标）</w:t>
            </w:r>
          </w:p>
        </w:tc>
        <w:tc>
          <w:tcPr>
            <w:tcW w:w="787" w:type="dxa"/>
            <w:noWrap w:val="0"/>
            <w:vAlign w:val="center"/>
          </w:tcPr>
          <w:p w14:paraId="0018FC0E">
            <w:pPr>
              <w:ind w:right="113"/>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935" w:type="dxa"/>
            <w:noWrap w:val="0"/>
            <w:vAlign w:val="top"/>
          </w:tcPr>
          <w:p w14:paraId="158BD368">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1.投标人提供的供货方案切实可行、供货能力强、交货进度有保障、能够保质保量的完成供货，针对供货过程中的特殊情况有预案，得16-20分；</w:t>
            </w:r>
          </w:p>
          <w:p w14:paraId="613FC94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2.投标人提供的供货方案可行、供货能力较强、交货进度满足招标文件要求，得12-16分；</w:t>
            </w:r>
          </w:p>
          <w:p w14:paraId="730BA81E">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3.投标人提供的供货方案一般、供货能力一般、交货进度基本满足招标文件要求，得12分。</w:t>
            </w:r>
          </w:p>
        </w:tc>
      </w:tr>
      <w:tr w14:paraId="6057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959" w:type="dxa"/>
            <w:vMerge w:val="continue"/>
            <w:noWrap w:val="0"/>
            <w:vAlign w:val="center"/>
          </w:tcPr>
          <w:p w14:paraId="16AF6A0F">
            <w:pPr>
              <w:jc w:val="center"/>
              <w:rPr>
                <w:rFonts w:hint="eastAsia" w:ascii="宋体" w:hAnsi="宋体" w:cs="宋体"/>
                <w:color w:val="auto"/>
                <w:kern w:val="0"/>
                <w:sz w:val="24"/>
                <w:szCs w:val="24"/>
                <w:highlight w:val="none"/>
              </w:rPr>
            </w:pPr>
          </w:p>
        </w:tc>
        <w:tc>
          <w:tcPr>
            <w:tcW w:w="1186" w:type="dxa"/>
            <w:vMerge w:val="continue"/>
            <w:noWrap w:val="0"/>
            <w:vAlign w:val="center"/>
          </w:tcPr>
          <w:p w14:paraId="25905584">
            <w:pPr>
              <w:jc w:val="center"/>
              <w:rPr>
                <w:rFonts w:hint="eastAsia" w:ascii="宋体" w:hAnsi="宋体" w:cs="宋体"/>
                <w:color w:val="auto"/>
                <w:kern w:val="0"/>
                <w:sz w:val="24"/>
                <w:szCs w:val="24"/>
                <w:highlight w:val="none"/>
              </w:rPr>
            </w:pPr>
          </w:p>
        </w:tc>
        <w:tc>
          <w:tcPr>
            <w:tcW w:w="1507" w:type="dxa"/>
            <w:noWrap w:val="0"/>
            <w:vAlign w:val="center"/>
          </w:tcPr>
          <w:p w14:paraId="1939BE8A">
            <w:pPr>
              <w:pStyle w:val="21"/>
              <w:snapToGrid w:val="0"/>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技术服务及质保期服务</w:t>
            </w:r>
          </w:p>
          <w:p w14:paraId="2EDC6CC7">
            <w:pPr>
              <w:pStyle w:val="21"/>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（暗标）</w:t>
            </w:r>
          </w:p>
        </w:tc>
        <w:tc>
          <w:tcPr>
            <w:tcW w:w="787" w:type="dxa"/>
            <w:noWrap w:val="0"/>
            <w:vAlign w:val="center"/>
          </w:tcPr>
          <w:p w14:paraId="7F2EA7E9">
            <w:pPr>
              <w:ind w:right="113"/>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935" w:type="dxa"/>
            <w:noWrap w:val="0"/>
            <w:vAlign w:val="center"/>
          </w:tcPr>
          <w:p w14:paraId="6B62CA0B">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服务方案切实可行，针对性强，</w:t>
            </w:r>
            <w:r>
              <w:rPr>
                <w:rFonts w:hint="eastAsia" w:ascii="宋体" w:hAnsi="宋体" w:eastAsia="宋体" w:cs="宋体"/>
                <w:color w:val="auto"/>
                <w:sz w:val="24"/>
                <w:szCs w:val="24"/>
                <w:highlight w:val="none"/>
              </w:rPr>
              <w:t>服务体系完善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p w14:paraId="7A90BDA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服务方案较切实可行，针对性较强，</w:t>
            </w:r>
            <w:r>
              <w:rPr>
                <w:rFonts w:hint="eastAsia" w:ascii="宋体" w:hAnsi="宋体" w:eastAsia="宋体" w:cs="宋体"/>
                <w:color w:val="auto"/>
                <w:sz w:val="24"/>
                <w:szCs w:val="24"/>
                <w:highlight w:val="none"/>
              </w:rPr>
              <w:t>服务体系较完善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zh-CN"/>
              </w:rPr>
              <w:t>分；</w:t>
            </w:r>
          </w:p>
          <w:p w14:paraId="3644ACBF">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服务方案基本可行，</w:t>
            </w:r>
            <w:r>
              <w:rPr>
                <w:rFonts w:hint="eastAsia" w:ascii="宋体" w:hAnsi="宋体" w:eastAsia="宋体" w:cs="宋体"/>
                <w:color w:val="auto"/>
                <w:sz w:val="24"/>
                <w:szCs w:val="24"/>
                <w:highlight w:val="none"/>
              </w:rPr>
              <w:t>服务体系基本完善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分；</w:t>
            </w:r>
          </w:p>
        </w:tc>
      </w:tr>
      <w:tr w14:paraId="080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6CACC853">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65DCA605">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tcBorders>
              <w:bottom w:val="single" w:color="auto" w:sz="4" w:space="0"/>
            </w:tcBorders>
            <w:noWrap w:val="0"/>
            <w:vAlign w:val="center"/>
          </w:tcPr>
          <w:p w14:paraId="50E61056">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29" w:type="dxa"/>
            <w:gridSpan w:val="3"/>
            <w:tcBorders>
              <w:bottom w:val="single" w:color="auto" w:sz="4" w:space="0"/>
            </w:tcBorders>
            <w:noWrap w:val="0"/>
            <w:vAlign w:val="center"/>
          </w:tcPr>
          <w:p w14:paraId="720F304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14:paraId="4BFBD247">
      <w:pPr>
        <w:pStyle w:val="10"/>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46ED200A">
      <w:pPr>
        <w:pStyle w:val="10"/>
        <w:adjustRightInd w:val="0"/>
        <w:snapToGrid w:val="0"/>
        <w:spacing w:line="360" w:lineRule="auto"/>
        <w:jc w:val="left"/>
        <w:textAlignment w:val="baseline"/>
        <w:rPr>
          <w:rFonts w:hint="eastAsia" w:hAnsi="宋体" w:eastAsia="宋体"/>
          <w:snapToGrid w:val="0"/>
          <w:color w:val="auto"/>
          <w:kern w:val="0"/>
          <w:sz w:val="24"/>
          <w:szCs w:val="24"/>
          <w:highlight w:val="none"/>
          <w:lang w:eastAsia="zh-CN"/>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3DF6A1FF">
      <w:pPr>
        <w:pStyle w:val="10"/>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rPr>
        <w:t>第2.2.</w:t>
      </w:r>
      <w:r>
        <w:rPr>
          <w:rFonts w:hint="eastAsia" w:hAnsi="宋体"/>
          <w:snapToGrid w:val="0"/>
          <w:color w:val="auto"/>
          <w:kern w:val="0"/>
          <w:sz w:val="24"/>
          <w:szCs w:val="24"/>
          <w:highlight w:val="none"/>
          <w:lang w:val="en-US" w:eastAsia="zh-CN"/>
        </w:rPr>
        <w:t>1</w:t>
      </w:r>
      <w:r>
        <w:rPr>
          <w:rFonts w:hint="eastAsia" w:hAnsi="宋体"/>
          <w:snapToGrid w:val="0"/>
          <w:color w:val="auto"/>
          <w:kern w:val="0"/>
          <w:sz w:val="24"/>
          <w:szCs w:val="24"/>
          <w:highlight w:val="none"/>
        </w:rPr>
        <w:t>（</w:t>
      </w:r>
      <w:r>
        <w:rPr>
          <w:rFonts w:hint="eastAsia" w:hAnsi="宋体"/>
          <w:snapToGrid w:val="0"/>
          <w:color w:val="auto"/>
          <w:kern w:val="0"/>
          <w:sz w:val="24"/>
          <w:szCs w:val="24"/>
          <w:highlight w:val="none"/>
          <w:lang w:val="en-US" w:eastAsia="zh-CN"/>
        </w:rPr>
        <w:t>2</w:t>
      </w:r>
      <w:r>
        <w:rPr>
          <w:rFonts w:hint="eastAsia" w:hAnsi="宋体"/>
          <w:snapToGrid w:val="0"/>
          <w:color w:val="auto"/>
          <w:kern w:val="0"/>
          <w:sz w:val="24"/>
          <w:szCs w:val="24"/>
          <w:highlight w:val="none"/>
        </w:rPr>
        <w:t>）项评标委员会成员对某一项评分因素的评分低于权重分值 60%的，应在评标报告中作出说明。评审</w:t>
      </w:r>
      <w:r>
        <w:rPr>
          <w:rFonts w:hint="eastAsia" w:hAnsi="宋体"/>
          <w:snapToGrid w:val="0"/>
          <w:color w:val="auto"/>
          <w:kern w:val="0"/>
          <w:sz w:val="24"/>
          <w:szCs w:val="24"/>
          <w:highlight w:val="none"/>
          <w:lang w:val="en-US" w:eastAsia="zh-CN"/>
        </w:rPr>
        <w:t>因素细分项</w:t>
      </w:r>
      <w:r>
        <w:rPr>
          <w:rFonts w:hint="eastAsia" w:hAnsi="宋体"/>
          <w:snapToGrid w:val="0"/>
          <w:color w:val="auto"/>
          <w:kern w:val="0"/>
          <w:sz w:val="24"/>
          <w:szCs w:val="24"/>
          <w:highlight w:val="none"/>
        </w:rPr>
        <w:t>缺项则该项得0分。</w:t>
      </w:r>
    </w:p>
    <w:p w14:paraId="4760352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7F1E">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B928E">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DB928E">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74297"/>
    <w:multiLevelType w:val="singleLevel"/>
    <w:tmpl w:val="0A974297"/>
    <w:lvl w:ilvl="0" w:tentative="0">
      <w:start w:val="1"/>
      <w:numFmt w:val="decimal"/>
      <w:suff w:val="nothing"/>
      <w:lvlText w:val="（%1）"/>
      <w:lvlJc w:val="left"/>
    </w:lvl>
  </w:abstractNum>
  <w:abstractNum w:abstractNumId="1">
    <w:nsid w:val="3CD0385D"/>
    <w:multiLevelType w:val="singleLevel"/>
    <w:tmpl w:val="3CD0385D"/>
    <w:lvl w:ilvl="0" w:tentative="0">
      <w:start w:val="1"/>
      <w:numFmt w:val="decimal"/>
      <w:pStyle w:val="11"/>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04AA6"/>
    <w:rsid w:val="6E7E2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paragraph" w:styleId="3">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ind w:firstLine="560" w:firstLineChars="200"/>
    </w:pPr>
    <w:rPr>
      <w:rFonts w:ascii="Cambria" w:hAnsi="Cambria"/>
      <w:szCs w:val="24"/>
    </w:rPr>
  </w:style>
  <w:style w:type="paragraph" w:styleId="5">
    <w:name w:val="Body Text"/>
    <w:basedOn w:val="1"/>
    <w:next w:val="6"/>
    <w:qFormat/>
    <w:uiPriority w:val="1"/>
    <w:pPr>
      <w:ind w:left="100"/>
      <w:jc w:val="left"/>
    </w:pPr>
    <w:rPr>
      <w:rFonts w:ascii="宋体" w:hAnsi="宋体" w:cs="Times New Roman"/>
      <w:kern w:val="0"/>
      <w:szCs w:val="21"/>
      <w:lang w:eastAsia="en-US"/>
    </w:rPr>
  </w:style>
  <w:style w:type="paragraph" w:customStyle="1" w:styleId="6">
    <w:name w:val="正文部分 Char Char Char"/>
    <w:basedOn w:val="5"/>
    <w:next w:val="7"/>
    <w:qFormat/>
    <w:uiPriority w:val="0"/>
    <w:pPr>
      <w:spacing w:line="460" w:lineRule="exact"/>
      <w:textAlignment w:val="baseline"/>
    </w:pPr>
    <w:rPr>
      <w:sz w:val="24"/>
    </w:rPr>
  </w:style>
  <w:style w:type="paragraph" w:customStyle="1" w:styleId="7">
    <w:name w:val="章标题"/>
    <w:basedOn w:val="8"/>
    <w:qFormat/>
    <w:uiPriority w:val="0"/>
    <w:pPr>
      <w:spacing w:line="360" w:lineRule="auto"/>
    </w:pPr>
  </w:style>
  <w:style w:type="paragraph" w:styleId="8">
    <w:name w:val="Title"/>
    <w:basedOn w:val="1"/>
    <w:next w:val="1"/>
    <w:qFormat/>
    <w:uiPriority w:val="10"/>
    <w:pPr>
      <w:spacing w:before="240" w:after="60"/>
      <w:jc w:val="center"/>
      <w:outlineLvl w:val="0"/>
    </w:pPr>
    <w:rPr>
      <w:rFonts w:ascii="Cambria" w:hAnsi="Cambria"/>
      <w:b/>
      <w:bCs/>
      <w:kern w:val="0"/>
      <w:sz w:val="32"/>
      <w:szCs w:val="32"/>
    </w:rPr>
  </w:style>
  <w:style w:type="paragraph" w:styleId="9">
    <w:name w:val="Body Text Indent"/>
    <w:basedOn w:val="1"/>
    <w:unhideWhenUsed/>
    <w:qFormat/>
    <w:uiPriority w:val="99"/>
    <w:pPr>
      <w:spacing w:after="120"/>
      <w:ind w:left="420" w:leftChars="200"/>
    </w:pPr>
  </w:style>
  <w:style w:type="paragraph" w:styleId="10">
    <w:name w:val="Plain Text"/>
    <w:basedOn w:val="1"/>
    <w:next w:val="11"/>
    <w:qFormat/>
    <w:uiPriority w:val="0"/>
    <w:rPr>
      <w:rFonts w:ascii="宋体" w:hAnsi="Courier New"/>
      <w:szCs w:val="20"/>
    </w:rPr>
  </w:style>
  <w:style w:type="paragraph" w:styleId="11">
    <w:name w:val="List Number 5"/>
    <w:basedOn w:val="1"/>
    <w:uiPriority w:val="0"/>
    <w:pPr>
      <w:numPr>
        <w:ilvl w:val="0"/>
        <w:numId w:val="1"/>
      </w:numPr>
    </w:p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Body Text First Indent 2"/>
    <w:basedOn w:val="9"/>
    <w:unhideWhenUsed/>
    <w:qFormat/>
    <w:uiPriority w:val="99"/>
    <w:pPr>
      <w:tabs>
        <w:tab w:val="left" w:pos="5580"/>
      </w:tabs>
      <w:ind w:left="420" w:leftChars="200" w:firstLine="420"/>
    </w:pPr>
    <w:rPr>
      <w:rFonts w:ascii="Times New Roman" w:hAnsi="Times New Roman"/>
      <w:sz w:val="21"/>
    </w:rPr>
  </w:style>
  <w:style w:type="character" w:customStyle="1" w:styleId="16">
    <w:name w:val="NormalCharacter"/>
    <w:link w:val="17"/>
    <w:autoRedefine/>
    <w:qFormat/>
    <w:uiPriority w:val="0"/>
    <w:rPr>
      <w:kern w:val="0"/>
      <w:sz w:val="20"/>
      <w:szCs w:val="20"/>
    </w:rPr>
  </w:style>
  <w:style w:type="paragraph" w:customStyle="1" w:styleId="17">
    <w:name w:val="UserStyle_24"/>
    <w:basedOn w:val="1"/>
    <w:link w:val="16"/>
    <w:autoRedefine/>
    <w:qFormat/>
    <w:uiPriority w:val="0"/>
    <w:pPr>
      <w:widowControl/>
      <w:spacing w:line="360" w:lineRule="auto"/>
      <w:ind w:firstLine="200" w:firstLineChars="200"/>
      <w:jc w:val="left"/>
    </w:pPr>
    <w:rPr>
      <w:kern w:val="0"/>
      <w:sz w:val="20"/>
      <w:szCs w:val="20"/>
    </w:rPr>
  </w:style>
  <w:style w:type="paragraph" w:customStyle="1" w:styleId="18">
    <w:name w:val="1正文"/>
    <w:basedOn w:val="1"/>
    <w:autoRedefine/>
    <w:qFormat/>
    <w:uiPriority w:val="0"/>
    <w:pPr>
      <w:ind w:firstLine="480"/>
    </w:pPr>
    <w:rPr>
      <w:rFonts w:cs="宋体"/>
      <w:szCs w:val="24"/>
    </w:rPr>
  </w:style>
  <w:style w:type="paragraph" w:customStyle="1" w:styleId="19">
    <w:name w:val="大标题"/>
    <w:basedOn w:val="1"/>
    <w:next w:val="13"/>
    <w:autoRedefine/>
    <w:qFormat/>
    <w:uiPriority w:val="0"/>
    <w:pPr>
      <w:jc w:val="center"/>
    </w:pPr>
    <w:rPr>
      <w:rFonts w:ascii="Arial" w:hAnsi="Arial"/>
      <w:b/>
      <w:sz w:val="28"/>
    </w:rPr>
  </w:style>
  <w:style w:type="paragraph" w:customStyle="1" w:styleId="20">
    <w:name w:val="UserStyle_340"/>
    <w:basedOn w:val="1"/>
    <w:autoRedefine/>
    <w:qFormat/>
    <w:uiPriority w:val="0"/>
    <w:pPr>
      <w:widowControl/>
      <w:spacing w:line="340" w:lineRule="exact"/>
      <w:jc w:val="center"/>
    </w:pPr>
    <w:rPr>
      <w:rFonts w:ascii="宋体" w:hAnsi="Calibri"/>
      <w:bCs/>
      <w:color w:val="000000"/>
      <w:kern w:val="0"/>
      <w:szCs w:val="21"/>
    </w:rPr>
  </w:style>
  <w:style w:type="paragraph" w:customStyle="1" w:styleId="21">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5735</Words>
  <Characters>6892</Characters>
  <Lines>0</Lines>
  <Paragraphs>0</Paragraphs>
  <TotalTime>0</TotalTime>
  <ScaleCrop>false</ScaleCrop>
  <LinksUpToDate>false</LinksUpToDate>
  <CharactersWithSpaces>7007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2026-06-29T11:04:00Z</dcterms:created>
  <dc:creator>86133</dc:creator>
  <cp:lastModifiedBy>冯士峰</cp:lastModifiedBy>
  <dcterms:modified xsi:type="dcterms:W3CDTF">2026-06-30T01:30:02Z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eyJoZGlkIjoiMjNhMGNiNzBmYzRmYmU1YWU1ZDVjYzI3MTI0YTIzZjQiLCJ1c2VySWQiOiIxNjg3ODQzOTczIn0=</vt:lpwstr>
  </property>
  <property fmtid="{D5CDD505-2E9C-101B-9397-08002B2CF9AE}" pid="4" name="ICV">
    <vt:lpwstr>8D15B2C81C6A438FB5FDE081E99A9581_12</vt:lpwstr>
  </property>
</Properties>
</file>