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4D4041">
      <w:pPr>
        <w:wordWrap w:val="0"/>
        <w:outlineLvl w:val="3"/>
        <w:rPr>
          <w:b/>
          <w:color w:val="auto"/>
          <w:sz w:val="24"/>
          <w:szCs w:val="24"/>
          <w:highlight w:val="none"/>
        </w:rPr>
      </w:pPr>
      <w:r>
        <w:rPr>
          <w:b/>
          <w:color w:val="auto"/>
          <w:sz w:val="24"/>
          <w:szCs w:val="24"/>
          <w:highlight w:val="none"/>
        </w:rPr>
        <w:t>附件1：</w:t>
      </w:r>
      <w:bookmarkStart w:id="0" w:name="_Toc404712451"/>
      <w:r>
        <w:rPr>
          <w:b/>
          <w:color w:val="auto"/>
          <w:sz w:val="24"/>
          <w:szCs w:val="24"/>
          <w:highlight w:val="none"/>
        </w:rPr>
        <w:t>资格审查条件</w:t>
      </w:r>
      <w:bookmarkEnd w:id="0"/>
      <w:bookmarkStart w:id="1" w:name="_GoBack"/>
      <w:bookmarkEnd w:id="1"/>
    </w:p>
    <w:p w14:paraId="1B5FF51F">
      <w:pPr>
        <w:wordWrap w:val="0"/>
        <w:rPr>
          <w:b/>
          <w:color w:val="auto"/>
          <w:sz w:val="28"/>
          <w:szCs w:val="28"/>
          <w:highlight w:val="none"/>
        </w:rPr>
      </w:pPr>
    </w:p>
    <w:p w14:paraId="635EB7BE">
      <w:pPr>
        <w:wordWrap w:val="0"/>
        <w:jc w:val="center"/>
        <w:rPr>
          <w:b/>
          <w:color w:val="auto"/>
          <w:sz w:val="24"/>
          <w:highlight w:val="none"/>
        </w:rPr>
      </w:pPr>
      <w:r>
        <w:rPr>
          <w:b/>
          <w:color w:val="auto"/>
          <w:sz w:val="24"/>
          <w:highlight w:val="none"/>
        </w:rPr>
        <w:t>附录1  资格审查条件（资质最低要求）</w:t>
      </w:r>
    </w:p>
    <w:p w14:paraId="092FEB3C">
      <w:pPr>
        <w:wordWrap w:val="0"/>
        <w:jc w:val="center"/>
        <w:rPr>
          <w:b/>
          <w:color w:val="auto"/>
          <w:sz w:val="24"/>
          <w:highlight w:val="none"/>
        </w:rPr>
      </w:pP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4"/>
        <w:gridCol w:w="7448"/>
      </w:tblGrid>
      <w:tr w14:paraId="215F3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Align w:val="center"/>
          </w:tcPr>
          <w:p w14:paraId="5A632CE0">
            <w:pPr>
              <w:wordWrap w:val="0"/>
              <w:jc w:val="center"/>
              <w:rPr>
                <w:b/>
                <w:color w:val="auto"/>
                <w:sz w:val="24"/>
                <w:highlight w:val="none"/>
              </w:rPr>
            </w:pPr>
            <w:r>
              <w:rPr>
                <w:rFonts w:hint="eastAsia"/>
                <w:b/>
                <w:color w:val="auto"/>
                <w:sz w:val="24"/>
                <w:highlight w:val="none"/>
              </w:rPr>
              <w:t>标段</w:t>
            </w:r>
          </w:p>
        </w:tc>
        <w:tc>
          <w:tcPr>
            <w:tcW w:w="8121" w:type="dxa"/>
            <w:vAlign w:val="center"/>
          </w:tcPr>
          <w:p w14:paraId="5867F90F">
            <w:pPr>
              <w:wordWrap w:val="0"/>
              <w:jc w:val="center"/>
              <w:rPr>
                <w:b/>
                <w:color w:val="auto"/>
                <w:sz w:val="24"/>
                <w:highlight w:val="none"/>
              </w:rPr>
            </w:pPr>
            <w:r>
              <w:rPr>
                <w:b/>
                <w:bCs/>
                <w:color w:val="auto"/>
                <w:szCs w:val="21"/>
                <w:highlight w:val="none"/>
              </w:rPr>
              <w:t>资质要求</w:t>
            </w:r>
          </w:p>
        </w:tc>
      </w:tr>
      <w:tr w14:paraId="0AA87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Align w:val="center"/>
          </w:tcPr>
          <w:p w14:paraId="063F3F0B">
            <w:pPr>
              <w:wordWrap w:val="0"/>
              <w:jc w:val="center"/>
              <w:rPr>
                <w:color w:val="auto"/>
                <w:highlight w:val="none"/>
              </w:rPr>
            </w:pPr>
            <w:r>
              <w:rPr>
                <w:rFonts w:hint="eastAsia"/>
                <w:color w:val="auto"/>
                <w:highlight w:val="none"/>
              </w:rPr>
              <w:t>1</w:t>
            </w:r>
          </w:p>
        </w:tc>
        <w:tc>
          <w:tcPr>
            <w:tcW w:w="8121" w:type="dxa"/>
            <w:vAlign w:val="center"/>
          </w:tcPr>
          <w:p w14:paraId="7F6E8841">
            <w:pPr>
              <w:wordWrap w:val="0"/>
              <w:rPr>
                <w:color w:val="auto"/>
                <w:highlight w:val="none"/>
              </w:rPr>
            </w:pPr>
            <w:r>
              <w:rPr>
                <w:rFonts w:hint="eastAsia"/>
                <w:color w:val="auto"/>
                <w:highlight w:val="none"/>
              </w:rPr>
              <w:t>投标人应是中华人民共和国境内的法人或其他组织，持有有效的营业执照。</w:t>
            </w:r>
          </w:p>
        </w:tc>
      </w:tr>
      <w:tr w14:paraId="4BC59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35" w:type="dxa"/>
            <w:vAlign w:val="center"/>
          </w:tcPr>
          <w:p w14:paraId="397356AD">
            <w:pPr>
              <w:wordWrap w:val="0"/>
              <w:jc w:val="center"/>
              <w:rPr>
                <w:color w:val="auto"/>
                <w:highlight w:val="none"/>
              </w:rPr>
            </w:pPr>
            <w:r>
              <w:rPr>
                <w:rFonts w:hint="eastAsia"/>
                <w:color w:val="auto"/>
                <w:highlight w:val="none"/>
              </w:rPr>
              <w:t>2</w:t>
            </w:r>
          </w:p>
        </w:tc>
        <w:tc>
          <w:tcPr>
            <w:tcW w:w="8121" w:type="dxa"/>
            <w:vAlign w:val="center"/>
          </w:tcPr>
          <w:p w14:paraId="7503454A">
            <w:pPr>
              <w:wordWrap w:val="0"/>
              <w:rPr>
                <w:color w:val="auto"/>
                <w:highlight w:val="none"/>
              </w:rPr>
            </w:pPr>
            <w:r>
              <w:rPr>
                <w:rFonts w:hint="eastAsia"/>
                <w:color w:val="auto"/>
                <w:highlight w:val="none"/>
              </w:rPr>
              <w:t>投标人应是中华人民共和国境内的法人或其他组织，持有有效的营业执照。</w:t>
            </w:r>
          </w:p>
        </w:tc>
      </w:tr>
      <w:tr w14:paraId="3201C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1135" w:type="dxa"/>
            <w:vAlign w:val="center"/>
          </w:tcPr>
          <w:p w14:paraId="2E0DD641">
            <w:pPr>
              <w:wordWrap w:val="0"/>
              <w:jc w:val="center"/>
              <w:rPr>
                <w:color w:val="auto"/>
                <w:highlight w:val="none"/>
              </w:rPr>
            </w:pPr>
            <w:r>
              <w:rPr>
                <w:rFonts w:hint="eastAsia"/>
                <w:color w:val="auto"/>
                <w:highlight w:val="none"/>
              </w:rPr>
              <w:t>3</w:t>
            </w:r>
          </w:p>
        </w:tc>
        <w:tc>
          <w:tcPr>
            <w:tcW w:w="8121" w:type="dxa"/>
            <w:vAlign w:val="center"/>
          </w:tcPr>
          <w:p w14:paraId="066B98D0">
            <w:pPr>
              <w:wordWrap w:val="0"/>
              <w:rPr>
                <w:color w:val="auto"/>
                <w:highlight w:val="none"/>
              </w:rPr>
            </w:pPr>
            <w:r>
              <w:rPr>
                <w:rFonts w:hint="eastAsia"/>
                <w:color w:val="auto"/>
                <w:highlight w:val="none"/>
              </w:rPr>
              <w:t>制造商：投标人应是中华人民共和国境内的法人或其他组织，持有有效的营业执照；</w:t>
            </w:r>
          </w:p>
          <w:p w14:paraId="3D318D97">
            <w:pPr>
              <w:wordWrap w:val="0"/>
              <w:rPr>
                <w:color w:val="auto"/>
                <w:highlight w:val="none"/>
              </w:rPr>
            </w:pPr>
            <w:r>
              <w:rPr>
                <w:rFonts w:hint="eastAsia"/>
                <w:color w:val="auto"/>
                <w:highlight w:val="none"/>
              </w:rPr>
              <w:t>代理商：投标人应是中华人民共和国境内的法人或其他组织，持有有效的营业执照，具有制造商出具的所投设备的唯一授权书，且该制造商满足前述关于“制造商”的要求。</w:t>
            </w:r>
          </w:p>
        </w:tc>
      </w:tr>
    </w:tbl>
    <w:p w14:paraId="592B07A6">
      <w:pPr>
        <w:wordWrap w:val="0"/>
        <w:jc w:val="center"/>
        <w:rPr>
          <w:b/>
          <w:color w:val="auto"/>
          <w:sz w:val="24"/>
          <w:highlight w:val="none"/>
        </w:rPr>
      </w:pPr>
    </w:p>
    <w:p w14:paraId="16DF9B9D">
      <w:pPr>
        <w:wordWrap w:val="0"/>
        <w:rPr>
          <w:b/>
          <w:color w:val="auto"/>
          <w:sz w:val="24"/>
          <w:highlight w:val="none"/>
        </w:rPr>
      </w:pPr>
    </w:p>
    <w:p w14:paraId="182F1375">
      <w:pPr>
        <w:wordWrap w:val="0"/>
        <w:jc w:val="center"/>
        <w:rPr>
          <w:b/>
          <w:color w:val="auto"/>
          <w:sz w:val="24"/>
          <w:highlight w:val="none"/>
        </w:rPr>
      </w:pPr>
    </w:p>
    <w:p w14:paraId="553C591A">
      <w:pPr>
        <w:wordWrap w:val="0"/>
        <w:rPr>
          <w:b/>
          <w:color w:val="auto"/>
          <w:sz w:val="24"/>
          <w:highlight w:val="none"/>
        </w:rPr>
      </w:pPr>
    </w:p>
    <w:p w14:paraId="34798382">
      <w:pPr>
        <w:wordWrap w:val="0"/>
        <w:jc w:val="center"/>
        <w:rPr>
          <w:b/>
          <w:color w:val="auto"/>
          <w:sz w:val="24"/>
          <w:highlight w:val="none"/>
        </w:rPr>
      </w:pPr>
      <w:r>
        <w:rPr>
          <w:b/>
          <w:color w:val="auto"/>
          <w:sz w:val="24"/>
          <w:highlight w:val="none"/>
        </w:rPr>
        <w:t>附录</w:t>
      </w:r>
      <w:r>
        <w:rPr>
          <w:rFonts w:hint="eastAsia"/>
          <w:b/>
          <w:color w:val="auto"/>
          <w:sz w:val="24"/>
          <w:highlight w:val="none"/>
        </w:rPr>
        <w:t>2</w:t>
      </w:r>
      <w:r>
        <w:rPr>
          <w:b/>
          <w:color w:val="auto"/>
          <w:sz w:val="24"/>
          <w:highlight w:val="none"/>
        </w:rPr>
        <w:t xml:space="preserve">  资格审查条件（业绩最低要求）</w:t>
      </w:r>
    </w:p>
    <w:tbl>
      <w:tblPr>
        <w:tblStyle w:val="13"/>
        <w:tblW w:w="5113" w:type="pct"/>
        <w:tblInd w:w="-7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30"/>
        <w:gridCol w:w="7674"/>
      </w:tblGrid>
      <w:tr w14:paraId="0D351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8" w:hRule="atLeast"/>
        </w:trPr>
        <w:tc>
          <w:tcPr>
            <w:tcW w:w="488" w:type="pct"/>
            <w:vAlign w:val="center"/>
          </w:tcPr>
          <w:p w14:paraId="0C2DD42D">
            <w:pPr>
              <w:wordWrap w:val="0"/>
              <w:adjustRightInd w:val="0"/>
              <w:snapToGrid w:val="0"/>
              <w:jc w:val="center"/>
              <w:rPr>
                <w:b/>
                <w:color w:val="auto"/>
                <w:szCs w:val="21"/>
                <w:highlight w:val="none"/>
                <w:shd w:val="clear" w:color="auto" w:fill="FFFFFF"/>
              </w:rPr>
            </w:pPr>
            <w:r>
              <w:rPr>
                <w:rFonts w:hint="eastAsia"/>
                <w:b/>
                <w:color w:val="auto"/>
                <w:szCs w:val="21"/>
                <w:highlight w:val="none"/>
                <w:shd w:val="clear" w:color="auto" w:fill="FFFFFF"/>
              </w:rPr>
              <w:t>标段</w:t>
            </w:r>
          </w:p>
        </w:tc>
        <w:tc>
          <w:tcPr>
            <w:tcW w:w="4511" w:type="pct"/>
            <w:vAlign w:val="center"/>
          </w:tcPr>
          <w:p w14:paraId="7493188F">
            <w:pPr>
              <w:wordWrap w:val="0"/>
              <w:adjustRightInd w:val="0"/>
              <w:snapToGrid w:val="0"/>
              <w:jc w:val="center"/>
              <w:rPr>
                <w:b/>
                <w:color w:val="auto"/>
                <w:szCs w:val="21"/>
                <w:highlight w:val="none"/>
                <w:shd w:val="clear" w:color="auto" w:fill="FFFFFF"/>
              </w:rPr>
            </w:pPr>
            <w:r>
              <w:rPr>
                <w:b/>
                <w:color w:val="auto"/>
                <w:szCs w:val="21"/>
                <w:highlight w:val="none"/>
                <w:shd w:val="clear" w:color="auto" w:fill="FFFFFF"/>
              </w:rPr>
              <w:t>业绩要求</w:t>
            </w:r>
          </w:p>
        </w:tc>
      </w:tr>
      <w:tr w14:paraId="326A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6" w:hRule="atLeast"/>
        </w:trPr>
        <w:tc>
          <w:tcPr>
            <w:tcW w:w="488" w:type="pct"/>
            <w:vAlign w:val="center"/>
          </w:tcPr>
          <w:p w14:paraId="1B898B7B">
            <w:pPr>
              <w:pStyle w:val="16"/>
              <w:spacing w:before="141"/>
              <w:ind w:right="1"/>
              <w:jc w:val="center"/>
              <w:rPr>
                <w:rFonts w:ascii="Times New Roman" w:hAnsi="Times New Roman" w:cs="Times New Roman"/>
                <w:color w:val="auto"/>
                <w:sz w:val="21"/>
                <w:szCs w:val="22"/>
                <w:highlight w:val="none"/>
                <w:lang w:eastAsia="zh-CN"/>
              </w:rPr>
            </w:pPr>
            <w:r>
              <w:rPr>
                <w:rFonts w:hint="eastAsia" w:ascii="Times New Roman" w:hAnsi="Times New Roman" w:cs="Times New Roman"/>
                <w:color w:val="auto"/>
                <w:sz w:val="21"/>
                <w:szCs w:val="22"/>
                <w:highlight w:val="none"/>
                <w:lang w:eastAsia="zh-CN"/>
              </w:rPr>
              <w:t>1</w:t>
            </w:r>
          </w:p>
        </w:tc>
        <w:tc>
          <w:tcPr>
            <w:tcW w:w="4511" w:type="pct"/>
            <w:vAlign w:val="center"/>
          </w:tcPr>
          <w:p w14:paraId="2B8E1DF6">
            <w:pPr>
              <w:wordWrap w:val="0"/>
              <w:rPr>
                <w:color w:val="auto"/>
                <w:highlight w:val="none"/>
              </w:rPr>
            </w:pPr>
            <w:r>
              <w:rPr>
                <w:rFonts w:hint="eastAsia"/>
                <w:color w:val="auto"/>
                <w:highlight w:val="none"/>
              </w:rPr>
              <w:t>投标人近3年内(2023年6月1日至投标截止时间，以合同签订时间为准)，至少具有一项与所投设备同品牌的皮卡车供货业绩。</w:t>
            </w:r>
          </w:p>
        </w:tc>
      </w:tr>
      <w:tr w14:paraId="5DBA9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488" w:type="pct"/>
            <w:vAlign w:val="center"/>
          </w:tcPr>
          <w:p w14:paraId="0B08F135">
            <w:pPr>
              <w:pStyle w:val="16"/>
              <w:spacing w:before="141"/>
              <w:ind w:right="1"/>
              <w:jc w:val="center"/>
              <w:rPr>
                <w:rFonts w:ascii="Times New Roman" w:hAnsi="Times New Roman" w:cs="Times New Roman"/>
                <w:color w:val="auto"/>
                <w:sz w:val="21"/>
                <w:szCs w:val="22"/>
                <w:highlight w:val="none"/>
                <w:lang w:eastAsia="zh-CN"/>
              </w:rPr>
            </w:pPr>
            <w:r>
              <w:rPr>
                <w:rFonts w:hint="eastAsia" w:ascii="Times New Roman" w:hAnsi="Times New Roman" w:cs="Times New Roman"/>
                <w:color w:val="auto"/>
                <w:sz w:val="21"/>
                <w:szCs w:val="22"/>
                <w:highlight w:val="none"/>
                <w:lang w:eastAsia="zh-CN"/>
              </w:rPr>
              <w:t>2</w:t>
            </w:r>
          </w:p>
        </w:tc>
        <w:tc>
          <w:tcPr>
            <w:tcW w:w="4511" w:type="pct"/>
            <w:vAlign w:val="center"/>
          </w:tcPr>
          <w:p w14:paraId="07950AF2">
            <w:pPr>
              <w:wordWrap w:val="0"/>
              <w:rPr>
                <w:color w:val="auto"/>
                <w:highlight w:val="none"/>
              </w:rPr>
            </w:pPr>
            <w:r>
              <w:rPr>
                <w:rFonts w:hint="eastAsia"/>
                <w:color w:val="auto"/>
                <w:highlight w:val="none"/>
              </w:rPr>
              <w:t>投标人近3年内(2023年6月1日至投标截止时间，以合同签订时间为准)，至少具有一项与所投设备同品牌的新能源皮卡车供货业绩。</w:t>
            </w:r>
          </w:p>
        </w:tc>
      </w:tr>
      <w:tr w14:paraId="4C49D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2" w:hRule="atLeast"/>
        </w:trPr>
        <w:tc>
          <w:tcPr>
            <w:tcW w:w="488" w:type="pct"/>
            <w:vAlign w:val="center"/>
          </w:tcPr>
          <w:p w14:paraId="63C1D28F">
            <w:pPr>
              <w:pStyle w:val="16"/>
              <w:spacing w:before="141"/>
              <w:ind w:right="1"/>
              <w:jc w:val="center"/>
              <w:rPr>
                <w:rFonts w:ascii="Times New Roman" w:hAnsi="Times New Roman" w:cs="Times New Roman"/>
                <w:color w:val="auto"/>
                <w:sz w:val="21"/>
                <w:szCs w:val="22"/>
                <w:highlight w:val="none"/>
                <w:lang w:eastAsia="zh-CN"/>
              </w:rPr>
            </w:pPr>
            <w:r>
              <w:rPr>
                <w:rFonts w:hint="eastAsia" w:ascii="Times New Roman" w:hAnsi="Times New Roman" w:cs="Times New Roman"/>
                <w:color w:val="auto"/>
                <w:sz w:val="21"/>
                <w:szCs w:val="22"/>
                <w:highlight w:val="none"/>
                <w:lang w:eastAsia="zh-CN"/>
              </w:rPr>
              <w:t>3</w:t>
            </w:r>
          </w:p>
        </w:tc>
        <w:tc>
          <w:tcPr>
            <w:tcW w:w="4511" w:type="pct"/>
            <w:vAlign w:val="center"/>
          </w:tcPr>
          <w:p w14:paraId="25B09FB1">
            <w:pPr>
              <w:wordWrap w:val="0"/>
              <w:rPr>
                <w:color w:val="auto"/>
                <w:highlight w:val="none"/>
              </w:rPr>
            </w:pPr>
            <w:r>
              <w:rPr>
                <w:rFonts w:hint="eastAsia"/>
                <w:color w:val="auto"/>
                <w:highlight w:val="none"/>
              </w:rPr>
              <w:t>投标人近3年内(2023年6月1日至投标截止时间，以合同签订时间为准)，至少具有一项与所投设备同品牌的高空作业车供货业绩。</w:t>
            </w:r>
          </w:p>
        </w:tc>
      </w:tr>
    </w:tbl>
    <w:p w14:paraId="2BEB7178">
      <w:pPr>
        <w:wordWrap w:val="0"/>
        <w:jc w:val="center"/>
        <w:rPr>
          <w:b/>
          <w:color w:val="auto"/>
          <w:sz w:val="24"/>
          <w:highlight w:val="none"/>
        </w:rPr>
      </w:pPr>
    </w:p>
    <w:p w14:paraId="3C3E30F0">
      <w:pPr>
        <w:wordWrap w:val="0"/>
        <w:jc w:val="center"/>
        <w:rPr>
          <w:b/>
          <w:color w:val="auto"/>
          <w:sz w:val="24"/>
          <w:highlight w:val="none"/>
        </w:rPr>
      </w:pPr>
    </w:p>
    <w:p w14:paraId="52F6F8DB">
      <w:pPr>
        <w:wordWrap w:val="0"/>
        <w:jc w:val="center"/>
        <w:rPr>
          <w:b/>
          <w:color w:val="auto"/>
          <w:sz w:val="24"/>
          <w:highlight w:val="none"/>
        </w:rPr>
      </w:pPr>
    </w:p>
    <w:p w14:paraId="0DE60CC4">
      <w:pPr>
        <w:wordWrap w:val="0"/>
        <w:jc w:val="center"/>
        <w:rPr>
          <w:color w:val="auto"/>
          <w:highlight w:val="none"/>
        </w:rPr>
      </w:pPr>
      <w:r>
        <w:rPr>
          <w:b/>
          <w:color w:val="auto"/>
          <w:sz w:val="24"/>
          <w:highlight w:val="none"/>
        </w:rPr>
        <w:t>附录3  资格审查条件（信誉最低要求）</w:t>
      </w:r>
    </w:p>
    <w:tbl>
      <w:tblPr>
        <w:tblStyle w:val="13"/>
        <w:tblW w:w="4932"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8406"/>
      </w:tblGrid>
      <w:tr w14:paraId="346695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4" w:hRule="atLeast"/>
          <w:jc w:val="center"/>
        </w:trPr>
        <w:tc>
          <w:tcPr>
            <w:tcW w:w="5000" w:type="pct"/>
            <w:vAlign w:val="center"/>
          </w:tcPr>
          <w:p w14:paraId="0160C14B">
            <w:pPr>
              <w:wordWrap w:val="0"/>
              <w:adjustRightInd w:val="0"/>
              <w:snapToGrid w:val="0"/>
              <w:jc w:val="center"/>
              <w:rPr>
                <w:b/>
                <w:color w:val="auto"/>
                <w:szCs w:val="21"/>
                <w:highlight w:val="none"/>
              </w:rPr>
            </w:pPr>
            <w:r>
              <w:rPr>
                <w:b/>
                <w:color w:val="auto"/>
                <w:szCs w:val="21"/>
                <w:highlight w:val="none"/>
              </w:rPr>
              <w:t>信誉要求</w:t>
            </w:r>
          </w:p>
        </w:tc>
      </w:tr>
      <w:tr w14:paraId="4FF2256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cantSplit/>
          <w:trHeight w:val="1171" w:hRule="atLeast"/>
          <w:jc w:val="center"/>
        </w:trPr>
        <w:tc>
          <w:tcPr>
            <w:tcW w:w="5000" w:type="pct"/>
            <w:vAlign w:val="center"/>
          </w:tcPr>
          <w:p w14:paraId="109945C1">
            <w:pPr>
              <w:wordWrap w:val="0"/>
              <w:rPr>
                <w:color w:val="auto"/>
                <w:highlight w:val="none"/>
              </w:rPr>
            </w:pPr>
            <w:r>
              <w:rPr>
                <w:color w:val="auto"/>
                <w:highlight w:val="none"/>
              </w:rPr>
              <w:t>投标人在近一年（</w:t>
            </w:r>
            <w:r>
              <w:rPr>
                <w:rFonts w:hint="eastAsia"/>
                <w:color w:val="auto"/>
                <w:highlight w:val="none"/>
              </w:rPr>
              <w:t>2025年6月1日</w:t>
            </w:r>
            <w:r>
              <w:rPr>
                <w:color w:val="auto"/>
                <w:highlight w:val="none"/>
              </w:rPr>
              <w:t>至投标截止时间）不曾在</w:t>
            </w:r>
            <w:r>
              <w:rPr>
                <w:rFonts w:hint="eastAsia"/>
                <w:color w:val="auto"/>
                <w:highlight w:val="none"/>
              </w:rPr>
              <w:t>车辆</w:t>
            </w:r>
            <w:r>
              <w:rPr>
                <w:color w:val="auto"/>
                <w:highlight w:val="none"/>
              </w:rPr>
              <w:t>供货</w:t>
            </w:r>
            <w:r>
              <w:rPr>
                <w:rFonts w:hint="eastAsia"/>
                <w:color w:val="auto"/>
                <w:highlight w:val="none"/>
              </w:rPr>
              <w:t>合同</w:t>
            </w:r>
            <w:r>
              <w:rPr>
                <w:color w:val="auto"/>
                <w:highlight w:val="none"/>
              </w:rPr>
              <w:t>中违约被逐或因投标人自身的原因而使</w:t>
            </w:r>
            <w:r>
              <w:rPr>
                <w:rFonts w:hint="eastAsia"/>
                <w:color w:val="auto"/>
                <w:highlight w:val="none"/>
              </w:rPr>
              <w:t>车辆</w:t>
            </w:r>
            <w:r>
              <w:rPr>
                <w:color w:val="auto"/>
                <w:highlight w:val="none"/>
              </w:rPr>
              <w:t>供货合同被解除。</w:t>
            </w:r>
          </w:p>
        </w:tc>
      </w:tr>
    </w:tbl>
    <w:p w14:paraId="292B705B">
      <w:pPr>
        <w:wordWrap w:val="0"/>
        <w:rPr>
          <w:b/>
          <w:color w:val="auto"/>
          <w:sz w:val="24"/>
          <w:highlight w:val="none"/>
        </w:rPr>
      </w:pPr>
    </w:p>
    <w:p w14:paraId="01696F96">
      <w:pPr>
        <w:wordWrap w:val="0"/>
        <w:rPr>
          <w:b/>
          <w:color w:val="auto"/>
          <w:sz w:val="24"/>
          <w:highlight w:val="none"/>
        </w:rPr>
      </w:pPr>
    </w:p>
    <w:p w14:paraId="23456BEF">
      <w:pPr>
        <w:wordWrap w:val="0"/>
        <w:rPr>
          <w:b/>
          <w:color w:val="auto"/>
          <w:sz w:val="24"/>
          <w:highlight w:val="none"/>
        </w:rPr>
      </w:pPr>
    </w:p>
    <w:p w14:paraId="2F9F7D8F">
      <w:pPr>
        <w:wordWrap w:val="0"/>
        <w:autoSpaceDE w:val="0"/>
        <w:autoSpaceDN w:val="0"/>
        <w:adjustRightInd w:val="0"/>
        <w:ind w:right="-20"/>
        <w:jc w:val="left"/>
        <w:outlineLvl w:val="3"/>
        <w:rPr>
          <w:b/>
          <w:color w:val="auto"/>
          <w:sz w:val="28"/>
          <w:szCs w:val="28"/>
          <w:highlight w:val="none"/>
        </w:rPr>
      </w:pPr>
      <w:r>
        <w:rPr>
          <w:b/>
          <w:color w:val="auto"/>
          <w:sz w:val="24"/>
          <w:szCs w:val="24"/>
          <w:highlight w:val="none"/>
        </w:rPr>
        <w:t>附件2：评标办法</w:t>
      </w:r>
    </w:p>
    <w:p w14:paraId="0EE5954A">
      <w:pPr>
        <w:pStyle w:val="2"/>
        <w:wordWrap w:val="0"/>
        <w:spacing w:before="120" w:line="360" w:lineRule="auto"/>
        <w:rPr>
          <w:rFonts w:ascii="宋体" w:hAnsi="宋体" w:cs="宋体"/>
          <w:color w:val="auto"/>
          <w:spacing w:val="1"/>
          <w:sz w:val="28"/>
          <w:szCs w:val="28"/>
          <w:highlight w:val="none"/>
        </w:rPr>
      </w:pPr>
      <w:r>
        <w:rPr>
          <w:rFonts w:hint="eastAsia" w:ascii="宋体" w:hAnsi="宋体" w:cs="宋体"/>
          <w:color w:val="auto"/>
          <w:spacing w:val="2"/>
          <w:sz w:val="24"/>
          <w:szCs w:val="24"/>
          <w:highlight w:val="none"/>
        </w:rPr>
        <w:t>评标办法前附表</w:t>
      </w:r>
    </w:p>
    <w:tbl>
      <w:tblPr>
        <w:tblStyle w:val="13"/>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43"/>
        <w:gridCol w:w="1317"/>
        <w:gridCol w:w="7197"/>
      </w:tblGrid>
      <w:tr w14:paraId="1CB64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219" w:hRule="atLeast"/>
          <w:tblHeader/>
          <w:jc w:val="center"/>
        </w:trPr>
        <w:tc>
          <w:tcPr>
            <w:tcW w:w="2460" w:type="dxa"/>
            <w:gridSpan w:val="2"/>
            <w:vAlign w:val="center"/>
          </w:tcPr>
          <w:p w14:paraId="08372608">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7197" w:type="dxa"/>
            <w:vAlign w:val="center"/>
          </w:tcPr>
          <w:p w14:paraId="5666F027">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评审因素与标准</w:t>
            </w:r>
          </w:p>
        </w:tc>
      </w:tr>
      <w:tr w14:paraId="752B5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677" w:hRule="atLeast"/>
          <w:jc w:val="center"/>
        </w:trPr>
        <w:tc>
          <w:tcPr>
            <w:tcW w:w="1143" w:type="dxa"/>
            <w:vAlign w:val="center"/>
          </w:tcPr>
          <w:p w14:paraId="2C581DC4">
            <w:pPr>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1</w:t>
            </w:r>
          </w:p>
        </w:tc>
        <w:tc>
          <w:tcPr>
            <w:tcW w:w="1317" w:type="dxa"/>
            <w:vAlign w:val="center"/>
          </w:tcPr>
          <w:p w14:paraId="130A3E02">
            <w:pPr>
              <w:snapToGrid w:val="0"/>
              <w:spacing w:line="320" w:lineRule="exact"/>
              <w:jc w:val="center"/>
              <w:rPr>
                <w:rFonts w:ascii="宋体" w:hAnsi="宋体" w:cs="宋体"/>
                <w:b/>
                <w:color w:val="auto"/>
                <w:szCs w:val="21"/>
                <w:highlight w:val="none"/>
              </w:rPr>
            </w:pPr>
            <w:r>
              <w:rPr>
                <w:rFonts w:hint="eastAsia" w:ascii="宋体" w:hAnsi="宋体" w:cs="宋体"/>
                <w:color w:val="auto"/>
                <w:szCs w:val="21"/>
                <w:highlight w:val="none"/>
              </w:rPr>
              <w:t>评标办法</w:t>
            </w:r>
          </w:p>
        </w:tc>
        <w:tc>
          <w:tcPr>
            <w:tcW w:w="7197" w:type="dxa"/>
            <w:vAlign w:val="center"/>
          </w:tcPr>
          <w:p w14:paraId="7950944F">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本次评标采用综合评估法。评标委员会对满足招标文件实质性要求的投标文件，按照本评标办法第2.2款规定的评分标准进行打分，并按得分由高到低顺序推荐1-3名中标候选人。综合评分相等时，评标委员会依次按照以下优先顺序推荐中标候选人：</w:t>
            </w:r>
          </w:p>
          <w:p w14:paraId="1B3C6EBC">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(1)评标价低的投标人优先；</w:t>
            </w:r>
          </w:p>
          <w:p w14:paraId="6BB3607B">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(2)技术部分得分较高的投标人优先；</w:t>
            </w:r>
          </w:p>
          <w:p w14:paraId="5473D1A7">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(3)满足资格审查条件附录2（业绩最低要求）要求的供货业绩累计车辆数量多的投标人优先。</w:t>
            </w:r>
          </w:p>
        </w:tc>
      </w:tr>
      <w:tr w14:paraId="475E2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20" w:hRule="atLeast"/>
          <w:jc w:val="center"/>
        </w:trPr>
        <w:tc>
          <w:tcPr>
            <w:tcW w:w="1143" w:type="dxa"/>
            <w:vAlign w:val="center"/>
          </w:tcPr>
          <w:p w14:paraId="55C9473A">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2.1.1</w:t>
            </w:r>
          </w:p>
          <w:p w14:paraId="6D8ED393">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2.1.3</w:t>
            </w:r>
          </w:p>
        </w:tc>
        <w:tc>
          <w:tcPr>
            <w:tcW w:w="1317" w:type="dxa"/>
            <w:vAlign w:val="center"/>
          </w:tcPr>
          <w:p w14:paraId="56DADE58">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形式评审与响应性评审标准</w:t>
            </w:r>
          </w:p>
        </w:tc>
        <w:tc>
          <w:tcPr>
            <w:tcW w:w="7197" w:type="dxa"/>
            <w:vAlign w:val="center"/>
          </w:tcPr>
          <w:p w14:paraId="6BA26EFF">
            <w:pPr>
              <w:tabs>
                <w:tab w:val="left" w:pos="2221"/>
              </w:tabs>
              <w:autoSpaceDE w:val="0"/>
              <w:autoSpaceDN w:val="0"/>
              <w:snapToGrid w:val="0"/>
              <w:spacing w:line="320" w:lineRule="exact"/>
              <w:ind w:right="-20"/>
              <w:jc w:val="left"/>
              <w:rPr>
                <w:rFonts w:ascii="宋体" w:hAnsi="宋体" w:cs="宋体"/>
                <w:b/>
                <w:bCs/>
                <w:color w:val="auto"/>
                <w:spacing w:val="-4"/>
                <w:szCs w:val="21"/>
                <w:highlight w:val="none"/>
              </w:rPr>
            </w:pPr>
            <w:r>
              <w:rPr>
                <w:rFonts w:hint="eastAsia" w:ascii="宋体" w:hAnsi="宋体" w:cs="宋体"/>
                <w:b/>
                <w:bCs/>
                <w:color w:val="auto"/>
                <w:szCs w:val="21"/>
                <w:highlight w:val="none"/>
              </w:rPr>
              <w:t>形式评审与响应性评审标准（明标部分）</w:t>
            </w:r>
            <w:r>
              <w:rPr>
                <w:rFonts w:hint="eastAsia" w:ascii="宋体" w:hAnsi="宋体" w:cs="宋体"/>
                <w:b/>
                <w:bCs/>
                <w:color w:val="auto"/>
                <w:spacing w:val="-4"/>
                <w:szCs w:val="21"/>
                <w:highlight w:val="none"/>
              </w:rPr>
              <w:t>:</w:t>
            </w:r>
          </w:p>
          <w:p w14:paraId="1D98E583">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（1）投标文件按照招标文件规定的格式、内容填写，字迹清晰可辨：</w:t>
            </w:r>
          </w:p>
          <w:p w14:paraId="42F565C7">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a.投标函按照招标文件规定填报了招标人名称、项目名称、标段号、补遗书编号（如有）、投标报价（包括大写金额和小写金额）、交货地点、交货期、质量要求；</w:t>
            </w:r>
          </w:p>
          <w:p w14:paraId="4A191A42">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b.投标文件组成齐全完整，内容均按规定填写；</w:t>
            </w:r>
          </w:p>
          <w:p w14:paraId="22B14AD3">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（2）投标文件上法定代表人或其委托代理人的签字、投标人的单位章盖章齐全，符合招标文件规定。</w:t>
            </w:r>
          </w:p>
          <w:p w14:paraId="631BFEA0">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（3）投标人按照招标文件的规定提供了投标保证金，满足投标人须知3.4.1规定。</w:t>
            </w:r>
          </w:p>
          <w:p w14:paraId="7389C041">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（4）投标人法定代表人授权委托代理人签署投标文件的，须提交授权委托书，授权委托书的签字盖章符合招标文件规定。</w:t>
            </w:r>
          </w:p>
          <w:p w14:paraId="7B92C0E9">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（5）投标人法定代表人亲自签署投标文件的，提供了法定代表人身份证明,法定代表人身份证明的签字盖章符合招标文件规定。</w:t>
            </w:r>
          </w:p>
          <w:p w14:paraId="6C6BF251">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（6）投标人未以联合体形式投标。</w:t>
            </w:r>
          </w:p>
          <w:p w14:paraId="2220CCAF">
            <w:pPr>
              <w:snapToGrid w:val="0"/>
              <w:spacing w:line="320" w:lineRule="exact"/>
              <w:ind w:right="113" w:firstLine="420" w:firstLineChars="200"/>
              <w:rPr>
                <w:rFonts w:ascii="宋体" w:hAnsi="宋体" w:cs="宋体"/>
                <w:color w:val="auto"/>
                <w:szCs w:val="21"/>
                <w:highlight w:val="none"/>
              </w:rPr>
            </w:pPr>
            <w:r>
              <w:rPr>
                <w:rFonts w:hint="eastAsia" w:ascii="宋体" w:hAnsi="宋体" w:cs="宋体"/>
                <w:color w:val="auto"/>
                <w:szCs w:val="21"/>
                <w:highlight w:val="none"/>
              </w:rPr>
              <w:t>（7）投标人未对本项目进行分包。</w:t>
            </w:r>
          </w:p>
          <w:p w14:paraId="79D8158B">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（8）同一投标人同一标段未提交两个以上不同的投标文件。</w:t>
            </w:r>
          </w:p>
          <w:p w14:paraId="77B4A605">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（9）投标文件载明的招标项目完成期限未超过招标文件规定的时限。</w:t>
            </w:r>
          </w:p>
          <w:p w14:paraId="430A0D39">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（10）</w:t>
            </w:r>
            <w:r>
              <w:rPr>
                <w:rFonts w:hint="eastAsia" w:ascii="宋体" w:hAnsi="宋体" w:cs="宋体"/>
                <w:color w:val="auto"/>
                <w:szCs w:val="21"/>
                <w:highlight w:val="none"/>
                <w:lang w:bidi="ar"/>
              </w:rPr>
              <w:t>递交的投标文件与所投标段一致</w:t>
            </w:r>
            <w:r>
              <w:rPr>
                <w:rFonts w:hint="eastAsia" w:ascii="宋体" w:hAnsi="宋体" w:cs="宋体"/>
                <w:color w:val="auto"/>
                <w:szCs w:val="21"/>
                <w:highlight w:val="none"/>
              </w:rPr>
              <w:t xml:space="preserve">。 </w:t>
            </w:r>
          </w:p>
          <w:p w14:paraId="10C2B49E">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（11）权利义务符合招标文件规定：</w:t>
            </w:r>
          </w:p>
          <w:p w14:paraId="5535CD4B">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a．投标人应接受招标文件规定的风险划分原则，未提出新的风险划分办法；</w:t>
            </w:r>
          </w:p>
          <w:p w14:paraId="4F44DA0C">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b．投标人未增加发包人的责任范围，或减少投标人义务；</w:t>
            </w:r>
          </w:p>
          <w:p w14:paraId="018ABA2B">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c．投标人未提出不同的工程验收、计量、支付办法；</w:t>
            </w:r>
          </w:p>
          <w:p w14:paraId="52647377">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d．投标人对合同纠纷、事故处理办法未提出异议；</w:t>
            </w:r>
          </w:p>
          <w:p w14:paraId="4984B524">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e．投标人在投标活动中无欺诈行为；</w:t>
            </w:r>
          </w:p>
          <w:p w14:paraId="052FCD31">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f．投标人未对合同条款有重要保留。</w:t>
            </w:r>
          </w:p>
          <w:p w14:paraId="47C351F9">
            <w:pPr>
              <w:snapToGrid w:val="0"/>
              <w:spacing w:line="320" w:lineRule="exact"/>
              <w:ind w:firstLine="420" w:firstLineChars="200"/>
              <w:rPr>
                <w:rFonts w:ascii="宋体" w:hAnsi="宋体" w:cs="宋体"/>
                <w:strike/>
                <w:color w:val="auto"/>
                <w:szCs w:val="21"/>
                <w:highlight w:val="none"/>
              </w:rPr>
            </w:pPr>
            <w:r>
              <w:rPr>
                <w:rFonts w:hint="eastAsia" w:ascii="宋体" w:hAnsi="宋体" w:cs="宋体"/>
                <w:color w:val="auto"/>
                <w:szCs w:val="21"/>
                <w:highlight w:val="none"/>
              </w:rPr>
              <w:t>（12）投标文件对招标文件的实质性要求和条件作出响应。</w:t>
            </w:r>
          </w:p>
          <w:p w14:paraId="6040E7EB">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（13）投标文件中投标设备的主要技术指标满足招标文件（供货要求中带★的条款）的要求，并按照招标文件1.11.3款规定提供了技术支持资料。</w:t>
            </w:r>
          </w:p>
          <w:p w14:paraId="5FBB5F25">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（14）投标报价未超过招标文件设定的最高投标限价。</w:t>
            </w:r>
          </w:p>
          <w:p w14:paraId="61285951">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（15）投标报价的大写金额能够确定具体数值。</w:t>
            </w:r>
          </w:p>
          <w:p w14:paraId="14C66803">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（16）投标人未提交调价函。</w:t>
            </w:r>
          </w:p>
          <w:p w14:paraId="5A7224A0">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（17）同一投标人同一标段未提交两个以上不同的投标报价。</w:t>
            </w:r>
          </w:p>
          <w:p w14:paraId="79C2B485">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（18）分项报价表中投标报价与投标函投标报价大写金额一致。</w:t>
            </w:r>
          </w:p>
          <w:p w14:paraId="53AEA4A2">
            <w:pPr>
              <w:tabs>
                <w:tab w:val="left" w:pos="2221"/>
              </w:tabs>
              <w:autoSpaceDE w:val="0"/>
              <w:autoSpaceDN w:val="0"/>
              <w:snapToGrid w:val="0"/>
              <w:spacing w:line="320" w:lineRule="exact"/>
              <w:ind w:right="-20"/>
              <w:jc w:val="left"/>
              <w:rPr>
                <w:rFonts w:ascii="宋体" w:hAnsi="宋体" w:cs="宋体"/>
                <w:b/>
                <w:bCs/>
                <w:color w:val="auto"/>
                <w:spacing w:val="-4"/>
                <w:szCs w:val="21"/>
                <w:highlight w:val="none"/>
              </w:rPr>
            </w:pPr>
            <w:r>
              <w:rPr>
                <w:rFonts w:hint="eastAsia" w:ascii="宋体" w:hAnsi="宋体" w:cs="宋体"/>
                <w:b/>
                <w:bCs/>
                <w:color w:val="auto"/>
                <w:szCs w:val="21"/>
                <w:highlight w:val="none"/>
              </w:rPr>
              <w:t>形式评审与响应性评审标准（暗标部分）</w:t>
            </w:r>
            <w:r>
              <w:rPr>
                <w:rFonts w:hint="eastAsia" w:ascii="宋体" w:hAnsi="宋体" w:cs="宋体"/>
                <w:b/>
                <w:bCs/>
                <w:color w:val="auto"/>
                <w:spacing w:val="-4"/>
                <w:szCs w:val="21"/>
                <w:highlight w:val="none"/>
              </w:rPr>
              <w:t>:</w:t>
            </w:r>
          </w:p>
          <w:p w14:paraId="1F60AA73">
            <w:pPr>
              <w:snapToGrid w:val="0"/>
              <w:spacing w:line="320" w:lineRule="exact"/>
              <w:ind w:firstLine="420" w:firstLineChars="200"/>
              <w:rPr>
                <w:rFonts w:ascii="宋体" w:hAnsi="宋体" w:cs="宋体"/>
                <w:color w:val="auto"/>
                <w:szCs w:val="21"/>
                <w:highlight w:val="none"/>
              </w:rPr>
            </w:pPr>
            <w:r>
              <w:rPr>
                <w:rFonts w:hint="eastAsia" w:ascii="宋体" w:hAnsi="宋体" w:eastAsia="宋体" w:cs="宋体"/>
                <w:color w:val="auto"/>
                <w:highlight w:val="none"/>
              </w:rPr>
              <w:t>(1)暗标部分编制符合招标文件第二章“投标人须知前附表”第10.3款的规定。</w:t>
            </w:r>
          </w:p>
        </w:tc>
      </w:tr>
      <w:tr w14:paraId="41C7F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1986" w:hRule="atLeast"/>
          <w:jc w:val="center"/>
        </w:trPr>
        <w:tc>
          <w:tcPr>
            <w:tcW w:w="1143" w:type="dxa"/>
            <w:vAlign w:val="center"/>
          </w:tcPr>
          <w:p w14:paraId="5ADDB5AC">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2.1.2</w:t>
            </w:r>
          </w:p>
        </w:tc>
        <w:tc>
          <w:tcPr>
            <w:tcW w:w="1317" w:type="dxa"/>
            <w:vAlign w:val="center"/>
          </w:tcPr>
          <w:p w14:paraId="1D4893C8">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资格评审标准</w:t>
            </w:r>
          </w:p>
        </w:tc>
        <w:tc>
          <w:tcPr>
            <w:tcW w:w="7197" w:type="dxa"/>
            <w:vAlign w:val="center"/>
          </w:tcPr>
          <w:p w14:paraId="55F1CE0F">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（1）投标人具备有效的企业营业执照、基本账户开户许可证（或基本存款账户信息）；</w:t>
            </w:r>
          </w:p>
          <w:p w14:paraId="1227B1D7">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（2）投标人的资质符合招标文件规定；</w:t>
            </w:r>
          </w:p>
          <w:p w14:paraId="38F04E5A">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（3）投标人的业绩符合招标文件规定；</w:t>
            </w:r>
          </w:p>
          <w:p w14:paraId="058AC1C0">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（4）投标人的信誉符合招标文件规定；</w:t>
            </w:r>
          </w:p>
          <w:p w14:paraId="2C1CB38D">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（5）投标人不存在第二章“投标人须知”第1.4.3项规定的任何一种情形。</w:t>
            </w:r>
          </w:p>
        </w:tc>
      </w:tr>
      <w:tr w14:paraId="07871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340" w:hRule="atLeast"/>
          <w:jc w:val="center"/>
        </w:trPr>
        <w:tc>
          <w:tcPr>
            <w:tcW w:w="1143" w:type="dxa"/>
            <w:vAlign w:val="center"/>
          </w:tcPr>
          <w:p w14:paraId="48EF3D2E">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1317" w:type="dxa"/>
            <w:vAlign w:val="center"/>
          </w:tcPr>
          <w:p w14:paraId="1833B590">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7197" w:type="dxa"/>
            <w:vAlign w:val="center"/>
          </w:tcPr>
          <w:p w14:paraId="0A72FC35">
            <w:pPr>
              <w:adjustRightInd w:val="0"/>
              <w:snapToGrid w:val="0"/>
              <w:spacing w:line="320" w:lineRule="exact"/>
              <w:jc w:val="center"/>
              <w:rPr>
                <w:rFonts w:ascii="宋体" w:hAnsi="宋体" w:cs="宋体"/>
                <w:b/>
                <w:color w:val="auto"/>
                <w:szCs w:val="21"/>
                <w:highlight w:val="none"/>
              </w:rPr>
            </w:pPr>
            <w:r>
              <w:rPr>
                <w:rFonts w:hint="eastAsia" w:ascii="宋体" w:hAnsi="宋体" w:cs="宋体"/>
                <w:b/>
                <w:color w:val="auto"/>
                <w:szCs w:val="21"/>
                <w:highlight w:val="none"/>
              </w:rPr>
              <w:t>编列内容</w:t>
            </w:r>
          </w:p>
        </w:tc>
      </w:tr>
      <w:tr w14:paraId="3CEDA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42" w:hRule="atLeast"/>
          <w:jc w:val="center"/>
        </w:trPr>
        <w:tc>
          <w:tcPr>
            <w:tcW w:w="1143" w:type="dxa"/>
            <w:vAlign w:val="center"/>
          </w:tcPr>
          <w:p w14:paraId="1777376D">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2.2.1</w:t>
            </w:r>
          </w:p>
        </w:tc>
        <w:tc>
          <w:tcPr>
            <w:tcW w:w="1317" w:type="dxa"/>
            <w:vAlign w:val="center"/>
          </w:tcPr>
          <w:p w14:paraId="2BCA936A">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分值构成</w:t>
            </w:r>
          </w:p>
          <w:p w14:paraId="3D25AE19">
            <w:pPr>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（总分100分）</w:t>
            </w:r>
          </w:p>
        </w:tc>
        <w:tc>
          <w:tcPr>
            <w:tcW w:w="7197" w:type="dxa"/>
            <w:vAlign w:val="center"/>
          </w:tcPr>
          <w:p w14:paraId="491572E9">
            <w:pPr>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商务部分：</w:t>
            </w:r>
            <w:r>
              <w:rPr>
                <w:rFonts w:hint="eastAsia" w:ascii="宋体" w:hAnsi="宋体" w:cs="宋体"/>
                <w:color w:val="auto"/>
                <w:szCs w:val="21"/>
                <w:highlight w:val="none"/>
                <w:u w:val="single"/>
              </w:rPr>
              <w:t>20</w:t>
            </w:r>
            <w:r>
              <w:rPr>
                <w:rFonts w:hint="eastAsia" w:ascii="宋体" w:hAnsi="宋体" w:cs="宋体"/>
                <w:color w:val="auto"/>
                <w:szCs w:val="21"/>
                <w:highlight w:val="none"/>
              </w:rPr>
              <w:t xml:space="preserve">分 </w:t>
            </w:r>
          </w:p>
          <w:p w14:paraId="2BEE3282">
            <w:pPr>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技术部分：</w:t>
            </w:r>
            <w:r>
              <w:rPr>
                <w:rFonts w:hint="eastAsia" w:ascii="宋体" w:hAnsi="宋体" w:cs="宋体"/>
                <w:color w:val="auto"/>
                <w:szCs w:val="21"/>
                <w:highlight w:val="none"/>
                <w:u w:val="single"/>
              </w:rPr>
              <w:t>50</w:t>
            </w:r>
            <w:r>
              <w:rPr>
                <w:rFonts w:hint="eastAsia" w:ascii="宋体" w:hAnsi="宋体" w:cs="宋体"/>
                <w:color w:val="auto"/>
                <w:szCs w:val="21"/>
                <w:highlight w:val="none"/>
              </w:rPr>
              <w:t xml:space="preserve">分 </w:t>
            </w:r>
          </w:p>
          <w:p w14:paraId="570783E5">
            <w:pPr>
              <w:adjustRightInd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投标报价：</w:t>
            </w:r>
            <w:r>
              <w:rPr>
                <w:rFonts w:hint="eastAsia" w:ascii="宋体" w:hAnsi="宋体" w:cs="宋体"/>
                <w:color w:val="auto"/>
                <w:szCs w:val="21"/>
                <w:highlight w:val="none"/>
                <w:u w:val="single"/>
              </w:rPr>
              <w:t>30</w:t>
            </w:r>
            <w:r>
              <w:rPr>
                <w:rFonts w:hint="eastAsia" w:ascii="宋体" w:hAnsi="宋体" w:cs="宋体"/>
                <w:color w:val="auto"/>
                <w:szCs w:val="21"/>
                <w:highlight w:val="none"/>
              </w:rPr>
              <w:t>分</w:t>
            </w:r>
          </w:p>
        </w:tc>
      </w:tr>
      <w:tr w14:paraId="002B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39A6765B">
            <w:pPr>
              <w:adjustRightInd w:val="0"/>
              <w:snapToGrid w:val="0"/>
              <w:spacing w:line="320" w:lineRule="exact"/>
              <w:ind w:left="34" w:leftChars="16" w:right="87"/>
              <w:jc w:val="center"/>
              <w:rPr>
                <w:rFonts w:ascii="宋体" w:hAnsi="宋体" w:cs="宋体"/>
                <w:color w:val="auto"/>
                <w:szCs w:val="21"/>
                <w:highlight w:val="none"/>
              </w:rPr>
            </w:pPr>
            <w:r>
              <w:rPr>
                <w:rFonts w:ascii="宋体" w:hAnsi="宋体" w:cs="微软雅黑"/>
                <w:color w:val="auto"/>
                <w:szCs w:val="21"/>
                <w:highlight w:val="none"/>
              </w:rPr>
              <w:t>2.2.2</w:t>
            </w:r>
          </w:p>
        </w:tc>
        <w:tc>
          <w:tcPr>
            <w:tcW w:w="1317" w:type="dxa"/>
            <w:vAlign w:val="center"/>
          </w:tcPr>
          <w:p w14:paraId="4BA8A890">
            <w:pPr>
              <w:adjustRightInd w:val="0"/>
              <w:snapToGrid w:val="0"/>
              <w:spacing w:line="320" w:lineRule="exact"/>
              <w:ind w:right="-20"/>
              <w:jc w:val="center"/>
              <w:rPr>
                <w:rFonts w:ascii="宋体" w:hAnsi="宋体" w:cs="微软雅黑"/>
                <w:color w:val="auto"/>
                <w:szCs w:val="21"/>
                <w:highlight w:val="none"/>
              </w:rPr>
            </w:pPr>
            <w:r>
              <w:rPr>
                <w:rFonts w:hint="eastAsia" w:ascii="宋体" w:hAnsi="宋体" w:cs="微软雅黑"/>
                <w:color w:val="auto"/>
                <w:szCs w:val="21"/>
                <w:highlight w:val="none"/>
              </w:rPr>
              <w:t>评标</w:t>
            </w:r>
          </w:p>
          <w:p w14:paraId="4826F668">
            <w:pPr>
              <w:adjustRightInd w:val="0"/>
              <w:snapToGrid w:val="0"/>
              <w:spacing w:line="320" w:lineRule="exact"/>
              <w:ind w:right="-20"/>
              <w:jc w:val="center"/>
              <w:rPr>
                <w:rFonts w:ascii="宋体" w:hAnsi="宋体" w:cs="微软雅黑"/>
                <w:color w:val="auto"/>
                <w:szCs w:val="21"/>
                <w:highlight w:val="none"/>
              </w:rPr>
            </w:pPr>
            <w:r>
              <w:rPr>
                <w:rFonts w:hint="eastAsia" w:ascii="宋体" w:hAnsi="宋体" w:cs="微软雅黑"/>
                <w:color w:val="auto"/>
                <w:szCs w:val="21"/>
                <w:highlight w:val="none"/>
              </w:rPr>
              <w:t>基准价</w:t>
            </w:r>
          </w:p>
          <w:p w14:paraId="14E9B556">
            <w:pPr>
              <w:adjustRightInd w:val="0"/>
              <w:snapToGrid w:val="0"/>
              <w:spacing w:line="320" w:lineRule="exact"/>
              <w:ind w:right="-20"/>
              <w:jc w:val="center"/>
              <w:rPr>
                <w:rFonts w:ascii="宋体" w:hAnsi="宋体" w:cs="宋体"/>
                <w:color w:val="auto"/>
                <w:szCs w:val="21"/>
                <w:highlight w:val="none"/>
              </w:rPr>
            </w:pPr>
            <w:r>
              <w:rPr>
                <w:rFonts w:hint="eastAsia" w:ascii="宋体" w:hAnsi="宋体" w:cs="微软雅黑"/>
                <w:color w:val="auto"/>
                <w:szCs w:val="21"/>
                <w:highlight w:val="none"/>
              </w:rPr>
              <w:t>计算方法</w:t>
            </w:r>
          </w:p>
        </w:tc>
        <w:tc>
          <w:tcPr>
            <w:tcW w:w="7197" w:type="dxa"/>
            <w:vAlign w:val="center"/>
          </w:tcPr>
          <w:p w14:paraId="54051E2A">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（1）评标价的确定：评标价＝投标函文字报价</w:t>
            </w:r>
          </w:p>
          <w:p w14:paraId="5251A4CA">
            <w:pPr>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（2）评标价平均值的计算：</w:t>
            </w:r>
          </w:p>
          <w:p w14:paraId="771DC8B0">
            <w:pPr>
              <w:snapToGrid w:val="0"/>
              <w:spacing w:line="320" w:lineRule="exact"/>
              <w:ind w:firstLine="420" w:firstLineChars="200"/>
              <w:rPr>
                <w:rFonts w:ascii="宋体" w:hAnsi="宋体" w:cs="宋体"/>
                <w:color w:val="auto"/>
                <w:highlight w:val="none"/>
              </w:rPr>
            </w:pPr>
            <w:r>
              <w:rPr>
                <w:rFonts w:hint="eastAsia" w:ascii="宋体" w:hAnsi="宋体"/>
                <w:color w:val="auto"/>
                <w:highlight w:val="none"/>
              </w:rPr>
              <w:t>除按第二章“投标人须知”第5.2.2项规定开标现场被宣布为不进入评标基准价计算的投标报价之外，所有投标人的</w:t>
            </w:r>
            <w:r>
              <w:rPr>
                <w:rFonts w:hint="eastAsia" w:ascii="宋体" w:hAnsi="宋体" w:cs="宋体"/>
                <w:color w:val="auto"/>
                <w:highlight w:val="none"/>
              </w:rPr>
              <w:t>评标价去掉一个最高值和一个最低值后作算术平均（如果参与评标价平均值计算的有效投标人少于5家时，则计算评标价平均值时不去掉最高值和最低值），将该平均值作为评标价平均值。</w:t>
            </w:r>
          </w:p>
          <w:p w14:paraId="585BDA3D">
            <w:pPr>
              <w:snapToGrid w:val="0"/>
              <w:spacing w:line="320" w:lineRule="exact"/>
              <w:ind w:right="113" w:firstLine="426" w:firstLineChars="203"/>
              <w:rPr>
                <w:rFonts w:ascii="宋体" w:hAnsi="宋体"/>
                <w:color w:val="auto"/>
                <w:szCs w:val="21"/>
                <w:highlight w:val="none"/>
              </w:rPr>
            </w:pPr>
            <w:r>
              <w:rPr>
                <w:rFonts w:hint="eastAsia" w:ascii="宋体" w:hAnsi="宋体"/>
                <w:color w:val="auto"/>
                <w:szCs w:val="21"/>
                <w:highlight w:val="none"/>
              </w:rPr>
              <w:t>(3)评标基准价的确定：</w:t>
            </w:r>
          </w:p>
          <w:p w14:paraId="72B3F626">
            <w:pPr>
              <w:snapToGrid w:val="0"/>
              <w:spacing w:line="320" w:lineRule="exact"/>
              <w:ind w:right="113" w:firstLine="426" w:firstLineChars="203"/>
              <w:rPr>
                <w:rFonts w:ascii="宋体" w:hAnsi="宋体"/>
                <w:color w:val="auto"/>
                <w:szCs w:val="21"/>
                <w:highlight w:val="none"/>
              </w:rPr>
            </w:pPr>
            <w:r>
              <w:rPr>
                <w:rFonts w:hint="eastAsia" w:ascii="宋体" w:hAnsi="宋体"/>
                <w:color w:val="auto"/>
                <w:szCs w:val="21"/>
                <w:highlight w:val="none"/>
              </w:rPr>
              <w:t>评标价平均值直接作为评标基准价（评标基准价保留小数点后两位，小数点后第三位四舍五入）。</w:t>
            </w:r>
          </w:p>
          <w:p w14:paraId="390B97F0">
            <w:pPr>
              <w:adjustRightInd w:val="0"/>
              <w:snapToGrid w:val="0"/>
              <w:spacing w:line="320" w:lineRule="exact"/>
              <w:ind w:firstLine="420" w:firstLineChars="200"/>
              <w:rPr>
                <w:rFonts w:ascii="宋体" w:hAnsi="宋体" w:cs="宋体"/>
                <w:color w:val="auto"/>
                <w:szCs w:val="21"/>
                <w:highlight w:val="none"/>
              </w:rPr>
            </w:pPr>
            <w:r>
              <w:rPr>
                <w:rFonts w:hint="eastAsia" w:ascii="宋体" w:hAnsi="宋体"/>
                <w:color w:val="auto"/>
                <w:szCs w:val="21"/>
                <w:highlight w:val="none"/>
              </w:rPr>
              <w:t>在评标过程中，评标委员会应对招标人计算的评标基准价进行复核，存在计算错误的应予以修正并在评标报告中作出说明。除此之外，评标基准价在整个评标期间保持不变，不随任何因素发生变化</w:t>
            </w:r>
            <w:r>
              <w:rPr>
                <w:rFonts w:hint="eastAsia" w:ascii="宋体" w:hAnsi="宋体" w:cs="宋体"/>
                <w:color w:val="auto"/>
                <w:highlight w:val="none"/>
              </w:rPr>
              <w:t>。</w:t>
            </w:r>
          </w:p>
        </w:tc>
      </w:tr>
      <w:tr w14:paraId="0D0A6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0B3792F5">
            <w:pPr>
              <w:adjustRightInd w:val="0"/>
              <w:snapToGrid w:val="0"/>
              <w:spacing w:line="320" w:lineRule="exact"/>
              <w:jc w:val="center"/>
              <w:rPr>
                <w:rFonts w:ascii="宋体" w:hAnsi="宋体" w:cs="宋体"/>
                <w:color w:val="auto"/>
                <w:szCs w:val="21"/>
                <w:highlight w:val="none"/>
              </w:rPr>
            </w:pPr>
            <w:r>
              <w:rPr>
                <w:rFonts w:hint="eastAsia" w:ascii="宋体" w:hAnsi="宋体" w:cs="微软雅黑"/>
                <w:color w:val="auto"/>
                <w:szCs w:val="21"/>
                <w:highlight w:val="none"/>
              </w:rPr>
              <w:t>2.2.3</w:t>
            </w:r>
          </w:p>
        </w:tc>
        <w:tc>
          <w:tcPr>
            <w:tcW w:w="1317" w:type="dxa"/>
            <w:vAlign w:val="center"/>
          </w:tcPr>
          <w:p w14:paraId="5CB33F1B">
            <w:pPr>
              <w:adjustRightInd w:val="0"/>
              <w:snapToGrid w:val="0"/>
              <w:spacing w:line="320" w:lineRule="exact"/>
              <w:ind w:right="-20"/>
              <w:jc w:val="center"/>
              <w:rPr>
                <w:rFonts w:ascii="宋体" w:hAnsi="宋体" w:cs="宋体"/>
                <w:color w:val="auto"/>
                <w:szCs w:val="21"/>
                <w:highlight w:val="none"/>
              </w:rPr>
            </w:pPr>
            <w:r>
              <w:rPr>
                <w:rFonts w:hint="eastAsia" w:ascii="宋体" w:hAnsi="宋体" w:cs="微软雅黑"/>
                <w:color w:val="auto"/>
                <w:szCs w:val="21"/>
                <w:highlight w:val="none"/>
              </w:rPr>
              <w:t>投标报价的偏差率计算公式</w:t>
            </w:r>
          </w:p>
        </w:tc>
        <w:tc>
          <w:tcPr>
            <w:tcW w:w="7197" w:type="dxa"/>
            <w:vAlign w:val="center"/>
          </w:tcPr>
          <w:p w14:paraId="04BBED1E">
            <w:pPr>
              <w:adjustRightInd w:val="0"/>
              <w:snapToGrid w:val="0"/>
              <w:spacing w:line="320" w:lineRule="exact"/>
              <w:rPr>
                <w:rFonts w:ascii="宋体" w:hAnsi="宋体" w:cs="宋体"/>
                <w:color w:val="auto"/>
                <w:szCs w:val="21"/>
                <w:highlight w:val="none"/>
              </w:rPr>
            </w:pPr>
            <w:r>
              <w:rPr>
                <w:rFonts w:hint="eastAsia" w:ascii="宋体" w:hAnsi="宋体" w:cs="微软雅黑"/>
                <w:color w:val="auto"/>
                <w:szCs w:val="21"/>
                <w:highlight w:val="none"/>
              </w:rPr>
              <w:t>/</w:t>
            </w:r>
          </w:p>
        </w:tc>
      </w:tr>
      <w:tr w14:paraId="12146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1143" w:type="dxa"/>
            <w:vAlign w:val="center"/>
          </w:tcPr>
          <w:p w14:paraId="5AE02BF2">
            <w:pPr>
              <w:adjustRightInd w:val="0"/>
              <w:snapToGrid w:val="0"/>
              <w:spacing w:line="320" w:lineRule="exact"/>
              <w:ind w:right="-20"/>
              <w:jc w:val="center"/>
              <w:rPr>
                <w:rFonts w:ascii="宋体" w:hAnsi="宋体" w:cs="微软雅黑"/>
                <w:color w:val="auto"/>
                <w:szCs w:val="21"/>
                <w:highlight w:val="none"/>
              </w:rPr>
            </w:pPr>
            <w:r>
              <w:rPr>
                <w:rFonts w:hint="eastAsia" w:ascii="宋体" w:hAnsi="宋体" w:cs="微软雅黑"/>
                <w:color w:val="auto"/>
                <w:szCs w:val="21"/>
                <w:highlight w:val="none"/>
              </w:rPr>
              <w:t>3.5.3异常低价评审</w:t>
            </w:r>
          </w:p>
        </w:tc>
        <w:tc>
          <w:tcPr>
            <w:tcW w:w="8514" w:type="dxa"/>
            <w:gridSpan w:val="2"/>
            <w:vAlign w:val="center"/>
          </w:tcPr>
          <w:p w14:paraId="76EAB77F">
            <w:pPr>
              <w:adjustRightInd w:val="0"/>
              <w:snapToGrid w:val="0"/>
              <w:spacing w:line="320" w:lineRule="exact"/>
              <w:ind w:right="-20"/>
              <w:jc w:val="left"/>
              <w:rPr>
                <w:rFonts w:ascii="宋体" w:hAnsi="宋体" w:cs="微软雅黑"/>
                <w:color w:val="auto"/>
                <w:szCs w:val="21"/>
                <w:highlight w:val="none"/>
              </w:rPr>
            </w:pPr>
            <w:r>
              <w:rPr>
                <w:rFonts w:hint="eastAsia" w:ascii="宋体" w:hAnsi="宋体" w:cs="微软雅黑"/>
                <w:color w:val="auto"/>
                <w:szCs w:val="21"/>
                <w:highlight w:val="none"/>
              </w:rPr>
              <w:t>本款修改为：</w:t>
            </w:r>
          </w:p>
          <w:p w14:paraId="0A9572BC">
            <w:pPr>
              <w:adjustRightInd w:val="0"/>
              <w:snapToGrid w:val="0"/>
              <w:spacing w:line="320" w:lineRule="exact"/>
              <w:ind w:right="-20" w:firstLine="420" w:firstLineChars="200"/>
              <w:jc w:val="left"/>
              <w:rPr>
                <w:rFonts w:ascii="宋体" w:hAnsi="宋体" w:cs="微软雅黑"/>
                <w:color w:val="auto"/>
                <w:szCs w:val="21"/>
                <w:highlight w:val="none"/>
              </w:rPr>
            </w:pPr>
            <w:r>
              <w:rPr>
                <w:rFonts w:hint="eastAsia" w:ascii="宋体" w:hAnsi="宋体" w:cs="微软雅黑"/>
                <w:color w:val="auto"/>
                <w:szCs w:val="21"/>
                <w:highlight w:val="none"/>
              </w:rPr>
              <w:t>评标委员会发现投标人的投标报价低于最高投标限价的75%（含本数）时，应当要求该投标人在规定时间内作出书面说明并提供相应的证明材料。投标人不能合理说明或者不能提供相应证明材料的，评标委员会应当认定该投标人以低于成本或者影响履约的异常低价竞标，并否决其投标。</w:t>
            </w:r>
          </w:p>
        </w:tc>
      </w:tr>
      <w:tr w14:paraId="4CE6A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662" w:hRule="atLeast"/>
          <w:jc w:val="center"/>
        </w:trPr>
        <w:tc>
          <w:tcPr>
            <w:tcW w:w="9657" w:type="dxa"/>
            <w:gridSpan w:val="3"/>
            <w:vAlign w:val="center"/>
          </w:tcPr>
          <w:p w14:paraId="7318456F">
            <w:pPr>
              <w:pStyle w:val="12"/>
              <w:spacing w:after="0" w:line="320" w:lineRule="exact"/>
              <w:ind w:left="21" w:leftChars="10" w:firstLine="0" w:firstLineChars="0"/>
              <w:rPr>
                <w:color w:val="auto"/>
                <w:highlight w:val="none"/>
              </w:rPr>
            </w:pPr>
            <w:r>
              <w:rPr>
                <w:rFonts w:hint="eastAsia" w:ascii="宋体" w:hAnsi="宋体" w:cs="宋体"/>
                <w:color w:val="auto"/>
                <w:szCs w:val="21"/>
                <w:highlight w:val="none"/>
              </w:rPr>
              <w:tab/>
            </w:r>
            <w:r>
              <w:rPr>
                <w:rFonts w:hint="eastAsia"/>
                <w:color w:val="auto"/>
                <w:highlight w:val="none"/>
              </w:rPr>
              <w:t>增加：</w:t>
            </w:r>
          </w:p>
          <w:p w14:paraId="487AE32D">
            <w:pPr>
              <w:pStyle w:val="12"/>
              <w:spacing w:after="0" w:line="320" w:lineRule="exact"/>
              <w:ind w:left="21" w:leftChars="10" w:firstLine="0" w:firstLineChars="0"/>
              <w:rPr>
                <w:rFonts w:ascii="宋体" w:hAnsi="宋体" w:cs="宋体"/>
                <w:color w:val="auto"/>
                <w:szCs w:val="21"/>
                <w:highlight w:val="none"/>
              </w:rPr>
            </w:pPr>
            <w:r>
              <w:rPr>
                <w:rFonts w:hint="eastAsia"/>
                <w:color w:val="auto"/>
                <w:highlight w:val="none"/>
              </w:rPr>
              <w:t>一、信息查询，</w:t>
            </w:r>
            <w:r>
              <w:rPr>
                <w:rFonts w:hint="eastAsia" w:ascii="宋体" w:hAnsi="宋体" w:cs="宋体"/>
                <w:color w:val="auto"/>
                <w:szCs w:val="21"/>
                <w:highlight w:val="none"/>
              </w:rPr>
              <w:t>在评标过程中，评标委员会应对以下信息进行查询：</w:t>
            </w:r>
          </w:p>
          <w:p w14:paraId="5F7E4255">
            <w:pPr>
              <w:spacing w:line="320" w:lineRule="exact"/>
              <w:ind w:left="21" w:leftChars="10" w:firstLine="327" w:firstLineChars="156"/>
              <w:rPr>
                <w:rFonts w:ascii="宋体" w:hAnsi="宋体" w:cs="宋体"/>
                <w:color w:val="auto"/>
                <w:szCs w:val="21"/>
                <w:highlight w:val="none"/>
              </w:rPr>
            </w:pPr>
            <w:r>
              <w:rPr>
                <w:rFonts w:hint="eastAsia" w:ascii="宋体" w:hAnsi="宋体" w:cs="宋体"/>
                <w:color w:val="auto"/>
                <w:szCs w:val="21"/>
                <w:highlight w:val="none"/>
              </w:rPr>
              <w:t>1.投标人信用情况网页截图内容与在“国家企业信用信息公示系统”中</w:t>
            </w:r>
            <w:r>
              <w:rPr>
                <w:rFonts w:hint="eastAsia" w:ascii="宋体" w:hAnsi="宋体" w:cs="宋体"/>
                <w:color w:val="auto"/>
                <w:szCs w:val="21"/>
                <w:highlight w:val="none"/>
                <w:lang w:eastAsia="zh-CN"/>
              </w:rPr>
              <w:t>严重违法失信名单（黑名单）</w:t>
            </w:r>
            <w:r>
              <w:rPr>
                <w:rFonts w:hint="eastAsia" w:ascii="宋体" w:hAnsi="宋体" w:cs="宋体"/>
                <w:color w:val="auto"/>
                <w:szCs w:val="21"/>
                <w:highlight w:val="none"/>
              </w:rPr>
              <w:t>（不含分公司）、在“信用中国”网站中失信被执行人、经营（活动）异常名录、重大税收违法失信主体、政府采购严重违法失信行为记录名单和安全生产严重失信主体名单（均不含分公司）的复核结果一致。</w:t>
            </w:r>
          </w:p>
          <w:p w14:paraId="6DCB7E04">
            <w:pPr>
              <w:spacing w:line="320" w:lineRule="exact"/>
              <w:ind w:left="21" w:leftChars="10" w:firstLine="327" w:firstLineChars="156"/>
              <w:rPr>
                <w:rFonts w:ascii="宋体" w:hAnsi="宋体" w:cs="宋体"/>
                <w:color w:val="auto"/>
                <w:szCs w:val="21"/>
                <w:highlight w:val="none"/>
              </w:rPr>
            </w:pPr>
            <w:r>
              <w:rPr>
                <w:rFonts w:hint="eastAsia" w:ascii="宋体" w:hAnsi="宋体" w:cs="宋体"/>
                <w:color w:val="auto"/>
                <w:szCs w:val="21"/>
                <w:highlight w:val="none"/>
              </w:rPr>
              <w:t>如投标人未提供相关网页截图或所附截图与复核结果不一致导致不能满足资格评审要求的，评标委员会应否决其投标。</w:t>
            </w:r>
          </w:p>
          <w:p w14:paraId="508D53FC">
            <w:pPr>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评标委员会在评标时按照投标人提供的验证方式对电子保函或电子保证保险进行验证。如投标人未提供电子保函或电子保证保险的验证方式，或根据提供的验证方式无法核实或经核实与投标文件所附资料不一致的，评标委员会应否决其投标。</w:t>
            </w:r>
          </w:p>
          <w:p w14:paraId="52D6CAB7">
            <w:pPr>
              <w:pStyle w:val="3"/>
              <w:numPr>
                <w:ilvl w:val="0"/>
                <w:numId w:val="2"/>
              </w:numPr>
              <w:rPr>
                <w:rFonts w:cs="宋体"/>
                <w:color w:val="auto"/>
                <w:highlight w:val="none"/>
                <w:lang w:eastAsia="zh-CN"/>
              </w:rPr>
            </w:pPr>
            <w:r>
              <w:rPr>
                <w:rFonts w:hint="eastAsia" w:cs="宋体"/>
                <w:color w:val="auto"/>
                <w:highlight w:val="none"/>
                <w:lang w:eastAsia="zh-CN"/>
              </w:rPr>
              <w:t>投标人其他异常投标情形：</w:t>
            </w:r>
          </w:p>
          <w:p w14:paraId="25855DFE">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评标委员会在评标过程中发现存在投标文件异常一致或投标活动异常关联等异常投标情形的，应当要求投标人在规定时间内作出书面说明并提供相应的证明材料。投标人不能合理说明或者不能提供相应证明材料的，评标委员会应当认定投标人存在串通投标等违法行为，并否决其投标。</w:t>
            </w:r>
          </w:p>
          <w:p w14:paraId="0AAF2F24">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有下列情形之一的，属于投标文件异常一致或投标活动异常关联等异常投标情形：</w:t>
            </w:r>
          </w:p>
          <w:p w14:paraId="6D4BD37B">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（1）投标人投标文件制作机器码雷同；</w:t>
            </w:r>
          </w:p>
          <w:p w14:paraId="04721231">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（2）投标文件创建标识码雷同；</w:t>
            </w:r>
          </w:p>
          <w:p w14:paraId="309C3944">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（3）投标文件制作计算机MAC地址雷同；</w:t>
            </w:r>
          </w:p>
          <w:p w14:paraId="43A4C329">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（4）投标文件制作计算机硬盘序列号雷同；</w:t>
            </w:r>
          </w:p>
          <w:p w14:paraId="6FB88717">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（5）招标文件下载IP地址雷同；</w:t>
            </w:r>
          </w:p>
          <w:p w14:paraId="607FDE74">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（6）投标文件上传IP地址雷同；</w:t>
            </w:r>
          </w:p>
          <w:p w14:paraId="533150A6">
            <w:pPr>
              <w:tabs>
                <w:tab w:val="left" w:pos="1234"/>
              </w:tabs>
              <w:autoSpaceDE w:val="0"/>
              <w:autoSpaceDN w:val="0"/>
              <w:snapToGrid w:val="0"/>
              <w:spacing w:line="32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（7）投标文件解密IP地址雷同。</w:t>
            </w:r>
          </w:p>
        </w:tc>
      </w:tr>
      <w:tr w14:paraId="6F27C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568" w:hRule="atLeast"/>
          <w:jc w:val="center"/>
        </w:trPr>
        <w:tc>
          <w:tcPr>
            <w:tcW w:w="9657" w:type="dxa"/>
            <w:gridSpan w:val="3"/>
            <w:vAlign w:val="center"/>
          </w:tcPr>
          <w:p w14:paraId="5B5B0A21">
            <w:pPr>
              <w:snapToGrid w:val="0"/>
              <w:spacing w:line="320" w:lineRule="exact"/>
              <w:rPr>
                <w:rFonts w:ascii="宋体" w:hAnsi="宋体" w:cs="宋体"/>
                <w:color w:val="auto"/>
                <w:szCs w:val="21"/>
                <w:highlight w:val="none"/>
                <w:lang w:bidi="ar"/>
              </w:rPr>
            </w:pPr>
            <w:r>
              <w:rPr>
                <w:rFonts w:hint="eastAsia" w:ascii="宋体" w:hAnsi="宋体" w:cs="宋体"/>
                <w:color w:val="auto"/>
                <w:szCs w:val="21"/>
                <w:highlight w:val="none"/>
              </w:rPr>
              <w:t>需要补充的其他内容：</w:t>
            </w:r>
            <w:r>
              <w:rPr>
                <w:rFonts w:hint="eastAsia" w:ascii="宋体" w:hAnsi="宋体" w:cs="宋体"/>
                <w:bCs/>
                <w:color w:val="auto"/>
                <w:szCs w:val="21"/>
                <w:highlight w:val="none"/>
              </w:rPr>
              <w:t>无</w:t>
            </w:r>
          </w:p>
        </w:tc>
      </w:tr>
    </w:tbl>
    <w:p w14:paraId="49B6AA2D">
      <w:pPr>
        <w:rPr>
          <w:rFonts w:ascii="宋体" w:hAnsi="宋体" w:cs="宋体"/>
          <w:color w:val="auto"/>
          <w:spacing w:val="2"/>
          <w:sz w:val="24"/>
          <w:szCs w:val="24"/>
          <w:highlight w:val="none"/>
        </w:rPr>
      </w:pPr>
      <w:r>
        <w:rPr>
          <w:rFonts w:hint="eastAsia" w:ascii="宋体" w:hAnsi="宋体" w:cs="宋体"/>
          <w:color w:val="auto"/>
          <w:spacing w:val="2"/>
          <w:sz w:val="24"/>
          <w:szCs w:val="24"/>
          <w:highlight w:val="none"/>
        </w:rPr>
        <w:br w:type="page"/>
      </w:r>
      <w:r>
        <w:rPr>
          <w:rFonts w:hint="eastAsia" w:ascii="宋体" w:hAnsi="宋体" w:cs="宋体"/>
          <w:color w:val="auto"/>
          <w:sz w:val="24"/>
          <w:szCs w:val="24"/>
          <w:highlight w:val="none"/>
          <w:lang w:bidi="ar"/>
        </w:rPr>
        <w:t>具体</w:t>
      </w:r>
      <w:r>
        <w:rPr>
          <w:rFonts w:hint="eastAsia" w:ascii="宋体" w:hAnsi="宋体" w:cs="宋体"/>
          <w:color w:val="auto"/>
          <w:szCs w:val="21"/>
          <w:highlight w:val="none"/>
          <w:lang w:bidi="ar"/>
        </w:rPr>
        <w:t xml:space="preserve">评分标准如下： </w:t>
      </w:r>
    </w:p>
    <w:tbl>
      <w:tblPr>
        <w:tblStyle w:val="13"/>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6"/>
        <w:gridCol w:w="826"/>
        <w:gridCol w:w="794"/>
        <w:gridCol w:w="1138"/>
        <w:gridCol w:w="774"/>
        <w:gridCol w:w="5362"/>
      </w:tblGrid>
      <w:tr w14:paraId="7789B7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 w:hRule="atLeast"/>
          <w:jc w:val="center"/>
        </w:trPr>
        <w:tc>
          <w:tcPr>
            <w:tcW w:w="4348" w:type="dxa"/>
            <w:gridSpan w:val="5"/>
            <w:shd w:val="clear" w:color="000000" w:fill="FFFFFF"/>
            <w:vAlign w:val="center"/>
          </w:tcPr>
          <w:p w14:paraId="22461049">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评分因素与权重分值</w:t>
            </w:r>
          </w:p>
        </w:tc>
        <w:tc>
          <w:tcPr>
            <w:tcW w:w="5362" w:type="dxa"/>
            <w:vMerge w:val="restart"/>
            <w:shd w:val="clear" w:color="000000" w:fill="FFFFFF"/>
            <w:vAlign w:val="center"/>
          </w:tcPr>
          <w:p w14:paraId="4B0B4FAA">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评分标准</w:t>
            </w:r>
          </w:p>
        </w:tc>
      </w:tr>
      <w:tr w14:paraId="42168F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7" w:hRule="atLeast"/>
          <w:jc w:val="center"/>
        </w:trPr>
        <w:tc>
          <w:tcPr>
            <w:tcW w:w="816" w:type="dxa"/>
            <w:shd w:val="clear" w:color="000000" w:fill="FFFFFF"/>
            <w:vAlign w:val="center"/>
          </w:tcPr>
          <w:p w14:paraId="04C25E46">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条款号</w:t>
            </w:r>
          </w:p>
        </w:tc>
        <w:tc>
          <w:tcPr>
            <w:tcW w:w="826" w:type="dxa"/>
            <w:shd w:val="clear" w:color="000000" w:fill="FFFFFF"/>
            <w:vAlign w:val="center"/>
          </w:tcPr>
          <w:p w14:paraId="0828BE96">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评分因素</w:t>
            </w:r>
          </w:p>
        </w:tc>
        <w:tc>
          <w:tcPr>
            <w:tcW w:w="794" w:type="dxa"/>
            <w:shd w:val="clear" w:color="000000" w:fill="FFFFFF"/>
            <w:vAlign w:val="center"/>
          </w:tcPr>
          <w:p w14:paraId="3D108B1D">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评分因素权重分值</w:t>
            </w:r>
          </w:p>
        </w:tc>
        <w:tc>
          <w:tcPr>
            <w:tcW w:w="1138" w:type="dxa"/>
            <w:shd w:val="clear" w:color="000000" w:fill="FFFFFF"/>
            <w:vAlign w:val="center"/>
          </w:tcPr>
          <w:p w14:paraId="03882374">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各评分因素细分项</w:t>
            </w:r>
          </w:p>
        </w:tc>
        <w:tc>
          <w:tcPr>
            <w:tcW w:w="774" w:type="dxa"/>
            <w:shd w:val="clear" w:color="000000" w:fill="FFFFFF"/>
            <w:vAlign w:val="center"/>
          </w:tcPr>
          <w:p w14:paraId="6253DB88">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lang w:val="zh-CN"/>
              </w:rPr>
              <w:t>分值</w:t>
            </w:r>
          </w:p>
        </w:tc>
        <w:tc>
          <w:tcPr>
            <w:tcW w:w="5362" w:type="dxa"/>
            <w:vMerge w:val="continue"/>
            <w:shd w:val="clear" w:color="000000" w:fill="FFFFFF"/>
          </w:tcPr>
          <w:p w14:paraId="5009DA5F">
            <w:pPr>
              <w:autoSpaceDE w:val="0"/>
              <w:autoSpaceDN w:val="0"/>
              <w:adjustRightInd w:val="0"/>
              <w:snapToGrid w:val="0"/>
              <w:spacing w:line="320" w:lineRule="exact"/>
              <w:rPr>
                <w:rFonts w:ascii="宋体" w:hAnsi="宋体" w:cs="宋体"/>
                <w:color w:val="auto"/>
                <w:szCs w:val="21"/>
                <w:highlight w:val="none"/>
                <w:lang w:val="zh-CN"/>
              </w:rPr>
            </w:pPr>
          </w:p>
        </w:tc>
      </w:tr>
      <w:tr w14:paraId="7FBCAF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816" w:type="dxa"/>
            <w:vMerge w:val="restart"/>
            <w:shd w:val="clear" w:color="000000" w:fill="FFFFFF"/>
            <w:vAlign w:val="center"/>
          </w:tcPr>
          <w:p w14:paraId="664E6978">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2.2.4</w:t>
            </w:r>
          </w:p>
          <w:p w14:paraId="233140F3">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826" w:type="dxa"/>
            <w:vMerge w:val="restart"/>
            <w:shd w:val="clear" w:color="000000" w:fill="FFFFFF"/>
            <w:vAlign w:val="center"/>
          </w:tcPr>
          <w:p w14:paraId="2B23EA16">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商务部分</w:t>
            </w:r>
          </w:p>
        </w:tc>
        <w:tc>
          <w:tcPr>
            <w:tcW w:w="794" w:type="dxa"/>
            <w:vMerge w:val="restart"/>
            <w:shd w:val="clear" w:color="000000" w:fill="FFFFFF"/>
            <w:vAlign w:val="center"/>
          </w:tcPr>
          <w:p w14:paraId="20D9ABF7">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20</w:t>
            </w:r>
            <w:r>
              <w:rPr>
                <w:rFonts w:hint="eastAsia" w:ascii="宋体" w:hAnsi="宋体" w:cs="宋体"/>
                <w:color w:val="auto"/>
                <w:szCs w:val="21"/>
                <w:highlight w:val="none"/>
                <w:lang w:val="zh-CN"/>
              </w:rPr>
              <w:t>分</w:t>
            </w:r>
          </w:p>
        </w:tc>
        <w:tc>
          <w:tcPr>
            <w:tcW w:w="1138" w:type="dxa"/>
            <w:vMerge w:val="restart"/>
            <w:shd w:val="clear" w:color="000000" w:fill="FFFFFF"/>
            <w:vAlign w:val="center"/>
          </w:tcPr>
          <w:p w14:paraId="4381A63B">
            <w:pPr>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企业业绩</w:t>
            </w:r>
          </w:p>
        </w:tc>
        <w:tc>
          <w:tcPr>
            <w:tcW w:w="774" w:type="dxa"/>
            <w:vMerge w:val="restart"/>
            <w:shd w:val="clear" w:color="000000" w:fill="FFFFFF"/>
            <w:vAlign w:val="center"/>
          </w:tcPr>
          <w:p w14:paraId="15E86FCA">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20分</w:t>
            </w:r>
          </w:p>
        </w:tc>
        <w:tc>
          <w:tcPr>
            <w:tcW w:w="5362" w:type="dxa"/>
            <w:tcBorders>
              <w:bottom w:val="single" w:color="auto" w:sz="4" w:space="0"/>
            </w:tcBorders>
            <w:shd w:val="clear" w:color="000000" w:fill="FFFFFF"/>
          </w:tcPr>
          <w:p w14:paraId="0D8C8151">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满足资格审查条件(业绩最低要求)得12分；</w:t>
            </w:r>
          </w:p>
        </w:tc>
      </w:tr>
      <w:tr w14:paraId="61D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2" w:hRule="atLeast"/>
          <w:jc w:val="center"/>
        </w:trPr>
        <w:tc>
          <w:tcPr>
            <w:tcW w:w="816" w:type="dxa"/>
            <w:vMerge w:val="continue"/>
            <w:tcBorders>
              <w:bottom w:val="single" w:color="000000" w:sz="4" w:space="0"/>
            </w:tcBorders>
            <w:shd w:val="clear" w:color="000000" w:fill="FFFFFF"/>
            <w:vAlign w:val="center"/>
          </w:tcPr>
          <w:p w14:paraId="74A7A3E1">
            <w:pPr>
              <w:autoSpaceDE w:val="0"/>
              <w:autoSpaceDN w:val="0"/>
              <w:adjustRightInd w:val="0"/>
              <w:snapToGrid w:val="0"/>
              <w:spacing w:line="320" w:lineRule="exact"/>
              <w:jc w:val="center"/>
              <w:rPr>
                <w:rFonts w:ascii="宋体" w:hAnsi="宋体" w:cs="宋体"/>
                <w:color w:val="auto"/>
                <w:szCs w:val="21"/>
                <w:highlight w:val="none"/>
              </w:rPr>
            </w:pPr>
          </w:p>
        </w:tc>
        <w:tc>
          <w:tcPr>
            <w:tcW w:w="826" w:type="dxa"/>
            <w:vMerge w:val="continue"/>
            <w:tcBorders>
              <w:bottom w:val="single" w:color="000000" w:sz="4" w:space="0"/>
            </w:tcBorders>
            <w:shd w:val="clear" w:color="000000" w:fill="FFFFFF"/>
            <w:vAlign w:val="center"/>
          </w:tcPr>
          <w:p w14:paraId="6ADBFBEE">
            <w:pPr>
              <w:autoSpaceDE w:val="0"/>
              <w:autoSpaceDN w:val="0"/>
              <w:adjustRightInd w:val="0"/>
              <w:snapToGrid w:val="0"/>
              <w:spacing w:line="320" w:lineRule="exact"/>
              <w:jc w:val="center"/>
              <w:rPr>
                <w:rFonts w:ascii="宋体" w:hAnsi="宋体" w:cs="宋体"/>
                <w:color w:val="auto"/>
                <w:szCs w:val="21"/>
                <w:highlight w:val="none"/>
              </w:rPr>
            </w:pPr>
          </w:p>
        </w:tc>
        <w:tc>
          <w:tcPr>
            <w:tcW w:w="794" w:type="dxa"/>
            <w:vMerge w:val="continue"/>
            <w:tcBorders>
              <w:bottom w:val="single" w:color="000000" w:sz="4" w:space="0"/>
            </w:tcBorders>
            <w:shd w:val="clear" w:color="000000" w:fill="FFFFFF"/>
            <w:vAlign w:val="center"/>
          </w:tcPr>
          <w:p w14:paraId="631C91A5">
            <w:pPr>
              <w:autoSpaceDE w:val="0"/>
              <w:autoSpaceDN w:val="0"/>
              <w:adjustRightInd w:val="0"/>
              <w:snapToGrid w:val="0"/>
              <w:spacing w:line="320" w:lineRule="exact"/>
              <w:jc w:val="center"/>
              <w:rPr>
                <w:rFonts w:ascii="宋体" w:hAnsi="宋体" w:cs="宋体"/>
                <w:color w:val="auto"/>
                <w:szCs w:val="21"/>
                <w:highlight w:val="none"/>
              </w:rPr>
            </w:pPr>
          </w:p>
        </w:tc>
        <w:tc>
          <w:tcPr>
            <w:tcW w:w="1138" w:type="dxa"/>
            <w:vMerge w:val="continue"/>
            <w:tcBorders>
              <w:bottom w:val="single" w:color="000000" w:sz="4" w:space="0"/>
            </w:tcBorders>
            <w:shd w:val="clear" w:color="000000" w:fill="FFFFFF"/>
            <w:vAlign w:val="center"/>
          </w:tcPr>
          <w:p w14:paraId="21D9978E">
            <w:pPr>
              <w:snapToGrid w:val="0"/>
              <w:spacing w:line="320" w:lineRule="exact"/>
              <w:jc w:val="center"/>
              <w:rPr>
                <w:rFonts w:ascii="宋体" w:hAnsi="宋体" w:cs="宋体"/>
                <w:color w:val="auto"/>
                <w:szCs w:val="21"/>
                <w:highlight w:val="none"/>
              </w:rPr>
            </w:pPr>
          </w:p>
        </w:tc>
        <w:tc>
          <w:tcPr>
            <w:tcW w:w="774" w:type="dxa"/>
            <w:vMerge w:val="continue"/>
            <w:tcBorders>
              <w:bottom w:val="single" w:color="000000" w:sz="4" w:space="0"/>
            </w:tcBorders>
            <w:shd w:val="clear" w:color="000000" w:fill="FFFFFF"/>
            <w:vAlign w:val="center"/>
          </w:tcPr>
          <w:p w14:paraId="15732570">
            <w:pPr>
              <w:autoSpaceDE w:val="0"/>
              <w:autoSpaceDN w:val="0"/>
              <w:adjustRightInd w:val="0"/>
              <w:snapToGrid w:val="0"/>
              <w:spacing w:line="320" w:lineRule="exact"/>
              <w:jc w:val="center"/>
              <w:rPr>
                <w:rFonts w:ascii="宋体" w:hAnsi="宋体" w:cs="宋体"/>
                <w:color w:val="auto"/>
                <w:szCs w:val="21"/>
                <w:highlight w:val="none"/>
              </w:rPr>
            </w:pPr>
          </w:p>
        </w:tc>
        <w:tc>
          <w:tcPr>
            <w:tcW w:w="5362" w:type="dxa"/>
            <w:tcBorders>
              <w:top w:val="single" w:color="auto" w:sz="4" w:space="0"/>
              <w:bottom w:val="single" w:color="auto" w:sz="4" w:space="0"/>
            </w:tcBorders>
            <w:shd w:val="clear" w:color="000000" w:fill="FFFFFF"/>
          </w:tcPr>
          <w:p w14:paraId="23B7F531">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每增加1项满足资格审查条件（业绩最低要求）的业绩加4分，最多加8分。</w:t>
            </w:r>
          </w:p>
        </w:tc>
      </w:tr>
      <w:tr w14:paraId="2839FF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97" w:hRule="atLeast"/>
          <w:jc w:val="center"/>
        </w:trPr>
        <w:tc>
          <w:tcPr>
            <w:tcW w:w="816" w:type="dxa"/>
            <w:vMerge w:val="restart"/>
            <w:shd w:val="clear" w:color="000000" w:fill="FFFFFF"/>
            <w:vAlign w:val="center"/>
          </w:tcPr>
          <w:p w14:paraId="71FF98DD">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2.2.4</w:t>
            </w:r>
          </w:p>
          <w:p w14:paraId="6EF77719">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w:t>
            </w:r>
          </w:p>
        </w:tc>
        <w:tc>
          <w:tcPr>
            <w:tcW w:w="826" w:type="dxa"/>
            <w:vMerge w:val="restart"/>
            <w:shd w:val="clear" w:color="000000" w:fill="FFFFFF"/>
            <w:vAlign w:val="center"/>
          </w:tcPr>
          <w:p w14:paraId="33F857FC">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技术部分</w:t>
            </w:r>
          </w:p>
        </w:tc>
        <w:tc>
          <w:tcPr>
            <w:tcW w:w="794" w:type="dxa"/>
            <w:vMerge w:val="restart"/>
            <w:shd w:val="clear" w:color="000000" w:fill="FFFFFF"/>
            <w:vAlign w:val="center"/>
          </w:tcPr>
          <w:p w14:paraId="743A3347">
            <w:pPr>
              <w:autoSpaceDE w:val="0"/>
              <w:autoSpaceDN w:val="0"/>
              <w:adjustRightInd w:val="0"/>
              <w:snapToGrid w:val="0"/>
              <w:spacing w:line="320" w:lineRule="exact"/>
              <w:jc w:val="center"/>
              <w:rPr>
                <w:rFonts w:ascii="宋体" w:hAnsi="宋体" w:cs="宋体"/>
                <w:color w:val="auto"/>
                <w:szCs w:val="21"/>
                <w:highlight w:val="none"/>
                <w:lang w:val="zh-CN"/>
              </w:rPr>
            </w:pPr>
            <w:r>
              <w:rPr>
                <w:rFonts w:hint="eastAsia" w:ascii="宋体" w:hAnsi="宋体" w:cs="宋体"/>
                <w:color w:val="auto"/>
                <w:szCs w:val="21"/>
                <w:highlight w:val="none"/>
              </w:rPr>
              <w:t>50</w:t>
            </w:r>
            <w:r>
              <w:rPr>
                <w:rFonts w:hint="eastAsia" w:ascii="宋体" w:hAnsi="宋体" w:cs="宋体"/>
                <w:color w:val="auto"/>
                <w:szCs w:val="21"/>
                <w:highlight w:val="none"/>
                <w:lang w:val="zh-CN"/>
              </w:rPr>
              <w:t>分</w:t>
            </w:r>
          </w:p>
        </w:tc>
        <w:tc>
          <w:tcPr>
            <w:tcW w:w="1138" w:type="dxa"/>
            <w:tcBorders>
              <w:bottom w:val="single" w:color="auto" w:sz="4" w:space="0"/>
            </w:tcBorders>
            <w:shd w:val="clear" w:color="000000" w:fill="FFFFFF"/>
            <w:vAlign w:val="center"/>
          </w:tcPr>
          <w:p w14:paraId="4E8C699B">
            <w:pPr>
              <w:autoSpaceDE w:val="0"/>
              <w:autoSpaceDN w:val="0"/>
              <w:adjustRightInd w:val="0"/>
              <w:snapToGrid w:val="0"/>
              <w:spacing w:line="320" w:lineRule="exact"/>
              <w:jc w:val="center"/>
              <w:rPr>
                <w:rFonts w:ascii="宋体" w:hAnsi="宋体" w:cs="宋体"/>
                <w:color w:val="auto"/>
                <w:spacing w:val="12"/>
                <w:szCs w:val="21"/>
                <w:highlight w:val="none"/>
              </w:rPr>
            </w:pPr>
            <w:r>
              <w:rPr>
                <w:rFonts w:hint="eastAsia" w:ascii="宋体" w:hAnsi="宋体" w:cs="宋体"/>
                <w:color w:val="auto"/>
                <w:spacing w:val="12"/>
                <w:szCs w:val="21"/>
                <w:highlight w:val="none"/>
              </w:rPr>
              <w:t>投标设备整体评价</w:t>
            </w:r>
          </w:p>
        </w:tc>
        <w:tc>
          <w:tcPr>
            <w:tcW w:w="774" w:type="dxa"/>
            <w:shd w:val="clear" w:color="000000" w:fill="FFFFFF"/>
            <w:vAlign w:val="center"/>
          </w:tcPr>
          <w:p w14:paraId="6D8FC6D4">
            <w:pPr>
              <w:autoSpaceDE w:val="0"/>
              <w:autoSpaceDN w:val="0"/>
              <w:adjustRightInd w:val="0"/>
              <w:snapToGrid w:val="0"/>
              <w:spacing w:line="320" w:lineRule="exact"/>
              <w:jc w:val="center"/>
              <w:rPr>
                <w:rFonts w:ascii="宋体" w:hAnsi="宋体" w:cs="宋体"/>
                <w:color w:val="auto"/>
                <w:spacing w:val="12"/>
                <w:szCs w:val="21"/>
                <w:highlight w:val="none"/>
              </w:rPr>
            </w:pPr>
            <w:r>
              <w:rPr>
                <w:rFonts w:hint="eastAsia" w:ascii="宋体" w:hAnsi="宋体" w:cs="宋体"/>
                <w:color w:val="auto"/>
                <w:spacing w:val="12"/>
                <w:szCs w:val="21"/>
                <w:highlight w:val="none"/>
              </w:rPr>
              <w:t>20分</w:t>
            </w:r>
          </w:p>
        </w:tc>
        <w:tc>
          <w:tcPr>
            <w:tcW w:w="5362" w:type="dxa"/>
            <w:shd w:val="clear" w:color="000000" w:fill="FFFFFF"/>
            <w:vAlign w:val="center"/>
          </w:tcPr>
          <w:p w14:paraId="6CFE82C3">
            <w:pPr>
              <w:autoSpaceDE w:val="0"/>
              <w:autoSpaceDN w:val="0"/>
              <w:adjustRightInd w:val="0"/>
              <w:snapToGrid w:val="0"/>
              <w:spacing w:line="320" w:lineRule="exact"/>
              <w:rPr>
                <w:rFonts w:ascii="宋体" w:hAnsi="宋体" w:cs="宋体"/>
                <w:color w:val="auto"/>
                <w:spacing w:val="12"/>
                <w:szCs w:val="21"/>
                <w:highlight w:val="none"/>
              </w:rPr>
            </w:pPr>
            <w:r>
              <w:rPr>
                <w:rFonts w:hint="eastAsia" w:ascii="宋体" w:hAnsi="宋体" w:cs="宋体"/>
                <w:color w:val="auto"/>
                <w:spacing w:val="12"/>
                <w:szCs w:val="21"/>
                <w:highlight w:val="none"/>
              </w:rPr>
              <w:t>1.设备整体性能优越、功能齐全、完善，自动化水平高，完全满足招标文件要求，得16-20分；</w:t>
            </w:r>
          </w:p>
          <w:p w14:paraId="408DBC8E">
            <w:pPr>
              <w:autoSpaceDE w:val="0"/>
              <w:autoSpaceDN w:val="0"/>
              <w:adjustRightInd w:val="0"/>
              <w:snapToGrid w:val="0"/>
              <w:spacing w:line="320" w:lineRule="exact"/>
              <w:rPr>
                <w:rFonts w:ascii="宋体" w:hAnsi="宋体" w:cs="宋体"/>
                <w:color w:val="auto"/>
                <w:spacing w:val="12"/>
                <w:szCs w:val="21"/>
                <w:highlight w:val="none"/>
              </w:rPr>
            </w:pPr>
            <w:r>
              <w:rPr>
                <w:rFonts w:hint="eastAsia" w:ascii="宋体" w:hAnsi="宋体" w:cs="宋体"/>
                <w:color w:val="auto"/>
                <w:spacing w:val="12"/>
                <w:szCs w:val="21"/>
                <w:highlight w:val="none"/>
              </w:rPr>
              <w:t>2.设备整体性能较高、功能较齐全、较完善，自动化水平较高，满足招标文件要求，得12-16分；</w:t>
            </w:r>
          </w:p>
          <w:p w14:paraId="0FECD299">
            <w:pPr>
              <w:autoSpaceDE w:val="0"/>
              <w:autoSpaceDN w:val="0"/>
              <w:adjustRightInd w:val="0"/>
              <w:snapToGrid w:val="0"/>
              <w:spacing w:line="320" w:lineRule="exact"/>
              <w:rPr>
                <w:rFonts w:ascii="宋体" w:hAnsi="宋体" w:cs="宋体"/>
                <w:color w:val="auto"/>
                <w:spacing w:val="12"/>
                <w:szCs w:val="21"/>
                <w:highlight w:val="none"/>
              </w:rPr>
            </w:pPr>
            <w:r>
              <w:rPr>
                <w:rFonts w:hint="eastAsia" w:ascii="宋体" w:hAnsi="宋体" w:cs="宋体"/>
                <w:color w:val="auto"/>
                <w:spacing w:val="12"/>
                <w:szCs w:val="21"/>
                <w:highlight w:val="none"/>
              </w:rPr>
              <w:t>3.设备整体性能一般，功能一般，自动化水平一般，基本满足招标文件要求，得12分。</w:t>
            </w:r>
          </w:p>
        </w:tc>
      </w:tr>
      <w:tr w14:paraId="33CE4F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0" w:hRule="atLeast"/>
          <w:jc w:val="center"/>
        </w:trPr>
        <w:tc>
          <w:tcPr>
            <w:tcW w:w="816" w:type="dxa"/>
            <w:vMerge w:val="continue"/>
            <w:shd w:val="clear" w:color="000000" w:fill="FFFFFF"/>
            <w:vAlign w:val="center"/>
          </w:tcPr>
          <w:p w14:paraId="08C670B6">
            <w:pPr>
              <w:autoSpaceDE w:val="0"/>
              <w:autoSpaceDN w:val="0"/>
              <w:adjustRightInd w:val="0"/>
              <w:snapToGrid w:val="0"/>
              <w:spacing w:line="320" w:lineRule="exact"/>
              <w:jc w:val="center"/>
              <w:rPr>
                <w:rFonts w:ascii="宋体" w:hAnsi="宋体" w:cs="宋体"/>
                <w:color w:val="auto"/>
                <w:szCs w:val="21"/>
                <w:highlight w:val="none"/>
              </w:rPr>
            </w:pPr>
          </w:p>
        </w:tc>
        <w:tc>
          <w:tcPr>
            <w:tcW w:w="826" w:type="dxa"/>
            <w:vMerge w:val="continue"/>
            <w:shd w:val="clear" w:color="000000" w:fill="FFFFFF"/>
            <w:vAlign w:val="center"/>
          </w:tcPr>
          <w:p w14:paraId="650A1D68">
            <w:pPr>
              <w:autoSpaceDE w:val="0"/>
              <w:autoSpaceDN w:val="0"/>
              <w:adjustRightInd w:val="0"/>
              <w:snapToGrid w:val="0"/>
              <w:spacing w:line="320" w:lineRule="exact"/>
              <w:jc w:val="center"/>
              <w:rPr>
                <w:rFonts w:ascii="宋体" w:hAnsi="宋体" w:cs="宋体"/>
                <w:color w:val="auto"/>
                <w:szCs w:val="21"/>
                <w:highlight w:val="none"/>
                <w:lang w:val="zh-CN"/>
              </w:rPr>
            </w:pPr>
          </w:p>
        </w:tc>
        <w:tc>
          <w:tcPr>
            <w:tcW w:w="794" w:type="dxa"/>
            <w:vMerge w:val="continue"/>
            <w:shd w:val="clear" w:color="000000" w:fill="FFFFFF"/>
            <w:vAlign w:val="center"/>
          </w:tcPr>
          <w:p w14:paraId="5F6C163C">
            <w:pPr>
              <w:autoSpaceDE w:val="0"/>
              <w:autoSpaceDN w:val="0"/>
              <w:adjustRightInd w:val="0"/>
              <w:snapToGrid w:val="0"/>
              <w:spacing w:line="320" w:lineRule="exact"/>
              <w:jc w:val="center"/>
              <w:rPr>
                <w:rFonts w:ascii="宋体" w:hAnsi="宋体" w:cs="宋体"/>
                <w:color w:val="auto"/>
                <w:szCs w:val="21"/>
                <w:highlight w:val="none"/>
              </w:rPr>
            </w:pPr>
          </w:p>
        </w:tc>
        <w:tc>
          <w:tcPr>
            <w:tcW w:w="1138" w:type="dxa"/>
            <w:tcBorders>
              <w:top w:val="single" w:color="auto" w:sz="4" w:space="0"/>
              <w:bottom w:val="single" w:color="auto" w:sz="4" w:space="0"/>
            </w:tcBorders>
            <w:shd w:val="clear" w:color="000000" w:fill="FFFFFF"/>
            <w:vAlign w:val="center"/>
          </w:tcPr>
          <w:p w14:paraId="50195639">
            <w:pPr>
              <w:pStyle w:val="17"/>
              <w:snapToGrid w:val="0"/>
              <w:spacing w:line="320" w:lineRule="exact"/>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车辆主要配置及技术性能指标的响应程度评价</w:t>
            </w:r>
          </w:p>
        </w:tc>
        <w:tc>
          <w:tcPr>
            <w:tcW w:w="774" w:type="dxa"/>
            <w:shd w:val="clear" w:color="000000" w:fill="FFFFFF"/>
            <w:vAlign w:val="center"/>
          </w:tcPr>
          <w:p w14:paraId="1254894E">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362" w:type="dxa"/>
            <w:shd w:val="clear" w:color="000000" w:fill="FFFFFF"/>
          </w:tcPr>
          <w:p w14:paraId="252EB3F6">
            <w:pPr>
              <w:autoSpaceDE w:val="0"/>
              <w:autoSpaceDN w:val="0"/>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12"/>
                <w:szCs w:val="21"/>
                <w:highlight w:val="none"/>
              </w:rPr>
              <w:t>车辆功能配置齐全、实用性强、动力强劲、外观、内饰、工艺好，主要零部件的性能参数高</w:t>
            </w:r>
            <w:r>
              <w:rPr>
                <w:rFonts w:hint="eastAsia" w:ascii="宋体" w:hAnsi="宋体" w:cs="宋体"/>
                <w:color w:val="auto"/>
                <w:szCs w:val="21"/>
                <w:highlight w:val="none"/>
              </w:rPr>
              <w:t>，得8-10分；</w:t>
            </w:r>
          </w:p>
          <w:p w14:paraId="28855F41">
            <w:pPr>
              <w:autoSpaceDE w:val="0"/>
              <w:autoSpaceDN w:val="0"/>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12"/>
                <w:szCs w:val="21"/>
                <w:highlight w:val="none"/>
              </w:rPr>
              <w:t>车辆功能配置较齐全、实用性较强、动力较强、外观、内饰、工艺较好，主要零部件的性能参数较高</w:t>
            </w:r>
            <w:r>
              <w:rPr>
                <w:rFonts w:hint="eastAsia" w:ascii="宋体" w:hAnsi="宋体" w:cs="宋体"/>
                <w:color w:val="auto"/>
                <w:szCs w:val="21"/>
                <w:highlight w:val="none"/>
              </w:rPr>
              <w:t>，得6-8分；</w:t>
            </w:r>
          </w:p>
          <w:p w14:paraId="097AFEBB">
            <w:pPr>
              <w:autoSpaceDE w:val="0"/>
              <w:autoSpaceDN w:val="0"/>
              <w:adjustRightInd w:val="0"/>
              <w:snapToGrid w:val="0"/>
              <w:spacing w:line="320" w:lineRule="exac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pacing w:val="12"/>
                <w:szCs w:val="21"/>
                <w:highlight w:val="none"/>
              </w:rPr>
              <w:t>车辆功能配置一般、实用性一般、动力一般、外观、内饰、工艺一般，主要零部件的性能参数一般</w:t>
            </w:r>
            <w:r>
              <w:rPr>
                <w:rFonts w:hint="eastAsia" w:ascii="宋体" w:hAnsi="宋体" w:cs="宋体"/>
                <w:color w:val="auto"/>
                <w:szCs w:val="21"/>
                <w:highlight w:val="none"/>
              </w:rPr>
              <w:t>，得6分。</w:t>
            </w:r>
          </w:p>
        </w:tc>
      </w:tr>
      <w:tr w14:paraId="62436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83" w:hRule="atLeast"/>
          <w:jc w:val="center"/>
        </w:trPr>
        <w:tc>
          <w:tcPr>
            <w:tcW w:w="816" w:type="dxa"/>
            <w:vMerge w:val="continue"/>
            <w:shd w:val="clear" w:color="000000" w:fill="FFFFFF"/>
            <w:vAlign w:val="center"/>
          </w:tcPr>
          <w:p w14:paraId="09F0AB3B">
            <w:pPr>
              <w:autoSpaceDE w:val="0"/>
              <w:autoSpaceDN w:val="0"/>
              <w:adjustRightInd w:val="0"/>
              <w:snapToGrid w:val="0"/>
              <w:spacing w:line="320" w:lineRule="exact"/>
              <w:jc w:val="center"/>
              <w:rPr>
                <w:rFonts w:ascii="宋体" w:hAnsi="宋体" w:cs="宋体"/>
                <w:color w:val="auto"/>
                <w:szCs w:val="21"/>
                <w:highlight w:val="none"/>
              </w:rPr>
            </w:pPr>
          </w:p>
        </w:tc>
        <w:tc>
          <w:tcPr>
            <w:tcW w:w="826" w:type="dxa"/>
            <w:vMerge w:val="continue"/>
            <w:shd w:val="clear" w:color="000000" w:fill="FFFFFF"/>
            <w:vAlign w:val="center"/>
          </w:tcPr>
          <w:p w14:paraId="059B7D10">
            <w:pPr>
              <w:autoSpaceDE w:val="0"/>
              <w:autoSpaceDN w:val="0"/>
              <w:adjustRightInd w:val="0"/>
              <w:snapToGrid w:val="0"/>
              <w:spacing w:line="320" w:lineRule="exact"/>
              <w:jc w:val="center"/>
              <w:rPr>
                <w:rFonts w:ascii="宋体" w:hAnsi="宋体" w:cs="宋体"/>
                <w:color w:val="auto"/>
                <w:szCs w:val="21"/>
                <w:highlight w:val="none"/>
                <w:lang w:val="zh-CN"/>
              </w:rPr>
            </w:pPr>
          </w:p>
        </w:tc>
        <w:tc>
          <w:tcPr>
            <w:tcW w:w="794" w:type="dxa"/>
            <w:vMerge w:val="continue"/>
            <w:shd w:val="clear" w:color="000000" w:fill="FFFFFF"/>
            <w:vAlign w:val="center"/>
          </w:tcPr>
          <w:p w14:paraId="5698D0B4">
            <w:pPr>
              <w:autoSpaceDE w:val="0"/>
              <w:autoSpaceDN w:val="0"/>
              <w:adjustRightInd w:val="0"/>
              <w:snapToGrid w:val="0"/>
              <w:spacing w:line="320" w:lineRule="exact"/>
              <w:jc w:val="center"/>
              <w:rPr>
                <w:rFonts w:ascii="宋体" w:hAnsi="宋体" w:cs="宋体"/>
                <w:color w:val="auto"/>
                <w:szCs w:val="21"/>
                <w:highlight w:val="none"/>
              </w:rPr>
            </w:pPr>
          </w:p>
        </w:tc>
        <w:tc>
          <w:tcPr>
            <w:tcW w:w="1138" w:type="dxa"/>
            <w:tcBorders>
              <w:top w:val="single" w:color="auto" w:sz="4" w:space="0"/>
              <w:bottom w:val="single" w:color="auto" w:sz="4" w:space="0"/>
            </w:tcBorders>
            <w:shd w:val="clear" w:color="000000" w:fill="FFFFFF"/>
            <w:vAlign w:val="center"/>
          </w:tcPr>
          <w:p w14:paraId="608C0D6E">
            <w:pPr>
              <w:pStyle w:val="17"/>
              <w:snapToGrid w:val="0"/>
              <w:spacing w:line="320" w:lineRule="exact"/>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交货期服务方案及服务能力评价（暗标）</w:t>
            </w:r>
          </w:p>
        </w:tc>
        <w:tc>
          <w:tcPr>
            <w:tcW w:w="774" w:type="dxa"/>
            <w:shd w:val="clear" w:color="000000" w:fill="FFFFFF"/>
            <w:vAlign w:val="center"/>
          </w:tcPr>
          <w:p w14:paraId="11763FB8">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362" w:type="dxa"/>
            <w:shd w:val="clear" w:color="000000" w:fill="FFFFFF"/>
          </w:tcPr>
          <w:p w14:paraId="2E11E8F0">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pacing w:val="12"/>
                <w:szCs w:val="21"/>
                <w:highlight w:val="none"/>
              </w:rPr>
              <w:t>配送及时、安全可靠、有良好的相关配套增值服务方案</w:t>
            </w:r>
            <w:r>
              <w:rPr>
                <w:rFonts w:hint="eastAsia" w:ascii="宋体" w:hAnsi="宋体" w:cs="宋体"/>
                <w:color w:val="auto"/>
                <w:szCs w:val="21"/>
                <w:highlight w:val="none"/>
              </w:rPr>
              <w:t>，得8-10分；</w:t>
            </w:r>
          </w:p>
          <w:p w14:paraId="0AE10EA9">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pacing w:val="12"/>
                <w:szCs w:val="21"/>
                <w:highlight w:val="none"/>
              </w:rPr>
              <w:t>配送较及时、较安全可靠、有较好的相关配套增值服务方案</w:t>
            </w:r>
            <w:r>
              <w:rPr>
                <w:rFonts w:hint="eastAsia" w:ascii="宋体" w:hAnsi="宋体" w:cs="宋体"/>
                <w:color w:val="auto"/>
                <w:szCs w:val="21"/>
                <w:highlight w:val="none"/>
              </w:rPr>
              <w:t>，得6-8分；</w:t>
            </w:r>
          </w:p>
          <w:p w14:paraId="4905EFDE">
            <w:pPr>
              <w:snapToGrid w:val="0"/>
              <w:spacing w:line="320" w:lineRule="exact"/>
              <w:rPr>
                <w:rFonts w:ascii="宋体" w:hAnsi="宋体" w:cs="宋体"/>
                <w:color w:val="auto"/>
                <w:szCs w:val="21"/>
                <w:highlight w:val="none"/>
                <w:lang w:val="zh-CN"/>
              </w:rPr>
            </w:pPr>
            <w:r>
              <w:rPr>
                <w:rFonts w:hint="eastAsia" w:ascii="宋体" w:hAnsi="宋体" w:cs="宋体"/>
                <w:color w:val="auto"/>
                <w:szCs w:val="21"/>
                <w:highlight w:val="none"/>
              </w:rPr>
              <w:t>3.</w:t>
            </w:r>
            <w:r>
              <w:rPr>
                <w:rFonts w:hint="eastAsia" w:ascii="宋体" w:hAnsi="宋体" w:cs="宋体"/>
                <w:color w:val="auto"/>
                <w:spacing w:val="12"/>
                <w:szCs w:val="21"/>
                <w:highlight w:val="none"/>
              </w:rPr>
              <w:t>配送时效性一般、安全可靠性一般、相关配套增值服务方案一般</w:t>
            </w:r>
            <w:r>
              <w:rPr>
                <w:rFonts w:hint="eastAsia" w:ascii="宋体" w:hAnsi="宋体" w:cs="宋体"/>
                <w:color w:val="auto"/>
                <w:szCs w:val="21"/>
                <w:highlight w:val="none"/>
              </w:rPr>
              <w:t>，得6分。</w:t>
            </w:r>
          </w:p>
        </w:tc>
      </w:tr>
      <w:tr w14:paraId="0A50C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3" w:hRule="atLeast"/>
          <w:jc w:val="center"/>
        </w:trPr>
        <w:tc>
          <w:tcPr>
            <w:tcW w:w="816" w:type="dxa"/>
            <w:vMerge w:val="continue"/>
            <w:shd w:val="clear" w:color="000000" w:fill="FFFFFF"/>
            <w:vAlign w:val="center"/>
          </w:tcPr>
          <w:p w14:paraId="37F6BDAE">
            <w:pPr>
              <w:autoSpaceDE w:val="0"/>
              <w:autoSpaceDN w:val="0"/>
              <w:adjustRightInd w:val="0"/>
              <w:snapToGrid w:val="0"/>
              <w:spacing w:line="320" w:lineRule="exact"/>
              <w:jc w:val="center"/>
              <w:rPr>
                <w:rFonts w:ascii="宋体" w:hAnsi="宋体" w:cs="宋体"/>
                <w:color w:val="auto"/>
                <w:szCs w:val="21"/>
                <w:highlight w:val="none"/>
              </w:rPr>
            </w:pPr>
          </w:p>
        </w:tc>
        <w:tc>
          <w:tcPr>
            <w:tcW w:w="826" w:type="dxa"/>
            <w:vMerge w:val="continue"/>
            <w:shd w:val="clear" w:color="000000" w:fill="FFFFFF"/>
            <w:vAlign w:val="center"/>
          </w:tcPr>
          <w:p w14:paraId="26C05CE9">
            <w:pPr>
              <w:autoSpaceDE w:val="0"/>
              <w:autoSpaceDN w:val="0"/>
              <w:adjustRightInd w:val="0"/>
              <w:snapToGrid w:val="0"/>
              <w:spacing w:line="320" w:lineRule="exact"/>
              <w:jc w:val="center"/>
              <w:rPr>
                <w:rFonts w:ascii="宋体" w:hAnsi="宋体" w:cs="宋体"/>
                <w:color w:val="auto"/>
                <w:szCs w:val="21"/>
                <w:highlight w:val="none"/>
                <w:lang w:val="zh-CN"/>
              </w:rPr>
            </w:pPr>
          </w:p>
        </w:tc>
        <w:tc>
          <w:tcPr>
            <w:tcW w:w="794" w:type="dxa"/>
            <w:vMerge w:val="continue"/>
            <w:shd w:val="clear" w:color="000000" w:fill="FFFFFF"/>
            <w:vAlign w:val="center"/>
          </w:tcPr>
          <w:p w14:paraId="304D6EF9">
            <w:pPr>
              <w:autoSpaceDE w:val="0"/>
              <w:autoSpaceDN w:val="0"/>
              <w:adjustRightInd w:val="0"/>
              <w:snapToGrid w:val="0"/>
              <w:spacing w:line="320" w:lineRule="exact"/>
              <w:jc w:val="center"/>
              <w:rPr>
                <w:rFonts w:ascii="宋体" w:hAnsi="宋体" w:cs="宋体"/>
                <w:color w:val="auto"/>
                <w:szCs w:val="21"/>
                <w:highlight w:val="none"/>
              </w:rPr>
            </w:pPr>
          </w:p>
        </w:tc>
        <w:tc>
          <w:tcPr>
            <w:tcW w:w="1138" w:type="dxa"/>
            <w:tcBorders>
              <w:top w:val="single" w:color="auto" w:sz="4" w:space="0"/>
            </w:tcBorders>
            <w:shd w:val="clear" w:color="000000" w:fill="FFFFFF"/>
            <w:vAlign w:val="center"/>
          </w:tcPr>
          <w:p w14:paraId="12E4E187">
            <w:pPr>
              <w:pStyle w:val="17"/>
              <w:snapToGrid w:val="0"/>
              <w:spacing w:line="320" w:lineRule="exact"/>
              <w:jc w:val="center"/>
              <w:rPr>
                <w:rFonts w:ascii="宋体" w:hAnsi="宋体" w:cs="宋体"/>
                <w:color w:val="auto"/>
                <w:sz w:val="21"/>
                <w:szCs w:val="21"/>
                <w:highlight w:val="none"/>
                <w:lang w:eastAsia="zh-CN"/>
              </w:rPr>
            </w:pPr>
            <w:r>
              <w:rPr>
                <w:rFonts w:hint="eastAsia" w:ascii="宋体" w:hAnsi="宋体" w:cs="宋体"/>
                <w:color w:val="auto"/>
                <w:sz w:val="21"/>
                <w:szCs w:val="21"/>
                <w:highlight w:val="none"/>
                <w:lang w:eastAsia="zh-CN"/>
              </w:rPr>
              <w:t>技术服务和质保期服务能力的评价（暗标）</w:t>
            </w:r>
          </w:p>
        </w:tc>
        <w:tc>
          <w:tcPr>
            <w:tcW w:w="774" w:type="dxa"/>
            <w:shd w:val="clear" w:color="000000" w:fill="FFFFFF"/>
            <w:vAlign w:val="center"/>
          </w:tcPr>
          <w:p w14:paraId="351A0217">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10分</w:t>
            </w:r>
          </w:p>
        </w:tc>
        <w:tc>
          <w:tcPr>
            <w:tcW w:w="5362" w:type="dxa"/>
            <w:tcBorders>
              <w:bottom w:val="single" w:color="auto" w:sz="4" w:space="0"/>
            </w:tcBorders>
            <w:shd w:val="clear" w:color="000000" w:fill="FFFFFF"/>
            <w:vAlign w:val="center"/>
          </w:tcPr>
          <w:p w14:paraId="671CDFE1">
            <w:pPr>
              <w:autoSpaceDE w:val="0"/>
              <w:autoSpaceDN w:val="0"/>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zh-CN"/>
              </w:rPr>
              <w:t>技术服务能力、维保能力强，优惠政策好、有良</w:t>
            </w:r>
            <w:r>
              <w:rPr>
                <w:rFonts w:hint="eastAsia" w:ascii="宋体" w:hAnsi="宋体" w:cs="宋体"/>
                <w:color w:val="auto"/>
                <w:szCs w:val="21"/>
                <w:highlight w:val="none"/>
              </w:rPr>
              <w:t>2</w:t>
            </w:r>
            <w:r>
              <w:rPr>
                <w:rFonts w:hint="eastAsia" w:ascii="宋体" w:hAnsi="宋体" w:cs="宋体"/>
                <w:color w:val="auto"/>
                <w:szCs w:val="21"/>
                <w:highlight w:val="none"/>
                <w:lang w:val="zh-CN"/>
              </w:rPr>
              <w:t>好的保养检测等售后服务，得</w:t>
            </w:r>
            <w:r>
              <w:rPr>
                <w:rFonts w:hint="eastAsia" w:ascii="宋体" w:hAnsi="宋体" w:cs="宋体"/>
                <w:color w:val="auto"/>
                <w:szCs w:val="21"/>
                <w:highlight w:val="none"/>
              </w:rPr>
              <w:t>8</w:t>
            </w:r>
            <w:r>
              <w:rPr>
                <w:rFonts w:hint="eastAsia" w:ascii="宋体" w:hAnsi="宋体" w:cs="宋体"/>
                <w:color w:val="auto"/>
                <w:szCs w:val="21"/>
                <w:highlight w:val="none"/>
                <w:lang w:val="zh-CN"/>
              </w:rPr>
              <w:t>-</w:t>
            </w:r>
            <w:r>
              <w:rPr>
                <w:rFonts w:hint="eastAsia" w:ascii="宋体" w:hAnsi="宋体" w:cs="宋体"/>
                <w:color w:val="auto"/>
                <w:szCs w:val="21"/>
                <w:highlight w:val="none"/>
              </w:rPr>
              <w:t>10</w:t>
            </w:r>
            <w:r>
              <w:rPr>
                <w:rFonts w:hint="eastAsia" w:ascii="宋体" w:hAnsi="宋体" w:cs="宋体"/>
                <w:color w:val="auto"/>
                <w:szCs w:val="21"/>
                <w:highlight w:val="none"/>
                <w:lang w:val="zh-CN"/>
              </w:rPr>
              <w:t>分；</w:t>
            </w:r>
          </w:p>
          <w:p w14:paraId="2D10E2AD">
            <w:pPr>
              <w:snapToGrid w:val="0"/>
              <w:spacing w:line="320" w:lineRule="exact"/>
              <w:rPr>
                <w:rFonts w:ascii="宋体" w:hAnsi="宋体" w:cs="宋体"/>
                <w:color w:val="auto"/>
                <w:szCs w:val="21"/>
                <w:highlight w:val="none"/>
              </w:rPr>
            </w:pPr>
            <w:r>
              <w:rPr>
                <w:rFonts w:hint="eastAsia" w:ascii="宋体" w:hAnsi="宋体" w:cs="宋体"/>
                <w:color w:val="auto"/>
                <w:spacing w:val="12"/>
                <w:szCs w:val="21"/>
                <w:highlight w:val="none"/>
              </w:rPr>
              <w:t>2.技术服务能力、维保能力较强，优惠政策较好、有较好的保养检测等售后服务</w:t>
            </w:r>
            <w:r>
              <w:rPr>
                <w:rFonts w:hint="eastAsia" w:ascii="宋体" w:hAnsi="宋体" w:cs="宋体"/>
                <w:color w:val="auto"/>
                <w:szCs w:val="21"/>
                <w:highlight w:val="none"/>
                <w:lang w:val="zh-CN"/>
              </w:rPr>
              <w:t>，得</w:t>
            </w:r>
            <w:r>
              <w:rPr>
                <w:rFonts w:hint="eastAsia" w:ascii="宋体" w:hAnsi="宋体" w:cs="宋体"/>
                <w:color w:val="auto"/>
                <w:szCs w:val="21"/>
                <w:highlight w:val="none"/>
              </w:rPr>
              <w:t>6</w:t>
            </w:r>
            <w:r>
              <w:rPr>
                <w:rFonts w:hint="eastAsia" w:ascii="宋体" w:hAnsi="宋体" w:cs="宋体"/>
                <w:color w:val="auto"/>
                <w:szCs w:val="21"/>
                <w:highlight w:val="none"/>
                <w:lang w:val="zh-CN"/>
              </w:rPr>
              <w:t>-</w:t>
            </w:r>
            <w:r>
              <w:rPr>
                <w:rFonts w:hint="eastAsia" w:ascii="宋体" w:hAnsi="宋体" w:cs="宋体"/>
                <w:color w:val="auto"/>
                <w:szCs w:val="21"/>
                <w:highlight w:val="none"/>
              </w:rPr>
              <w:t>8</w:t>
            </w:r>
            <w:r>
              <w:rPr>
                <w:rFonts w:hint="eastAsia" w:ascii="宋体" w:hAnsi="宋体" w:cs="宋体"/>
                <w:color w:val="auto"/>
                <w:szCs w:val="21"/>
                <w:highlight w:val="none"/>
                <w:lang w:val="zh-CN"/>
              </w:rPr>
              <w:t>分；</w:t>
            </w:r>
          </w:p>
          <w:p w14:paraId="6C4420DC">
            <w:pPr>
              <w:snapToGrid w:val="0"/>
              <w:spacing w:line="320" w:lineRule="exact"/>
              <w:rPr>
                <w:rFonts w:ascii="宋体" w:hAnsi="宋体" w:cs="宋体"/>
                <w:color w:val="auto"/>
                <w:szCs w:val="21"/>
                <w:highlight w:val="none"/>
                <w:lang w:val="zh-CN"/>
              </w:rPr>
            </w:pPr>
            <w:r>
              <w:rPr>
                <w:rFonts w:hint="eastAsia" w:ascii="宋体" w:hAnsi="宋体" w:cs="宋体"/>
                <w:color w:val="auto"/>
                <w:spacing w:val="12"/>
                <w:szCs w:val="21"/>
                <w:highlight w:val="none"/>
              </w:rPr>
              <w:t>3.技术服务能力、维保能力一般，优惠政策一般、保养检测等售后服务一般</w:t>
            </w:r>
            <w:r>
              <w:rPr>
                <w:rFonts w:hint="eastAsia" w:ascii="宋体" w:hAnsi="宋体" w:cs="宋体"/>
                <w:color w:val="auto"/>
                <w:szCs w:val="21"/>
                <w:highlight w:val="none"/>
                <w:lang w:val="zh-CN"/>
              </w:rPr>
              <w:t>，得</w:t>
            </w:r>
            <w:r>
              <w:rPr>
                <w:rFonts w:hint="eastAsia" w:ascii="宋体" w:hAnsi="宋体" w:cs="宋体"/>
                <w:color w:val="auto"/>
                <w:szCs w:val="21"/>
                <w:highlight w:val="none"/>
              </w:rPr>
              <w:t>6</w:t>
            </w:r>
            <w:r>
              <w:rPr>
                <w:rFonts w:hint="eastAsia" w:ascii="宋体" w:hAnsi="宋体" w:cs="宋体"/>
                <w:color w:val="auto"/>
                <w:szCs w:val="21"/>
                <w:highlight w:val="none"/>
                <w:lang w:val="zh-CN"/>
              </w:rPr>
              <w:t>分；</w:t>
            </w:r>
          </w:p>
        </w:tc>
      </w:tr>
      <w:tr w14:paraId="207EC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3C575919">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2.2.4（3）</w:t>
            </w:r>
          </w:p>
        </w:tc>
        <w:tc>
          <w:tcPr>
            <w:tcW w:w="826" w:type="dxa"/>
            <w:shd w:val="clear" w:color="000000" w:fill="FFFFFF"/>
            <w:vAlign w:val="center"/>
          </w:tcPr>
          <w:p w14:paraId="38729643">
            <w:pPr>
              <w:snapToGrid w:val="0"/>
              <w:spacing w:line="320" w:lineRule="exact"/>
              <w:ind w:left="126" w:hanging="126" w:hangingChars="60"/>
              <w:rPr>
                <w:rFonts w:ascii="宋体" w:hAnsi="宋体" w:cs="宋体"/>
                <w:color w:val="auto"/>
                <w:szCs w:val="21"/>
                <w:highlight w:val="none"/>
              </w:rPr>
            </w:pPr>
            <w:r>
              <w:rPr>
                <w:rFonts w:hint="eastAsia" w:ascii="宋体" w:hAnsi="宋体" w:cs="宋体"/>
                <w:color w:val="auto"/>
                <w:kern w:val="0"/>
                <w:szCs w:val="21"/>
                <w:highlight w:val="none"/>
              </w:rPr>
              <w:t>评标价</w:t>
            </w:r>
          </w:p>
        </w:tc>
        <w:tc>
          <w:tcPr>
            <w:tcW w:w="794" w:type="dxa"/>
            <w:shd w:val="clear" w:color="000000" w:fill="FFFFFF"/>
            <w:vAlign w:val="center"/>
          </w:tcPr>
          <w:p w14:paraId="70128EA2">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30</w:t>
            </w:r>
            <w:r>
              <w:rPr>
                <w:rFonts w:hint="eastAsia" w:ascii="宋体" w:hAnsi="宋体" w:cs="宋体"/>
                <w:color w:val="auto"/>
                <w:szCs w:val="21"/>
                <w:highlight w:val="none"/>
                <w:lang w:val="zh-CN"/>
              </w:rPr>
              <w:t>分</w:t>
            </w:r>
          </w:p>
        </w:tc>
        <w:tc>
          <w:tcPr>
            <w:tcW w:w="7274" w:type="dxa"/>
            <w:gridSpan w:val="3"/>
            <w:shd w:val="clear" w:color="000000" w:fill="FFFFFF"/>
            <w:vAlign w:val="center"/>
          </w:tcPr>
          <w:p w14:paraId="307A432B">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评标价得分计算公式示例：</w:t>
            </w:r>
          </w:p>
          <w:p w14:paraId="6E400D69">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（1）如果投标人的评标价＞评标基准价，则评标价得分=F-（投标人评标价-评标基准价）/评标基准价×100×E1；</w:t>
            </w:r>
          </w:p>
          <w:p w14:paraId="35C2EE30">
            <w:pPr>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（2）如果投标人的评标价≤评标基准价，则评标价得分=F+（投标人评标价-评标基准价）/评标基准价×100×E2。</w:t>
            </w:r>
          </w:p>
          <w:p w14:paraId="02AFF592">
            <w:pPr>
              <w:snapToGrid w:val="0"/>
              <w:spacing w:line="320" w:lineRule="exact"/>
              <w:jc w:val="left"/>
              <w:rPr>
                <w:rFonts w:ascii="宋体" w:hAnsi="宋体" w:cs="宋体"/>
                <w:color w:val="auto"/>
                <w:szCs w:val="21"/>
                <w:highlight w:val="none"/>
              </w:rPr>
            </w:pPr>
            <w:r>
              <w:rPr>
                <w:rFonts w:hint="eastAsia" w:ascii="宋体" w:hAnsi="宋体" w:cs="宋体"/>
                <w:color w:val="auto"/>
                <w:szCs w:val="21"/>
                <w:highlight w:val="none"/>
              </w:rPr>
              <w:t>其中，F=30；E1=0.4；E2=0.2；评标价最低得分为0分。</w:t>
            </w:r>
          </w:p>
          <w:p w14:paraId="75437EB3">
            <w:pPr>
              <w:autoSpaceDE w:val="0"/>
              <w:autoSpaceDN w:val="0"/>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评标价得分保留两位小数，第三位四舍五入。</w:t>
            </w:r>
          </w:p>
        </w:tc>
      </w:tr>
      <w:tr w14:paraId="3B4C4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3" w:hRule="atLeast"/>
          <w:jc w:val="center"/>
        </w:trPr>
        <w:tc>
          <w:tcPr>
            <w:tcW w:w="816" w:type="dxa"/>
            <w:shd w:val="clear" w:color="000000" w:fill="FFFFFF"/>
            <w:vAlign w:val="center"/>
          </w:tcPr>
          <w:p w14:paraId="319D30AF">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2.2.4（4）</w:t>
            </w:r>
          </w:p>
        </w:tc>
        <w:tc>
          <w:tcPr>
            <w:tcW w:w="826" w:type="dxa"/>
            <w:shd w:val="clear" w:color="000000" w:fill="FFFFFF"/>
            <w:vAlign w:val="center"/>
          </w:tcPr>
          <w:p w14:paraId="34245934">
            <w:pPr>
              <w:snapToGrid w:val="0"/>
              <w:spacing w:line="32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其他因素</w:t>
            </w:r>
          </w:p>
        </w:tc>
        <w:tc>
          <w:tcPr>
            <w:tcW w:w="794" w:type="dxa"/>
            <w:shd w:val="clear" w:color="000000" w:fill="FFFFFF"/>
            <w:vAlign w:val="center"/>
          </w:tcPr>
          <w:p w14:paraId="1740B089">
            <w:pPr>
              <w:autoSpaceDE w:val="0"/>
              <w:autoSpaceDN w:val="0"/>
              <w:adjustRightInd w:val="0"/>
              <w:snapToGrid w:val="0"/>
              <w:spacing w:line="320" w:lineRule="exact"/>
              <w:jc w:val="center"/>
              <w:rPr>
                <w:rFonts w:ascii="宋体" w:hAnsi="宋体" w:cs="宋体"/>
                <w:color w:val="auto"/>
                <w:szCs w:val="21"/>
                <w:highlight w:val="none"/>
              </w:rPr>
            </w:pPr>
            <w:r>
              <w:rPr>
                <w:rFonts w:hint="eastAsia" w:ascii="宋体" w:hAnsi="宋体" w:cs="宋体"/>
                <w:color w:val="auto"/>
                <w:szCs w:val="21"/>
                <w:highlight w:val="none"/>
              </w:rPr>
              <w:t>/</w:t>
            </w:r>
          </w:p>
        </w:tc>
        <w:tc>
          <w:tcPr>
            <w:tcW w:w="7274" w:type="dxa"/>
            <w:gridSpan w:val="3"/>
            <w:shd w:val="clear" w:color="000000" w:fill="FFFFFF"/>
            <w:vAlign w:val="center"/>
          </w:tcPr>
          <w:p w14:paraId="7738080C">
            <w:pPr>
              <w:autoSpaceDE w:val="0"/>
              <w:autoSpaceDN w:val="0"/>
              <w:adjustRightInd w:val="0"/>
              <w:snapToGrid w:val="0"/>
              <w:spacing w:line="320" w:lineRule="exact"/>
              <w:rPr>
                <w:rFonts w:ascii="宋体" w:hAnsi="宋体" w:cs="宋体"/>
                <w:color w:val="auto"/>
                <w:szCs w:val="21"/>
                <w:highlight w:val="none"/>
              </w:rPr>
            </w:pPr>
            <w:r>
              <w:rPr>
                <w:rFonts w:hint="eastAsia" w:ascii="宋体" w:hAnsi="宋体" w:cs="宋体"/>
                <w:color w:val="auto"/>
                <w:szCs w:val="21"/>
                <w:highlight w:val="none"/>
              </w:rPr>
              <w:t>/</w:t>
            </w:r>
          </w:p>
        </w:tc>
      </w:tr>
    </w:tbl>
    <w:p w14:paraId="2BD771C1">
      <w:pPr>
        <w:adjustRightInd w:val="0"/>
        <w:spacing w:line="288" w:lineRule="auto"/>
        <w:rPr>
          <w:rFonts w:ascii="宋体" w:hAnsi="宋体" w:cs="宋体"/>
          <w:color w:val="auto"/>
          <w:szCs w:val="21"/>
          <w:highlight w:val="none"/>
        </w:rPr>
      </w:pPr>
      <w:r>
        <w:rPr>
          <w:rFonts w:hint="eastAsia" w:ascii="宋体" w:hAnsi="宋体" w:cs="宋体"/>
          <w:color w:val="auto"/>
          <w:szCs w:val="21"/>
          <w:highlight w:val="none"/>
        </w:rPr>
        <w:t>注：1.评委打分保留一位小数，各评分因素得分应以评标委员会各成员的打分平均值确定，保留两位小数，第三位四舍五入。</w:t>
      </w:r>
    </w:p>
    <w:p w14:paraId="72385BB5">
      <w:pPr>
        <w:wordWrap w:val="0"/>
        <w:autoSpaceDE w:val="0"/>
        <w:autoSpaceDN w:val="0"/>
        <w:adjustRightInd w:val="0"/>
        <w:ind w:right="-20" w:firstLine="420" w:firstLineChars="200"/>
        <w:jc w:val="left"/>
        <w:rPr>
          <w:color w:val="auto"/>
          <w:spacing w:val="2"/>
          <w:kern w:val="0"/>
          <w:sz w:val="24"/>
          <w:szCs w:val="24"/>
          <w:highlight w:val="none"/>
        </w:rPr>
      </w:pPr>
      <w:r>
        <w:rPr>
          <w:rFonts w:hint="eastAsia" w:ascii="宋体" w:hAnsi="宋体" w:cs="宋体"/>
          <w:color w:val="auto"/>
          <w:szCs w:val="21"/>
          <w:highlight w:val="none"/>
        </w:rPr>
        <w:t>2.技术部分评分因素细分项缺项则该项得0分。</w:t>
      </w:r>
    </w:p>
    <w:p w14:paraId="5295EA42"/>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CC"/>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F07B17">
    <w:pPr>
      <w:autoSpaceDE w:val="0"/>
      <w:autoSpaceDN w:val="0"/>
      <w:adjustRightInd w:val="0"/>
      <w:spacing w:line="200" w:lineRule="exact"/>
      <w:jc w:val="left"/>
      <w:rPr>
        <w:kern w:val="0"/>
        <w:sz w:val="20"/>
        <w:szCs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75B7B90">
                          <w:pPr>
                            <w:pStyle w:val="10"/>
                          </w:pPr>
                          <w:r>
                            <w:fldChar w:fldCharType="begin"/>
                          </w:r>
                          <w:r>
                            <w:instrText xml:space="preserve"> PAGE  \* MERGEFORMAT </w:instrText>
                          </w:r>
                          <w:r>
                            <w:fldChar w:fldCharType="separate"/>
                          </w:r>
                          <w:r>
                            <w:t>46</w:t>
                          </w:r>
                          <w:r>
                            <w:fldChar w:fldCharType="end"/>
                          </w:r>
                        </w:p>
                      </w:txbxContent>
                    </wps:txbx>
                    <wps:bodyPr wrap="none" lIns="0" tIns="0" rIns="0" bIns="0">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UevScIBAACOAwAADgAAAGRycy9lMm9Eb2MueG1srVPNjtMwEL4j8Q6W&#10;79RpJ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m+&#10;zPr0AWpMuwuYmIa3fsCtmf2Azkx7UNHmLxIiGEd1z1d15ZCIyI/Wq/W6wpDA2HxBfPbwPERI76S3&#10;JBsNjTi+oio/fYA0ps4puZrzt9qYMkLj/nIgZvaw3PvYY7bSsB8mQnvfnpFPj5NvqMNFp8S8dyhs&#10;XpLZiLOxn4xcA8KbY8LCpZ+MOkJNxXBMhdG0UnkP/ryXrIffaPs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1Hr0nCAQAAjgMAAA4AAAAAAAAAAQAgAAAAHgEAAGRycy9lMm9Eb2MueG1sUEsF&#10;BgAAAAAGAAYAWQEAAFIFAAAAAA==&#10;">
              <v:fill on="f" focussize="0,0"/>
              <v:stroke on="f"/>
              <v:imagedata o:title=""/>
              <o:lock v:ext="edit" aspectratio="f"/>
              <v:textbox inset="0mm,0mm,0mm,0mm" style="mso-fit-shape-to-text:t;">
                <w:txbxContent>
                  <w:p w14:paraId="775B7B90">
                    <w:pPr>
                      <w:pStyle w:val="10"/>
                    </w:pPr>
                    <w:r>
                      <w:fldChar w:fldCharType="begin"/>
                    </w:r>
                    <w:r>
                      <w:instrText xml:space="preserve"> PAGE  \* MERGEFORMAT </w:instrText>
                    </w:r>
                    <w:r>
                      <w:fldChar w:fldCharType="separate"/>
                    </w:r>
                    <w:r>
                      <w:t>46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D024C">
    <w:pPr>
      <w:bidi w:val="0"/>
    </w:pPr>
    <w:r>
      <mc:AlternateContent>
        <mc:Choice Requires="wps">
          <w:drawing>
            <wp:anchor distT="0" distB="0" distL="114300" distR="114300" simplePos="0" relativeHeight="251659264" behindDoc="0" locked="0" layoutInCell="0" allowOverlap="1">
              <wp:simplePos x="0" y="0"/>
              <wp:positionH relativeFrom="page">
                <wp:posOffset>900430</wp:posOffset>
              </wp:positionH>
              <wp:positionV relativeFrom="page">
                <wp:posOffset>684530</wp:posOffset>
              </wp:positionV>
              <wp:extent cx="5796280" cy="9525"/>
              <wp:effectExtent l="0" t="0" r="0" b="0"/>
              <wp:wrapNone/>
              <wp:docPr id="2" name="任意多边形 5"/>
              <wp:cNvGraphicFramePr/>
              <a:graphic xmlns:a="http://schemas.openxmlformats.org/drawingml/2006/main">
                <a:graphicData uri="http://schemas.microsoft.com/office/word/2010/wordprocessingShape">
                  <wps:wsp>
                    <wps:cNvSpPr/>
                    <wps:spPr>
                      <a:xfrm>
                        <a:off x="0" y="0"/>
                        <a:ext cx="5796280" cy="9525"/>
                      </a:xfrm>
                      <a:custGeom>
                        <a:avLst/>
                        <a:gdLst/>
                        <a:ahLst/>
                        <a:cxnLst/>
                        <a:rect l="0" t="0" r="0" b="0"/>
                        <a:pathLst>
                          <a:path w="9127" h="15">
                            <a:moveTo>
                              <a:pt x="0" y="0"/>
                            </a:moveTo>
                            <a:lnTo>
                              <a:pt x="9127" y="0"/>
                            </a:lnTo>
                            <a:lnTo>
                              <a:pt x="9127" y="14"/>
                            </a:lnTo>
                            <a:lnTo>
                              <a:pt x="0" y="14"/>
                            </a:lnTo>
                            <a:lnTo>
                              <a:pt x="0" y="0"/>
                            </a:lnTo>
                            <a:close/>
                          </a:path>
                        </a:pathLst>
                      </a:custGeom>
                      <a:solidFill>
                        <a:srgbClr val="000000"/>
                      </a:solidFill>
                      <a:ln>
                        <a:noFill/>
                      </a:ln>
                    </wps:spPr>
                    <wps:bodyPr wrap="square" upright="1"/>
                  </wps:wsp>
                </a:graphicData>
              </a:graphic>
            </wp:anchor>
          </w:drawing>
        </mc:Choice>
        <mc:Fallback>
          <w:pict>
            <v:shape id="任意多边形 5" o:spid="_x0000_s1026" o:spt="100" style="position:absolute;left:0pt;margin-left:70.9pt;margin-top:53.9pt;height:0.75pt;width:456.4pt;mso-position-horizontal-relative:page;mso-position-vertical-relative:page;z-index:251659264;mso-width-relative:page;mso-height-relative:page;" fillcolor="#000000" filled="t" stroked="f" coordsize="9127,15" o:allowincell="f" o:gfxdata="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J+qV8vXAAAA&#10;DAEAAA8AAAAAAAAAAQAgAAAAIgAAAGRycy9kb3ducmV2LnhtbFBLAQIUABQAAAAIAIdO4kChyPHj&#10;HgIAAKoEAAAOAAAAAAAAAAEAIAAAACYBAABkcnMvZTJvRG9jLnhtbFBLBQYAAAAABgAGAFkBAAC2&#10;BQAAAAA=&#10;" path="m0,0l9127,0,9127,14,0,14,0,0xe">
              <v:fill on="t" focussize="0,0"/>
              <v:stroke on="f"/>
              <v:imagedata o:title=""/>
              <o:lock v:ext="edit" aspectratio="f"/>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F59B1F"/>
    <w:multiLevelType w:val="singleLevel"/>
    <w:tmpl w:val="9FF59B1F"/>
    <w:lvl w:ilvl="0" w:tentative="0">
      <w:start w:val="1"/>
      <w:numFmt w:val="decimal"/>
      <w:pStyle w:val="9"/>
      <w:lvlText w:val="%1."/>
      <w:lvlJc w:val="left"/>
      <w:pPr>
        <w:tabs>
          <w:tab w:val="left" w:pos="2040"/>
        </w:tabs>
        <w:ind w:left="2040" w:hanging="360"/>
      </w:pPr>
    </w:lvl>
  </w:abstractNum>
  <w:abstractNum w:abstractNumId="1">
    <w:nsid w:val="17733AEB"/>
    <w:multiLevelType w:val="singleLevel"/>
    <w:tmpl w:val="17733AEB"/>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635B7E"/>
    <w:rsid w:val="7F851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qFormat/>
    <w:uiPriority w:val="9"/>
    <w:pPr>
      <w:keepNext/>
      <w:keepLines/>
      <w:spacing w:before="50" w:beforeLines="50" w:line="415" w:lineRule="auto"/>
      <w:outlineLvl w:val="2"/>
    </w:pPr>
    <w:rPr>
      <w:b/>
      <w:bCs/>
      <w:sz w:val="32"/>
      <w:szCs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ind w:left="100"/>
      <w:jc w:val="left"/>
    </w:pPr>
    <w:rPr>
      <w:rFonts w:ascii="宋体" w:hAnsi="宋体"/>
      <w:kern w:val="0"/>
      <w:szCs w:val="21"/>
      <w:lang w:eastAsia="en-US"/>
    </w:rPr>
  </w:style>
  <w:style w:type="paragraph" w:customStyle="1" w:styleId="4">
    <w:name w:val="正文部分 Char Char Char"/>
    <w:basedOn w:val="3"/>
    <w:next w:val="5"/>
    <w:qFormat/>
    <w:uiPriority w:val="0"/>
    <w:pPr>
      <w:spacing w:line="460" w:lineRule="exact"/>
      <w:textAlignment w:val="baseline"/>
    </w:pPr>
    <w:rPr>
      <w:sz w:val="24"/>
    </w:rPr>
  </w:style>
  <w:style w:type="paragraph" w:customStyle="1" w:styleId="5">
    <w:name w:val="章标题"/>
    <w:basedOn w:val="6"/>
    <w:qFormat/>
    <w:uiPriority w:val="0"/>
    <w:pPr>
      <w:spacing w:line="360" w:lineRule="auto"/>
    </w:pPr>
  </w:style>
  <w:style w:type="paragraph" w:styleId="6">
    <w:name w:val="Title"/>
    <w:basedOn w:val="1"/>
    <w:next w:val="1"/>
    <w:qFormat/>
    <w:uiPriority w:val="10"/>
    <w:pPr>
      <w:spacing w:before="240" w:after="60"/>
      <w:jc w:val="center"/>
      <w:outlineLvl w:val="0"/>
    </w:pPr>
    <w:rPr>
      <w:rFonts w:ascii="Cambria" w:hAnsi="Cambria"/>
      <w:b/>
      <w:bCs/>
      <w:kern w:val="0"/>
      <w:sz w:val="32"/>
      <w:szCs w:val="32"/>
    </w:rPr>
  </w:style>
  <w:style w:type="paragraph" w:styleId="7">
    <w:name w:val="Body Text Indent"/>
    <w:basedOn w:val="1"/>
    <w:unhideWhenUsed/>
    <w:qFormat/>
    <w:uiPriority w:val="0"/>
    <w:pPr>
      <w:spacing w:after="120"/>
      <w:ind w:left="420" w:leftChars="200"/>
    </w:pPr>
  </w:style>
  <w:style w:type="paragraph" w:styleId="8">
    <w:name w:val="Plain Text"/>
    <w:basedOn w:val="1"/>
    <w:next w:val="9"/>
    <w:qFormat/>
    <w:uiPriority w:val="0"/>
    <w:rPr>
      <w:rFonts w:ascii="宋体" w:hAnsi="Courier New"/>
      <w:szCs w:val="20"/>
    </w:rPr>
  </w:style>
  <w:style w:type="paragraph" w:styleId="9">
    <w:name w:val="List Number 5"/>
    <w:basedOn w:val="1"/>
    <w:qFormat/>
    <w:uiPriority w:val="0"/>
    <w:pPr>
      <w:numPr>
        <w:ilvl w:val="0"/>
        <w:numId w:val="1"/>
      </w:numPr>
    </w:p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Body Text First Indent 2"/>
    <w:basedOn w:val="7"/>
    <w:next w:val="8"/>
    <w:qFormat/>
    <w:uiPriority w:val="0"/>
    <w:pPr>
      <w:ind w:firstLine="420" w:firstLineChars="200"/>
    </w:pPr>
    <w:rPr>
      <w:szCs w:val="24"/>
    </w:r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Table Text"/>
    <w:basedOn w:val="1"/>
    <w:semiHidden/>
    <w:qFormat/>
    <w:uiPriority w:val="0"/>
    <w:rPr>
      <w:rFonts w:ascii="宋体" w:hAnsi="宋体" w:cs="宋体"/>
      <w:sz w:val="20"/>
      <w:szCs w:val="20"/>
      <w:lang w:eastAsia="en-US"/>
    </w:rPr>
  </w:style>
  <w:style w:type="paragraph" w:customStyle="1" w:styleId="17">
    <w:name w:val="Table Paragraph"/>
    <w:basedOn w:val="1"/>
    <w:qFormat/>
    <w:uiPriority w:val="1"/>
    <w:pPr>
      <w:jc w:val="left"/>
    </w:pPr>
    <w:rPr>
      <w:rFonts w:ascii="Calibri" w:hAnsi="Calibri"/>
      <w:kern w:val="0"/>
      <w:sz w:val="22"/>
      <w:lang w:eastAsia="en-U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2633</Words>
  <Characters>2915</Characters>
  <Lines>0</Lines>
  <Paragraphs>0</Paragraphs>
  <TotalTime>2</TotalTime>
  <ScaleCrop>false</ScaleCrop>
  <LinksUpToDate>false</LinksUpToDate>
  <CharactersWithSpaces>2985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2026-06-29T10:59:00Z</dcterms:created>
  <dc:creator>86133</dc:creator>
  <cp:lastModifiedBy>李娜</cp:lastModifiedBy>
  <dcterms:modified xsi:type="dcterms:W3CDTF">2026-06-30T00:57:27Z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eyJoZGlkIjoiOWYyZDYxNTJjZmI2NmVkYTMyOWVjMGFiZjEzZGM5NjgiLCJ1c2VySWQiOiIxNTI1NDExOTAzIn0=</vt:lpwstr>
  </property>
  <property fmtid="{D5CDD505-2E9C-101B-9397-08002B2CF9AE}" pid="4" name="ICV">
    <vt:lpwstr>EBE5CCFD48CD4F5AAAC93C59D5DAC257_12</vt:lpwstr>
  </property>
</Properties>
</file>