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75DBF">
      <w:pPr>
        <w:pStyle w:val="4"/>
        <w:spacing w:before="0" w:after="0" w:line="360" w:lineRule="auto"/>
        <w:rPr>
          <w:rFonts w:hint="eastAsia" w:ascii="宋体" w:hAnsi="宋体"/>
          <w:b w:val="0"/>
          <w:sz w:val="24"/>
          <w:highlight w:val="none"/>
        </w:rPr>
      </w:pPr>
      <w:bookmarkStart w:id="5" w:name="_GoBack"/>
      <w:bookmarkEnd w:id="5"/>
      <w:bookmarkStart w:id="0" w:name="_Toc134792338"/>
      <w:bookmarkStart w:id="1" w:name="_Toc8102"/>
      <w:r>
        <w:rPr>
          <w:rFonts w:hint="eastAsia" w:ascii="黑体" w:hAnsi="黑体" w:eastAsia="黑体"/>
          <w:sz w:val="28"/>
          <w:szCs w:val="28"/>
          <w:highlight w:val="none"/>
        </w:rPr>
        <w:t>附件1：资格审查条件</w:t>
      </w:r>
      <w:bookmarkEnd w:id="0"/>
      <w:bookmarkEnd w:id="1"/>
    </w:p>
    <w:p w14:paraId="5D565480">
      <w:pPr>
        <w:adjustRightInd w:val="0"/>
        <w:spacing w:line="400" w:lineRule="exact"/>
        <w:jc w:val="left"/>
        <w:rPr>
          <w:rFonts w:hint="eastAsia" w:ascii="宋体" w:hAnsi="宋体"/>
          <w:sz w:val="24"/>
          <w:szCs w:val="24"/>
          <w:highlight w:val="none"/>
        </w:rPr>
      </w:pPr>
    </w:p>
    <w:p w14:paraId="1420F1A1">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附录1</w:t>
      </w:r>
      <w:r>
        <w:rPr>
          <w:rFonts w:hint="eastAsia" w:ascii="宋体" w:hAnsi="宋体"/>
          <w:b/>
          <w:sz w:val="24"/>
          <w:highlight w:val="none"/>
        </w:rPr>
        <w:t>资格</w:t>
      </w:r>
      <w:r>
        <w:rPr>
          <w:rFonts w:hint="eastAsia" w:ascii="宋体" w:hAnsi="宋体"/>
          <w:b/>
          <w:sz w:val="24"/>
          <w:szCs w:val="24"/>
          <w:highlight w:val="none"/>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4F1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5000" w:type="pct"/>
            <w:noWrap w:val="0"/>
            <w:vAlign w:val="center"/>
          </w:tcPr>
          <w:p w14:paraId="219CEAD6">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797E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3346B938">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15D6BB04">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具备住房和</w:t>
            </w:r>
            <w:r>
              <w:rPr>
                <w:rFonts w:hint="eastAsia" w:ascii="宋体" w:hAnsi="宋体"/>
                <w:color w:val="auto"/>
                <w:sz w:val="21"/>
                <w:szCs w:val="21"/>
                <w:highlight w:val="none"/>
              </w:rPr>
              <w:t>城乡建设行政主管部门颁发的</w:t>
            </w:r>
            <w:r>
              <w:rPr>
                <w:rFonts w:hint="eastAsia" w:ascii="宋体" w:hAnsi="宋体"/>
                <w:color w:val="auto"/>
                <w:sz w:val="21"/>
                <w:szCs w:val="21"/>
                <w:highlight w:val="none"/>
                <w:u w:val="single"/>
              </w:rPr>
              <w:t>工程设计综合甲级资质或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公路行业设计甲级资质或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公路行业（交通工程）专业甲级</w:t>
            </w:r>
            <w:r>
              <w:rPr>
                <w:rFonts w:hint="eastAsia" w:ascii="宋体" w:hAnsi="宋体"/>
                <w:color w:val="auto"/>
                <w:sz w:val="21"/>
                <w:szCs w:val="21"/>
                <w:highlight w:val="none"/>
              </w:rPr>
              <w:t>资质。</w:t>
            </w:r>
          </w:p>
        </w:tc>
      </w:tr>
    </w:tbl>
    <w:p w14:paraId="66EF2C48">
      <w:pPr>
        <w:adjustRightInd w:val="0"/>
        <w:spacing w:line="400" w:lineRule="exact"/>
        <w:jc w:val="center"/>
        <w:rPr>
          <w:rFonts w:hint="eastAsia" w:ascii="宋体" w:hAnsi="宋体"/>
          <w:b/>
          <w:sz w:val="24"/>
          <w:szCs w:val="24"/>
          <w:highlight w:val="none"/>
        </w:rPr>
      </w:pPr>
    </w:p>
    <w:p w14:paraId="6BCB72D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DB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1FF36EA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2BCD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0B42F0FE">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w:t>
            </w:r>
            <w:r>
              <w:rPr>
                <w:rFonts w:hint="eastAsia" w:ascii="宋体" w:hAnsi="宋体"/>
                <w:kern w:val="0"/>
                <w:sz w:val="21"/>
                <w:szCs w:val="21"/>
                <w:highlight w:val="none"/>
                <w:lang w:val="en-US" w:eastAsia="zh-CN"/>
              </w:rPr>
              <w:t>6</w:t>
            </w:r>
            <w:r>
              <w:rPr>
                <w:rFonts w:hint="eastAsia" w:ascii="宋体" w:hAnsi="宋体"/>
                <w:kern w:val="0"/>
                <w:sz w:val="21"/>
                <w:szCs w:val="21"/>
                <w:highlight w:val="none"/>
                <w:lang w:eastAsia="zh-CN"/>
              </w:rPr>
              <w:t>月1日</w:t>
            </w:r>
            <w:r>
              <w:rPr>
                <w:rFonts w:hint="eastAsia" w:ascii="宋体" w:hAnsi="宋体"/>
                <w:kern w:val="0"/>
                <w:sz w:val="21"/>
                <w:szCs w:val="21"/>
                <w:highlight w:val="none"/>
              </w:rPr>
              <w:t>至今，以施工图设计批复日期为准）至少完成过1</w:t>
            </w:r>
            <w:r>
              <w:rPr>
                <w:rFonts w:hint="eastAsia" w:ascii="宋体" w:hAnsi="宋体"/>
                <w:kern w:val="0"/>
                <w:sz w:val="21"/>
                <w:szCs w:val="21"/>
                <w:highlight w:val="none"/>
                <w:lang w:val="en-US" w:eastAsia="zh-CN"/>
              </w:rPr>
              <w:t>项</w:t>
            </w:r>
            <w:r>
              <w:rPr>
                <w:rFonts w:hint="eastAsia" w:ascii="宋体" w:hAnsi="宋体"/>
                <w:kern w:val="0"/>
                <w:sz w:val="21"/>
                <w:szCs w:val="21"/>
                <w:highlight w:val="none"/>
              </w:rPr>
              <w:t>高</w:t>
            </w:r>
            <w:r>
              <w:rPr>
                <w:rFonts w:hint="eastAsia" w:ascii="宋体" w:hAnsi="宋体"/>
                <w:color w:val="auto"/>
                <w:kern w:val="0"/>
                <w:sz w:val="21"/>
                <w:szCs w:val="21"/>
                <w:highlight w:val="none"/>
              </w:rPr>
              <w:t>速公路机电工程</w:t>
            </w:r>
            <w:r>
              <w:rPr>
                <w:rFonts w:hint="eastAsia" w:ascii="宋体" w:hAnsi="宋体"/>
                <w:color w:val="auto"/>
                <w:kern w:val="0"/>
                <w:sz w:val="21"/>
                <w:szCs w:val="21"/>
                <w:highlight w:val="none"/>
                <w:lang w:eastAsia="zh-CN"/>
              </w:rPr>
              <w:t>施工图</w:t>
            </w:r>
            <w:r>
              <w:rPr>
                <w:rFonts w:hint="eastAsia" w:ascii="宋体" w:hAnsi="宋体"/>
                <w:color w:val="auto"/>
                <w:kern w:val="0"/>
                <w:sz w:val="21"/>
                <w:szCs w:val="21"/>
                <w:highlight w:val="none"/>
              </w:rPr>
              <w:t>设计</w:t>
            </w:r>
            <w:r>
              <w:rPr>
                <w:rFonts w:hint="eastAsia" w:ascii="宋体" w:hAnsi="宋体"/>
                <w:color w:val="auto"/>
                <w:kern w:val="0"/>
                <w:sz w:val="21"/>
                <w:szCs w:val="21"/>
                <w:highlight w:val="none"/>
                <w:lang w:val="en-US" w:eastAsia="zh-CN"/>
              </w:rPr>
              <w:t>业绩。</w:t>
            </w:r>
          </w:p>
        </w:tc>
      </w:tr>
    </w:tbl>
    <w:p w14:paraId="15B88264">
      <w:pPr>
        <w:adjustRightInd w:val="0"/>
        <w:spacing w:line="400" w:lineRule="exact"/>
        <w:jc w:val="center"/>
        <w:rPr>
          <w:rFonts w:hint="eastAsia" w:ascii="宋体" w:hAnsi="宋体"/>
          <w:b/>
          <w:sz w:val="24"/>
          <w:szCs w:val="24"/>
          <w:highlight w:val="none"/>
        </w:rPr>
      </w:pPr>
    </w:p>
    <w:p w14:paraId="653A458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ED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664ACD10">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信誉要求</w:t>
            </w:r>
          </w:p>
        </w:tc>
      </w:tr>
      <w:tr w14:paraId="4630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2A9313D5">
            <w:pPr>
              <w:spacing w:line="276" w:lineRule="auto"/>
              <w:ind w:firstLine="420" w:firstLineChars="200"/>
              <w:rPr>
                <w:rFonts w:ascii="宋体" w:hAnsi="宋体"/>
                <w:sz w:val="21"/>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月1日至今）中不曾在高速公路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设计合同中违约而被驱逐或因投标人自身的原因而使高速公路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设计合同被解除。</w:t>
            </w:r>
          </w:p>
        </w:tc>
      </w:tr>
    </w:tbl>
    <w:p w14:paraId="396DB3AA">
      <w:pPr>
        <w:adjustRightInd w:val="0"/>
        <w:spacing w:line="400" w:lineRule="exact"/>
        <w:jc w:val="center"/>
        <w:rPr>
          <w:rFonts w:hint="eastAsia" w:ascii="宋体" w:hAnsi="宋体"/>
          <w:b/>
          <w:sz w:val="24"/>
          <w:szCs w:val="24"/>
          <w:highlight w:val="none"/>
        </w:rPr>
      </w:pPr>
    </w:p>
    <w:p w14:paraId="6ABD6684">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7792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7C01465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人员</w:t>
            </w:r>
          </w:p>
        </w:tc>
        <w:tc>
          <w:tcPr>
            <w:tcW w:w="457" w:type="pct"/>
            <w:noWrap w:val="0"/>
            <w:vAlign w:val="center"/>
          </w:tcPr>
          <w:p w14:paraId="50642D66">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3720" w:type="pct"/>
            <w:noWrap w:val="0"/>
            <w:vAlign w:val="center"/>
          </w:tcPr>
          <w:p w14:paraId="686543C0">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338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173B6A16">
            <w:pPr>
              <w:jc w:val="center"/>
              <w:rPr>
                <w:rFonts w:ascii="宋体" w:hAnsi="宋体"/>
                <w:sz w:val="21"/>
                <w:szCs w:val="21"/>
                <w:highlight w:val="none"/>
              </w:rPr>
            </w:pPr>
            <w:r>
              <w:rPr>
                <w:rFonts w:hint="eastAsia" w:ascii="宋体" w:hAnsi="宋体"/>
                <w:sz w:val="21"/>
                <w:szCs w:val="21"/>
                <w:highlight w:val="none"/>
              </w:rPr>
              <w:t>项目负责人</w:t>
            </w:r>
          </w:p>
        </w:tc>
        <w:tc>
          <w:tcPr>
            <w:tcW w:w="457" w:type="pct"/>
            <w:noWrap w:val="0"/>
            <w:vAlign w:val="center"/>
          </w:tcPr>
          <w:p w14:paraId="70C55B69">
            <w:pPr>
              <w:jc w:val="center"/>
              <w:rPr>
                <w:rFonts w:hint="eastAsia" w:ascii="宋体" w:hAnsi="宋体"/>
                <w:sz w:val="21"/>
                <w:szCs w:val="21"/>
                <w:highlight w:val="none"/>
              </w:rPr>
            </w:pPr>
            <w:r>
              <w:rPr>
                <w:rFonts w:hint="eastAsia" w:ascii="宋体" w:hAnsi="宋体"/>
                <w:sz w:val="21"/>
                <w:szCs w:val="21"/>
                <w:highlight w:val="none"/>
              </w:rPr>
              <w:t>1</w:t>
            </w:r>
          </w:p>
        </w:tc>
        <w:tc>
          <w:tcPr>
            <w:tcW w:w="3720" w:type="pct"/>
            <w:noWrap w:val="0"/>
            <w:vAlign w:val="center"/>
          </w:tcPr>
          <w:p w14:paraId="459512AF">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val="en-US" w:eastAsia="zh-CN"/>
              </w:rPr>
              <w:t>及以上职称</w:t>
            </w:r>
            <w:r>
              <w:rPr>
                <w:rFonts w:hint="eastAsia" w:ascii="宋体" w:hAnsi="宋体"/>
                <w:sz w:val="21"/>
                <w:szCs w:val="21"/>
                <w:highlight w:val="none"/>
              </w:rPr>
              <w:t>；</w:t>
            </w:r>
          </w:p>
          <w:p w14:paraId="65C7D068">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近5年内（2021年</w:t>
            </w:r>
            <w:r>
              <w:rPr>
                <w:rFonts w:hint="eastAsia" w:ascii="宋体" w:hAnsi="宋体"/>
                <w:sz w:val="21"/>
                <w:szCs w:val="21"/>
                <w:highlight w:val="none"/>
                <w:lang w:val="en-US" w:eastAsia="zh-CN"/>
              </w:rPr>
              <w:t>6</w:t>
            </w:r>
            <w:r>
              <w:rPr>
                <w:rFonts w:hint="eastAsia" w:ascii="宋体" w:hAnsi="宋体"/>
                <w:sz w:val="21"/>
                <w:szCs w:val="21"/>
                <w:highlight w:val="none"/>
              </w:rPr>
              <w:t>月1日至今，以施工图</w:t>
            </w:r>
            <w:r>
              <w:rPr>
                <w:rFonts w:hint="eastAsia" w:ascii="宋体" w:hAnsi="宋体"/>
                <w:sz w:val="21"/>
                <w:szCs w:val="21"/>
                <w:highlight w:val="none"/>
                <w:lang w:val="en-US" w:eastAsia="zh-CN"/>
              </w:rPr>
              <w:t>设计</w:t>
            </w:r>
            <w:r>
              <w:rPr>
                <w:rFonts w:hint="eastAsia" w:ascii="宋体" w:hAnsi="宋体"/>
                <w:sz w:val="21"/>
                <w:szCs w:val="21"/>
                <w:highlight w:val="none"/>
              </w:rPr>
              <w:t>批复日期为准）至少担任过1</w:t>
            </w:r>
            <w:r>
              <w:rPr>
                <w:rFonts w:hint="eastAsia" w:ascii="宋体" w:hAnsi="宋体"/>
                <w:sz w:val="21"/>
                <w:szCs w:val="21"/>
                <w:highlight w:val="none"/>
                <w:lang w:val="en-US" w:eastAsia="zh-CN"/>
              </w:rPr>
              <w:t>项高速公路机电工程施工图设计</w:t>
            </w:r>
            <w:r>
              <w:rPr>
                <w:rFonts w:hint="eastAsia" w:ascii="宋体" w:hAnsi="宋体" w:eastAsia="宋体" w:cs="Times New Roman"/>
                <w:sz w:val="21"/>
                <w:szCs w:val="21"/>
                <w:highlight w:val="none"/>
              </w:rPr>
              <w:t>的项目负责人或设计负责人。</w:t>
            </w:r>
          </w:p>
        </w:tc>
      </w:tr>
    </w:tbl>
    <w:p w14:paraId="28CDFE71">
      <w:pPr>
        <w:pStyle w:val="6"/>
        <w:ind w:left="0" w:leftChars="0" w:firstLine="0" w:firstLineChars="0"/>
        <w:rPr>
          <w:rFonts w:hint="eastAsia"/>
          <w:highlight w:val="none"/>
        </w:rPr>
      </w:pPr>
      <w:bookmarkStart w:id="2" w:name="_Hlk135063195"/>
    </w:p>
    <w:bookmarkEnd w:id="2"/>
    <w:p w14:paraId="1EC90784">
      <w:pPr>
        <w:pStyle w:val="4"/>
        <w:spacing w:before="0" w:after="0" w:line="360" w:lineRule="auto"/>
        <w:rPr>
          <w:rFonts w:hint="eastAsia" w:ascii="黑体" w:hAnsi="黑体" w:eastAsia="黑体"/>
          <w:sz w:val="28"/>
          <w:szCs w:val="28"/>
          <w:highlight w:val="none"/>
        </w:rPr>
      </w:pPr>
      <w:bookmarkStart w:id="3" w:name="_Toc134792340"/>
      <w:bookmarkStart w:id="4" w:name="_Toc8151"/>
    </w:p>
    <w:p w14:paraId="47421014">
      <w:pPr>
        <w:rPr>
          <w:rFonts w:hint="eastAsia" w:ascii="黑体" w:hAnsi="黑体" w:eastAsia="黑体"/>
          <w:sz w:val="28"/>
          <w:szCs w:val="28"/>
          <w:highlight w:val="none"/>
        </w:rPr>
      </w:pPr>
    </w:p>
    <w:p w14:paraId="13D42B4D">
      <w:pPr>
        <w:pStyle w:val="2"/>
        <w:rPr>
          <w:rFonts w:hint="eastAsia" w:ascii="黑体" w:hAnsi="黑体" w:eastAsia="黑体"/>
          <w:sz w:val="28"/>
          <w:szCs w:val="28"/>
          <w:highlight w:val="none"/>
        </w:rPr>
      </w:pPr>
    </w:p>
    <w:p w14:paraId="559A79D5">
      <w:pPr>
        <w:pStyle w:val="3"/>
        <w:rPr>
          <w:rFonts w:hint="eastAsia" w:ascii="黑体" w:hAnsi="黑体" w:eastAsia="黑体"/>
          <w:sz w:val="28"/>
          <w:szCs w:val="28"/>
          <w:highlight w:val="none"/>
        </w:rPr>
      </w:pPr>
    </w:p>
    <w:p w14:paraId="192FC017">
      <w:pPr>
        <w:pStyle w:val="3"/>
        <w:rPr>
          <w:rFonts w:hint="eastAsia" w:ascii="黑体" w:hAnsi="黑体" w:eastAsia="黑体"/>
          <w:sz w:val="28"/>
          <w:szCs w:val="28"/>
          <w:highlight w:val="none"/>
        </w:rPr>
      </w:pPr>
    </w:p>
    <w:p w14:paraId="190E79A4">
      <w:pPr>
        <w:pStyle w:val="4"/>
        <w:spacing w:before="0" w:after="0" w:line="360" w:lineRule="auto"/>
        <w:rPr>
          <w:rFonts w:hint="eastAsia" w:ascii="黑体" w:hAnsi="黑体" w:eastAsia="黑体"/>
          <w:sz w:val="28"/>
          <w:szCs w:val="28"/>
          <w:highlight w:val="none"/>
        </w:rPr>
      </w:pPr>
    </w:p>
    <w:p w14:paraId="6751BD47">
      <w:pPr>
        <w:pStyle w:val="4"/>
        <w:spacing w:before="0" w:after="0" w:line="360" w:lineRule="auto"/>
        <w:rPr>
          <w:rFonts w:hint="eastAsia" w:ascii="黑体" w:hAnsi="黑体" w:eastAsia="黑体"/>
          <w:sz w:val="28"/>
          <w:szCs w:val="28"/>
          <w:highlight w:val="none"/>
        </w:rPr>
      </w:pPr>
      <w:r>
        <w:rPr>
          <w:rFonts w:hint="eastAsia" w:ascii="黑体" w:hAnsi="黑体" w:eastAsia="黑体"/>
          <w:sz w:val="28"/>
          <w:szCs w:val="28"/>
          <w:highlight w:val="none"/>
        </w:rPr>
        <w:t>附件2：评标办法</w:t>
      </w:r>
      <w:bookmarkEnd w:id="3"/>
      <w:bookmarkEnd w:id="4"/>
    </w:p>
    <w:p w14:paraId="1A218FB9">
      <w:pPr>
        <w:adjustRightInd w:val="0"/>
        <w:jc w:val="center"/>
        <w:rPr>
          <w:rFonts w:hint="eastAsia" w:ascii="宋体" w:hAnsi="宋体"/>
          <w:b/>
          <w:sz w:val="24"/>
          <w:szCs w:val="24"/>
          <w:highlight w:val="none"/>
        </w:rPr>
      </w:pPr>
      <w:r>
        <w:rPr>
          <w:rFonts w:hint="eastAsia" w:ascii="宋体" w:hAnsi="宋体"/>
          <w:b/>
          <w:sz w:val="24"/>
          <w:szCs w:val="24"/>
          <w:highlight w:val="none"/>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12"/>
        <w:gridCol w:w="6070"/>
      </w:tblGrid>
      <w:tr w14:paraId="4C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6" w:type="pct"/>
            <w:noWrap w:val="0"/>
            <w:vAlign w:val="center"/>
          </w:tcPr>
          <w:p w14:paraId="2DB5BF30">
            <w:pPr>
              <w:spacing w:line="276" w:lineRule="auto"/>
              <w:jc w:val="center"/>
              <w:rPr>
                <w:rFonts w:ascii="宋体" w:hAnsi="宋体"/>
                <w:sz w:val="21"/>
                <w:szCs w:val="21"/>
                <w:highlight w:val="none"/>
              </w:rPr>
            </w:pPr>
            <w:r>
              <w:rPr>
                <w:rFonts w:hint="eastAsia" w:ascii="宋体" w:hAnsi="宋体"/>
                <w:sz w:val="21"/>
                <w:szCs w:val="21"/>
                <w:highlight w:val="none"/>
              </w:rPr>
              <w:t>条款号</w:t>
            </w:r>
          </w:p>
        </w:tc>
        <w:tc>
          <w:tcPr>
            <w:tcW w:w="711" w:type="pct"/>
            <w:noWrap w:val="0"/>
            <w:vAlign w:val="center"/>
          </w:tcPr>
          <w:p w14:paraId="3BD897AD">
            <w:pPr>
              <w:spacing w:line="276" w:lineRule="auto"/>
              <w:jc w:val="center"/>
              <w:rPr>
                <w:rFonts w:ascii="宋体" w:hAnsi="宋体"/>
                <w:sz w:val="21"/>
                <w:szCs w:val="21"/>
                <w:highlight w:val="none"/>
              </w:rPr>
            </w:pPr>
            <w:r>
              <w:rPr>
                <w:rFonts w:hint="eastAsia" w:ascii="宋体" w:hAnsi="宋体"/>
                <w:sz w:val="21"/>
                <w:szCs w:val="21"/>
                <w:highlight w:val="none"/>
              </w:rPr>
              <w:t>条款名称</w:t>
            </w:r>
          </w:p>
        </w:tc>
        <w:tc>
          <w:tcPr>
            <w:tcW w:w="3562" w:type="pct"/>
            <w:noWrap w:val="0"/>
            <w:vAlign w:val="center"/>
          </w:tcPr>
          <w:p w14:paraId="082DA492">
            <w:pPr>
              <w:spacing w:line="276" w:lineRule="auto"/>
              <w:jc w:val="center"/>
              <w:rPr>
                <w:rFonts w:ascii="宋体" w:hAnsi="宋体"/>
                <w:sz w:val="21"/>
                <w:szCs w:val="21"/>
                <w:highlight w:val="none"/>
              </w:rPr>
            </w:pPr>
            <w:r>
              <w:rPr>
                <w:rFonts w:hint="eastAsia" w:ascii="宋体" w:hAnsi="宋体"/>
                <w:sz w:val="21"/>
                <w:szCs w:val="21"/>
                <w:highlight w:val="none"/>
              </w:rPr>
              <w:t>评审因素与评审标准</w:t>
            </w:r>
          </w:p>
        </w:tc>
      </w:tr>
      <w:tr w14:paraId="3D7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25F4E8AC">
            <w:pPr>
              <w:spacing w:line="276" w:lineRule="auto"/>
              <w:jc w:val="center"/>
              <w:rPr>
                <w:rFonts w:ascii="宋体" w:hAnsi="宋体"/>
                <w:sz w:val="21"/>
                <w:szCs w:val="21"/>
                <w:highlight w:val="none"/>
              </w:rPr>
            </w:pPr>
            <w:r>
              <w:rPr>
                <w:rFonts w:hint="eastAsia" w:ascii="宋体" w:hAnsi="宋体"/>
                <w:sz w:val="21"/>
                <w:szCs w:val="21"/>
                <w:highlight w:val="none"/>
              </w:rPr>
              <w:t>1</w:t>
            </w:r>
          </w:p>
        </w:tc>
        <w:tc>
          <w:tcPr>
            <w:tcW w:w="711" w:type="pct"/>
            <w:noWrap w:val="0"/>
            <w:vAlign w:val="center"/>
          </w:tcPr>
          <w:p w14:paraId="06BE6D29">
            <w:pPr>
              <w:spacing w:line="276" w:lineRule="auto"/>
              <w:jc w:val="center"/>
              <w:rPr>
                <w:rFonts w:ascii="宋体" w:hAnsi="宋体"/>
                <w:sz w:val="21"/>
                <w:szCs w:val="21"/>
                <w:highlight w:val="none"/>
              </w:rPr>
            </w:pPr>
            <w:r>
              <w:rPr>
                <w:rFonts w:hint="eastAsia" w:ascii="宋体" w:hAnsi="宋体"/>
                <w:sz w:val="21"/>
                <w:szCs w:val="21"/>
                <w:highlight w:val="none"/>
              </w:rPr>
              <w:t>评标办法</w:t>
            </w:r>
          </w:p>
        </w:tc>
        <w:tc>
          <w:tcPr>
            <w:tcW w:w="3562" w:type="pct"/>
            <w:noWrap w:val="0"/>
            <w:vAlign w:val="center"/>
          </w:tcPr>
          <w:p w14:paraId="4404E9E2">
            <w:pPr>
              <w:spacing w:line="276" w:lineRule="auto"/>
              <w:ind w:firstLine="404" w:firstLineChars="200"/>
              <w:rPr>
                <w:rFonts w:hint="eastAsia" w:ascii="宋体" w:hAnsi="宋体"/>
                <w:spacing w:val="-4"/>
                <w:sz w:val="21"/>
                <w:szCs w:val="21"/>
                <w:highlight w:val="none"/>
              </w:rPr>
            </w:pPr>
            <w:r>
              <w:rPr>
                <w:rFonts w:hint="eastAsia" w:ascii="宋体" w:hAnsi="宋体"/>
                <w:spacing w:val="-4"/>
                <w:sz w:val="21"/>
                <w:szCs w:val="21"/>
                <w:highlight w:val="none"/>
              </w:rPr>
              <w:t>本次评标采用综合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0016C9D0">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29F7BA0E">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（2）技术建议书部分得分较高的投标人优先；</w:t>
            </w:r>
          </w:p>
          <w:p w14:paraId="5B0FAC0F">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（3）满足资格审查条件(业绩最低要求)要求业绩中单项合同金额较大的优先。</w:t>
            </w:r>
          </w:p>
        </w:tc>
      </w:tr>
      <w:tr w14:paraId="6BF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726" w:type="pct"/>
            <w:noWrap w:val="0"/>
            <w:vAlign w:val="center"/>
          </w:tcPr>
          <w:p w14:paraId="265E8F4E">
            <w:pPr>
              <w:spacing w:line="276" w:lineRule="auto"/>
              <w:jc w:val="center"/>
              <w:rPr>
                <w:rFonts w:hint="eastAsia" w:ascii="宋体" w:hAnsi="宋体"/>
                <w:sz w:val="21"/>
                <w:szCs w:val="21"/>
                <w:highlight w:val="none"/>
              </w:rPr>
            </w:pPr>
            <w:r>
              <w:rPr>
                <w:rFonts w:hint="eastAsia" w:ascii="宋体" w:hAnsi="宋体"/>
                <w:sz w:val="21"/>
                <w:szCs w:val="21"/>
                <w:highlight w:val="none"/>
              </w:rPr>
              <w:t>2.1.1</w:t>
            </w:r>
          </w:p>
          <w:p w14:paraId="4FF55723">
            <w:pPr>
              <w:spacing w:line="276" w:lineRule="auto"/>
              <w:jc w:val="center"/>
              <w:rPr>
                <w:rFonts w:hint="eastAsia" w:ascii="宋体" w:hAnsi="宋体"/>
                <w:sz w:val="21"/>
                <w:szCs w:val="21"/>
                <w:highlight w:val="none"/>
              </w:rPr>
            </w:pPr>
            <w:r>
              <w:rPr>
                <w:rFonts w:hint="eastAsia" w:ascii="宋体" w:hAnsi="宋体"/>
                <w:sz w:val="21"/>
                <w:szCs w:val="21"/>
                <w:highlight w:val="none"/>
              </w:rPr>
              <w:t>2.1.3</w:t>
            </w:r>
          </w:p>
        </w:tc>
        <w:tc>
          <w:tcPr>
            <w:tcW w:w="711" w:type="pct"/>
            <w:noWrap w:val="0"/>
            <w:vAlign w:val="center"/>
          </w:tcPr>
          <w:p w14:paraId="0A7861BD">
            <w:pPr>
              <w:spacing w:line="276" w:lineRule="auto"/>
              <w:jc w:val="center"/>
              <w:rPr>
                <w:rFonts w:hint="eastAsia" w:ascii="宋体" w:hAnsi="宋体"/>
                <w:sz w:val="21"/>
                <w:szCs w:val="21"/>
                <w:highlight w:val="none"/>
              </w:rPr>
            </w:pPr>
            <w:r>
              <w:rPr>
                <w:rFonts w:hint="eastAsia" w:ascii="宋体" w:hAnsi="宋体"/>
                <w:sz w:val="21"/>
                <w:szCs w:val="21"/>
                <w:highlight w:val="none"/>
              </w:rPr>
              <w:t>形式评审</w:t>
            </w:r>
          </w:p>
          <w:p w14:paraId="3244439C">
            <w:pPr>
              <w:spacing w:line="276" w:lineRule="auto"/>
              <w:jc w:val="center"/>
              <w:rPr>
                <w:rFonts w:hint="eastAsia" w:ascii="宋体" w:hAnsi="宋体"/>
                <w:sz w:val="21"/>
                <w:szCs w:val="21"/>
                <w:highlight w:val="none"/>
              </w:rPr>
            </w:pPr>
            <w:r>
              <w:rPr>
                <w:rFonts w:hint="eastAsia" w:ascii="宋体" w:hAnsi="宋体"/>
                <w:sz w:val="21"/>
                <w:szCs w:val="21"/>
                <w:highlight w:val="none"/>
              </w:rPr>
              <w:t>与响应性</w:t>
            </w:r>
          </w:p>
          <w:p w14:paraId="7DA10ADA">
            <w:pPr>
              <w:spacing w:line="276" w:lineRule="auto"/>
              <w:jc w:val="center"/>
              <w:rPr>
                <w:rFonts w:hint="eastAsia" w:ascii="宋体" w:hAnsi="宋体"/>
                <w:sz w:val="21"/>
                <w:szCs w:val="21"/>
                <w:highlight w:val="none"/>
              </w:rPr>
            </w:pPr>
            <w:r>
              <w:rPr>
                <w:rFonts w:hint="eastAsia" w:ascii="宋体" w:hAnsi="宋体"/>
                <w:sz w:val="21"/>
                <w:szCs w:val="21"/>
                <w:highlight w:val="none"/>
              </w:rPr>
              <w:t>评审标准</w:t>
            </w:r>
          </w:p>
        </w:tc>
        <w:tc>
          <w:tcPr>
            <w:tcW w:w="3562" w:type="pct"/>
            <w:noWrap w:val="0"/>
            <w:vAlign w:val="top"/>
          </w:tcPr>
          <w:p w14:paraId="45FD1C70">
            <w:pPr>
              <w:tabs>
                <w:tab w:val="left" w:pos="3060"/>
              </w:tabs>
              <w:adjustRightInd w:val="0"/>
              <w:snapToGrid w:val="0"/>
              <w:rPr>
                <w:rFonts w:ascii="宋体" w:hAnsi="宋体"/>
                <w:b/>
                <w:color w:val="auto"/>
                <w:sz w:val="21"/>
                <w:szCs w:val="21"/>
                <w:highlight w:val="none"/>
              </w:rPr>
            </w:pPr>
            <w:r>
              <w:rPr>
                <w:rFonts w:hint="eastAsia" w:ascii="宋体" w:hAnsi="宋体"/>
                <w:b/>
                <w:color w:val="auto"/>
                <w:sz w:val="21"/>
                <w:szCs w:val="21"/>
                <w:highlight w:val="none"/>
              </w:rPr>
              <w:t>第一个信封（商务文件）评审标准:</w:t>
            </w:r>
          </w:p>
          <w:p w14:paraId="20EA484C">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59E94439">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a.投标函按招标文件规定填报了项目名称、补遗书编号（如有）、质量要求、安全目标、服务期限、项目负责人等信息；</w:t>
            </w:r>
          </w:p>
          <w:p w14:paraId="1DA1A3E2">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695C7425">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（2）投标文件上法定代表人或其授权代理人的签字、投标人的单位章盖章齐全，符合招标文件规定。</w:t>
            </w:r>
          </w:p>
          <w:p w14:paraId="25C07D8F">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（3）投标人按照招标文件的规定提供了投标保证金，并符合投标人须知前附表3.4.1项的相关规定。</w:t>
            </w:r>
          </w:p>
          <w:p w14:paraId="135552B9">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olor w:val="auto"/>
                <w:sz w:val="21"/>
                <w:szCs w:val="21"/>
                <w:highlight w:val="none"/>
              </w:rPr>
              <w:t>投标人法定代表人授权委托代理人签署投标文件的，</w:t>
            </w:r>
            <w:r>
              <w:rPr>
                <w:rFonts w:ascii="宋体" w:hAnsi="宋体"/>
                <w:color w:val="auto"/>
                <w:sz w:val="21"/>
                <w:szCs w:val="21"/>
                <w:highlight w:val="none"/>
              </w:rPr>
              <w:t>须提交授权</w:t>
            </w:r>
            <w:r>
              <w:rPr>
                <w:rFonts w:hint="eastAsia" w:ascii="宋体" w:hAnsi="宋体"/>
                <w:color w:val="auto"/>
                <w:sz w:val="21"/>
                <w:szCs w:val="21"/>
                <w:highlight w:val="none"/>
              </w:rPr>
              <w:t>委托书，授权委托书符合招标文件规定</w:t>
            </w:r>
            <w:r>
              <w:rPr>
                <w:rFonts w:hint="eastAsia" w:ascii="宋体" w:hAnsi="宋体" w:cs="宋体"/>
                <w:color w:val="auto"/>
                <w:sz w:val="21"/>
                <w:szCs w:val="21"/>
                <w:highlight w:val="none"/>
              </w:rPr>
              <w:t>。</w:t>
            </w:r>
          </w:p>
          <w:p w14:paraId="4F00E00E">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olor w:val="auto"/>
                <w:sz w:val="21"/>
                <w:szCs w:val="21"/>
                <w:highlight w:val="none"/>
              </w:rPr>
              <w:t>投标人法定代表人亲自签署投标文件的，</w:t>
            </w:r>
            <w:r>
              <w:rPr>
                <w:rFonts w:hint="eastAsia" w:ascii="宋体" w:hAnsi="宋体"/>
                <w:color w:val="auto"/>
                <w:sz w:val="21"/>
                <w:szCs w:val="21"/>
                <w:highlight w:val="none"/>
              </w:rPr>
              <w:t>须</w:t>
            </w:r>
            <w:r>
              <w:rPr>
                <w:rFonts w:ascii="宋体" w:hAnsi="宋体"/>
                <w:color w:val="auto"/>
                <w:sz w:val="21"/>
                <w:szCs w:val="21"/>
                <w:highlight w:val="none"/>
              </w:rPr>
              <w:t>提供法定代表人身份证明，法定代表人身份证明符合招标文件规定</w:t>
            </w:r>
            <w:r>
              <w:rPr>
                <w:rFonts w:hint="eastAsia" w:ascii="宋体" w:hAnsi="宋体" w:cs="宋体"/>
                <w:color w:val="auto"/>
                <w:sz w:val="21"/>
                <w:szCs w:val="21"/>
                <w:highlight w:val="none"/>
              </w:rPr>
              <w:t>。</w:t>
            </w:r>
          </w:p>
          <w:p w14:paraId="7881B836">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536D49B6">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35D5C77B">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）同一投标人未对本项目提交两个以上不同的投标文件。</w:t>
            </w:r>
          </w:p>
          <w:p w14:paraId="692B662F">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）投标文件第一个信封（商务及技术文件）中未出现有关投标报价的内容。</w:t>
            </w:r>
          </w:p>
          <w:p w14:paraId="4788DDA4">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）投标文件载明的招标项目完成期限，符合招标文件规定。</w:t>
            </w:r>
          </w:p>
          <w:p w14:paraId="10B8D444">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）投标文件对招标文件的实质性要求和条件作出响应。</w:t>
            </w:r>
          </w:p>
          <w:p w14:paraId="04D1FF1C">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）权利义务符合招标文件规定：</w:t>
            </w:r>
          </w:p>
          <w:p w14:paraId="39ED3A49">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5DF72CB3">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48549AFF">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14:paraId="3F26CDC9">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d.投标人对合同纠纷、事故处理办法未提出异议；</w:t>
            </w:r>
          </w:p>
          <w:p w14:paraId="4BCAC056">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e.投标人在投标活动中无欺诈行为；</w:t>
            </w:r>
          </w:p>
          <w:p w14:paraId="0E6F8157">
            <w:pPr>
              <w:snapToGrid w:val="0"/>
              <w:spacing w:line="380" w:lineRule="exact"/>
              <w:rPr>
                <w:color w:val="auto"/>
                <w:sz w:val="21"/>
                <w:szCs w:val="21"/>
                <w:highlight w:val="none"/>
              </w:rPr>
            </w:pPr>
            <w:r>
              <w:rPr>
                <w:rFonts w:hint="eastAsia" w:ascii="宋体" w:hAnsi="宋体"/>
                <w:color w:val="auto"/>
                <w:sz w:val="21"/>
                <w:szCs w:val="21"/>
                <w:highlight w:val="none"/>
              </w:rPr>
              <w:t>f.投标人未对合同条款有重要保留。</w:t>
            </w:r>
          </w:p>
          <w:p w14:paraId="21B96E79">
            <w:pPr>
              <w:tabs>
                <w:tab w:val="left" w:pos="3060"/>
              </w:tabs>
              <w:spacing w:line="288" w:lineRule="auto"/>
              <w:rPr>
                <w:rFonts w:hint="eastAsia" w:ascii="宋体" w:hAnsi="宋体"/>
                <w:b/>
                <w:bCs/>
                <w:color w:val="auto"/>
                <w:sz w:val="21"/>
                <w:szCs w:val="21"/>
                <w:highlight w:val="none"/>
              </w:rPr>
            </w:pPr>
            <w:r>
              <w:rPr>
                <w:rFonts w:hint="eastAsia" w:ascii="宋体" w:hAnsi="宋体"/>
                <w:b/>
                <w:bCs/>
                <w:color w:val="auto"/>
                <w:sz w:val="21"/>
                <w:szCs w:val="21"/>
                <w:highlight w:val="none"/>
              </w:rPr>
              <w:t>第一个信封（技术文件）评审标准:</w:t>
            </w:r>
          </w:p>
          <w:p w14:paraId="0D6C1555">
            <w:pPr>
              <w:tabs>
                <w:tab w:val="left" w:pos="3060"/>
              </w:tabs>
              <w:spacing w:line="288"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（1）技术建议书（暗标）符合招标文件第二章“投标人须知前附表”第10.2款的规定。</w:t>
            </w:r>
          </w:p>
          <w:p w14:paraId="348A21FA">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第二个信封（报价文件）评审标准：</w:t>
            </w:r>
          </w:p>
          <w:p w14:paraId="5FF6E25B">
            <w:pPr>
              <w:spacing w:line="288" w:lineRule="auto"/>
              <w:ind w:firstLine="386" w:firstLineChars="184"/>
              <w:jc w:val="left"/>
              <w:rPr>
                <w:rFonts w:hint="eastAsia" w:ascii="宋体" w:hAnsi="宋体"/>
                <w:bCs/>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560AEB0A">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a.投标函按招标文件规定填报了项目名称、补遗书编号（如有）、投标报价（包括大写金额和小写金额）；</w:t>
            </w:r>
          </w:p>
          <w:p w14:paraId="75CE526A">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b.报价清单说明文字与招标文件规定一致，未进行实质性修改和删减；</w:t>
            </w:r>
          </w:p>
          <w:p w14:paraId="46D7CE94">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c.投标</w:t>
            </w:r>
            <w:r>
              <w:rPr>
                <w:rFonts w:hint="eastAsia" w:ascii="宋体" w:hAnsi="宋体"/>
                <w:color w:val="auto"/>
                <w:sz w:val="21"/>
                <w:szCs w:val="21"/>
                <w:highlight w:val="none"/>
              </w:rPr>
              <w:t>文件</w:t>
            </w:r>
            <w:r>
              <w:rPr>
                <w:rFonts w:hint="eastAsia" w:ascii="宋体" w:hAnsi="宋体"/>
                <w:bCs/>
                <w:color w:val="auto"/>
                <w:sz w:val="21"/>
                <w:szCs w:val="21"/>
                <w:highlight w:val="none"/>
              </w:rPr>
              <w:t>组成齐全完整，内容均按规定填写。</w:t>
            </w:r>
          </w:p>
          <w:p w14:paraId="31B6218C">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（2）</w:t>
            </w:r>
            <w:r>
              <w:rPr>
                <w:rFonts w:hint="eastAsia" w:ascii="宋体" w:hAnsi="宋体"/>
                <w:color w:val="auto"/>
                <w:sz w:val="21"/>
                <w:szCs w:val="21"/>
                <w:highlight w:val="none"/>
              </w:rPr>
              <w:t>投标文件上法定代表人或其授权代理人的签字、投标人的单位章盖章齐全，符合招标文件规定</w:t>
            </w:r>
            <w:r>
              <w:rPr>
                <w:rFonts w:hint="eastAsia" w:ascii="宋体" w:hAnsi="宋体"/>
                <w:bCs/>
                <w:color w:val="auto"/>
                <w:sz w:val="21"/>
                <w:szCs w:val="21"/>
                <w:highlight w:val="none"/>
              </w:rPr>
              <w:t>。</w:t>
            </w:r>
          </w:p>
          <w:p w14:paraId="12732678">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（3）投标报价未超过招标文件设定的最高投标限价。</w:t>
            </w:r>
          </w:p>
          <w:p w14:paraId="3595E372">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（4）投标</w:t>
            </w:r>
            <w:r>
              <w:rPr>
                <w:rFonts w:hint="eastAsia" w:ascii="宋体" w:hAnsi="宋体"/>
                <w:color w:val="auto"/>
                <w:sz w:val="21"/>
                <w:szCs w:val="21"/>
                <w:highlight w:val="none"/>
              </w:rPr>
              <w:t>报价</w:t>
            </w:r>
            <w:r>
              <w:rPr>
                <w:rFonts w:hint="eastAsia" w:ascii="宋体" w:hAnsi="宋体"/>
                <w:bCs/>
                <w:color w:val="auto"/>
                <w:sz w:val="21"/>
                <w:szCs w:val="21"/>
                <w:highlight w:val="none"/>
              </w:rPr>
              <w:t>的大写金额能够确定具体数值。</w:t>
            </w:r>
          </w:p>
          <w:p w14:paraId="62BF2F3A">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（5）同一</w:t>
            </w:r>
            <w:r>
              <w:rPr>
                <w:rFonts w:hint="eastAsia" w:ascii="宋体" w:hAnsi="宋体"/>
                <w:color w:val="auto"/>
                <w:sz w:val="21"/>
                <w:szCs w:val="21"/>
                <w:highlight w:val="none"/>
              </w:rPr>
              <w:t>投标人</w:t>
            </w:r>
            <w:r>
              <w:rPr>
                <w:rFonts w:hint="eastAsia" w:ascii="宋体" w:hAnsi="宋体"/>
                <w:bCs/>
                <w:color w:val="auto"/>
                <w:sz w:val="21"/>
                <w:szCs w:val="21"/>
                <w:highlight w:val="none"/>
              </w:rPr>
              <w:t>未提交两个以上不同的投标报价。</w:t>
            </w:r>
          </w:p>
          <w:p w14:paraId="4730722D">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（6）投标人未提交调价函。</w:t>
            </w:r>
          </w:p>
          <w:p w14:paraId="2A3FCA9B">
            <w:pPr>
              <w:snapToGrid w:val="0"/>
              <w:spacing w:line="380" w:lineRule="exact"/>
              <w:ind w:firstLine="420" w:firstLineChars="200"/>
              <w:rPr>
                <w:rFonts w:hint="eastAsia" w:ascii="宋体" w:hAnsi="宋体"/>
                <w:color w:val="auto"/>
                <w:spacing w:val="-4"/>
                <w:sz w:val="21"/>
                <w:szCs w:val="21"/>
                <w:highlight w:val="none"/>
              </w:rPr>
            </w:pPr>
            <w:r>
              <w:rPr>
                <w:rFonts w:hint="eastAsia" w:ascii="宋体" w:hAnsi="宋体"/>
                <w:bCs/>
                <w:color w:val="auto"/>
                <w:sz w:val="21"/>
                <w:szCs w:val="21"/>
                <w:highlight w:val="none"/>
              </w:rPr>
              <w:t>（</w:t>
            </w:r>
            <w:r>
              <w:rPr>
                <w:rFonts w:ascii="宋体" w:hAnsi="宋体"/>
                <w:bCs/>
                <w:color w:val="auto"/>
                <w:sz w:val="21"/>
                <w:szCs w:val="21"/>
                <w:highlight w:val="none"/>
              </w:rPr>
              <w:t>7</w:t>
            </w:r>
            <w:r>
              <w:rPr>
                <w:rFonts w:hint="eastAsia" w:ascii="宋体" w:hAnsi="宋体"/>
                <w:bCs/>
                <w:color w:val="auto"/>
                <w:sz w:val="21"/>
                <w:szCs w:val="21"/>
                <w:highlight w:val="none"/>
              </w:rPr>
              <w:t>）</w:t>
            </w:r>
            <w:r>
              <w:rPr>
                <w:rFonts w:hint="eastAsia" w:ascii="宋体" w:hAnsi="宋体"/>
                <w:color w:val="auto"/>
                <w:sz w:val="21"/>
                <w:szCs w:val="21"/>
                <w:highlight w:val="none"/>
              </w:rPr>
              <w:t>报价清单</w:t>
            </w:r>
            <w:r>
              <w:rPr>
                <w:rFonts w:hint="eastAsia" w:ascii="宋体" w:hAnsi="宋体"/>
                <w:color w:val="auto"/>
                <w:sz w:val="21"/>
                <w:szCs w:val="21"/>
                <w:highlight w:val="none"/>
                <w:lang w:val="en-US" w:eastAsia="zh-CN"/>
              </w:rPr>
              <w:t>表</w:t>
            </w:r>
            <w:r>
              <w:rPr>
                <w:rFonts w:hint="eastAsia" w:ascii="宋体" w:hAnsi="宋体"/>
                <w:color w:val="auto"/>
                <w:sz w:val="21"/>
                <w:szCs w:val="21"/>
                <w:highlight w:val="none"/>
              </w:rPr>
              <w:t>中的</w:t>
            </w:r>
            <w:r>
              <w:rPr>
                <w:rFonts w:hint="eastAsia" w:ascii="宋体" w:hAnsi="宋体"/>
                <w:color w:val="auto"/>
                <w:sz w:val="21"/>
                <w:szCs w:val="21"/>
                <w:highlight w:val="none"/>
                <w:lang w:val="en-US" w:eastAsia="zh-CN"/>
              </w:rPr>
              <w:t>设计费合价</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函投标报价大写金额一致</w:t>
            </w:r>
            <w:r>
              <w:rPr>
                <w:rFonts w:hint="eastAsia" w:ascii="宋体" w:hAnsi="宋体"/>
                <w:bCs/>
                <w:color w:val="auto"/>
                <w:sz w:val="21"/>
                <w:szCs w:val="21"/>
                <w:highlight w:val="none"/>
              </w:rPr>
              <w:t>。</w:t>
            </w:r>
          </w:p>
        </w:tc>
      </w:tr>
      <w:tr w14:paraId="39E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5CFD03AD">
            <w:pPr>
              <w:spacing w:line="276" w:lineRule="auto"/>
              <w:jc w:val="center"/>
              <w:rPr>
                <w:rFonts w:ascii="宋体" w:hAnsi="宋体"/>
                <w:sz w:val="21"/>
                <w:szCs w:val="21"/>
                <w:highlight w:val="none"/>
              </w:rPr>
            </w:pPr>
            <w:r>
              <w:rPr>
                <w:rFonts w:hint="eastAsia" w:ascii="宋体" w:hAnsi="宋体"/>
                <w:sz w:val="21"/>
                <w:szCs w:val="21"/>
                <w:highlight w:val="none"/>
              </w:rPr>
              <w:t>2.1.2</w:t>
            </w:r>
          </w:p>
        </w:tc>
        <w:tc>
          <w:tcPr>
            <w:tcW w:w="1211" w:type="dxa"/>
            <w:noWrap w:val="0"/>
            <w:vAlign w:val="center"/>
          </w:tcPr>
          <w:p w14:paraId="1C4DEB12">
            <w:pPr>
              <w:spacing w:line="276" w:lineRule="auto"/>
              <w:jc w:val="center"/>
              <w:rPr>
                <w:rFonts w:hint="eastAsia" w:ascii="宋体" w:hAnsi="宋体"/>
                <w:sz w:val="21"/>
                <w:szCs w:val="21"/>
                <w:highlight w:val="none"/>
              </w:rPr>
            </w:pPr>
            <w:r>
              <w:rPr>
                <w:rFonts w:hint="eastAsia" w:ascii="宋体" w:hAnsi="宋体"/>
                <w:sz w:val="21"/>
                <w:szCs w:val="21"/>
                <w:highlight w:val="none"/>
              </w:rPr>
              <w:t>资格评审</w:t>
            </w:r>
          </w:p>
          <w:p w14:paraId="253AD26D">
            <w:pPr>
              <w:spacing w:line="276" w:lineRule="auto"/>
              <w:jc w:val="center"/>
              <w:rPr>
                <w:rFonts w:ascii="宋体" w:hAnsi="宋体"/>
                <w:sz w:val="21"/>
                <w:szCs w:val="21"/>
                <w:highlight w:val="none"/>
              </w:rPr>
            </w:pPr>
            <w:r>
              <w:rPr>
                <w:rFonts w:hint="eastAsia" w:ascii="宋体" w:hAnsi="宋体"/>
                <w:sz w:val="21"/>
                <w:szCs w:val="21"/>
                <w:highlight w:val="none"/>
              </w:rPr>
              <w:t>标准</w:t>
            </w:r>
          </w:p>
        </w:tc>
        <w:tc>
          <w:tcPr>
            <w:tcW w:w="6065" w:type="dxa"/>
            <w:noWrap w:val="0"/>
            <w:vAlign w:val="top"/>
          </w:tcPr>
          <w:p w14:paraId="69937649">
            <w:pPr>
              <w:spacing w:line="276" w:lineRule="auto"/>
              <w:ind w:firstLine="420" w:firstLineChars="200"/>
              <w:jc w:val="left"/>
              <w:rPr>
                <w:rFonts w:hint="eastAsia" w:ascii="宋体" w:hAnsi="宋体"/>
                <w:color w:val="auto"/>
                <w:spacing w:val="-4"/>
                <w:sz w:val="21"/>
                <w:szCs w:val="21"/>
                <w:highlight w:val="none"/>
              </w:rPr>
            </w:pPr>
            <w:r>
              <w:rPr>
                <w:rFonts w:hint="eastAsia" w:ascii="宋体" w:hAnsi="宋体"/>
                <w:color w:val="auto"/>
                <w:sz w:val="21"/>
                <w:szCs w:val="21"/>
                <w:highlight w:val="none"/>
              </w:rPr>
              <w:t>（</w:t>
            </w:r>
            <w:r>
              <w:rPr>
                <w:rFonts w:hint="eastAsia" w:ascii="宋体" w:hAnsi="宋体"/>
                <w:color w:val="auto"/>
                <w:spacing w:val="-4"/>
                <w:sz w:val="21"/>
                <w:szCs w:val="21"/>
                <w:highlight w:val="none"/>
              </w:rPr>
              <w:t>1）投标人具备有效的营业执照、资质证书和基本账户开户许可证（或基本存款账户信息）；</w:t>
            </w:r>
          </w:p>
          <w:p w14:paraId="0D0E8020">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（2）投标人的资质等级符合招标文件规定；</w:t>
            </w:r>
          </w:p>
          <w:p w14:paraId="6CB07331">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（3）投标人的类似项目业绩符合招标文件规定；</w:t>
            </w:r>
          </w:p>
          <w:p w14:paraId="3608D39A">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（4）投标人的信誉符合招标文件规定；</w:t>
            </w:r>
          </w:p>
          <w:p w14:paraId="34B1FA29">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（5）投标人的项目负责人符合招标文件规定；</w:t>
            </w:r>
          </w:p>
          <w:p w14:paraId="110697AC">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（6）投标人不存在第二章“投标人须知”第1.4.3项或第1.4.4项规定的任何一种情形。</w:t>
            </w:r>
          </w:p>
          <w:p w14:paraId="76ACF2F1">
            <w:pPr>
              <w:spacing w:line="276" w:lineRule="auto"/>
              <w:ind w:firstLine="404" w:firstLineChars="200"/>
              <w:jc w:val="left"/>
              <w:rPr>
                <w:rFonts w:hint="default" w:eastAsia="宋体"/>
                <w:color w:val="auto"/>
                <w:highlight w:val="none"/>
                <w:lang w:val="en-US" w:eastAsia="zh-CN"/>
              </w:rPr>
            </w:pPr>
            <w:r>
              <w:rPr>
                <w:rFonts w:hint="eastAsia" w:ascii="宋体" w:hAnsi="宋体"/>
                <w:color w:val="auto"/>
                <w:spacing w:val="-4"/>
                <w:sz w:val="21"/>
                <w:szCs w:val="21"/>
                <w:highlight w:val="none"/>
              </w:rPr>
              <w:t>（7）投标人符合第二章“投标人须知”第1.4.5项规定。</w:t>
            </w:r>
          </w:p>
        </w:tc>
      </w:tr>
      <w:tr w14:paraId="1A1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noWrap w:val="0"/>
            <w:vAlign w:val="center"/>
          </w:tcPr>
          <w:p w14:paraId="1C62534A">
            <w:pPr>
              <w:spacing w:line="276" w:lineRule="auto"/>
              <w:jc w:val="center"/>
              <w:rPr>
                <w:rFonts w:ascii="宋体" w:hAnsi="宋体"/>
                <w:sz w:val="21"/>
                <w:szCs w:val="21"/>
                <w:highlight w:val="none"/>
              </w:rPr>
            </w:pPr>
            <w:r>
              <w:rPr>
                <w:rFonts w:hint="eastAsia" w:ascii="宋体" w:hAnsi="宋体"/>
                <w:sz w:val="21"/>
                <w:szCs w:val="21"/>
                <w:highlight w:val="none"/>
              </w:rPr>
              <w:t>2.2.1</w:t>
            </w:r>
          </w:p>
        </w:tc>
        <w:tc>
          <w:tcPr>
            <w:tcW w:w="711" w:type="pct"/>
            <w:noWrap w:val="0"/>
            <w:vAlign w:val="center"/>
          </w:tcPr>
          <w:p w14:paraId="5124861B">
            <w:pPr>
              <w:spacing w:line="276" w:lineRule="auto"/>
              <w:jc w:val="center"/>
              <w:rPr>
                <w:rFonts w:ascii="宋体" w:hAnsi="宋体"/>
                <w:sz w:val="21"/>
                <w:szCs w:val="21"/>
                <w:highlight w:val="none"/>
              </w:rPr>
            </w:pPr>
            <w:r>
              <w:rPr>
                <w:rFonts w:hint="eastAsia" w:ascii="宋体" w:hAnsi="宋体"/>
                <w:sz w:val="21"/>
                <w:szCs w:val="21"/>
                <w:highlight w:val="none"/>
              </w:rPr>
              <w:t>分值构成</w:t>
            </w:r>
          </w:p>
        </w:tc>
        <w:tc>
          <w:tcPr>
            <w:tcW w:w="3562" w:type="pct"/>
            <w:noWrap w:val="0"/>
            <w:vAlign w:val="center"/>
          </w:tcPr>
          <w:p w14:paraId="4CB7AA62">
            <w:pPr>
              <w:spacing w:line="276" w:lineRule="auto"/>
              <w:jc w:val="left"/>
              <w:rPr>
                <w:rFonts w:ascii="宋体" w:hAnsi="宋体"/>
                <w:b/>
                <w:bCs/>
                <w:spacing w:val="-4"/>
                <w:sz w:val="21"/>
                <w:szCs w:val="21"/>
                <w:highlight w:val="none"/>
              </w:rPr>
            </w:pPr>
            <w:r>
              <w:rPr>
                <w:rFonts w:hint="eastAsia" w:ascii="宋体" w:hAnsi="宋体"/>
                <w:b/>
                <w:bCs/>
                <w:spacing w:val="-4"/>
                <w:sz w:val="21"/>
                <w:szCs w:val="21"/>
                <w:highlight w:val="none"/>
              </w:rPr>
              <w:t>第一信封（商务及技术文件）评分分值构成：</w:t>
            </w:r>
          </w:p>
          <w:p w14:paraId="303501E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694DC60B">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6C8B59F7">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18CDC02">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7AC375FE">
            <w:pPr>
              <w:spacing w:line="276" w:lineRule="auto"/>
              <w:ind w:firstLine="404" w:firstLineChars="200"/>
              <w:jc w:val="left"/>
              <w:rPr>
                <w:rFonts w:hint="eastAsia" w:ascii="宋体" w:hAnsi="宋体"/>
                <w:bCs/>
                <w:sz w:val="21"/>
                <w:szCs w:val="21"/>
                <w:highlight w:val="none"/>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200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726" w:type="pct"/>
            <w:noWrap w:val="0"/>
            <w:vAlign w:val="center"/>
          </w:tcPr>
          <w:p w14:paraId="57CCE31F">
            <w:pPr>
              <w:spacing w:line="276" w:lineRule="auto"/>
              <w:jc w:val="center"/>
              <w:rPr>
                <w:rFonts w:hint="eastAsia" w:ascii="宋体" w:hAnsi="宋体"/>
                <w:sz w:val="21"/>
                <w:szCs w:val="21"/>
                <w:highlight w:val="none"/>
              </w:rPr>
            </w:pPr>
            <w:r>
              <w:rPr>
                <w:rFonts w:hint="eastAsia" w:ascii="宋体" w:hAnsi="宋体"/>
                <w:sz w:val="21"/>
                <w:szCs w:val="21"/>
                <w:highlight w:val="none"/>
              </w:rPr>
              <w:t>2.2.2</w:t>
            </w:r>
          </w:p>
        </w:tc>
        <w:tc>
          <w:tcPr>
            <w:tcW w:w="1211" w:type="dxa"/>
            <w:noWrap w:val="0"/>
            <w:vAlign w:val="center"/>
          </w:tcPr>
          <w:p w14:paraId="246D525B">
            <w:pPr>
              <w:spacing w:line="276" w:lineRule="auto"/>
              <w:jc w:val="center"/>
              <w:rPr>
                <w:rFonts w:hint="eastAsia" w:ascii="宋体" w:hAnsi="宋体"/>
                <w:sz w:val="21"/>
                <w:szCs w:val="21"/>
                <w:highlight w:val="none"/>
              </w:rPr>
            </w:pPr>
            <w:r>
              <w:rPr>
                <w:rFonts w:hint="eastAsia" w:ascii="宋体" w:hAnsi="宋体"/>
                <w:sz w:val="21"/>
                <w:szCs w:val="21"/>
                <w:highlight w:val="none"/>
              </w:rPr>
              <w:t>评标基准</w:t>
            </w:r>
          </w:p>
          <w:p w14:paraId="7E76364A">
            <w:pPr>
              <w:spacing w:line="276" w:lineRule="auto"/>
              <w:jc w:val="center"/>
              <w:rPr>
                <w:rFonts w:hint="eastAsia" w:ascii="宋体" w:hAnsi="宋体"/>
                <w:sz w:val="21"/>
                <w:szCs w:val="21"/>
                <w:highlight w:val="none"/>
              </w:rPr>
            </w:pPr>
            <w:r>
              <w:rPr>
                <w:rFonts w:hint="eastAsia" w:ascii="宋体" w:hAnsi="宋体"/>
                <w:sz w:val="21"/>
                <w:szCs w:val="21"/>
                <w:highlight w:val="none"/>
              </w:rPr>
              <w:t>价计算</w:t>
            </w:r>
          </w:p>
          <w:p w14:paraId="0A0C3DEC">
            <w:pPr>
              <w:spacing w:line="276" w:lineRule="auto"/>
              <w:jc w:val="center"/>
              <w:rPr>
                <w:rFonts w:hint="eastAsia" w:ascii="宋体" w:hAnsi="宋体"/>
                <w:sz w:val="21"/>
                <w:szCs w:val="21"/>
                <w:highlight w:val="none"/>
              </w:rPr>
            </w:pPr>
            <w:r>
              <w:rPr>
                <w:rFonts w:hint="eastAsia" w:ascii="宋体" w:hAnsi="宋体"/>
                <w:sz w:val="21"/>
                <w:szCs w:val="21"/>
                <w:highlight w:val="none"/>
              </w:rPr>
              <w:t>方法</w:t>
            </w:r>
          </w:p>
        </w:tc>
        <w:tc>
          <w:tcPr>
            <w:tcW w:w="6065" w:type="dxa"/>
            <w:noWrap w:val="0"/>
            <w:vAlign w:val="center"/>
          </w:tcPr>
          <w:p w14:paraId="3376641D">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评标基准价的计算：</w:t>
            </w:r>
          </w:p>
          <w:p w14:paraId="31FE7EAF">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所有通过第一个信封评审的投标文件，</w:t>
            </w:r>
            <w:r>
              <w:rPr>
                <w:rFonts w:hint="eastAsia" w:ascii="宋体" w:hAnsi="宋体"/>
                <w:spacing w:val="-4"/>
                <w:sz w:val="21"/>
                <w:szCs w:val="21"/>
                <w:highlight w:val="none"/>
                <w:lang w:val="en-US" w:eastAsia="zh-CN"/>
              </w:rPr>
              <w:t>开启</w:t>
            </w:r>
            <w:r>
              <w:rPr>
                <w:rFonts w:hint="eastAsia" w:ascii="宋体" w:hAnsi="宋体"/>
                <w:spacing w:val="-4"/>
                <w:sz w:val="21"/>
                <w:szCs w:val="21"/>
                <w:highlight w:val="none"/>
              </w:rPr>
              <w:t>第二个信封，并当场计算并宣布评标基准价。</w:t>
            </w:r>
          </w:p>
          <w:p w14:paraId="53E2C8AB">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（1）评标价的确定：</w:t>
            </w:r>
          </w:p>
          <w:p w14:paraId="22D67786">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评标价=投标函文字报价</w:t>
            </w:r>
          </w:p>
          <w:p w14:paraId="38AEDD25">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（2）评标价平均值的计算：</w:t>
            </w:r>
          </w:p>
          <w:p w14:paraId="16EAEE7A">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0AD2F58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（3）评标基准价的确定：</w:t>
            </w:r>
          </w:p>
          <w:p w14:paraId="23871C38">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将评标价平均值直接作为评标基准价（评标基准价保留两位小数，第三位四舍五入）。</w:t>
            </w:r>
          </w:p>
          <w:p w14:paraId="6696A0C3">
            <w:pPr>
              <w:spacing w:line="288" w:lineRule="auto"/>
              <w:ind w:firstLine="371" w:firstLineChars="184"/>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9F3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6" w:type="dxa"/>
            <w:noWrap w:val="0"/>
            <w:vAlign w:val="center"/>
          </w:tcPr>
          <w:p w14:paraId="20291B26">
            <w:pPr>
              <w:spacing w:line="288" w:lineRule="auto"/>
              <w:ind w:firstLine="371" w:firstLineChars="184"/>
              <w:jc w:val="left"/>
              <w:rPr>
                <w:rFonts w:hint="eastAsia" w:ascii="宋体" w:hAnsi="宋体"/>
                <w:spacing w:val="-4"/>
                <w:sz w:val="21"/>
                <w:szCs w:val="21"/>
                <w:highlight w:val="none"/>
              </w:rPr>
            </w:pPr>
            <w:r>
              <w:rPr>
                <w:rFonts w:hint="eastAsia" w:ascii="宋体" w:hAnsi="宋体"/>
                <w:spacing w:val="-4"/>
                <w:sz w:val="21"/>
                <w:szCs w:val="21"/>
                <w:highlight w:val="none"/>
                <w:lang w:val="en-US" w:eastAsia="zh-CN"/>
              </w:rPr>
              <w:t>3.5.3</w:t>
            </w:r>
          </w:p>
        </w:tc>
        <w:tc>
          <w:tcPr>
            <w:tcW w:w="7276" w:type="dxa"/>
            <w:gridSpan w:val="2"/>
            <w:noWrap w:val="0"/>
            <w:vAlign w:val="center"/>
          </w:tcPr>
          <w:p w14:paraId="5951F32D">
            <w:pPr>
              <w:spacing w:line="288" w:lineRule="auto"/>
              <w:jc w:val="left"/>
              <w:rPr>
                <w:rFonts w:hint="eastAsia" w:ascii="宋体" w:hAnsi="宋体" w:eastAsia="宋体" w:cs="Times New Roman"/>
                <w:spacing w:val="-4"/>
                <w:sz w:val="21"/>
                <w:szCs w:val="21"/>
                <w:highlight w:val="none"/>
              </w:rPr>
            </w:pPr>
            <w:r>
              <w:rPr>
                <w:rFonts w:hint="eastAsia" w:ascii="宋体" w:hAnsi="宋体" w:eastAsia="宋体" w:cs="Times New Roman"/>
                <w:spacing w:val="-4"/>
                <w:sz w:val="21"/>
                <w:szCs w:val="21"/>
                <w:highlight w:val="none"/>
              </w:rPr>
              <w:t>本款修改为：</w:t>
            </w:r>
          </w:p>
          <w:p w14:paraId="0F2467C3">
            <w:pPr>
              <w:spacing w:line="288" w:lineRule="auto"/>
              <w:ind w:firstLine="371" w:firstLineChars="184"/>
              <w:jc w:val="left"/>
              <w:rPr>
                <w:rFonts w:hint="eastAsia" w:ascii="宋体" w:hAnsi="宋体"/>
                <w:spacing w:val="-4"/>
                <w:sz w:val="21"/>
                <w:szCs w:val="21"/>
                <w:highlight w:val="none"/>
              </w:rPr>
            </w:pPr>
            <w:r>
              <w:rPr>
                <w:rFonts w:hint="eastAsia" w:ascii="宋体" w:hAnsi="宋体" w:eastAsia="宋体" w:cs="Times New Roman"/>
                <w:spacing w:val="-4"/>
                <w:sz w:val="21"/>
                <w:szCs w:val="21"/>
                <w:highlight w:val="none"/>
              </w:rPr>
              <w:t>评标委员会发现投标人的投标报价低于最高投标限价的</w:t>
            </w:r>
            <w:r>
              <w:rPr>
                <w:rFonts w:hint="eastAsia" w:ascii="宋体" w:hAnsi="宋体" w:eastAsia="宋体" w:cs="Times New Roman"/>
                <w:spacing w:val="-4"/>
                <w:sz w:val="21"/>
                <w:szCs w:val="21"/>
                <w:highlight w:val="none"/>
                <w:lang w:val="en-US" w:eastAsia="zh-CN"/>
              </w:rPr>
              <w:t xml:space="preserve">60 </w:t>
            </w:r>
            <w:r>
              <w:rPr>
                <w:rFonts w:hint="eastAsia" w:ascii="宋体" w:hAnsi="宋体" w:eastAsia="宋体" w:cs="Times New Roman"/>
                <w:spacing w:val="-4"/>
                <w:sz w:val="21"/>
                <w:szCs w:val="21"/>
                <w:highlight w:val="none"/>
              </w:rPr>
              <w:t>%</w:t>
            </w:r>
            <w:r>
              <w:rPr>
                <w:rFonts w:hint="eastAsia" w:ascii="宋体" w:hAnsi="宋体" w:cs="Times New Roman"/>
                <w:spacing w:val="-4"/>
                <w:sz w:val="21"/>
                <w:szCs w:val="21"/>
                <w:highlight w:val="none"/>
                <w:lang w:eastAsia="zh-CN"/>
              </w:rPr>
              <w:t>（</w:t>
            </w:r>
            <w:r>
              <w:rPr>
                <w:rFonts w:hint="eastAsia" w:ascii="宋体" w:hAnsi="宋体" w:cs="Times New Roman"/>
                <w:spacing w:val="-4"/>
                <w:sz w:val="21"/>
                <w:szCs w:val="21"/>
                <w:highlight w:val="none"/>
                <w:lang w:val="en-US" w:eastAsia="zh-CN"/>
              </w:rPr>
              <w:t>含</w:t>
            </w:r>
            <w:r>
              <w:rPr>
                <w:rFonts w:hint="eastAsia" w:ascii="宋体" w:hAnsi="宋体" w:cs="Times New Roman"/>
                <w:spacing w:val="-4"/>
                <w:sz w:val="21"/>
                <w:szCs w:val="21"/>
                <w:highlight w:val="none"/>
                <w:lang w:eastAsia="zh-CN"/>
              </w:rPr>
              <w:t>）</w:t>
            </w:r>
            <w:r>
              <w:rPr>
                <w:rFonts w:hint="eastAsia" w:ascii="宋体" w:hAnsi="宋体" w:eastAsia="宋体" w:cs="Times New Roman"/>
                <w:spacing w:val="-4"/>
                <w:sz w:val="21"/>
                <w:szCs w:val="21"/>
                <w:highlight w:val="none"/>
              </w:rPr>
              <w:t>时，应当要求该投标人在规定时间内作出书面说明并提供相应的证明材料。投标人不能合理说明或者不能提供相应证明材料的，评标委员会应当认定该投标人以可能低于成本或者影响履约的异常低价竞标，并否决其投标。</w:t>
            </w:r>
          </w:p>
        </w:tc>
      </w:tr>
      <w:tr w14:paraId="56E6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26" w:type="pct"/>
            <w:noWrap w:val="0"/>
            <w:vAlign w:val="center"/>
          </w:tcPr>
          <w:p w14:paraId="7AB2DF25">
            <w:pPr>
              <w:spacing w:line="276" w:lineRule="auto"/>
              <w:jc w:val="center"/>
              <w:rPr>
                <w:rFonts w:hint="eastAsia" w:ascii="宋体" w:hAnsi="宋体"/>
                <w:sz w:val="21"/>
                <w:szCs w:val="21"/>
                <w:highlight w:val="none"/>
              </w:rPr>
            </w:pPr>
            <w:r>
              <w:rPr>
                <w:rFonts w:hint="eastAsia" w:ascii="宋体" w:hAnsi="宋体"/>
                <w:sz w:val="21"/>
                <w:szCs w:val="21"/>
                <w:highlight w:val="none"/>
              </w:rPr>
              <w:t>2.2.3</w:t>
            </w:r>
          </w:p>
        </w:tc>
        <w:tc>
          <w:tcPr>
            <w:tcW w:w="711" w:type="pct"/>
            <w:noWrap w:val="0"/>
            <w:vAlign w:val="center"/>
          </w:tcPr>
          <w:p w14:paraId="2A94497E">
            <w:pPr>
              <w:spacing w:line="276" w:lineRule="auto"/>
              <w:jc w:val="center"/>
              <w:rPr>
                <w:rFonts w:hint="eastAsia" w:ascii="宋体" w:hAnsi="宋体"/>
                <w:sz w:val="21"/>
                <w:szCs w:val="21"/>
                <w:highlight w:val="none"/>
              </w:rPr>
            </w:pPr>
            <w:r>
              <w:rPr>
                <w:rFonts w:hint="eastAsia" w:ascii="宋体" w:hAnsi="宋体"/>
                <w:sz w:val="21"/>
                <w:szCs w:val="21"/>
                <w:highlight w:val="none"/>
              </w:rPr>
              <w:t>评标价的</w:t>
            </w:r>
          </w:p>
          <w:p w14:paraId="7F6BF55E">
            <w:pPr>
              <w:spacing w:line="276" w:lineRule="auto"/>
              <w:jc w:val="center"/>
              <w:rPr>
                <w:rFonts w:hint="eastAsia" w:ascii="宋体" w:hAnsi="宋体"/>
                <w:sz w:val="21"/>
                <w:szCs w:val="21"/>
                <w:highlight w:val="none"/>
              </w:rPr>
            </w:pPr>
            <w:r>
              <w:rPr>
                <w:rFonts w:hint="eastAsia" w:ascii="宋体" w:hAnsi="宋体"/>
                <w:sz w:val="21"/>
                <w:szCs w:val="21"/>
                <w:highlight w:val="none"/>
              </w:rPr>
              <w:t>偏差率</w:t>
            </w:r>
          </w:p>
          <w:p w14:paraId="754C79E2">
            <w:pPr>
              <w:spacing w:line="276" w:lineRule="auto"/>
              <w:jc w:val="center"/>
              <w:rPr>
                <w:rFonts w:hint="eastAsia" w:ascii="宋体" w:hAnsi="宋体"/>
                <w:sz w:val="21"/>
                <w:szCs w:val="21"/>
                <w:highlight w:val="none"/>
              </w:rPr>
            </w:pPr>
            <w:r>
              <w:rPr>
                <w:rFonts w:hint="eastAsia" w:ascii="宋体" w:hAnsi="宋体"/>
                <w:sz w:val="21"/>
                <w:szCs w:val="21"/>
                <w:highlight w:val="none"/>
              </w:rPr>
              <w:t>计算公式</w:t>
            </w:r>
          </w:p>
        </w:tc>
        <w:tc>
          <w:tcPr>
            <w:tcW w:w="3562" w:type="pct"/>
            <w:noWrap w:val="0"/>
            <w:vAlign w:val="center"/>
          </w:tcPr>
          <w:p w14:paraId="27992BDB">
            <w:pPr>
              <w:spacing w:line="276" w:lineRule="auto"/>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75D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726" w:type="pct"/>
            <w:noWrap w:val="0"/>
            <w:vAlign w:val="center"/>
          </w:tcPr>
          <w:p w14:paraId="09818276">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1211" w:type="dxa"/>
            <w:noWrap w:val="0"/>
            <w:vAlign w:val="center"/>
          </w:tcPr>
          <w:p w14:paraId="309768C6">
            <w:pPr>
              <w:spacing w:line="276" w:lineRule="auto"/>
              <w:jc w:val="center"/>
              <w:rPr>
                <w:rFonts w:hint="default" w:ascii="宋体" w:hAnsi="宋体" w:eastAsia="宋体"/>
                <w:sz w:val="21"/>
                <w:szCs w:val="21"/>
                <w:highlight w:val="none"/>
                <w:lang w:val="en-US" w:eastAsia="zh-CN"/>
              </w:rPr>
            </w:pPr>
            <w:r>
              <w:rPr>
                <w:rFonts w:hint="eastAsia" w:ascii="宋体" w:hAnsi="宋体"/>
                <w:sz w:val="21"/>
                <w:szCs w:val="21"/>
                <w:highlight w:val="none"/>
              </w:rPr>
              <w:t>投标文件相关信息核查</w:t>
            </w:r>
          </w:p>
        </w:tc>
        <w:tc>
          <w:tcPr>
            <w:tcW w:w="6065" w:type="dxa"/>
            <w:noWrap w:val="0"/>
            <w:vAlign w:val="center"/>
          </w:tcPr>
          <w:p w14:paraId="3D5378E8">
            <w:pPr>
              <w:spacing w:line="276" w:lineRule="auto"/>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本款修改为：</w:t>
            </w:r>
          </w:p>
          <w:p w14:paraId="4C42B616">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在评标过程中，评标委员会应对投标人以下信息进行查询：</w:t>
            </w:r>
          </w:p>
          <w:p w14:paraId="2ABEDCE1">
            <w:pPr>
              <w:numPr>
                <w:ilvl w:val="0"/>
                <w:numId w:val="1"/>
              </w:numPr>
              <w:spacing w:line="276" w:lineRule="auto"/>
              <w:rPr>
                <w:rFonts w:hint="eastAsia" w:ascii="宋体" w:hAnsi="宋体"/>
                <w:sz w:val="21"/>
                <w:szCs w:val="21"/>
                <w:highlight w:val="none"/>
              </w:rPr>
            </w:pPr>
            <w:r>
              <w:rPr>
                <w:rFonts w:hint="eastAsia" w:ascii="宋体" w:hAnsi="宋体"/>
                <w:sz w:val="21"/>
                <w:szCs w:val="21"/>
                <w:highlight w:val="none"/>
              </w:rPr>
              <w:t>投标人名称和资质与“全国公路建设市场监督管理系统(https://hwdms.mot.gov.cn/BMWebSite/)”的复核结果一致（工程设计综合资质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1F20938C">
            <w:pPr>
              <w:numPr>
                <w:ilvl w:val="0"/>
                <w:numId w:val="1"/>
              </w:numPr>
              <w:spacing w:line="276" w:lineRule="auto"/>
              <w:rPr>
                <w:rFonts w:hint="eastAsia" w:ascii="宋体" w:hAnsi="宋体"/>
                <w:sz w:val="21"/>
                <w:szCs w:val="21"/>
                <w:highlight w:val="none"/>
              </w:rPr>
            </w:pPr>
            <w:r>
              <w:rPr>
                <w:rFonts w:hint="eastAsia" w:ascii="宋体" w:hAnsi="宋体"/>
                <w:sz w:val="21"/>
                <w:szCs w:val="21"/>
                <w:highlight w:val="none"/>
              </w:rPr>
              <w:t>投标人的业绩所附相关项目</w:t>
            </w:r>
            <w:r>
              <w:rPr>
                <w:rFonts w:hint="eastAsia" w:ascii="宋体" w:hAnsi="宋体"/>
                <w:sz w:val="21"/>
                <w:szCs w:val="21"/>
                <w:highlight w:val="none"/>
                <w:lang w:val="en-US" w:eastAsia="zh-CN"/>
              </w:rPr>
              <w:t>详</w:t>
            </w:r>
            <w:r>
              <w:rPr>
                <w:rFonts w:hint="eastAsia" w:ascii="宋体" w:hAnsi="宋体"/>
                <w:sz w:val="21"/>
                <w:szCs w:val="21"/>
                <w:highlight w:val="none"/>
              </w:rPr>
              <w:t>细信息网页截图复印件与“全国公路建设市场监督管理系统(https://hwdms.mot.gov.cn/BMWebSite/)”的复核结果一致；</w:t>
            </w:r>
          </w:p>
          <w:p w14:paraId="4BB08C7A">
            <w:pPr>
              <w:spacing w:line="276" w:lineRule="auto"/>
              <w:rPr>
                <w:rFonts w:hint="eastAsia" w:ascii="宋体" w:hAnsi="宋体"/>
                <w:sz w:val="21"/>
                <w:szCs w:val="21"/>
                <w:highlight w:val="none"/>
              </w:rPr>
            </w:pPr>
            <w:r>
              <w:rPr>
                <w:rFonts w:hint="eastAsia" w:ascii="宋体" w:hAnsi="宋体"/>
                <w:sz w:val="21"/>
                <w:szCs w:val="21"/>
                <w:highlight w:val="none"/>
              </w:rPr>
              <w:t>（3）所附项目负责人业绩的网页截图复印件与“全国公路建设市场监督管理系统(https://hwdms.mot.gov.cn/BMWebSite/)”的核查结果一致；</w:t>
            </w:r>
          </w:p>
          <w:p w14:paraId="4D3310C5">
            <w:pPr>
              <w:spacing w:line="276" w:lineRule="auto"/>
              <w:rPr>
                <w:rFonts w:hint="eastAsia" w:ascii="宋体" w:hAnsi="宋体"/>
                <w:sz w:val="21"/>
                <w:szCs w:val="21"/>
                <w:highlight w:val="none"/>
              </w:rPr>
            </w:pPr>
            <w:r>
              <w:rPr>
                <w:rFonts w:hint="eastAsia" w:ascii="宋体" w:hAnsi="宋体"/>
                <w:sz w:val="21"/>
                <w:szCs w:val="21"/>
                <w:highlight w:val="none"/>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735936A">
            <w:pPr>
              <w:spacing w:line="276" w:lineRule="auto"/>
              <w:rPr>
                <w:rFonts w:hint="eastAsia" w:ascii="宋体" w:hAnsi="宋体"/>
                <w:sz w:val="21"/>
                <w:szCs w:val="21"/>
                <w:highlight w:val="none"/>
              </w:rPr>
            </w:pPr>
            <w:r>
              <w:rPr>
                <w:rFonts w:hint="eastAsia" w:ascii="宋体" w:hAnsi="宋体"/>
                <w:sz w:val="21"/>
                <w:szCs w:val="21"/>
                <w:highlight w:val="none"/>
              </w:rPr>
              <w:t>前述（1）、（2）、（3）、（4）项如投标人未提供相关网页截图或所附截图与复核结果不一致导致其不满足资格条件，评标委员会应按照其不满足资格条件否决其投标。</w:t>
            </w:r>
          </w:p>
          <w:p w14:paraId="1E8B7364">
            <w:pPr>
              <w:spacing w:line="276" w:lineRule="auto"/>
              <w:rPr>
                <w:rFonts w:hint="eastAsia" w:ascii="宋体" w:hAnsi="宋体"/>
                <w:spacing w:val="-4"/>
                <w:sz w:val="21"/>
                <w:szCs w:val="21"/>
                <w:highlight w:val="none"/>
              </w:rPr>
            </w:pPr>
            <w:r>
              <w:rPr>
                <w:rFonts w:hint="eastAsia" w:ascii="宋体" w:hAnsi="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505E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36" w:type="dxa"/>
            <w:noWrap w:val="0"/>
            <w:vAlign w:val="center"/>
          </w:tcPr>
          <w:p w14:paraId="3843BA20">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3.6.3</w:t>
            </w:r>
          </w:p>
        </w:tc>
        <w:tc>
          <w:tcPr>
            <w:tcW w:w="7276" w:type="dxa"/>
            <w:gridSpan w:val="2"/>
            <w:noWrap w:val="0"/>
            <w:vAlign w:val="center"/>
          </w:tcPr>
          <w:p w14:paraId="16E8AE4C">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本款增加：</w:t>
            </w:r>
          </w:p>
          <w:p w14:paraId="02287CEE">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3.6.3投标人其他异常投标情形</w:t>
            </w:r>
          </w:p>
          <w:p w14:paraId="5B2A837A">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评标委员会在评标过程中发现存在投标文件异常一致或投标活动异常关联等异常投标情形的，应当要求投标人作出解释说明。评标委员会经核查确认投标人存在串通投标等违法行为的，应否决其投标。</w:t>
            </w:r>
          </w:p>
          <w:p w14:paraId="6FEC26E7">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有下列情形之一的，属于投标文件异常一致或投标活动异常关联等异常投标情形：</w:t>
            </w:r>
          </w:p>
          <w:p w14:paraId="11C59D2D">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（1）投标人投标文件制作机器码雷同；</w:t>
            </w:r>
          </w:p>
          <w:p w14:paraId="397D9D7B">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（2）投标文件创建标识码雷同；</w:t>
            </w:r>
          </w:p>
          <w:p w14:paraId="4BC51BC8">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（3）投标文件制作计算机MAC地址雷同；</w:t>
            </w:r>
          </w:p>
          <w:p w14:paraId="08DF7C90">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（4）投标文件制作计算机硬盘序列号雷同；</w:t>
            </w:r>
          </w:p>
          <w:p w14:paraId="0191602B">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（5）招标文件下载IP地址雷同；</w:t>
            </w:r>
          </w:p>
          <w:p w14:paraId="3010A42B">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（6）投标文件上传IP地址雷同；</w:t>
            </w:r>
          </w:p>
          <w:p w14:paraId="0A30BFC4">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（7）投标文件解密IP地址雷同。</w:t>
            </w:r>
          </w:p>
        </w:tc>
      </w:tr>
    </w:tbl>
    <w:p w14:paraId="3D371CAF">
      <w:pPr>
        <w:jc w:val="both"/>
        <w:rPr>
          <w:rFonts w:ascii="宋体" w:hAnsi="宋体"/>
          <w:szCs w:val="21"/>
          <w:highlight w:val="none"/>
        </w:rPr>
      </w:pPr>
      <w:r>
        <w:rPr>
          <w:rFonts w:hint="eastAsia" w:ascii="宋体" w:hAnsi="宋体"/>
          <w:sz w:val="24"/>
          <w:highlight w:val="none"/>
        </w:rPr>
        <w:br w:type="page"/>
      </w:r>
      <w:r>
        <w:rPr>
          <w:rFonts w:hint="eastAsia" w:ascii="宋体" w:hAnsi="宋体"/>
          <w:sz w:val="24"/>
          <w:highlight w:val="none"/>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75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3A2944C2">
            <w:pPr>
              <w:pStyle w:val="7"/>
              <w:spacing w:line="276" w:lineRule="auto"/>
              <w:jc w:val="center"/>
              <w:rPr>
                <w:rFonts w:hint="eastAsia" w:hAnsi="宋体"/>
                <w:szCs w:val="21"/>
                <w:highlight w:val="none"/>
              </w:rPr>
            </w:pPr>
            <w:r>
              <w:rPr>
                <w:rFonts w:hint="eastAsia" w:hAnsi="宋体"/>
                <w:szCs w:val="21"/>
                <w:highlight w:val="none"/>
              </w:rPr>
              <w:t>评分因素与权重分值</w:t>
            </w:r>
          </w:p>
        </w:tc>
        <w:tc>
          <w:tcPr>
            <w:tcW w:w="1800" w:type="pct"/>
            <w:vMerge w:val="restart"/>
            <w:noWrap w:val="0"/>
            <w:tcMar>
              <w:top w:w="113" w:type="dxa"/>
              <w:left w:w="108" w:type="dxa"/>
              <w:bottom w:w="113" w:type="dxa"/>
              <w:right w:w="108" w:type="dxa"/>
            </w:tcMar>
            <w:vAlign w:val="center"/>
          </w:tcPr>
          <w:p w14:paraId="2F65D8B5">
            <w:pPr>
              <w:pStyle w:val="7"/>
              <w:spacing w:line="276" w:lineRule="auto"/>
              <w:jc w:val="center"/>
              <w:rPr>
                <w:rFonts w:hint="eastAsia" w:hAnsi="宋体"/>
                <w:szCs w:val="21"/>
                <w:highlight w:val="none"/>
              </w:rPr>
            </w:pPr>
            <w:r>
              <w:rPr>
                <w:rFonts w:hint="eastAsia" w:hAnsi="宋体"/>
                <w:szCs w:val="21"/>
                <w:highlight w:val="none"/>
              </w:rPr>
              <w:t>评分标准</w:t>
            </w:r>
          </w:p>
        </w:tc>
      </w:tr>
      <w:tr w14:paraId="3F7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387342FB">
            <w:pPr>
              <w:pStyle w:val="7"/>
              <w:spacing w:line="276" w:lineRule="auto"/>
              <w:jc w:val="center"/>
              <w:rPr>
                <w:rFonts w:hAnsi="宋体"/>
                <w:szCs w:val="21"/>
                <w:highlight w:val="none"/>
              </w:rPr>
            </w:pPr>
            <w:r>
              <w:rPr>
                <w:rFonts w:hint="eastAsia" w:hAnsi="宋体"/>
                <w:szCs w:val="21"/>
                <w:highlight w:val="none"/>
              </w:rPr>
              <w:t>条款号</w:t>
            </w:r>
          </w:p>
        </w:tc>
        <w:tc>
          <w:tcPr>
            <w:tcW w:w="643" w:type="pct"/>
            <w:noWrap w:val="0"/>
            <w:tcMar>
              <w:top w:w="113" w:type="dxa"/>
              <w:left w:w="108" w:type="dxa"/>
              <w:bottom w:w="113" w:type="dxa"/>
              <w:right w:w="108" w:type="dxa"/>
            </w:tcMar>
            <w:vAlign w:val="center"/>
          </w:tcPr>
          <w:p w14:paraId="26AE6217">
            <w:pPr>
              <w:pStyle w:val="7"/>
              <w:spacing w:line="276" w:lineRule="auto"/>
              <w:jc w:val="center"/>
              <w:rPr>
                <w:rFonts w:hint="eastAsia" w:hAnsi="宋体"/>
                <w:szCs w:val="21"/>
                <w:highlight w:val="none"/>
              </w:rPr>
            </w:pPr>
            <w:r>
              <w:rPr>
                <w:rFonts w:hint="eastAsia" w:hAnsi="宋体"/>
                <w:szCs w:val="21"/>
                <w:highlight w:val="none"/>
              </w:rPr>
              <w:t>评分因素</w:t>
            </w:r>
          </w:p>
        </w:tc>
        <w:tc>
          <w:tcPr>
            <w:tcW w:w="653" w:type="pct"/>
            <w:noWrap w:val="0"/>
            <w:tcMar>
              <w:top w:w="113" w:type="dxa"/>
              <w:left w:w="108" w:type="dxa"/>
              <w:bottom w:w="113" w:type="dxa"/>
              <w:right w:w="108" w:type="dxa"/>
            </w:tcMar>
            <w:vAlign w:val="center"/>
          </w:tcPr>
          <w:p w14:paraId="658221A2">
            <w:pPr>
              <w:pStyle w:val="7"/>
              <w:ind w:firstLine="1"/>
              <w:jc w:val="center"/>
              <w:rPr>
                <w:rFonts w:hint="eastAsia" w:hAnsi="宋体"/>
                <w:szCs w:val="21"/>
                <w:highlight w:val="none"/>
              </w:rPr>
            </w:pPr>
            <w:r>
              <w:rPr>
                <w:rFonts w:hint="eastAsia" w:hAnsi="宋体"/>
                <w:szCs w:val="21"/>
                <w:highlight w:val="none"/>
              </w:rPr>
              <w:t>评分因素</w:t>
            </w:r>
          </w:p>
          <w:p w14:paraId="6EE96718">
            <w:pPr>
              <w:pStyle w:val="7"/>
              <w:ind w:firstLine="1"/>
              <w:jc w:val="center"/>
              <w:rPr>
                <w:rFonts w:hAnsi="宋体"/>
                <w:szCs w:val="21"/>
                <w:highlight w:val="none"/>
              </w:rPr>
            </w:pPr>
            <w:r>
              <w:rPr>
                <w:rFonts w:hint="eastAsia" w:hAnsi="宋体"/>
                <w:szCs w:val="21"/>
                <w:highlight w:val="none"/>
              </w:rPr>
              <w:t>权重分值</w:t>
            </w:r>
          </w:p>
        </w:tc>
        <w:tc>
          <w:tcPr>
            <w:tcW w:w="914" w:type="pct"/>
            <w:noWrap w:val="0"/>
            <w:tcMar>
              <w:top w:w="113" w:type="dxa"/>
              <w:left w:w="108" w:type="dxa"/>
              <w:bottom w:w="113" w:type="dxa"/>
              <w:right w:w="108" w:type="dxa"/>
            </w:tcMar>
            <w:vAlign w:val="center"/>
          </w:tcPr>
          <w:p w14:paraId="3379DF79">
            <w:pPr>
              <w:pStyle w:val="7"/>
              <w:spacing w:line="276" w:lineRule="auto"/>
              <w:jc w:val="center"/>
              <w:rPr>
                <w:rStyle w:val="12"/>
                <w:color w:val="auto"/>
                <w:highlight w:val="none"/>
              </w:rPr>
            </w:pPr>
            <w:r>
              <w:rPr>
                <w:rStyle w:val="12"/>
                <w:color w:val="auto"/>
                <w:highlight w:val="none"/>
              </w:rPr>
              <w:t>各评分</w:t>
            </w:r>
          </w:p>
          <w:p w14:paraId="0B541822">
            <w:pPr>
              <w:pStyle w:val="7"/>
              <w:spacing w:line="276" w:lineRule="auto"/>
              <w:jc w:val="center"/>
              <w:rPr>
                <w:rFonts w:hAnsi="宋体"/>
                <w:szCs w:val="21"/>
                <w:highlight w:val="none"/>
              </w:rPr>
            </w:pPr>
            <w:r>
              <w:rPr>
                <w:rStyle w:val="12"/>
                <w:color w:val="auto"/>
                <w:highlight w:val="none"/>
              </w:rPr>
              <w:t>因素细分项</w:t>
            </w:r>
          </w:p>
        </w:tc>
        <w:tc>
          <w:tcPr>
            <w:tcW w:w="449" w:type="pct"/>
            <w:noWrap w:val="0"/>
            <w:tcMar>
              <w:top w:w="113" w:type="dxa"/>
              <w:left w:w="108" w:type="dxa"/>
              <w:bottom w:w="113" w:type="dxa"/>
              <w:right w:w="108" w:type="dxa"/>
            </w:tcMar>
            <w:vAlign w:val="center"/>
          </w:tcPr>
          <w:p w14:paraId="676086DA">
            <w:pPr>
              <w:pStyle w:val="7"/>
              <w:spacing w:line="276" w:lineRule="auto"/>
              <w:jc w:val="center"/>
              <w:rPr>
                <w:rFonts w:hAnsi="宋体"/>
                <w:szCs w:val="21"/>
                <w:highlight w:val="none"/>
              </w:rPr>
            </w:pPr>
            <w:r>
              <w:rPr>
                <w:rFonts w:hint="eastAsia" w:hAnsi="宋体"/>
                <w:szCs w:val="21"/>
                <w:highlight w:val="none"/>
              </w:rPr>
              <w:t>分值</w:t>
            </w:r>
          </w:p>
        </w:tc>
        <w:tc>
          <w:tcPr>
            <w:tcW w:w="1800" w:type="pct"/>
            <w:vMerge w:val="continue"/>
            <w:noWrap w:val="0"/>
            <w:tcMar>
              <w:top w:w="113" w:type="dxa"/>
              <w:left w:w="108" w:type="dxa"/>
              <w:bottom w:w="113" w:type="dxa"/>
              <w:right w:w="108" w:type="dxa"/>
            </w:tcMar>
            <w:vAlign w:val="center"/>
          </w:tcPr>
          <w:p w14:paraId="4E72839D">
            <w:pPr>
              <w:pStyle w:val="7"/>
              <w:spacing w:line="276" w:lineRule="auto"/>
              <w:jc w:val="center"/>
              <w:rPr>
                <w:rFonts w:hAnsi="宋体"/>
                <w:szCs w:val="21"/>
                <w:highlight w:val="none"/>
              </w:rPr>
            </w:pPr>
          </w:p>
        </w:tc>
      </w:tr>
      <w:tr w14:paraId="196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48EE24C">
            <w:pPr>
              <w:pStyle w:val="7"/>
              <w:spacing w:line="276" w:lineRule="auto"/>
              <w:jc w:val="center"/>
              <w:rPr>
                <w:rFonts w:hAnsi="宋体"/>
                <w:szCs w:val="21"/>
                <w:highlight w:val="none"/>
              </w:rPr>
            </w:pPr>
            <w:r>
              <w:rPr>
                <w:rFonts w:hint="eastAsia" w:hAnsi="宋体"/>
                <w:szCs w:val="21"/>
                <w:highlight w:val="none"/>
              </w:rPr>
              <w:t>2.2.4（1）</w:t>
            </w:r>
          </w:p>
        </w:tc>
        <w:tc>
          <w:tcPr>
            <w:tcW w:w="643" w:type="pct"/>
            <w:vMerge w:val="restart"/>
            <w:noWrap w:val="0"/>
            <w:tcMar>
              <w:top w:w="113" w:type="dxa"/>
              <w:left w:w="108" w:type="dxa"/>
              <w:bottom w:w="113" w:type="dxa"/>
              <w:right w:w="108" w:type="dxa"/>
            </w:tcMar>
            <w:vAlign w:val="center"/>
          </w:tcPr>
          <w:p w14:paraId="19EC6B63">
            <w:pPr>
              <w:pStyle w:val="7"/>
              <w:spacing w:line="276" w:lineRule="auto"/>
              <w:jc w:val="center"/>
              <w:rPr>
                <w:rFonts w:hint="eastAsia" w:hAnsi="宋体"/>
                <w:szCs w:val="21"/>
                <w:highlight w:val="none"/>
              </w:rPr>
            </w:pPr>
            <w:r>
              <w:rPr>
                <w:rFonts w:hint="eastAsia" w:hAnsi="宋体"/>
                <w:szCs w:val="21"/>
                <w:highlight w:val="none"/>
              </w:rPr>
              <w:t>技术建议书（暗标）</w:t>
            </w:r>
          </w:p>
        </w:tc>
        <w:tc>
          <w:tcPr>
            <w:tcW w:w="653" w:type="pct"/>
            <w:vMerge w:val="restart"/>
            <w:noWrap w:val="0"/>
            <w:tcMar>
              <w:top w:w="113" w:type="dxa"/>
              <w:left w:w="108" w:type="dxa"/>
              <w:bottom w:w="113" w:type="dxa"/>
              <w:right w:w="108" w:type="dxa"/>
            </w:tcMar>
            <w:vAlign w:val="center"/>
          </w:tcPr>
          <w:p w14:paraId="293FC2C8">
            <w:pPr>
              <w:pStyle w:val="7"/>
              <w:spacing w:line="276" w:lineRule="auto"/>
              <w:jc w:val="center"/>
              <w:rPr>
                <w:rFonts w:hAnsi="宋体"/>
                <w:szCs w:val="21"/>
                <w:highlight w:val="none"/>
              </w:rPr>
            </w:pPr>
            <w:r>
              <w:rPr>
                <w:rFonts w:hint="eastAsia" w:hAnsi="宋体"/>
                <w:szCs w:val="21"/>
                <w:highlight w:val="none"/>
                <w:u w:val="single"/>
              </w:rPr>
              <w:t>40</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32F7EF80">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0128CFBF">
            <w:pPr>
              <w:pStyle w:val="7"/>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7CA6E7B5">
            <w:pPr>
              <w:pStyle w:val="7"/>
              <w:rPr>
                <w:rFonts w:hint="eastAsia" w:hAnsi="宋体" w:eastAsia="宋体"/>
                <w:szCs w:val="21"/>
                <w:highlight w:val="none"/>
                <w:lang w:eastAsia="zh-CN"/>
              </w:rPr>
            </w:pPr>
            <w:r>
              <w:rPr>
                <w:rFonts w:hint="eastAsia" w:hAnsi="宋体"/>
                <w:szCs w:val="21"/>
                <w:highlight w:val="none"/>
              </w:rPr>
              <w:t>对招标项目的总体设计理解准确，思路与工可的设计理念、思路高度吻合，得8.0-10.0分</w:t>
            </w:r>
            <w:r>
              <w:rPr>
                <w:rFonts w:hint="eastAsia" w:hAnsi="宋体"/>
                <w:szCs w:val="21"/>
                <w:highlight w:val="none"/>
                <w:lang w:eastAsia="zh-CN"/>
              </w:rPr>
              <w:t>。</w:t>
            </w:r>
          </w:p>
        </w:tc>
      </w:tr>
      <w:tr w14:paraId="2E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4D47174F">
            <w:pPr>
              <w:pStyle w:val="7"/>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3A06A4C8">
            <w:pPr>
              <w:pStyle w:val="7"/>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3FF4BF70">
            <w:pPr>
              <w:pStyle w:val="7"/>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46B4E89D">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5B95F808">
            <w:pPr>
              <w:pStyle w:val="7"/>
              <w:spacing w:line="276" w:lineRule="auto"/>
              <w:jc w:val="left"/>
              <w:rPr>
                <w:highlight w:val="none"/>
              </w:rPr>
            </w:pPr>
          </w:p>
        </w:tc>
        <w:tc>
          <w:tcPr>
            <w:tcW w:w="1800" w:type="pct"/>
            <w:noWrap w:val="0"/>
            <w:tcMar>
              <w:top w:w="113" w:type="dxa"/>
              <w:left w:w="108" w:type="dxa"/>
              <w:bottom w:w="113" w:type="dxa"/>
              <w:right w:w="108" w:type="dxa"/>
            </w:tcMar>
            <w:vAlign w:val="center"/>
          </w:tcPr>
          <w:p w14:paraId="632CDA60">
            <w:pPr>
              <w:pStyle w:val="7"/>
              <w:rPr>
                <w:rFonts w:hint="eastAsia" w:hAnsi="宋体" w:eastAsia="宋体"/>
                <w:szCs w:val="21"/>
                <w:highlight w:val="none"/>
                <w:lang w:eastAsia="zh-CN"/>
              </w:rPr>
            </w:pPr>
            <w:r>
              <w:rPr>
                <w:rFonts w:hint="eastAsia" w:hAnsi="宋体"/>
                <w:szCs w:val="21"/>
                <w:highlight w:val="none"/>
              </w:rPr>
              <w:t>对招标项目的总体设计理解较准确，思路与工可的设计理念、思路吻合，得6.0-8.0分</w:t>
            </w:r>
            <w:r>
              <w:rPr>
                <w:rFonts w:hint="eastAsia" w:hAnsi="宋体"/>
                <w:szCs w:val="21"/>
                <w:highlight w:val="none"/>
                <w:lang w:eastAsia="zh-CN"/>
              </w:rPr>
              <w:t>；</w:t>
            </w:r>
          </w:p>
        </w:tc>
      </w:tr>
      <w:tr w14:paraId="4CE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0CC0CB4D">
            <w:pPr>
              <w:pStyle w:val="7"/>
              <w:spacing w:line="276" w:lineRule="auto"/>
              <w:jc w:val="left"/>
              <w:rPr>
                <w:rFonts w:hAnsi="宋体"/>
                <w:szCs w:val="21"/>
                <w:highlight w:val="none"/>
              </w:rPr>
            </w:pPr>
          </w:p>
        </w:tc>
        <w:tc>
          <w:tcPr>
            <w:tcW w:w="643" w:type="pct"/>
            <w:vMerge w:val="continue"/>
            <w:noWrap w:val="0"/>
            <w:tcMar>
              <w:top w:w="113" w:type="dxa"/>
              <w:left w:w="108" w:type="dxa"/>
              <w:bottom w:w="113" w:type="dxa"/>
              <w:right w:w="108" w:type="dxa"/>
            </w:tcMar>
            <w:vAlign w:val="center"/>
          </w:tcPr>
          <w:p w14:paraId="44A98F9F">
            <w:pPr>
              <w:pStyle w:val="7"/>
              <w:spacing w:line="276" w:lineRule="auto"/>
              <w:jc w:val="left"/>
              <w:rPr>
                <w:rFonts w:hAnsi="宋体"/>
                <w:szCs w:val="21"/>
                <w:highlight w:val="none"/>
              </w:rPr>
            </w:pPr>
          </w:p>
        </w:tc>
        <w:tc>
          <w:tcPr>
            <w:tcW w:w="653" w:type="pct"/>
            <w:vMerge w:val="continue"/>
            <w:noWrap w:val="0"/>
            <w:tcMar>
              <w:top w:w="113" w:type="dxa"/>
              <w:left w:w="108" w:type="dxa"/>
              <w:bottom w:w="113" w:type="dxa"/>
              <w:right w:w="108" w:type="dxa"/>
            </w:tcMar>
            <w:vAlign w:val="center"/>
          </w:tcPr>
          <w:p w14:paraId="5E29289F">
            <w:pPr>
              <w:pStyle w:val="7"/>
              <w:spacing w:line="276" w:lineRule="auto"/>
              <w:jc w:val="left"/>
              <w:rPr>
                <w:rFonts w:hAnsi="宋体"/>
                <w:szCs w:val="21"/>
                <w:highlight w:val="none"/>
              </w:rPr>
            </w:pPr>
          </w:p>
        </w:tc>
        <w:tc>
          <w:tcPr>
            <w:tcW w:w="914" w:type="pct"/>
            <w:vMerge w:val="continue"/>
            <w:noWrap w:val="0"/>
            <w:tcMar>
              <w:top w:w="113" w:type="dxa"/>
              <w:left w:w="108" w:type="dxa"/>
              <w:bottom w:w="113" w:type="dxa"/>
              <w:right w:w="108" w:type="dxa"/>
            </w:tcMar>
            <w:vAlign w:val="center"/>
          </w:tcPr>
          <w:p w14:paraId="20A00A11">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65F7D37">
            <w:pPr>
              <w:pStyle w:val="7"/>
              <w:spacing w:line="276" w:lineRule="auto"/>
              <w:jc w:val="left"/>
              <w:rPr>
                <w:rFonts w:hAnsi="宋体"/>
                <w:szCs w:val="21"/>
                <w:highlight w:val="none"/>
              </w:rPr>
            </w:pPr>
          </w:p>
        </w:tc>
        <w:tc>
          <w:tcPr>
            <w:tcW w:w="1800" w:type="pct"/>
            <w:noWrap w:val="0"/>
            <w:tcMar>
              <w:top w:w="113" w:type="dxa"/>
              <w:left w:w="108" w:type="dxa"/>
              <w:bottom w:w="113" w:type="dxa"/>
              <w:right w:w="108" w:type="dxa"/>
            </w:tcMar>
            <w:vAlign w:val="center"/>
          </w:tcPr>
          <w:p w14:paraId="4BACE0D1">
            <w:pPr>
              <w:pStyle w:val="7"/>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4D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1F25A1E">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14C1CD98">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7E4F7A1C">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16936E21">
            <w:pPr>
              <w:pStyle w:val="7"/>
              <w:jc w:val="center"/>
              <w:rPr>
                <w:rFonts w:hint="eastAsia" w:hAnsi="宋体"/>
                <w:szCs w:val="21"/>
                <w:highlight w:val="none"/>
              </w:rPr>
            </w:pPr>
          </w:p>
          <w:p w14:paraId="788D7C78">
            <w:pPr>
              <w:pStyle w:val="7"/>
              <w:jc w:val="center"/>
              <w:rPr>
                <w:rFonts w:hint="eastAsia" w:hAnsi="宋体"/>
                <w:szCs w:val="21"/>
                <w:highlight w:val="none"/>
              </w:rPr>
            </w:pPr>
          </w:p>
          <w:p w14:paraId="07F604BF">
            <w:pPr>
              <w:pStyle w:val="7"/>
              <w:jc w:val="center"/>
              <w:rPr>
                <w:rFonts w:hint="eastAsia" w:hAnsi="宋体"/>
                <w:szCs w:val="21"/>
                <w:highlight w:val="none"/>
              </w:rPr>
            </w:pPr>
          </w:p>
          <w:p w14:paraId="39A4843E">
            <w:pPr>
              <w:pStyle w:val="7"/>
              <w:jc w:val="center"/>
              <w:rPr>
                <w:rFonts w:hint="eastAsia" w:hAnsi="宋体"/>
                <w:szCs w:val="21"/>
                <w:highlight w:val="none"/>
              </w:rPr>
            </w:pPr>
          </w:p>
          <w:p w14:paraId="1AA4EE23">
            <w:pPr>
              <w:pStyle w:val="7"/>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49" w:type="pct"/>
            <w:vMerge w:val="restart"/>
            <w:noWrap w:val="0"/>
            <w:tcMar>
              <w:top w:w="113" w:type="dxa"/>
              <w:left w:w="108" w:type="dxa"/>
              <w:bottom w:w="113" w:type="dxa"/>
              <w:right w:w="108" w:type="dxa"/>
            </w:tcMar>
            <w:vAlign w:val="center"/>
          </w:tcPr>
          <w:p w14:paraId="71E2A6E2">
            <w:pPr>
              <w:pStyle w:val="7"/>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167D77A4">
            <w:pPr>
              <w:pStyle w:val="7"/>
              <w:rPr>
                <w:rFonts w:hint="eastAsia" w:hAnsi="宋体" w:eastAsia="宋体"/>
                <w:szCs w:val="21"/>
                <w:highlight w:val="none"/>
                <w:lang w:eastAsia="zh-CN"/>
              </w:rPr>
            </w:pPr>
            <w:r>
              <w:rPr>
                <w:rFonts w:hint="eastAsia" w:hAnsi="宋体"/>
                <w:szCs w:val="21"/>
                <w:highlight w:val="none"/>
              </w:rPr>
              <w:t>项目设计的特点针对性强，关键技术问题对策明确、合理，技术建议科学、有效、可行，得8.0－10.0分</w:t>
            </w:r>
            <w:r>
              <w:rPr>
                <w:rFonts w:hint="eastAsia" w:hAnsi="宋体"/>
                <w:szCs w:val="21"/>
                <w:highlight w:val="none"/>
                <w:lang w:eastAsia="zh-CN"/>
              </w:rPr>
              <w:t>；</w:t>
            </w:r>
          </w:p>
        </w:tc>
      </w:tr>
      <w:tr w14:paraId="799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7CE998A">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0405245B">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465A8BA0">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02E0E534">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3D889D5">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79D1DED8">
            <w:pPr>
              <w:pStyle w:val="7"/>
              <w:rPr>
                <w:rFonts w:hint="eastAsia" w:hAnsi="宋体"/>
                <w:szCs w:val="21"/>
                <w:highlight w:val="none"/>
              </w:rPr>
            </w:pPr>
            <w:r>
              <w:rPr>
                <w:rFonts w:hint="eastAsia" w:hAnsi="宋体"/>
                <w:szCs w:val="21"/>
                <w:highlight w:val="none"/>
              </w:rPr>
              <w:t>项目设计的特点和关键技术问题针对性较强，技术建议可行，得6.0－8.0分；</w:t>
            </w:r>
          </w:p>
        </w:tc>
      </w:tr>
      <w:tr w14:paraId="7C8E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0F67EDEE">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D3C53E8">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7964FBF2">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20D9595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4F48BB1">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52B5236D">
            <w:pPr>
              <w:pStyle w:val="7"/>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0A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88023CB">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11E3798">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5B3CA3F2">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2BB25D45">
            <w:pPr>
              <w:pStyle w:val="7"/>
              <w:rPr>
                <w:rFonts w:hint="eastAsia" w:hAnsi="宋体"/>
                <w:szCs w:val="21"/>
                <w:highlight w:val="none"/>
              </w:rPr>
            </w:pPr>
            <w:r>
              <w:rPr>
                <w:rFonts w:hint="eastAsia" w:hAnsi="宋体"/>
                <w:szCs w:val="21"/>
                <w:highlight w:val="none"/>
              </w:rPr>
              <w:t>设计工作量及计划安排</w:t>
            </w:r>
          </w:p>
        </w:tc>
        <w:tc>
          <w:tcPr>
            <w:tcW w:w="449" w:type="pct"/>
            <w:vMerge w:val="restart"/>
            <w:noWrap w:val="0"/>
            <w:tcMar>
              <w:top w:w="113" w:type="dxa"/>
              <w:left w:w="108" w:type="dxa"/>
              <w:bottom w:w="113" w:type="dxa"/>
              <w:right w:w="108" w:type="dxa"/>
            </w:tcMar>
            <w:vAlign w:val="center"/>
          </w:tcPr>
          <w:p w14:paraId="77D8F4A7">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4F03A03B">
            <w:pPr>
              <w:pStyle w:val="7"/>
              <w:rPr>
                <w:rFonts w:hint="eastAsia" w:hAnsi="宋体" w:eastAsia="宋体"/>
                <w:szCs w:val="21"/>
                <w:highlight w:val="none"/>
                <w:lang w:eastAsia="zh-CN"/>
              </w:rPr>
            </w:pPr>
            <w:r>
              <w:rPr>
                <w:rFonts w:hint="eastAsia" w:hAnsi="宋体"/>
                <w:szCs w:val="21"/>
                <w:highlight w:val="none"/>
              </w:rPr>
              <w:t>工作量及计划安排科学，安排周密，得4.0-5.0分</w:t>
            </w:r>
            <w:r>
              <w:rPr>
                <w:rFonts w:hint="eastAsia" w:hAnsi="宋体"/>
                <w:szCs w:val="21"/>
                <w:highlight w:val="none"/>
                <w:lang w:eastAsia="zh-CN"/>
              </w:rPr>
              <w:t>；</w:t>
            </w:r>
          </w:p>
        </w:tc>
      </w:tr>
      <w:tr w14:paraId="5B1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A2B0395">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4734D5AA">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355AEC70">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0C7D3FFC">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292E8CCF">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5E765E87">
            <w:pPr>
              <w:pStyle w:val="7"/>
              <w:rPr>
                <w:rFonts w:hint="eastAsia" w:hAnsi="宋体"/>
                <w:szCs w:val="21"/>
                <w:highlight w:val="none"/>
              </w:rPr>
            </w:pPr>
            <w:r>
              <w:rPr>
                <w:rFonts w:hint="eastAsia" w:hAnsi="宋体"/>
                <w:szCs w:val="21"/>
                <w:highlight w:val="none"/>
              </w:rPr>
              <w:t>工作量及计划安排合理，得3.0-4.0；</w:t>
            </w:r>
          </w:p>
        </w:tc>
      </w:tr>
      <w:tr w14:paraId="420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0E8C2422">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F87C8CC">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6D3F68F7">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3B1B0A0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A981B18">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2DC4A21A">
            <w:pPr>
              <w:pStyle w:val="7"/>
              <w:rPr>
                <w:rFonts w:hint="eastAsia" w:hAnsi="宋体"/>
                <w:szCs w:val="21"/>
                <w:highlight w:val="none"/>
              </w:rPr>
            </w:pPr>
            <w:r>
              <w:rPr>
                <w:rFonts w:hint="eastAsia" w:hAnsi="宋体"/>
                <w:szCs w:val="21"/>
                <w:highlight w:val="none"/>
              </w:rPr>
              <w:t>工作量及计划安排基本合理，得3分；</w:t>
            </w:r>
          </w:p>
        </w:tc>
      </w:tr>
      <w:tr w14:paraId="2E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28A1AC3">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23AFDD0A">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3B3ABD36">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79455D25">
            <w:pPr>
              <w:pStyle w:val="7"/>
              <w:rPr>
                <w:rFonts w:hint="eastAsia" w:hAnsi="宋体"/>
                <w:szCs w:val="21"/>
                <w:highlight w:val="none"/>
              </w:rPr>
            </w:pPr>
            <w:r>
              <w:rPr>
                <w:rFonts w:hint="eastAsia" w:hAnsi="宋体"/>
                <w:szCs w:val="21"/>
                <w:highlight w:val="none"/>
              </w:rPr>
              <w:t>设计的质量保证措施、进度保证措施、安全保证措施</w:t>
            </w:r>
          </w:p>
        </w:tc>
        <w:tc>
          <w:tcPr>
            <w:tcW w:w="449" w:type="pct"/>
            <w:vMerge w:val="restart"/>
            <w:noWrap w:val="0"/>
            <w:tcMar>
              <w:top w:w="113" w:type="dxa"/>
              <w:left w:w="108" w:type="dxa"/>
              <w:bottom w:w="113" w:type="dxa"/>
              <w:right w:w="108" w:type="dxa"/>
            </w:tcMar>
            <w:vAlign w:val="center"/>
          </w:tcPr>
          <w:p w14:paraId="6CC66F71">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5C12E30E">
            <w:pPr>
              <w:pStyle w:val="7"/>
              <w:rPr>
                <w:rFonts w:hint="eastAsia" w:hAnsi="宋体"/>
                <w:szCs w:val="21"/>
                <w:highlight w:val="none"/>
              </w:rPr>
            </w:pPr>
            <w:r>
              <w:rPr>
                <w:rFonts w:hint="eastAsia" w:hAnsi="宋体"/>
                <w:szCs w:val="21"/>
                <w:highlight w:val="none"/>
              </w:rPr>
              <w:t>质量、进度及安全保证措施具体可靠，可实施性强，适合本项目，得4.0-5.0。</w:t>
            </w:r>
          </w:p>
        </w:tc>
      </w:tr>
      <w:tr w14:paraId="756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5A03F38">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73AA247">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2A35F1B7">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521608D2">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7E0CB8D">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2B0E21F3">
            <w:pPr>
              <w:pStyle w:val="7"/>
              <w:rPr>
                <w:rFonts w:hint="eastAsia" w:hAnsi="宋体"/>
                <w:szCs w:val="21"/>
                <w:highlight w:val="none"/>
              </w:rPr>
            </w:pPr>
            <w:r>
              <w:rPr>
                <w:rFonts w:hint="eastAsia" w:hAnsi="宋体"/>
                <w:szCs w:val="21"/>
                <w:highlight w:val="none"/>
              </w:rPr>
              <w:t>质量、进度及安全保证措施较具体，可实施性较强，得3.0-4.0分；</w:t>
            </w:r>
          </w:p>
        </w:tc>
      </w:tr>
      <w:tr w14:paraId="3C8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1898B880">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02425EC">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5E245022">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1A650B65">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3741206">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63E19838">
            <w:pPr>
              <w:pStyle w:val="7"/>
              <w:rPr>
                <w:rFonts w:hint="eastAsia" w:hAnsi="宋体"/>
                <w:szCs w:val="21"/>
                <w:highlight w:val="none"/>
              </w:rPr>
            </w:pPr>
            <w:r>
              <w:rPr>
                <w:rFonts w:hint="eastAsia" w:hAnsi="宋体"/>
                <w:szCs w:val="21"/>
                <w:highlight w:val="none"/>
              </w:rPr>
              <w:t>质量、进度及安全保证措施不够具体，可实施性一般，得3.0分；</w:t>
            </w:r>
          </w:p>
        </w:tc>
      </w:tr>
      <w:tr w14:paraId="15C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826EF0C">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center"/>
          </w:tcPr>
          <w:p w14:paraId="05DAB985">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068EC02B">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057EB35A">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187E8E2E">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6216DD73">
            <w:pPr>
              <w:pStyle w:val="7"/>
              <w:rPr>
                <w:rFonts w:hint="eastAsia" w:hAnsi="宋体"/>
                <w:szCs w:val="21"/>
                <w:highlight w:val="none"/>
              </w:rPr>
            </w:pPr>
            <w:r>
              <w:rPr>
                <w:rFonts w:hint="eastAsia" w:hAnsi="宋体"/>
                <w:szCs w:val="21"/>
                <w:highlight w:val="none"/>
              </w:rPr>
              <w:t>投标人对于后续服务的承诺及保证措施安排完善合理，得4.0-5.0分。</w:t>
            </w:r>
          </w:p>
        </w:tc>
      </w:tr>
      <w:tr w14:paraId="0DB7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496E354">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5403604">
            <w:pPr>
              <w:pStyle w:val="7"/>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79FA5307">
            <w:pPr>
              <w:pStyle w:val="7"/>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01C8CB6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48CF9EC">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7B581779">
            <w:pPr>
              <w:pStyle w:val="7"/>
              <w:rPr>
                <w:rFonts w:hint="eastAsia" w:hAnsi="宋体"/>
                <w:szCs w:val="21"/>
                <w:highlight w:val="none"/>
              </w:rPr>
            </w:pPr>
            <w:r>
              <w:rPr>
                <w:rFonts w:hint="eastAsia" w:hAnsi="宋体"/>
                <w:szCs w:val="21"/>
                <w:highlight w:val="none"/>
              </w:rPr>
              <w:t>投标人对于后续服务的承诺及保证措施安排较完善，得3.0-4.0分；</w:t>
            </w:r>
          </w:p>
        </w:tc>
      </w:tr>
      <w:tr w14:paraId="0AC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338140E4">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03F9465B">
            <w:pPr>
              <w:pStyle w:val="7"/>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56DEA7EB">
            <w:pPr>
              <w:pStyle w:val="7"/>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44769E0A">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994EF8D">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5F8F540B">
            <w:pPr>
              <w:pStyle w:val="7"/>
              <w:rPr>
                <w:rFonts w:hint="eastAsia" w:hAnsi="宋体"/>
                <w:szCs w:val="21"/>
                <w:highlight w:val="none"/>
              </w:rPr>
            </w:pPr>
            <w:r>
              <w:rPr>
                <w:rFonts w:hint="eastAsia" w:hAnsi="宋体"/>
                <w:szCs w:val="21"/>
                <w:highlight w:val="none"/>
              </w:rPr>
              <w:t>投标人对于后续服务的承诺及保证措施安排一般，得3分；</w:t>
            </w:r>
          </w:p>
        </w:tc>
      </w:tr>
      <w:tr w14:paraId="671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725E290A">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EC5B424">
            <w:pPr>
              <w:pStyle w:val="7"/>
              <w:spacing w:line="276" w:lineRule="auto"/>
              <w:jc w:val="center"/>
              <w:rPr>
                <w:rFonts w:hint="eastAsia" w:hAnsi="宋体" w:cs="宋?"/>
                <w:kern w:val="0"/>
                <w:szCs w:val="21"/>
                <w:highlight w:val="none"/>
              </w:rPr>
            </w:pPr>
          </w:p>
        </w:tc>
        <w:tc>
          <w:tcPr>
            <w:tcW w:w="653" w:type="pct"/>
            <w:vMerge w:val="continue"/>
            <w:noWrap w:val="0"/>
            <w:tcMar>
              <w:top w:w="113" w:type="dxa"/>
              <w:left w:w="108" w:type="dxa"/>
              <w:bottom w:w="113" w:type="dxa"/>
              <w:right w:w="108" w:type="dxa"/>
            </w:tcMar>
            <w:vAlign w:val="center"/>
          </w:tcPr>
          <w:p w14:paraId="2F8B50A4">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28591219">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714BA344">
            <w:pPr>
              <w:pStyle w:val="7"/>
              <w:spacing w:line="276" w:lineRule="auto"/>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740797D6">
            <w:pPr>
              <w:pStyle w:val="7"/>
              <w:rPr>
                <w:rFonts w:hint="eastAsia" w:hAnsi="宋体"/>
                <w:szCs w:val="21"/>
                <w:highlight w:val="none"/>
              </w:rPr>
            </w:pPr>
            <w:r>
              <w:rPr>
                <w:rFonts w:hint="eastAsia" w:hAnsi="宋体"/>
                <w:szCs w:val="21"/>
                <w:highlight w:val="none"/>
              </w:rPr>
              <w:t>方案科学、具体、科学，得4.0-5.0分；</w:t>
            </w:r>
          </w:p>
        </w:tc>
      </w:tr>
      <w:tr w14:paraId="269C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4EB3AFA9">
            <w:pPr>
              <w:spacing w:line="276" w:lineRule="auto"/>
              <w:jc w:val="left"/>
              <w:rPr>
                <w:highlight w:val="none"/>
              </w:rPr>
            </w:pPr>
          </w:p>
        </w:tc>
        <w:tc>
          <w:tcPr>
            <w:tcW w:w="643" w:type="pct"/>
            <w:vMerge w:val="continue"/>
            <w:noWrap w:val="0"/>
            <w:tcMar>
              <w:top w:w="113" w:type="dxa"/>
              <w:left w:w="108" w:type="dxa"/>
              <w:bottom w:w="113" w:type="dxa"/>
              <w:right w:w="108" w:type="dxa"/>
            </w:tcMar>
            <w:vAlign w:val="top"/>
          </w:tcPr>
          <w:p w14:paraId="35879390">
            <w:pPr>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47E2323D">
            <w:pPr>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054CE985">
            <w:pPr>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28B86E0C">
            <w:pPr>
              <w:spacing w:line="276" w:lineRule="auto"/>
              <w:jc w:val="left"/>
              <w:rPr>
                <w:highlight w:val="none"/>
              </w:rPr>
            </w:pPr>
          </w:p>
        </w:tc>
        <w:tc>
          <w:tcPr>
            <w:tcW w:w="1800" w:type="pct"/>
            <w:noWrap w:val="0"/>
            <w:tcMar>
              <w:top w:w="113" w:type="dxa"/>
              <w:left w:w="108" w:type="dxa"/>
              <w:bottom w:w="113" w:type="dxa"/>
              <w:right w:w="108" w:type="dxa"/>
            </w:tcMar>
            <w:vAlign w:val="top"/>
          </w:tcPr>
          <w:p w14:paraId="10CA84DE">
            <w:pPr>
              <w:pStyle w:val="7"/>
              <w:rPr>
                <w:rFonts w:hint="eastAsia" w:hAnsi="宋体"/>
                <w:szCs w:val="21"/>
                <w:highlight w:val="none"/>
              </w:rPr>
            </w:pPr>
            <w:r>
              <w:rPr>
                <w:rFonts w:hint="eastAsia" w:hAnsi="宋体"/>
                <w:szCs w:val="21"/>
                <w:highlight w:val="none"/>
              </w:rPr>
              <w:t>方案较具体、较科学，得3.0-4.0</w:t>
            </w:r>
            <w:r>
              <w:rPr>
                <w:rFonts w:hint="eastAsia" w:hAnsi="宋体"/>
                <w:szCs w:val="21"/>
                <w:highlight w:val="none"/>
                <w:lang w:eastAsia="zh-CN"/>
              </w:rPr>
              <w:t>分</w:t>
            </w:r>
            <w:r>
              <w:rPr>
                <w:rFonts w:hint="eastAsia" w:hAnsi="宋体"/>
                <w:szCs w:val="21"/>
                <w:highlight w:val="none"/>
              </w:rPr>
              <w:t>；</w:t>
            </w:r>
          </w:p>
        </w:tc>
      </w:tr>
      <w:tr w14:paraId="23DB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9" w:type="pct"/>
            <w:vMerge w:val="continue"/>
            <w:noWrap w:val="0"/>
            <w:tcMar>
              <w:top w:w="113" w:type="dxa"/>
              <w:left w:w="108" w:type="dxa"/>
              <w:bottom w:w="113" w:type="dxa"/>
              <w:right w:w="108" w:type="dxa"/>
            </w:tcMar>
            <w:vAlign w:val="center"/>
          </w:tcPr>
          <w:p w14:paraId="3BB079FF">
            <w:pPr>
              <w:spacing w:line="276" w:lineRule="auto"/>
              <w:jc w:val="left"/>
              <w:rPr>
                <w:rFonts w:hint="eastAsia" w:ascii="宋体" w:hAnsi="宋体"/>
                <w:kern w:val="2"/>
                <w:sz w:val="21"/>
                <w:szCs w:val="21"/>
                <w:highlight w:val="none"/>
              </w:rPr>
            </w:pPr>
          </w:p>
        </w:tc>
        <w:tc>
          <w:tcPr>
            <w:tcW w:w="643" w:type="pct"/>
            <w:vMerge w:val="continue"/>
            <w:noWrap w:val="0"/>
            <w:tcMar>
              <w:top w:w="113" w:type="dxa"/>
              <w:left w:w="108" w:type="dxa"/>
              <w:bottom w:w="113" w:type="dxa"/>
              <w:right w:w="108" w:type="dxa"/>
            </w:tcMar>
            <w:vAlign w:val="top"/>
          </w:tcPr>
          <w:p w14:paraId="7E984B4F">
            <w:pPr>
              <w:spacing w:line="276" w:lineRule="auto"/>
              <w:jc w:val="left"/>
              <w:rPr>
                <w:rFonts w:hint="eastAsia" w:ascii="宋体" w:hAnsi="宋体"/>
                <w:kern w:val="2"/>
                <w:sz w:val="21"/>
                <w:szCs w:val="21"/>
                <w:highlight w:val="none"/>
              </w:rPr>
            </w:pPr>
          </w:p>
        </w:tc>
        <w:tc>
          <w:tcPr>
            <w:tcW w:w="653" w:type="pct"/>
            <w:vMerge w:val="continue"/>
            <w:noWrap w:val="0"/>
            <w:tcMar>
              <w:top w:w="113" w:type="dxa"/>
              <w:left w:w="108" w:type="dxa"/>
              <w:bottom w:w="113" w:type="dxa"/>
              <w:right w:w="108" w:type="dxa"/>
            </w:tcMar>
            <w:vAlign w:val="center"/>
          </w:tcPr>
          <w:p w14:paraId="36617FD8">
            <w:pPr>
              <w:spacing w:line="276" w:lineRule="auto"/>
              <w:jc w:val="left"/>
              <w:rPr>
                <w:rFonts w:hint="eastAsia" w:ascii="宋体" w:hAnsi="宋体"/>
                <w:kern w:val="2"/>
                <w:sz w:val="21"/>
                <w:szCs w:val="21"/>
                <w:highlight w:val="none"/>
              </w:rPr>
            </w:pPr>
          </w:p>
        </w:tc>
        <w:tc>
          <w:tcPr>
            <w:tcW w:w="914" w:type="pct"/>
            <w:vMerge w:val="continue"/>
            <w:noWrap w:val="0"/>
            <w:tcMar>
              <w:top w:w="113" w:type="dxa"/>
              <w:left w:w="108" w:type="dxa"/>
              <w:bottom w:w="113" w:type="dxa"/>
              <w:right w:w="108" w:type="dxa"/>
            </w:tcMar>
            <w:vAlign w:val="center"/>
          </w:tcPr>
          <w:p w14:paraId="4DC5E7ED">
            <w:pPr>
              <w:spacing w:line="276" w:lineRule="auto"/>
              <w:jc w:val="left"/>
              <w:rPr>
                <w:rFonts w:hint="eastAsia" w:ascii="宋体" w:hAnsi="宋体"/>
                <w:kern w:val="2"/>
                <w:sz w:val="21"/>
                <w:szCs w:val="21"/>
                <w:highlight w:val="none"/>
              </w:rPr>
            </w:pPr>
          </w:p>
        </w:tc>
        <w:tc>
          <w:tcPr>
            <w:tcW w:w="449" w:type="pct"/>
            <w:vMerge w:val="continue"/>
            <w:noWrap w:val="0"/>
            <w:tcMar>
              <w:top w:w="113" w:type="dxa"/>
              <w:left w:w="108" w:type="dxa"/>
              <w:bottom w:w="113" w:type="dxa"/>
              <w:right w:w="108" w:type="dxa"/>
            </w:tcMar>
            <w:vAlign w:val="center"/>
          </w:tcPr>
          <w:p w14:paraId="23403672">
            <w:pPr>
              <w:spacing w:line="276" w:lineRule="auto"/>
              <w:jc w:val="left"/>
              <w:rPr>
                <w:rFonts w:hint="eastAsia" w:ascii="宋体" w:hAnsi="宋体"/>
                <w:kern w:val="2"/>
                <w:sz w:val="21"/>
                <w:szCs w:val="21"/>
                <w:highlight w:val="none"/>
              </w:rPr>
            </w:pPr>
          </w:p>
        </w:tc>
        <w:tc>
          <w:tcPr>
            <w:tcW w:w="1800" w:type="pct"/>
            <w:noWrap w:val="0"/>
            <w:tcMar>
              <w:top w:w="113" w:type="dxa"/>
              <w:left w:w="108" w:type="dxa"/>
              <w:bottom w:w="113" w:type="dxa"/>
              <w:right w:w="108" w:type="dxa"/>
            </w:tcMar>
            <w:vAlign w:val="top"/>
          </w:tcPr>
          <w:p w14:paraId="573B4E6B">
            <w:pPr>
              <w:pStyle w:val="7"/>
              <w:rPr>
                <w:rFonts w:hint="eastAsia" w:hAnsi="宋体"/>
                <w:szCs w:val="21"/>
                <w:highlight w:val="none"/>
              </w:rPr>
            </w:pPr>
            <w:r>
              <w:rPr>
                <w:rFonts w:hint="eastAsia" w:hAnsi="宋体"/>
                <w:szCs w:val="21"/>
                <w:highlight w:val="none"/>
              </w:rPr>
              <w:t>方案一般，得3.0分。</w:t>
            </w:r>
          </w:p>
        </w:tc>
      </w:tr>
      <w:tr w14:paraId="55AB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028F58E6">
            <w:pPr>
              <w:pStyle w:val="7"/>
              <w:spacing w:line="276" w:lineRule="auto"/>
              <w:jc w:val="center"/>
              <w:rPr>
                <w:rFonts w:hAnsi="宋体"/>
                <w:szCs w:val="21"/>
                <w:highlight w:val="none"/>
              </w:rPr>
            </w:pPr>
            <w:r>
              <w:rPr>
                <w:rFonts w:hint="eastAsia" w:hAnsi="宋体"/>
                <w:szCs w:val="21"/>
                <w:highlight w:val="none"/>
              </w:rPr>
              <w:t>2.2.4（2）</w:t>
            </w:r>
          </w:p>
        </w:tc>
        <w:tc>
          <w:tcPr>
            <w:tcW w:w="643" w:type="pct"/>
            <w:vMerge w:val="restart"/>
            <w:noWrap w:val="0"/>
            <w:tcMar>
              <w:top w:w="113" w:type="dxa"/>
              <w:left w:w="108" w:type="dxa"/>
              <w:bottom w:w="113" w:type="dxa"/>
              <w:right w:w="108" w:type="dxa"/>
            </w:tcMar>
            <w:vAlign w:val="center"/>
          </w:tcPr>
          <w:p w14:paraId="1F7FB9B3">
            <w:pPr>
              <w:pStyle w:val="7"/>
              <w:spacing w:line="276" w:lineRule="auto"/>
              <w:jc w:val="center"/>
              <w:rPr>
                <w:rFonts w:hint="eastAsia" w:hAnsi="宋体"/>
                <w:szCs w:val="21"/>
                <w:highlight w:val="none"/>
              </w:rPr>
            </w:pPr>
            <w:r>
              <w:rPr>
                <w:rFonts w:hint="eastAsia" w:hAnsi="宋体"/>
                <w:szCs w:val="21"/>
                <w:highlight w:val="none"/>
              </w:rPr>
              <w:t>主要人员</w:t>
            </w:r>
          </w:p>
        </w:tc>
        <w:tc>
          <w:tcPr>
            <w:tcW w:w="653" w:type="pct"/>
            <w:vMerge w:val="restart"/>
            <w:noWrap w:val="0"/>
            <w:tcMar>
              <w:top w:w="113" w:type="dxa"/>
              <w:left w:w="108" w:type="dxa"/>
              <w:bottom w:w="113" w:type="dxa"/>
              <w:right w:w="108" w:type="dxa"/>
            </w:tcMar>
            <w:vAlign w:val="center"/>
          </w:tcPr>
          <w:p w14:paraId="058BCD66">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704E4D60">
            <w:pPr>
              <w:pStyle w:val="7"/>
              <w:rPr>
                <w:rFonts w:hint="eastAsia" w:hAnsi="宋体"/>
                <w:szCs w:val="21"/>
                <w:highlight w:val="none"/>
              </w:rPr>
            </w:pPr>
            <w:r>
              <w:rPr>
                <w:rFonts w:hint="eastAsia" w:hAnsi="宋体"/>
                <w:szCs w:val="21"/>
                <w:highlight w:val="none"/>
              </w:rPr>
              <w:t>项目负责人任职资格与业绩</w:t>
            </w:r>
          </w:p>
        </w:tc>
        <w:tc>
          <w:tcPr>
            <w:tcW w:w="449" w:type="pct"/>
            <w:vMerge w:val="restart"/>
            <w:noWrap w:val="0"/>
            <w:tcMar>
              <w:top w:w="113" w:type="dxa"/>
              <w:left w:w="108" w:type="dxa"/>
              <w:bottom w:w="113" w:type="dxa"/>
              <w:right w:w="108" w:type="dxa"/>
            </w:tcMar>
            <w:vAlign w:val="center"/>
          </w:tcPr>
          <w:p w14:paraId="2B6ADA63">
            <w:pPr>
              <w:pStyle w:val="7"/>
              <w:rPr>
                <w:rFonts w:hint="eastAsia" w:hAnsi="宋体"/>
                <w:szCs w:val="21"/>
                <w:highlight w:val="none"/>
              </w:rPr>
            </w:pPr>
            <w:r>
              <w:rPr>
                <w:rFonts w:hint="eastAsia" w:hAnsi="宋体"/>
                <w:szCs w:val="21"/>
                <w:highlight w:val="none"/>
              </w:rPr>
              <w:t>25分</w:t>
            </w:r>
          </w:p>
        </w:tc>
        <w:tc>
          <w:tcPr>
            <w:tcW w:w="1800" w:type="pct"/>
            <w:noWrap w:val="0"/>
            <w:tcMar>
              <w:top w:w="113" w:type="dxa"/>
              <w:left w:w="108" w:type="dxa"/>
              <w:bottom w:w="113" w:type="dxa"/>
              <w:right w:w="108" w:type="dxa"/>
            </w:tcMar>
            <w:vAlign w:val="center"/>
          </w:tcPr>
          <w:p w14:paraId="7143527A">
            <w:pPr>
              <w:pStyle w:val="7"/>
              <w:rPr>
                <w:rFonts w:hint="eastAsia" w:hAnsi="宋体"/>
                <w:szCs w:val="21"/>
                <w:highlight w:val="none"/>
              </w:rPr>
            </w:pPr>
            <w:r>
              <w:rPr>
                <w:rFonts w:hint="eastAsia" w:hAnsi="宋体"/>
                <w:szCs w:val="21"/>
                <w:highlight w:val="none"/>
              </w:rPr>
              <w:t>满足资格审查条件（项目负责人最低要求），得15分。</w:t>
            </w:r>
          </w:p>
        </w:tc>
      </w:tr>
      <w:tr w14:paraId="714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493909A0">
            <w:pPr>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5758101A">
            <w:pPr>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7F888E9F">
            <w:pPr>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0D0FD5F4">
            <w:pPr>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0F245B08">
            <w:pPr>
              <w:spacing w:line="276" w:lineRule="auto"/>
              <w:jc w:val="left"/>
              <w:rPr>
                <w:highlight w:val="none"/>
              </w:rPr>
            </w:pPr>
          </w:p>
        </w:tc>
        <w:tc>
          <w:tcPr>
            <w:tcW w:w="1800" w:type="pct"/>
            <w:noWrap w:val="0"/>
            <w:tcMar>
              <w:top w:w="113" w:type="dxa"/>
              <w:left w:w="108" w:type="dxa"/>
              <w:bottom w:w="113" w:type="dxa"/>
              <w:right w:w="108" w:type="dxa"/>
            </w:tcMar>
            <w:vAlign w:val="center"/>
          </w:tcPr>
          <w:p w14:paraId="1D2F3983">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w:t>
            </w:r>
            <w:r>
              <w:rPr>
                <w:rFonts w:hint="eastAsia" w:ascii="宋体" w:hAnsi="宋体" w:cs="Times New Roman"/>
                <w:bCs/>
                <w:kern w:val="2"/>
                <w:sz w:val="21"/>
                <w:szCs w:val="21"/>
                <w:highlight w:val="none"/>
                <w:lang w:val="en-US" w:eastAsia="zh-CN"/>
              </w:rPr>
              <w:t>5</w:t>
            </w:r>
            <w:r>
              <w:rPr>
                <w:rFonts w:hint="eastAsia" w:ascii="宋体" w:hAnsi="宋体" w:eastAsia="宋体" w:cs="Times New Roman"/>
                <w:bCs/>
                <w:kern w:val="2"/>
                <w:sz w:val="21"/>
                <w:szCs w:val="21"/>
                <w:highlight w:val="none"/>
                <w:lang w:val="en-US" w:eastAsia="zh-CN"/>
              </w:rPr>
              <w:t>分，本项最多加10分。</w:t>
            </w:r>
          </w:p>
        </w:tc>
      </w:tr>
      <w:tr w14:paraId="341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369D414">
            <w:pPr>
              <w:pStyle w:val="7"/>
              <w:spacing w:line="276" w:lineRule="auto"/>
              <w:jc w:val="center"/>
              <w:rPr>
                <w:rFonts w:hAnsi="宋体"/>
                <w:szCs w:val="21"/>
                <w:highlight w:val="none"/>
              </w:rPr>
            </w:pPr>
            <w:r>
              <w:rPr>
                <w:rFonts w:hint="eastAsia" w:hAnsi="宋体"/>
                <w:szCs w:val="21"/>
                <w:highlight w:val="none"/>
              </w:rPr>
              <w:t>2.2.4（3）</w:t>
            </w:r>
          </w:p>
        </w:tc>
        <w:tc>
          <w:tcPr>
            <w:tcW w:w="643" w:type="pct"/>
            <w:noWrap w:val="0"/>
            <w:tcMar>
              <w:top w:w="113" w:type="dxa"/>
              <w:left w:w="108" w:type="dxa"/>
              <w:bottom w:w="113" w:type="dxa"/>
              <w:right w:w="108" w:type="dxa"/>
            </w:tcMar>
            <w:vAlign w:val="center"/>
          </w:tcPr>
          <w:p w14:paraId="4075B7F9">
            <w:pPr>
              <w:pStyle w:val="7"/>
              <w:spacing w:line="276" w:lineRule="auto"/>
              <w:jc w:val="center"/>
              <w:rPr>
                <w:rFonts w:hint="eastAsia" w:hAnsi="宋体"/>
                <w:szCs w:val="21"/>
                <w:highlight w:val="none"/>
              </w:rPr>
            </w:pPr>
            <w:r>
              <w:rPr>
                <w:rFonts w:hint="eastAsia" w:hAnsi="宋体"/>
                <w:szCs w:val="21"/>
                <w:highlight w:val="none"/>
              </w:rPr>
              <w:t>评标价</w:t>
            </w:r>
          </w:p>
        </w:tc>
        <w:tc>
          <w:tcPr>
            <w:tcW w:w="653" w:type="pct"/>
            <w:noWrap w:val="0"/>
            <w:tcMar>
              <w:top w:w="113" w:type="dxa"/>
              <w:left w:w="108" w:type="dxa"/>
              <w:bottom w:w="113" w:type="dxa"/>
              <w:right w:w="108" w:type="dxa"/>
            </w:tcMar>
            <w:vAlign w:val="center"/>
          </w:tcPr>
          <w:p w14:paraId="6E3A5BB2">
            <w:pPr>
              <w:pStyle w:val="7"/>
              <w:spacing w:line="276" w:lineRule="auto"/>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3164" w:type="pct"/>
            <w:gridSpan w:val="3"/>
            <w:noWrap w:val="0"/>
            <w:tcMar>
              <w:top w:w="113" w:type="dxa"/>
              <w:left w:w="108" w:type="dxa"/>
              <w:bottom w:w="113" w:type="dxa"/>
              <w:right w:w="108" w:type="dxa"/>
            </w:tcMar>
            <w:vAlign w:val="center"/>
          </w:tcPr>
          <w:p w14:paraId="4D207BFA">
            <w:pPr>
              <w:pStyle w:val="7"/>
              <w:spacing w:line="276" w:lineRule="auto"/>
              <w:jc w:val="left"/>
              <w:rPr>
                <w:rFonts w:hint="eastAsia" w:hAnsi="宋体"/>
                <w:szCs w:val="21"/>
                <w:highlight w:val="none"/>
              </w:rPr>
            </w:pPr>
            <w:r>
              <w:rPr>
                <w:rFonts w:hint="eastAsia" w:hAnsi="宋体"/>
                <w:szCs w:val="21"/>
                <w:highlight w:val="none"/>
              </w:rPr>
              <w:t>评标价得分计算公式：</w:t>
            </w:r>
          </w:p>
          <w:p w14:paraId="05741F1D">
            <w:pPr>
              <w:pStyle w:val="7"/>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w:t>
            </w:r>
            <w:r>
              <w:rPr>
                <w:rFonts w:hint="eastAsia" w:hAnsi="宋体"/>
                <w:color w:val="auto"/>
                <w:szCs w:val="21"/>
                <w:highlight w:val="none"/>
                <w:lang w:val="en-US" w:eastAsia="zh-CN"/>
              </w:rPr>
              <w:t>价</w:t>
            </w:r>
            <w:r>
              <w:rPr>
                <w:rFonts w:hint="eastAsia" w:hAnsi="宋体"/>
                <w:color w:val="auto"/>
                <w:szCs w:val="21"/>
                <w:highlight w:val="none"/>
              </w:rPr>
              <w:t>得</w:t>
            </w:r>
            <w:r>
              <w:rPr>
                <w:rFonts w:hint="eastAsia" w:hAnsi="宋体"/>
                <w:szCs w:val="21"/>
                <w:highlight w:val="none"/>
              </w:rPr>
              <w:t>分=F-偏差率×100×E1；</w:t>
            </w:r>
          </w:p>
          <w:p w14:paraId="75B3199B">
            <w:pPr>
              <w:pStyle w:val="7"/>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7AB06A50">
            <w:pPr>
              <w:pStyle w:val="7"/>
              <w:spacing w:line="276" w:lineRule="auto"/>
              <w:jc w:val="left"/>
              <w:rPr>
                <w:rFonts w:hint="eastAsia" w:hAnsi="宋体"/>
                <w:szCs w:val="21"/>
                <w:highlight w:val="none"/>
              </w:rPr>
            </w:pPr>
            <w:r>
              <w:rPr>
                <w:rFonts w:hint="eastAsia" w:hAnsi="宋体"/>
                <w:szCs w:val="21"/>
                <w:highlight w:val="none"/>
              </w:rPr>
              <w:t>其中，F=10；E1=0.2；E2=0.1；评标价最低得分为0分。</w:t>
            </w:r>
          </w:p>
          <w:p w14:paraId="01714A31">
            <w:pPr>
              <w:pStyle w:val="7"/>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15D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480EA640">
            <w:pPr>
              <w:pStyle w:val="7"/>
              <w:spacing w:line="276" w:lineRule="auto"/>
              <w:jc w:val="center"/>
              <w:rPr>
                <w:rFonts w:hAnsi="宋体"/>
                <w:szCs w:val="21"/>
                <w:highlight w:val="none"/>
              </w:rPr>
            </w:pPr>
            <w:r>
              <w:rPr>
                <w:rFonts w:hint="eastAsia" w:hAnsi="宋体"/>
                <w:szCs w:val="21"/>
                <w:highlight w:val="none"/>
              </w:rPr>
              <w:t>2.2.4（4）</w:t>
            </w:r>
          </w:p>
        </w:tc>
        <w:tc>
          <w:tcPr>
            <w:tcW w:w="643" w:type="pct"/>
            <w:vMerge w:val="restart"/>
            <w:noWrap w:val="0"/>
            <w:tcMar>
              <w:top w:w="113" w:type="dxa"/>
              <w:left w:w="108" w:type="dxa"/>
              <w:bottom w:w="113" w:type="dxa"/>
              <w:right w:w="108" w:type="dxa"/>
            </w:tcMar>
            <w:vAlign w:val="center"/>
          </w:tcPr>
          <w:p w14:paraId="05918D01">
            <w:pPr>
              <w:pStyle w:val="7"/>
              <w:spacing w:line="276" w:lineRule="auto"/>
              <w:jc w:val="center"/>
              <w:rPr>
                <w:rFonts w:hAnsi="宋体"/>
                <w:szCs w:val="21"/>
                <w:highlight w:val="none"/>
              </w:rPr>
            </w:pPr>
            <w:r>
              <w:rPr>
                <w:rFonts w:hint="eastAsia" w:hAnsi="宋体"/>
                <w:szCs w:val="21"/>
                <w:highlight w:val="none"/>
              </w:rPr>
              <w:t>其他因素</w:t>
            </w:r>
          </w:p>
        </w:tc>
        <w:tc>
          <w:tcPr>
            <w:tcW w:w="653" w:type="pct"/>
            <w:vMerge w:val="restart"/>
            <w:noWrap w:val="0"/>
            <w:tcMar>
              <w:top w:w="113" w:type="dxa"/>
              <w:left w:w="108" w:type="dxa"/>
              <w:bottom w:w="113" w:type="dxa"/>
              <w:right w:w="108" w:type="dxa"/>
            </w:tcMar>
            <w:vAlign w:val="center"/>
          </w:tcPr>
          <w:p w14:paraId="76C41901">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5A7DAF28">
            <w:pPr>
              <w:pStyle w:val="7"/>
              <w:spacing w:line="276" w:lineRule="auto"/>
              <w:jc w:val="center"/>
              <w:rPr>
                <w:rFonts w:hAnsi="宋体"/>
                <w:szCs w:val="21"/>
                <w:highlight w:val="none"/>
              </w:rPr>
            </w:pPr>
            <w:r>
              <w:rPr>
                <w:rFonts w:hint="eastAsia" w:hAnsi="宋体"/>
                <w:szCs w:val="21"/>
                <w:highlight w:val="none"/>
              </w:rPr>
              <w:t>业绩</w:t>
            </w:r>
          </w:p>
        </w:tc>
        <w:tc>
          <w:tcPr>
            <w:tcW w:w="449" w:type="pct"/>
            <w:vMerge w:val="restart"/>
            <w:noWrap w:val="0"/>
            <w:tcMar>
              <w:top w:w="113" w:type="dxa"/>
              <w:left w:w="108" w:type="dxa"/>
              <w:bottom w:w="113" w:type="dxa"/>
              <w:right w:w="108" w:type="dxa"/>
            </w:tcMar>
            <w:vAlign w:val="center"/>
          </w:tcPr>
          <w:p w14:paraId="395A84FF">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06D4EFA4">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满足资格审查条件（业绩最低要求），得15分。</w:t>
            </w:r>
          </w:p>
        </w:tc>
      </w:tr>
      <w:tr w14:paraId="7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0BD0A6C3">
            <w:pPr>
              <w:spacing w:line="276" w:lineRule="auto"/>
              <w:rPr>
                <w:highlight w:val="none"/>
              </w:rPr>
            </w:pPr>
          </w:p>
        </w:tc>
        <w:tc>
          <w:tcPr>
            <w:tcW w:w="643" w:type="pct"/>
            <w:vMerge w:val="continue"/>
            <w:noWrap w:val="0"/>
            <w:tcMar>
              <w:top w:w="113" w:type="dxa"/>
              <w:left w:w="108" w:type="dxa"/>
              <w:bottom w:w="113" w:type="dxa"/>
              <w:right w:w="108" w:type="dxa"/>
            </w:tcMar>
            <w:vAlign w:val="center"/>
          </w:tcPr>
          <w:p w14:paraId="69D8A018">
            <w:pPr>
              <w:spacing w:line="276" w:lineRule="auto"/>
              <w:rPr>
                <w:highlight w:val="none"/>
              </w:rPr>
            </w:pPr>
          </w:p>
        </w:tc>
        <w:tc>
          <w:tcPr>
            <w:tcW w:w="653" w:type="pct"/>
            <w:vMerge w:val="continue"/>
            <w:noWrap w:val="0"/>
            <w:tcMar>
              <w:top w:w="113" w:type="dxa"/>
              <w:left w:w="108" w:type="dxa"/>
              <w:bottom w:w="113" w:type="dxa"/>
              <w:right w:w="108" w:type="dxa"/>
            </w:tcMar>
            <w:vAlign w:val="center"/>
          </w:tcPr>
          <w:p w14:paraId="00BAE9D2">
            <w:pPr>
              <w:spacing w:line="276" w:lineRule="auto"/>
              <w:rPr>
                <w:highlight w:val="none"/>
              </w:rPr>
            </w:pPr>
          </w:p>
        </w:tc>
        <w:tc>
          <w:tcPr>
            <w:tcW w:w="914" w:type="pct"/>
            <w:vMerge w:val="continue"/>
            <w:noWrap w:val="0"/>
            <w:tcMar>
              <w:top w:w="113" w:type="dxa"/>
              <w:left w:w="108" w:type="dxa"/>
              <w:bottom w:w="113" w:type="dxa"/>
              <w:right w:w="108" w:type="dxa"/>
            </w:tcMar>
            <w:vAlign w:val="center"/>
          </w:tcPr>
          <w:p w14:paraId="5730819E">
            <w:pPr>
              <w:spacing w:line="276" w:lineRule="auto"/>
              <w:rPr>
                <w:highlight w:val="none"/>
              </w:rPr>
            </w:pPr>
          </w:p>
        </w:tc>
        <w:tc>
          <w:tcPr>
            <w:tcW w:w="449" w:type="pct"/>
            <w:vMerge w:val="continue"/>
            <w:noWrap w:val="0"/>
            <w:tcMar>
              <w:top w:w="113" w:type="dxa"/>
              <w:left w:w="108" w:type="dxa"/>
              <w:bottom w:w="113" w:type="dxa"/>
              <w:right w:w="108" w:type="dxa"/>
            </w:tcMar>
            <w:vAlign w:val="center"/>
          </w:tcPr>
          <w:p w14:paraId="4491EECE">
            <w:pPr>
              <w:spacing w:line="276" w:lineRule="auto"/>
              <w:rPr>
                <w:highlight w:val="none"/>
              </w:rPr>
            </w:pPr>
          </w:p>
        </w:tc>
        <w:tc>
          <w:tcPr>
            <w:tcW w:w="1800" w:type="pct"/>
            <w:noWrap w:val="0"/>
            <w:tcMar>
              <w:top w:w="113" w:type="dxa"/>
              <w:left w:w="108" w:type="dxa"/>
              <w:bottom w:w="113" w:type="dxa"/>
              <w:right w:w="108" w:type="dxa"/>
            </w:tcMar>
            <w:vAlign w:val="center"/>
          </w:tcPr>
          <w:p w14:paraId="58B51FA6">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业绩的加5分，本项最多加10分。</w:t>
            </w:r>
          </w:p>
        </w:tc>
      </w:tr>
    </w:tbl>
    <w:p w14:paraId="78241980">
      <w:pPr>
        <w:pStyle w:val="7"/>
        <w:textAlignment w:val="baseline"/>
        <w:rPr>
          <w:rFonts w:hint="eastAsia" w:hAnsi="宋体"/>
          <w:highlight w:val="none"/>
        </w:rPr>
      </w:pPr>
      <w:r>
        <w:rPr>
          <w:rFonts w:hint="eastAsia" w:hAnsi="宋体"/>
          <w:highlight w:val="none"/>
        </w:rPr>
        <w:t>注：1、第2.2.4（1）项</w:t>
      </w:r>
      <w:r>
        <w:rPr>
          <w:rFonts w:hint="eastAsia" w:hAnsi="宋体" w:cs="宋体"/>
          <w:highlight w:val="none"/>
        </w:rPr>
        <w:t>各评委打分保留1位小数，</w:t>
      </w:r>
      <w:r>
        <w:rPr>
          <w:highlight w:val="none"/>
        </w:rPr>
        <w:t>投标人该项得分以各评委打分平均值计算所得，保留两位小数，第三位小数四舍五入</w:t>
      </w:r>
      <w:r>
        <w:rPr>
          <w:rFonts w:hint="eastAsia" w:hAnsi="宋体"/>
          <w:highlight w:val="none"/>
        </w:rPr>
        <w:t>。</w:t>
      </w:r>
    </w:p>
    <w:p w14:paraId="525DEFFC">
      <w:pPr>
        <w:pStyle w:val="7"/>
        <w:ind w:firstLine="420" w:firstLineChars="200"/>
        <w:textAlignment w:val="baseline"/>
        <w:rPr>
          <w:rFonts w:hint="eastAsia" w:hAnsi="宋体"/>
          <w:highlight w:val="none"/>
        </w:rPr>
      </w:pPr>
      <w:r>
        <w:rPr>
          <w:rFonts w:hint="eastAsia" w:hAnsi="宋体"/>
          <w:highlight w:val="none"/>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highlight w:val="none"/>
        </w:rPr>
        <w:t>分因素细分项</w:t>
      </w:r>
      <w:r>
        <w:rPr>
          <w:rFonts w:hint="eastAsia" w:hAnsi="宋体"/>
          <w:highlight w:val="none"/>
        </w:rPr>
        <w:t>缺项则该项得0分。</w:t>
      </w:r>
    </w:p>
    <w:p w14:paraId="31AEB3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50178"/>
    <w:rsid w:val="13E50178"/>
    <w:rsid w:val="6292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qFormat/>
    <w:uiPriority w:val="99"/>
    <w:rPr>
      <w:rFonts w:ascii="宋体" w:hAnsi="宋体"/>
      <w:sz w:val="28"/>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5514</Words>
  <Characters>6175</Characters>
  <Lines>0</Lines>
  <Paragraphs>0</Paragraphs>
  <TotalTime>1</TotalTime>
  <ScaleCrop>false</ScaleCrop>
  <LinksUpToDate>false</LinksUpToDate>
  <CharactersWithSpaces>6185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2026-06-26T02:12:00Z</dcterms:created>
  <dc:creator>鲁鹏</dc:creator>
  <cp:lastModifiedBy>冯士峰</cp:lastModifiedBy>
  <dcterms:modified xsi:type="dcterms:W3CDTF">2026-06-26T02:28:04Z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772CF059D5DD43E1B17D95B787325FCD_11</vt:lpwstr>
  </property>
  <property fmtid="{D5CDD505-2E9C-101B-9397-08002B2CF9AE}" pid="4" name="KSOTemplateDocerSaveRecord">
    <vt:lpwstr>eyJoZGlkIjoiMjNhMGNiNzBmYzRmYmU1YWU1ZDVjYzI3MTI0YTIzZjQiLCJ1c2VySWQiOiIxNjg3ODQzOTczIn0=</vt:lpwstr>
  </property>
</Properties>
</file>