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3B0E5">
      <w:pPr>
        <w:keepNext/>
        <w:keepLines/>
        <w:widowControl w:val="0"/>
        <w:spacing w:before="0" w:after="0" w:line="360" w:lineRule="auto"/>
        <w:jc w:val="both"/>
        <w:outlineLvl w:val="2"/>
        <w:rPr>
          <w:rFonts w:ascii="宋体" w:hAnsi="宋体" w:eastAsia="宋体" w:cs="Times New Roman"/>
          <w:b w:val="0"/>
          <w:bCs/>
          <w:color w:val="000000"/>
          <w:kern w:val="28"/>
          <w:sz w:val="24"/>
          <w:szCs w:val="32"/>
          <w:highlight w:val="none"/>
          <w:lang w:val="en-US" w:eastAsia="zh-CN" w:bidi="ar-SA"/>
        </w:rPr>
      </w:pPr>
      <w:bookmarkStart w:id="0" w:name="_Toc134792338"/>
      <w:bookmarkStart w:id="1" w:name="_Toc164101095"/>
      <w:bookmarkStart w:id="2" w:name="_Toc247"/>
      <w:bookmarkStart w:id="3" w:name="_Toc2316"/>
      <w:bookmarkStart w:id="4" w:name="_Toc13232"/>
      <w:bookmarkStart w:id="5" w:name="_Toc144837284"/>
      <w:bookmarkStart w:id="6" w:name="_Toc144838350"/>
      <w:bookmarkStart w:id="30" w:name="_GoBack"/>
      <w:bookmarkEnd w:id="30"/>
      <w:r>
        <w:rPr>
          <w:rFonts w:hint="eastAsia" w:ascii="黑体" w:hAnsi="黑体" w:eastAsia="黑体" w:cs="Times New Roman"/>
          <w:b/>
          <w:bCs/>
          <w:color w:val="000000"/>
          <w:kern w:val="28"/>
          <w:sz w:val="24"/>
          <w:szCs w:val="24"/>
          <w:highlight w:val="none"/>
          <w:lang w:val="en-US" w:eastAsia="zh-CN" w:bidi="ar-SA"/>
        </w:rPr>
        <w:t>附件1：资格审查条件</w:t>
      </w:r>
      <w:bookmarkEnd w:id="0"/>
      <w:bookmarkEnd w:id="1"/>
      <w:bookmarkEnd w:id="2"/>
      <w:bookmarkEnd w:id="3"/>
      <w:bookmarkEnd w:id="4"/>
      <w:bookmarkEnd w:id="5"/>
      <w:bookmarkEnd w:id="6"/>
    </w:p>
    <w:p w14:paraId="4FDBE237">
      <w:pPr>
        <w:adjustRightInd w:val="0"/>
        <w:spacing w:line="400" w:lineRule="exact"/>
        <w:jc w:val="center"/>
        <w:rPr>
          <w:rFonts w:ascii="宋体" w:hAnsi="宋体" w:eastAsia="宋体" w:cs="Times New Roman"/>
          <w:b/>
          <w:color w:val="000000"/>
          <w:kern w:val="28"/>
          <w:sz w:val="24"/>
          <w:szCs w:val="24"/>
          <w:highlight w:val="none"/>
        </w:rPr>
      </w:pPr>
      <w:r>
        <w:rPr>
          <w:rFonts w:hint="eastAsia" w:ascii="宋体" w:hAnsi="宋体" w:eastAsia="宋体" w:cs="Times New Roman"/>
          <w:b/>
          <w:color w:val="000000"/>
          <w:kern w:val="28"/>
          <w:sz w:val="24"/>
          <w:szCs w:val="24"/>
          <w:highlight w:val="none"/>
        </w:rPr>
        <w:t>附录1</w:t>
      </w:r>
      <w:r>
        <w:rPr>
          <w:rFonts w:hint="eastAsia" w:ascii="宋体" w:hAnsi="宋体" w:eastAsia="宋体" w:cs="Times New Roman"/>
          <w:b/>
          <w:color w:val="000000"/>
          <w:kern w:val="28"/>
          <w:sz w:val="24"/>
          <w:szCs w:val="20"/>
          <w:highlight w:val="none"/>
        </w:rPr>
        <w:t>资格</w:t>
      </w:r>
      <w:r>
        <w:rPr>
          <w:rFonts w:hint="eastAsia" w:ascii="宋体" w:hAnsi="宋体" w:eastAsia="宋体" w:cs="Times New Roman"/>
          <w:b/>
          <w:color w:val="000000"/>
          <w:kern w:val="28"/>
          <w:sz w:val="24"/>
          <w:szCs w:val="24"/>
          <w:highlight w:val="none"/>
        </w:rPr>
        <w:t>审查条件（资质最低要求）</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23"/>
      </w:tblGrid>
      <w:tr w14:paraId="37CC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823" w:type="dxa"/>
            <w:vAlign w:val="bottom"/>
          </w:tcPr>
          <w:p w14:paraId="2EAA22EB">
            <w:pPr>
              <w:widowControl/>
              <w:spacing w:before="0" w:beforeAutospacing="0" w:after="0" w:afterAutospacing="0" w:line="360" w:lineRule="auto"/>
              <w:ind w:firstLine="0"/>
              <w:contextualSpacing/>
              <w:jc w:val="center"/>
              <w:rPr>
                <w:rFonts w:ascii="宋体" w:hAnsi="宋体" w:eastAsia="宋体" w:cs="宋体"/>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施工企业资质等级要求</w:t>
            </w:r>
          </w:p>
        </w:tc>
      </w:tr>
      <w:tr w14:paraId="43777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9823" w:type="dxa"/>
            <w:vAlign w:val="center"/>
          </w:tcPr>
          <w:p w14:paraId="115685F6">
            <w:pPr>
              <w:widowControl/>
              <w:snapToGrid w:val="0"/>
              <w:spacing w:line="320" w:lineRule="exact"/>
              <w:jc w:val="left"/>
              <w:rPr>
                <w:rFonts w:hint="eastAsia" w:ascii="宋体" w:hAnsi="宋体" w:eastAsia="宋体" w:cs="宋体"/>
                <w:color w:val="000000"/>
                <w:kern w:val="0"/>
                <w:sz w:val="21"/>
                <w:szCs w:val="21"/>
                <w:highlight w:val="none"/>
                <w:lang w:eastAsia="zh-CN"/>
              </w:rPr>
            </w:pPr>
            <w:r>
              <w:rPr>
                <w:rFonts w:hint="eastAsia" w:ascii="宋体" w:hAnsi="宋体" w:eastAsia="宋体" w:cs="Times New Roman"/>
                <w:kern w:val="28"/>
                <w:sz w:val="21"/>
                <w:szCs w:val="21"/>
                <w:highlight w:val="none"/>
                <w:lang w:val="en-US" w:eastAsia="zh-CN"/>
              </w:rPr>
              <w:t>1.</w:t>
            </w:r>
            <w:r>
              <w:rPr>
                <w:rFonts w:hint="eastAsia" w:ascii="宋体" w:hAnsi="宋体" w:eastAsia="宋体" w:cs="Times New Roman"/>
                <w:kern w:val="28"/>
                <w:sz w:val="21"/>
                <w:szCs w:val="21"/>
                <w:highlight w:val="none"/>
              </w:rPr>
              <w:t>中华人民共和国境内的法人或其他组织，持有有效的营业执照</w:t>
            </w:r>
            <w:r>
              <w:rPr>
                <w:rFonts w:hint="eastAsia" w:ascii="宋体" w:hAnsi="宋体" w:eastAsia="宋体" w:cs="宋体"/>
                <w:color w:val="000000"/>
                <w:kern w:val="0"/>
                <w:sz w:val="21"/>
                <w:szCs w:val="21"/>
                <w:highlight w:val="none"/>
                <w:lang w:eastAsia="zh-CN"/>
              </w:rPr>
              <w:t>；</w:t>
            </w:r>
          </w:p>
          <w:p w14:paraId="31D7AF19">
            <w:pPr>
              <w:snapToGrid w:val="0"/>
              <w:spacing w:line="320" w:lineRule="exact"/>
              <w:rPr>
                <w:rFonts w:ascii="宋体" w:hAnsi="宋体" w:eastAsia="宋体" w:cs="宋体"/>
                <w:color w:val="000000"/>
                <w:kern w:val="2"/>
                <w:sz w:val="21"/>
                <w:szCs w:val="24"/>
                <w:highlight w:val="none"/>
              </w:rPr>
            </w:pPr>
            <w:r>
              <w:rPr>
                <w:rFonts w:hint="eastAsia" w:ascii="宋体" w:hAnsi="宋体" w:eastAsia="宋体" w:cs="宋体"/>
                <w:snapToGrid w:val="0"/>
                <w:kern w:val="0"/>
                <w:sz w:val="21"/>
                <w:szCs w:val="21"/>
                <w:highlight w:val="none"/>
                <w:lang w:val="en-US" w:eastAsia="zh-CN"/>
              </w:rPr>
              <w:t>2.</w:t>
            </w:r>
            <w:r>
              <w:rPr>
                <w:rFonts w:hint="eastAsia" w:ascii="宋体" w:hAnsi="宋体" w:eastAsia="宋体" w:cs="宋体"/>
                <w:snapToGrid w:val="0"/>
                <w:kern w:val="0"/>
                <w:sz w:val="21"/>
                <w:szCs w:val="21"/>
                <w:highlight w:val="none"/>
              </w:rPr>
              <w:t>具备住房和城乡建设主管部门颁发的建筑工程施工总承包</w:t>
            </w:r>
            <w:r>
              <w:rPr>
                <w:rFonts w:hint="eastAsia" w:ascii="宋体" w:hAnsi="宋体" w:eastAsia="宋体" w:cs="宋体"/>
                <w:snapToGrid w:val="0"/>
                <w:kern w:val="0"/>
                <w:sz w:val="21"/>
                <w:szCs w:val="21"/>
                <w:highlight w:val="none"/>
                <w:lang w:val="en-US" w:eastAsia="zh-CN"/>
              </w:rPr>
              <w:t>三</w:t>
            </w:r>
            <w:r>
              <w:rPr>
                <w:rFonts w:hint="eastAsia" w:ascii="宋体" w:hAnsi="宋体" w:eastAsia="宋体" w:cs="宋体"/>
                <w:snapToGrid w:val="0"/>
                <w:kern w:val="0"/>
                <w:sz w:val="21"/>
                <w:szCs w:val="21"/>
                <w:highlight w:val="none"/>
                <w:lang w:eastAsia="zh-CN"/>
              </w:rPr>
              <w:t>级</w:t>
            </w:r>
            <w:r>
              <w:rPr>
                <w:rFonts w:hint="eastAsia" w:ascii="宋体" w:hAnsi="宋体" w:eastAsia="宋体" w:cs="宋体"/>
                <w:snapToGrid w:val="0"/>
                <w:kern w:val="0"/>
                <w:sz w:val="21"/>
                <w:szCs w:val="21"/>
                <w:highlight w:val="none"/>
              </w:rPr>
              <w:t>及以上资质；</w:t>
            </w:r>
          </w:p>
          <w:p w14:paraId="2190D56D">
            <w:pPr>
              <w:snapToGrid w:val="0"/>
              <w:spacing w:line="320" w:lineRule="exact"/>
              <w:rPr>
                <w:rFonts w:ascii="宋体" w:hAnsi="宋体" w:eastAsia="宋体" w:cs="Times New Roman"/>
                <w:color w:val="000000"/>
                <w:kern w:val="28"/>
                <w:sz w:val="21"/>
                <w:szCs w:val="21"/>
                <w:highlight w:val="none"/>
              </w:rPr>
            </w:pPr>
            <w:r>
              <w:rPr>
                <w:rFonts w:hint="eastAsia" w:ascii="宋体" w:hAnsi="宋体" w:eastAsia="宋体" w:cs="宋体"/>
                <w:color w:val="000000"/>
                <w:kern w:val="2"/>
                <w:sz w:val="21"/>
                <w:szCs w:val="24"/>
                <w:highlight w:val="none"/>
                <w:lang w:val="en-US" w:eastAsia="zh-CN"/>
              </w:rPr>
              <w:t>3.</w:t>
            </w:r>
            <w:r>
              <w:rPr>
                <w:rFonts w:hint="eastAsia" w:ascii="宋体" w:hAnsi="宋体" w:eastAsia="宋体" w:cs="宋体"/>
                <w:color w:val="000000"/>
                <w:kern w:val="2"/>
                <w:sz w:val="21"/>
                <w:szCs w:val="24"/>
                <w:highlight w:val="none"/>
              </w:rPr>
              <w:t>具有住房和城乡建设行政主管部门颁发的有效的安全生产许可证。</w:t>
            </w:r>
          </w:p>
        </w:tc>
      </w:tr>
    </w:tbl>
    <w:p w14:paraId="4BA74437">
      <w:pPr>
        <w:spacing w:beforeLines="50" w:afterLines="50"/>
        <w:jc w:val="center"/>
        <w:rPr>
          <w:rFonts w:ascii="宋体" w:hAnsi="宋体" w:eastAsia="宋体" w:cs="Times New Roman"/>
          <w:b/>
          <w:color w:val="000000"/>
          <w:kern w:val="2"/>
          <w:sz w:val="24"/>
          <w:szCs w:val="24"/>
          <w:highlight w:val="none"/>
        </w:rPr>
      </w:pPr>
    </w:p>
    <w:p w14:paraId="40072B3F">
      <w:pPr>
        <w:spacing w:beforeLines="50" w:afterLines="50"/>
        <w:jc w:val="center"/>
        <w:rPr>
          <w:rFonts w:ascii="宋体" w:hAnsi="宋体" w:eastAsia="宋体" w:cs="Times New Roman"/>
          <w:b/>
          <w:color w:val="000000"/>
          <w:kern w:val="2"/>
          <w:sz w:val="24"/>
          <w:szCs w:val="24"/>
          <w:highlight w:val="none"/>
        </w:rPr>
      </w:pPr>
    </w:p>
    <w:p w14:paraId="0CDC02BA">
      <w:pPr>
        <w:spacing w:beforeLines="50" w:afterLines="50"/>
        <w:jc w:val="center"/>
        <w:rPr>
          <w:rFonts w:ascii="宋体" w:hAnsi="宋体" w:eastAsia="宋体" w:cs="Times New Roman"/>
          <w:b/>
          <w:color w:val="000000"/>
          <w:kern w:val="2"/>
          <w:sz w:val="24"/>
          <w:szCs w:val="24"/>
          <w:highlight w:val="none"/>
        </w:rPr>
      </w:pPr>
      <w:r>
        <w:rPr>
          <w:rFonts w:hint="eastAsia" w:ascii="宋体" w:hAnsi="宋体" w:eastAsia="宋体" w:cs="Times New Roman"/>
          <w:b/>
          <w:color w:val="000000"/>
          <w:kern w:val="2"/>
          <w:sz w:val="24"/>
          <w:szCs w:val="24"/>
          <w:highlight w:val="none"/>
        </w:rPr>
        <w:t>附录2 资格审查条件（财务最低要求）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6"/>
      </w:tblGrid>
      <w:tr w14:paraId="5578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vAlign w:val="center"/>
          </w:tcPr>
          <w:p w14:paraId="5FE89A68">
            <w:pPr>
              <w:spacing w:beforeLines="50" w:afterLines="50"/>
              <w:jc w:val="center"/>
              <w:rPr>
                <w:rFonts w:ascii="宋体" w:hAnsi="宋体" w:eastAsia="宋体" w:cs="Times New Roman"/>
                <w:b/>
                <w:bCs/>
                <w:color w:val="000000"/>
                <w:kern w:val="2"/>
                <w:sz w:val="21"/>
                <w:szCs w:val="21"/>
                <w:highlight w:val="none"/>
              </w:rPr>
            </w:pPr>
            <w:r>
              <w:rPr>
                <w:rFonts w:hint="eastAsia" w:ascii="宋体" w:hAnsi="宋体" w:eastAsia="宋体" w:cs="Times New Roman"/>
                <w:b/>
                <w:bCs/>
                <w:color w:val="000000"/>
                <w:kern w:val="2"/>
                <w:sz w:val="21"/>
                <w:szCs w:val="21"/>
                <w:highlight w:val="none"/>
              </w:rPr>
              <w:t>财务要求</w:t>
            </w:r>
          </w:p>
        </w:tc>
      </w:tr>
      <w:tr w14:paraId="2473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000" w:type="pct"/>
            <w:vAlign w:val="center"/>
          </w:tcPr>
          <w:p w14:paraId="01DC44F8">
            <w:pPr>
              <w:snapToGrid w:val="0"/>
              <w:spacing w:line="320" w:lineRule="exact"/>
              <w:ind w:firstLine="420" w:firstLineChars="200"/>
              <w:rPr>
                <w:rFonts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4"/>
                <w:highlight w:val="none"/>
              </w:rPr>
              <w:t>投标人承诺为本合同所提供的营运资金(以经会计事务所或审计机构审计的财务报表(2025年度)中：营运资金=流动资产-流动负债，以年末数计算)以及为本项目而专门开具的银行信贷证明总和不得少于</w:t>
            </w:r>
            <w:r>
              <w:rPr>
                <w:rFonts w:hint="eastAsia" w:ascii="宋体" w:hAnsi="宋体" w:eastAsia="宋体" w:cs="Times New Roman"/>
                <w:color w:val="000000"/>
                <w:kern w:val="2"/>
                <w:sz w:val="21"/>
                <w:szCs w:val="24"/>
                <w:highlight w:val="none"/>
                <w:lang w:val="en-US" w:eastAsia="zh-CN"/>
              </w:rPr>
              <w:t>2</w:t>
            </w:r>
            <w:r>
              <w:rPr>
                <w:rFonts w:hint="eastAsia" w:ascii="宋体" w:hAnsi="宋体" w:eastAsia="宋体" w:cs="Times New Roman"/>
                <w:color w:val="000000"/>
                <w:kern w:val="2"/>
                <w:sz w:val="21"/>
                <w:szCs w:val="24"/>
                <w:highlight w:val="none"/>
              </w:rPr>
              <w:t>00万元。</w:t>
            </w:r>
          </w:p>
        </w:tc>
      </w:tr>
    </w:tbl>
    <w:p w14:paraId="22BCF50F">
      <w:pPr>
        <w:spacing w:beforeLines="50" w:afterLines="50"/>
        <w:jc w:val="center"/>
        <w:rPr>
          <w:rFonts w:ascii="宋体" w:hAnsi="宋体" w:eastAsia="宋体" w:cs="Times New Roman"/>
          <w:b/>
          <w:color w:val="000000"/>
          <w:kern w:val="2"/>
          <w:sz w:val="24"/>
          <w:szCs w:val="24"/>
          <w:highlight w:val="none"/>
        </w:rPr>
      </w:pPr>
    </w:p>
    <w:p w14:paraId="356FCA98">
      <w:pPr>
        <w:spacing w:beforeLines="50" w:afterLines="50"/>
        <w:jc w:val="center"/>
        <w:rPr>
          <w:rFonts w:ascii="宋体" w:hAnsi="宋体" w:eastAsia="宋体" w:cs="Times New Roman"/>
          <w:b/>
          <w:color w:val="000000"/>
          <w:kern w:val="2"/>
          <w:sz w:val="24"/>
          <w:szCs w:val="24"/>
          <w:highlight w:val="none"/>
        </w:rPr>
      </w:pPr>
    </w:p>
    <w:p w14:paraId="6D36AA74">
      <w:pPr>
        <w:spacing w:beforeLines="50" w:afterLines="50"/>
        <w:jc w:val="center"/>
        <w:rPr>
          <w:rFonts w:ascii="宋体" w:hAnsi="宋体" w:eastAsia="宋体" w:cs="Times New Roman"/>
          <w:b/>
          <w:color w:val="000000"/>
          <w:kern w:val="2"/>
          <w:sz w:val="24"/>
          <w:szCs w:val="24"/>
          <w:highlight w:val="none"/>
        </w:rPr>
      </w:pPr>
      <w:r>
        <w:rPr>
          <w:rFonts w:hint="eastAsia" w:ascii="宋体" w:hAnsi="宋体" w:eastAsia="宋体" w:cs="Times New Roman"/>
          <w:b/>
          <w:color w:val="000000"/>
          <w:kern w:val="2"/>
          <w:sz w:val="24"/>
          <w:szCs w:val="24"/>
          <w:highlight w:val="none"/>
        </w:rPr>
        <w:t>附录</w:t>
      </w:r>
      <w:r>
        <w:rPr>
          <w:rFonts w:ascii="宋体" w:hAnsi="宋体" w:eastAsia="宋体" w:cs="Times New Roman"/>
          <w:b/>
          <w:color w:val="000000"/>
          <w:kern w:val="2"/>
          <w:sz w:val="24"/>
          <w:szCs w:val="24"/>
          <w:highlight w:val="none"/>
        </w:rPr>
        <w:t xml:space="preserve">3 </w:t>
      </w:r>
      <w:r>
        <w:rPr>
          <w:rFonts w:hint="eastAsia" w:ascii="宋体" w:hAnsi="宋体" w:eastAsia="宋体" w:cs="Times New Roman"/>
          <w:b/>
          <w:color w:val="000000"/>
          <w:kern w:val="2"/>
          <w:sz w:val="24"/>
          <w:szCs w:val="24"/>
          <w:highlight w:val="none"/>
        </w:rPr>
        <w:t>资格审查条件（业绩最低要求）</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96"/>
      </w:tblGrid>
      <w:tr w14:paraId="54D35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tcBorders>
              <w:top w:val="single" w:color="auto" w:sz="4" w:space="0"/>
              <w:left w:val="single" w:color="auto" w:sz="4" w:space="0"/>
              <w:bottom w:val="single" w:color="auto" w:sz="4" w:space="0"/>
              <w:right w:val="single" w:color="auto" w:sz="4" w:space="0"/>
            </w:tcBorders>
            <w:vAlign w:val="center"/>
          </w:tcPr>
          <w:p w14:paraId="4238036C">
            <w:pPr>
              <w:spacing w:beforeLines="50" w:afterLines="50"/>
              <w:jc w:val="center"/>
              <w:rPr>
                <w:rFonts w:ascii="宋体" w:hAnsi="宋体" w:eastAsia="宋体" w:cs="Times New Roman"/>
                <w:b/>
                <w:bCs/>
                <w:color w:val="000000"/>
                <w:kern w:val="2"/>
                <w:sz w:val="21"/>
                <w:szCs w:val="24"/>
                <w:highlight w:val="none"/>
              </w:rPr>
            </w:pPr>
            <w:r>
              <w:rPr>
                <w:rFonts w:hint="eastAsia" w:ascii="宋体" w:hAnsi="宋体" w:eastAsia="宋体" w:cs="Times New Roman"/>
                <w:b/>
                <w:bCs/>
                <w:color w:val="000000"/>
                <w:kern w:val="2"/>
                <w:sz w:val="21"/>
                <w:szCs w:val="24"/>
                <w:highlight w:val="none"/>
              </w:rPr>
              <w:t>业绩要求</w:t>
            </w:r>
          </w:p>
        </w:tc>
      </w:tr>
      <w:tr w14:paraId="069CA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8" w:hRule="atLeast"/>
        </w:trPr>
        <w:tc>
          <w:tcPr>
            <w:tcW w:w="5000" w:type="pct"/>
            <w:tcBorders>
              <w:top w:val="single" w:color="auto" w:sz="4" w:space="0"/>
              <w:left w:val="single" w:color="auto" w:sz="4" w:space="0"/>
              <w:bottom w:val="single" w:color="auto" w:sz="4" w:space="0"/>
              <w:right w:val="single" w:color="auto" w:sz="4" w:space="0"/>
            </w:tcBorders>
            <w:vAlign w:val="center"/>
          </w:tcPr>
          <w:p w14:paraId="0798F71B">
            <w:pPr>
              <w:snapToGrid w:val="0"/>
              <w:spacing w:line="320" w:lineRule="exact"/>
              <w:ind w:firstLine="420" w:firstLineChars="200"/>
              <w:rPr>
                <w:rFonts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4"/>
                <w:highlight w:val="none"/>
              </w:rPr>
              <w:t>近5年（2021年</w:t>
            </w:r>
            <w:r>
              <w:rPr>
                <w:rFonts w:hint="eastAsia" w:ascii="宋体" w:hAnsi="宋体" w:eastAsia="宋体" w:cs="Times New Roman"/>
                <w:color w:val="000000"/>
                <w:kern w:val="2"/>
                <w:sz w:val="21"/>
                <w:szCs w:val="24"/>
                <w:highlight w:val="none"/>
                <w:lang w:val="en-US" w:eastAsia="zh-CN"/>
              </w:rPr>
              <w:t>6</w:t>
            </w:r>
            <w:r>
              <w:rPr>
                <w:rFonts w:hint="eastAsia" w:ascii="宋体" w:hAnsi="宋体" w:eastAsia="宋体" w:cs="Times New Roman"/>
                <w:color w:val="000000"/>
                <w:kern w:val="2"/>
                <w:sz w:val="21"/>
                <w:szCs w:val="24"/>
                <w:highlight w:val="none"/>
                <w:lang w:eastAsia="zh-CN"/>
              </w:rPr>
              <w:t>月</w:t>
            </w:r>
            <w:r>
              <w:rPr>
                <w:rFonts w:hint="eastAsia" w:ascii="宋体" w:hAnsi="宋体" w:eastAsia="宋体" w:cs="Times New Roman"/>
                <w:color w:val="000000"/>
                <w:kern w:val="2"/>
                <w:sz w:val="21"/>
                <w:szCs w:val="24"/>
                <w:highlight w:val="none"/>
              </w:rPr>
              <w:t>1日至投标截止时间，</w:t>
            </w:r>
            <w:r>
              <w:rPr>
                <w:rFonts w:hint="eastAsia" w:ascii="宋体" w:hAnsi="宋体" w:eastAsia="宋体" w:cs="宋体"/>
                <w:snapToGrid w:val="0"/>
                <w:color w:val="auto"/>
                <w:kern w:val="0"/>
                <w:sz w:val="21"/>
                <w:szCs w:val="21"/>
                <w:highlight w:val="none"/>
                <w:lang w:eastAsia="zh-CN"/>
              </w:rPr>
              <w:t>以工程竣（交）工时间为准</w:t>
            </w:r>
            <w:r>
              <w:rPr>
                <w:rFonts w:hint="eastAsia" w:ascii="宋体" w:hAnsi="宋体" w:eastAsia="宋体" w:cs="Times New Roman"/>
                <w:color w:val="000000"/>
                <w:kern w:val="2"/>
                <w:sz w:val="21"/>
                <w:szCs w:val="24"/>
                <w:highlight w:val="none"/>
              </w:rPr>
              <w:t>）</w:t>
            </w:r>
            <w:r>
              <w:rPr>
                <w:rFonts w:hint="eastAsia" w:ascii="宋体" w:hAnsi="宋体" w:eastAsia="宋体" w:cs="宋体"/>
                <w:snapToGrid w:val="0"/>
                <w:color w:val="auto"/>
                <w:kern w:val="0"/>
                <w:sz w:val="21"/>
                <w:szCs w:val="21"/>
                <w:highlight w:val="none"/>
                <w:lang w:val="en-US" w:eastAsia="zh-CN"/>
              </w:rPr>
              <w:t>至少完成过1项单项合同金额不少于600万元的公共建筑工程施工</w:t>
            </w:r>
            <w:r>
              <w:rPr>
                <w:rFonts w:hint="eastAsia" w:ascii="宋体" w:hAnsi="宋体" w:eastAsia="宋体" w:cs="Times New Roman"/>
                <w:color w:val="000000"/>
                <w:kern w:val="0"/>
                <w:sz w:val="21"/>
                <w:szCs w:val="21"/>
                <w:highlight w:val="none"/>
              </w:rPr>
              <w:t>。</w:t>
            </w:r>
          </w:p>
        </w:tc>
      </w:tr>
    </w:tbl>
    <w:p w14:paraId="24742F1A">
      <w:pPr>
        <w:spacing w:beforeLines="50" w:afterLines="50"/>
        <w:jc w:val="center"/>
        <w:rPr>
          <w:rFonts w:ascii="宋体" w:hAnsi="宋体" w:eastAsia="宋体" w:cs="Times New Roman"/>
          <w:b/>
          <w:color w:val="000000"/>
          <w:kern w:val="2"/>
          <w:sz w:val="24"/>
          <w:szCs w:val="24"/>
          <w:highlight w:val="none"/>
        </w:rPr>
      </w:pPr>
    </w:p>
    <w:p w14:paraId="66A6B28E">
      <w:pPr>
        <w:spacing w:beforeLines="50" w:afterLines="50"/>
        <w:jc w:val="center"/>
        <w:rPr>
          <w:rFonts w:ascii="宋体" w:hAnsi="宋体" w:eastAsia="宋体" w:cs="Times New Roman"/>
          <w:b/>
          <w:color w:val="000000"/>
          <w:kern w:val="2"/>
          <w:sz w:val="24"/>
          <w:szCs w:val="24"/>
          <w:highlight w:val="none"/>
        </w:rPr>
      </w:pPr>
    </w:p>
    <w:p w14:paraId="600CCAA1">
      <w:pPr>
        <w:spacing w:beforeLines="50" w:afterLines="50"/>
        <w:jc w:val="center"/>
        <w:rPr>
          <w:rFonts w:ascii="宋体" w:hAnsi="宋体" w:eastAsia="宋体" w:cs="Times New Roman"/>
          <w:b/>
          <w:color w:val="000000"/>
          <w:kern w:val="2"/>
          <w:sz w:val="24"/>
          <w:szCs w:val="24"/>
          <w:highlight w:val="none"/>
        </w:rPr>
      </w:pPr>
      <w:r>
        <w:rPr>
          <w:rFonts w:hint="eastAsia" w:ascii="宋体" w:hAnsi="宋体" w:eastAsia="宋体" w:cs="Times New Roman"/>
          <w:b/>
          <w:color w:val="000000"/>
          <w:kern w:val="2"/>
          <w:sz w:val="24"/>
          <w:szCs w:val="24"/>
          <w:highlight w:val="none"/>
        </w:rPr>
        <w:t>附录4 资格审查条件（信誉最低要求）</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96"/>
      </w:tblGrid>
      <w:tr w14:paraId="7541E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5000" w:type="pct"/>
            <w:tcBorders>
              <w:top w:val="single" w:color="auto" w:sz="4" w:space="0"/>
              <w:left w:val="single" w:color="auto" w:sz="4" w:space="0"/>
              <w:bottom w:val="single" w:color="auto" w:sz="4" w:space="0"/>
              <w:right w:val="single" w:color="auto" w:sz="4" w:space="0"/>
            </w:tcBorders>
            <w:vAlign w:val="center"/>
          </w:tcPr>
          <w:p w14:paraId="72F322BA">
            <w:pPr>
              <w:jc w:val="center"/>
              <w:rPr>
                <w:rFonts w:ascii="宋体" w:hAnsi="宋体" w:eastAsia="宋体" w:cs="Times New Roman"/>
                <w:b/>
                <w:bCs/>
                <w:color w:val="000000"/>
                <w:kern w:val="2"/>
                <w:sz w:val="21"/>
                <w:szCs w:val="21"/>
                <w:highlight w:val="none"/>
              </w:rPr>
            </w:pPr>
            <w:r>
              <w:rPr>
                <w:rFonts w:hint="eastAsia" w:ascii="宋体" w:hAnsi="宋体" w:eastAsia="宋体" w:cs="Times New Roman"/>
                <w:b/>
                <w:bCs/>
                <w:color w:val="000000"/>
                <w:kern w:val="2"/>
                <w:sz w:val="21"/>
                <w:szCs w:val="21"/>
                <w:highlight w:val="none"/>
              </w:rPr>
              <w:t>信誉要求</w:t>
            </w:r>
          </w:p>
        </w:tc>
      </w:tr>
      <w:tr w14:paraId="6DCC5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5000" w:type="pct"/>
            <w:vMerge w:val="restart"/>
            <w:tcBorders>
              <w:top w:val="single" w:color="auto" w:sz="4" w:space="0"/>
              <w:left w:val="single" w:color="auto" w:sz="4" w:space="0"/>
              <w:right w:val="single" w:color="auto" w:sz="4" w:space="0"/>
            </w:tcBorders>
            <w:vAlign w:val="center"/>
          </w:tcPr>
          <w:p w14:paraId="510639D7">
            <w:pPr>
              <w:snapToGrid w:val="0"/>
              <w:spacing w:line="320" w:lineRule="exact"/>
              <w:ind w:firstLine="420" w:firstLineChars="200"/>
              <w:rPr>
                <w:rFonts w:ascii="宋体" w:hAnsi="宋体" w:eastAsia="宋体" w:cs="Times New Roman"/>
                <w:color w:val="000000"/>
                <w:kern w:val="28"/>
                <w:sz w:val="22"/>
                <w:szCs w:val="22"/>
                <w:highlight w:val="none"/>
              </w:rPr>
            </w:pPr>
            <w:r>
              <w:rPr>
                <w:rFonts w:hint="eastAsia" w:ascii="宋体" w:hAnsi="宋体" w:eastAsia="宋体" w:cs="Times New Roman"/>
                <w:color w:val="000000"/>
                <w:kern w:val="28"/>
                <w:sz w:val="21"/>
                <w:szCs w:val="21"/>
                <w:highlight w:val="none"/>
              </w:rPr>
              <w:t>投标人在近一年（20</w:t>
            </w:r>
            <w:r>
              <w:rPr>
                <w:rFonts w:ascii="宋体" w:hAnsi="宋体" w:eastAsia="宋体" w:cs="Times New Roman"/>
                <w:color w:val="000000"/>
                <w:kern w:val="28"/>
                <w:sz w:val="21"/>
                <w:szCs w:val="21"/>
                <w:highlight w:val="none"/>
              </w:rPr>
              <w:t>2</w:t>
            </w:r>
            <w:r>
              <w:rPr>
                <w:rFonts w:hint="eastAsia" w:ascii="宋体" w:hAnsi="宋体" w:eastAsia="宋体" w:cs="Times New Roman"/>
                <w:color w:val="000000"/>
                <w:kern w:val="28"/>
                <w:sz w:val="21"/>
                <w:szCs w:val="21"/>
                <w:highlight w:val="none"/>
              </w:rPr>
              <w:t>5年</w:t>
            </w:r>
            <w:r>
              <w:rPr>
                <w:rFonts w:hint="eastAsia" w:ascii="宋体" w:hAnsi="宋体" w:eastAsia="宋体" w:cs="Times New Roman"/>
                <w:color w:val="000000"/>
                <w:kern w:val="28"/>
                <w:sz w:val="21"/>
                <w:szCs w:val="21"/>
                <w:highlight w:val="none"/>
                <w:lang w:val="en-US" w:eastAsia="zh-CN"/>
              </w:rPr>
              <w:t>6</w:t>
            </w:r>
            <w:r>
              <w:rPr>
                <w:rFonts w:hint="eastAsia" w:ascii="宋体" w:hAnsi="宋体" w:eastAsia="宋体" w:cs="Times New Roman"/>
                <w:color w:val="000000"/>
                <w:kern w:val="28"/>
                <w:sz w:val="21"/>
                <w:szCs w:val="21"/>
                <w:highlight w:val="none"/>
                <w:lang w:eastAsia="zh-CN"/>
              </w:rPr>
              <w:t>月</w:t>
            </w:r>
            <w:r>
              <w:rPr>
                <w:rFonts w:ascii="宋体" w:hAnsi="宋体" w:eastAsia="宋体" w:cs="Times New Roman"/>
                <w:color w:val="000000"/>
                <w:kern w:val="28"/>
                <w:sz w:val="21"/>
                <w:szCs w:val="21"/>
                <w:highlight w:val="none"/>
              </w:rPr>
              <w:t>1日</w:t>
            </w:r>
            <w:r>
              <w:rPr>
                <w:rFonts w:hint="eastAsia" w:ascii="宋体" w:hAnsi="宋体" w:eastAsia="宋体" w:cs="Times New Roman"/>
                <w:color w:val="000000"/>
                <w:kern w:val="28"/>
                <w:sz w:val="21"/>
                <w:szCs w:val="21"/>
                <w:highlight w:val="none"/>
              </w:rPr>
              <w:t>至投标截止时间）不曾在公共建筑</w:t>
            </w:r>
            <w:r>
              <w:rPr>
                <w:rFonts w:hint="eastAsia" w:ascii="宋体" w:hAnsi="宋体" w:eastAsia="宋体" w:cs="宋体"/>
                <w:snapToGrid w:val="0"/>
                <w:kern w:val="0"/>
                <w:sz w:val="21"/>
                <w:szCs w:val="21"/>
                <w:highlight w:val="none"/>
              </w:rPr>
              <w:t>工程</w:t>
            </w:r>
            <w:r>
              <w:rPr>
                <w:rFonts w:hint="eastAsia" w:ascii="宋体" w:hAnsi="宋体" w:eastAsia="宋体" w:cs="Times New Roman"/>
                <w:color w:val="000000"/>
                <w:kern w:val="28"/>
                <w:sz w:val="21"/>
                <w:szCs w:val="21"/>
                <w:highlight w:val="none"/>
              </w:rPr>
              <w:t>施工</w:t>
            </w:r>
            <w:r>
              <w:rPr>
                <w:rFonts w:hint="eastAsia" w:ascii="宋体" w:hAnsi="宋体" w:eastAsia="宋体" w:cs="Times New Roman"/>
                <w:color w:val="000000"/>
                <w:kern w:val="28"/>
                <w:sz w:val="21"/>
                <w:szCs w:val="21"/>
                <w:highlight w:val="none"/>
                <w:lang w:val="en-US" w:eastAsia="zh-CN"/>
              </w:rPr>
              <w:t>合同</w:t>
            </w:r>
            <w:r>
              <w:rPr>
                <w:rFonts w:hint="eastAsia" w:ascii="宋体" w:hAnsi="宋体" w:eastAsia="宋体" w:cs="Times New Roman"/>
                <w:color w:val="000000"/>
                <w:kern w:val="28"/>
                <w:sz w:val="21"/>
                <w:szCs w:val="21"/>
                <w:highlight w:val="none"/>
              </w:rPr>
              <w:t>中违约而被</w:t>
            </w:r>
            <w:r>
              <w:rPr>
                <w:rFonts w:hint="eastAsia" w:ascii="宋体" w:hAnsi="宋体" w:eastAsia="宋体" w:cs="宋体"/>
                <w:snapToGrid w:val="0"/>
                <w:color w:val="auto"/>
                <w:kern w:val="0"/>
                <w:sz w:val="21"/>
                <w:szCs w:val="21"/>
                <w:highlight w:val="none"/>
              </w:rPr>
              <w:t>驱</w:t>
            </w:r>
            <w:r>
              <w:rPr>
                <w:rFonts w:hint="eastAsia" w:ascii="宋体" w:hAnsi="宋体" w:eastAsia="宋体" w:cs="Times New Roman"/>
                <w:color w:val="000000"/>
                <w:kern w:val="28"/>
                <w:sz w:val="21"/>
                <w:szCs w:val="21"/>
                <w:highlight w:val="none"/>
              </w:rPr>
              <w:t>逐或因投标人自身的原因而使公共建筑</w:t>
            </w:r>
            <w:r>
              <w:rPr>
                <w:rFonts w:hint="eastAsia" w:ascii="宋体" w:hAnsi="宋体" w:eastAsia="宋体" w:cs="宋体"/>
                <w:snapToGrid w:val="0"/>
                <w:kern w:val="0"/>
                <w:sz w:val="21"/>
                <w:szCs w:val="21"/>
                <w:highlight w:val="none"/>
              </w:rPr>
              <w:t>工程</w:t>
            </w:r>
            <w:r>
              <w:rPr>
                <w:rFonts w:hint="eastAsia" w:ascii="宋体" w:hAnsi="宋体" w:eastAsia="宋体" w:cs="Times New Roman"/>
                <w:color w:val="000000"/>
                <w:kern w:val="28"/>
                <w:sz w:val="21"/>
                <w:szCs w:val="21"/>
                <w:highlight w:val="none"/>
              </w:rPr>
              <w:t>施工合同被解除。</w:t>
            </w:r>
          </w:p>
        </w:tc>
      </w:tr>
      <w:tr w14:paraId="68011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vMerge w:val="continue"/>
            <w:tcBorders>
              <w:left w:val="single" w:color="auto" w:sz="4" w:space="0"/>
              <w:bottom w:val="single" w:color="auto" w:sz="4" w:space="0"/>
              <w:right w:val="single" w:color="auto" w:sz="4" w:space="0"/>
            </w:tcBorders>
            <w:vAlign w:val="center"/>
          </w:tcPr>
          <w:p w14:paraId="7765CBF3">
            <w:pPr>
              <w:spacing w:line="240" w:lineRule="exact"/>
              <w:rPr>
                <w:rFonts w:ascii="宋体" w:hAnsi="宋体" w:eastAsia="宋体" w:cs="Times New Roman"/>
                <w:color w:val="000000"/>
                <w:kern w:val="2"/>
                <w:sz w:val="21"/>
                <w:szCs w:val="21"/>
                <w:highlight w:val="none"/>
              </w:rPr>
            </w:pPr>
          </w:p>
        </w:tc>
      </w:tr>
    </w:tbl>
    <w:p w14:paraId="7D6730D6">
      <w:pPr>
        <w:spacing w:beforeLines="50" w:afterLines="50"/>
        <w:jc w:val="center"/>
        <w:rPr>
          <w:rFonts w:ascii="宋体" w:hAnsi="宋体" w:eastAsia="宋体" w:cs="Times New Roman"/>
          <w:b/>
          <w:color w:val="000000"/>
          <w:kern w:val="2"/>
          <w:sz w:val="24"/>
          <w:szCs w:val="24"/>
          <w:highlight w:val="none"/>
        </w:rPr>
      </w:pPr>
    </w:p>
    <w:p w14:paraId="466BCB7B">
      <w:pPr>
        <w:spacing w:beforeLines="50" w:afterLines="50"/>
        <w:jc w:val="center"/>
        <w:rPr>
          <w:rFonts w:ascii="宋体" w:hAnsi="宋体" w:eastAsia="宋体" w:cs="Times New Roman"/>
          <w:b/>
          <w:color w:val="000000"/>
          <w:kern w:val="2"/>
          <w:sz w:val="24"/>
          <w:szCs w:val="24"/>
          <w:highlight w:val="none"/>
        </w:rPr>
      </w:pPr>
      <w:r>
        <w:rPr>
          <w:rFonts w:ascii="宋体" w:hAnsi="宋体" w:eastAsia="宋体" w:cs="Times New Roman"/>
          <w:b/>
          <w:color w:val="000000"/>
          <w:kern w:val="2"/>
          <w:sz w:val="24"/>
          <w:szCs w:val="24"/>
          <w:highlight w:val="none"/>
        </w:rPr>
        <w:br w:type="page"/>
      </w:r>
    </w:p>
    <w:p w14:paraId="5D795C73">
      <w:pPr>
        <w:spacing w:beforeLines="50" w:afterLines="50"/>
        <w:jc w:val="center"/>
        <w:rPr>
          <w:rFonts w:ascii="宋体" w:hAnsi="宋体" w:eastAsia="宋体" w:cs="Times New Roman"/>
          <w:b/>
          <w:color w:val="000000"/>
          <w:kern w:val="2"/>
          <w:sz w:val="24"/>
          <w:szCs w:val="24"/>
          <w:highlight w:val="none"/>
        </w:rPr>
      </w:pPr>
      <w:r>
        <w:rPr>
          <w:rFonts w:hint="eastAsia" w:ascii="宋体" w:hAnsi="宋体" w:eastAsia="宋体" w:cs="Times New Roman"/>
          <w:b/>
          <w:color w:val="000000"/>
          <w:kern w:val="2"/>
          <w:sz w:val="24"/>
          <w:szCs w:val="24"/>
          <w:highlight w:val="none"/>
        </w:rPr>
        <w:t>附录5 资格审查条件（项目经理和项目总工最低要求）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818"/>
        <w:gridCol w:w="5953"/>
        <w:gridCol w:w="1310"/>
      </w:tblGrid>
      <w:tr w14:paraId="114B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06" w:type="pct"/>
            <w:vAlign w:val="center"/>
          </w:tcPr>
          <w:p w14:paraId="51A562F1">
            <w:pPr>
              <w:jc w:val="center"/>
              <w:rPr>
                <w:rFonts w:ascii="宋体" w:hAnsi="宋体" w:eastAsia="宋体" w:cs="Times New Roman"/>
                <w:color w:val="000000"/>
                <w:kern w:val="2"/>
                <w:sz w:val="21"/>
                <w:szCs w:val="21"/>
                <w:highlight w:val="none"/>
              </w:rPr>
            </w:pPr>
            <w:bookmarkStart w:id="7" w:name="_Hlk51596344"/>
            <w:r>
              <w:rPr>
                <w:rFonts w:hint="eastAsia" w:ascii="宋体" w:hAnsi="宋体" w:eastAsia="宋体" w:cs="Times New Roman"/>
                <w:color w:val="000000"/>
                <w:kern w:val="2"/>
                <w:sz w:val="21"/>
                <w:szCs w:val="21"/>
                <w:highlight w:val="none"/>
              </w:rPr>
              <w:t>人员</w:t>
            </w:r>
          </w:p>
        </w:tc>
        <w:tc>
          <w:tcPr>
            <w:tcW w:w="445" w:type="pct"/>
            <w:vAlign w:val="center"/>
          </w:tcPr>
          <w:p w14:paraId="72353E2A">
            <w:pPr>
              <w:jc w:val="center"/>
              <w:rPr>
                <w:rFonts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rPr>
              <w:t>数量</w:t>
            </w:r>
          </w:p>
        </w:tc>
        <w:tc>
          <w:tcPr>
            <w:tcW w:w="3237" w:type="pct"/>
            <w:vAlign w:val="center"/>
          </w:tcPr>
          <w:p w14:paraId="23ACB39B">
            <w:pPr>
              <w:jc w:val="center"/>
              <w:rPr>
                <w:rFonts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rPr>
              <w:t>资格要求</w:t>
            </w:r>
          </w:p>
        </w:tc>
        <w:tc>
          <w:tcPr>
            <w:tcW w:w="713" w:type="pct"/>
            <w:vAlign w:val="center"/>
          </w:tcPr>
          <w:p w14:paraId="6A345237">
            <w:pPr>
              <w:jc w:val="center"/>
              <w:rPr>
                <w:rFonts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rPr>
              <w:t>在岗要求</w:t>
            </w:r>
          </w:p>
        </w:tc>
      </w:tr>
      <w:tr w14:paraId="7B14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606" w:type="pct"/>
            <w:vAlign w:val="center"/>
          </w:tcPr>
          <w:p w14:paraId="1BFD2029">
            <w:pPr>
              <w:jc w:val="center"/>
              <w:rPr>
                <w:rFonts w:ascii="宋体" w:hAnsi="宋体" w:eastAsia="宋体" w:cs="Times New Roman"/>
                <w:color w:val="000000"/>
                <w:kern w:val="2"/>
                <w:sz w:val="21"/>
                <w:szCs w:val="21"/>
                <w:highlight w:val="none"/>
              </w:rPr>
            </w:pPr>
            <w:bookmarkStart w:id="8" w:name="_Hlk51596314"/>
            <w:r>
              <w:rPr>
                <w:rFonts w:hint="eastAsia" w:ascii="宋体" w:hAnsi="宋体" w:eastAsia="宋体" w:cs="Times New Roman"/>
                <w:color w:val="000000"/>
                <w:kern w:val="2"/>
                <w:sz w:val="21"/>
                <w:szCs w:val="21"/>
                <w:highlight w:val="none"/>
              </w:rPr>
              <w:t>项目经理</w:t>
            </w:r>
            <w:bookmarkEnd w:id="8"/>
          </w:p>
        </w:tc>
        <w:tc>
          <w:tcPr>
            <w:tcW w:w="445" w:type="pct"/>
            <w:vAlign w:val="center"/>
          </w:tcPr>
          <w:p w14:paraId="2FB9DD46">
            <w:pPr>
              <w:jc w:val="center"/>
              <w:rPr>
                <w:rFonts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rPr>
              <w:t>1</w:t>
            </w:r>
          </w:p>
        </w:tc>
        <w:tc>
          <w:tcPr>
            <w:tcW w:w="3237" w:type="pct"/>
            <w:vAlign w:val="center"/>
          </w:tcPr>
          <w:p w14:paraId="43390C74">
            <w:pPr>
              <w:snapToGrid w:val="0"/>
              <w:spacing w:line="320" w:lineRule="exact"/>
              <w:ind w:firstLine="420" w:firstLineChars="200"/>
              <w:rPr>
                <w:rFonts w:ascii="宋体" w:hAnsi="宋体" w:eastAsia="宋体" w:cs="Times New Roman"/>
                <w:color w:val="000000"/>
                <w:kern w:val="2"/>
                <w:sz w:val="21"/>
                <w:szCs w:val="24"/>
                <w:highlight w:val="none"/>
              </w:rPr>
            </w:pPr>
            <w:r>
              <w:rPr>
                <w:rFonts w:hint="eastAsia" w:ascii="宋体" w:hAnsi="宋体" w:eastAsia="宋体" w:cs="Times New Roman"/>
                <w:color w:val="000000"/>
                <w:kern w:val="2"/>
                <w:sz w:val="21"/>
                <w:szCs w:val="24"/>
                <w:highlight w:val="none"/>
                <w:lang w:val="en-US" w:eastAsia="zh-CN"/>
              </w:rPr>
              <w:t>中级或以上职称</w:t>
            </w:r>
            <w:r>
              <w:rPr>
                <w:rFonts w:hint="eastAsia" w:ascii="宋体" w:hAnsi="宋体" w:eastAsia="宋体" w:cs="Times New Roman"/>
                <w:color w:val="000000"/>
                <w:kern w:val="2"/>
                <w:sz w:val="21"/>
                <w:szCs w:val="24"/>
                <w:highlight w:val="none"/>
              </w:rPr>
              <w:t>；</w:t>
            </w:r>
          </w:p>
          <w:p w14:paraId="73C1BC8E">
            <w:pPr>
              <w:snapToGrid w:val="0"/>
              <w:spacing w:line="320" w:lineRule="exact"/>
              <w:ind w:firstLine="420" w:firstLineChars="200"/>
              <w:rPr>
                <w:rFonts w:ascii="宋体" w:hAnsi="宋体" w:eastAsia="宋体" w:cs="Times New Roman"/>
                <w:color w:val="000000"/>
                <w:kern w:val="2"/>
                <w:sz w:val="21"/>
                <w:szCs w:val="24"/>
                <w:highlight w:val="none"/>
              </w:rPr>
            </w:pPr>
            <w:r>
              <w:rPr>
                <w:rFonts w:hint="eastAsia" w:ascii="宋体" w:hAnsi="宋体" w:eastAsia="宋体" w:cs="Times New Roman"/>
                <w:color w:val="000000"/>
                <w:kern w:val="2"/>
                <w:sz w:val="21"/>
                <w:szCs w:val="24"/>
                <w:highlight w:val="none"/>
              </w:rPr>
              <w:t>具有“</w:t>
            </w:r>
            <w:r>
              <w:rPr>
                <w:rFonts w:hint="eastAsia" w:ascii="宋体" w:hAnsi="宋体" w:eastAsia="宋体" w:cs="宋体"/>
                <w:snapToGrid w:val="0"/>
                <w:kern w:val="0"/>
                <w:sz w:val="21"/>
                <w:szCs w:val="21"/>
                <w:highlight w:val="none"/>
              </w:rPr>
              <w:t>建筑工程</w:t>
            </w:r>
            <w:r>
              <w:rPr>
                <w:rFonts w:hint="eastAsia" w:ascii="宋体" w:hAnsi="宋体" w:eastAsia="宋体" w:cs="Times New Roman"/>
                <w:color w:val="000000"/>
                <w:kern w:val="2"/>
                <w:sz w:val="21"/>
                <w:szCs w:val="24"/>
                <w:highlight w:val="none"/>
              </w:rPr>
              <w:t>”专业的“二级及以上建造师注册证书”，建造师注册证书的注册单位须与投标人单位名称一致；</w:t>
            </w:r>
          </w:p>
          <w:p w14:paraId="25BF2032">
            <w:pPr>
              <w:snapToGrid w:val="0"/>
              <w:spacing w:line="320" w:lineRule="exact"/>
              <w:ind w:firstLine="420" w:firstLineChars="200"/>
              <w:rPr>
                <w:rFonts w:ascii="宋体" w:hAnsi="宋体" w:eastAsia="宋体" w:cs="Times New Roman"/>
                <w:color w:val="000000"/>
                <w:kern w:val="2"/>
                <w:sz w:val="21"/>
                <w:szCs w:val="24"/>
                <w:highlight w:val="none"/>
              </w:rPr>
            </w:pPr>
            <w:r>
              <w:rPr>
                <w:rFonts w:hint="eastAsia" w:ascii="宋体" w:hAnsi="宋体" w:eastAsia="宋体" w:cs="Times New Roman"/>
                <w:color w:val="000000"/>
                <w:kern w:val="2"/>
                <w:sz w:val="21"/>
                <w:szCs w:val="24"/>
                <w:highlight w:val="none"/>
              </w:rPr>
              <w:t>具有住房和城乡建设行政主管部门的有效的《安全生产考核合格证书》（B类），安全生产考核合格证书的登记单位须与投标人单位名称一致；</w:t>
            </w:r>
          </w:p>
          <w:p w14:paraId="30746C22">
            <w:pPr>
              <w:widowControl/>
              <w:snapToGrid w:val="0"/>
              <w:spacing w:line="320" w:lineRule="exact"/>
              <w:ind w:firstLine="420" w:firstLineChars="200"/>
              <w:rPr>
                <w:rFonts w:ascii="宋体" w:hAnsi="宋体" w:eastAsia="宋体" w:cs="Times New Roman"/>
                <w:color w:val="000000"/>
                <w:kern w:val="2"/>
                <w:sz w:val="21"/>
                <w:szCs w:val="24"/>
                <w:highlight w:val="none"/>
              </w:rPr>
            </w:pPr>
            <w:r>
              <w:rPr>
                <w:rFonts w:hint="eastAsia" w:ascii="宋体" w:hAnsi="宋体" w:eastAsia="宋体" w:cs="Times New Roman"/>
                <w:color w:val="000000"/>
                <w:kern w:val="2"/>
                <w:sz w:val="21"/>
                <w:szCs w:val="24"/>
                <w:highlight w:val="none"/>
              </w:rPr>
              <w:t>近5年（2021年</w:t>
            </w:r>
            <w:r>
              <w:rPr>
                <w:rFonts w:hint="eastAsia" w:ascii="宋体" w:hAnsi="宋体" w:eastAsia="宋体" w:cs="Times New Roman"/>
                <w:color w:val="000000"/>
                <w:kern w:val="2"/>
                <w:sz w:val="21"/>
                <w:szCs w:val="24"/>
                <w:highlight w:val="none"/>
                <w:lang w:val="en-US" w:eastAsia="zh-CN"/>
              </w:rPr>
              <w:t>6</w:t>
            </w:r>
            <w:r>
              <w:rPr>
                <w:rFonts w:hint="eastAsia" w:ascii="宋体" w:hAnsi="宋体" w:eastAsia="宋体" w:cs="Times New Roman"/>
                <w:color w:val="000000"/>
                <w:kern w:val="2"/>
                <w:sz w:val="21"/>
                <w:szCs w:val="24"/>
                <w:highlight w:val="none"/>
                <w:lang w:eastAsia="zh-CN"/>
              </w:rPr>
              <w:t>月</w:t>
            </w:r>
            <w:r>
              <w:rPr>
                <w:rFonts w:hint="eastAsia" w:ascii="宋体" w:hAnsi="宋体" w:eastAsia="宋体" w:cs="Times New Roman"/>
                <w:color w:val="000000"/>
                <w:kern w:val="2"/>
                <w:sz w:val="21"/>
                <w:szCs w:val="24"/>
                <w:highlight w:val="none"/>
              </w:rPr>
              <w:t>1日至投标截止时间，</w:t>
            </w:r>
            <w:r>
              <w:rPr>
                <w:rFonts w:hint="eastAsia" w:ascii="宋体" w:hAnsi="宋体" w:eastAsia="宋体" w:cs="宋体"/>
                <w:snapToGrid w:val="0"/>
                <w:color w:val="auto"/>
                <w:kern w:val="0"/>
                <w:sz w:val="21"/>
                <w:szCs w:val="21"/>
                <w:highlight w:val="none"/>
                <w:lang w:eastAsia="zh-CN"/>
              </w:rPr>
              <w:t>以工程竣（交）工时间为准</w:t>
            </w:r>
            <w:r>
              <w:rPr>
                <w:rFonts w:hint="eastAsia" w:ascii="宋体" w:hAnsi="宋体" w:eastAsia="宋体" w:cs="Times New Roman"/>
                <w:color w:val="000000"/>
                <w:kern w:val="2"/>
                <w:sz w:val="21"/>
                <w:szCs w:val="24"/>
                <w:highlight w:val="none"/>
              </w:rPr>
              <w:t>）至少担任过1项</w:t>
            </w:r>
            <w:r>
              <w:rPr>
                <w:rFonts w:hint="eastAsia" w:ascii="宋体" w:hAnsi="宋体" w:eastAsia="宋体" w:cs="宋体"/>
                <w:snapToGrid w:val="0"/>
                <w:color w:val="auto"/>
                <w:kern w:val="0"/>
                <w:sz w:val="21"/>
                <w:szCs w:val="21"/>
                <w:highlight w:val="none"/>
                <w:lang w:val="en-US" w:eastAsia="zh-CN"/>
              </w:rPr>
              <w:t>单项</w:t>
            </w:r>
            <w:r>
              <w:rPr>
                <w:rFonts w:hint="eastAsia" w:ascii="宋体" w:hAnsi="宋体" w:eastAsia="宋体" w:cs="Times New Roman"/>
                <w:color w:val="000000"/>
                <w:kern w:val="0"/>
                <w:sz w:val="21"/>
                <w:szCs w:val="21"/>
                <w:highlight w:val="none"/>
              </w:rPr>
              <w:t>合同金额不少于</w:t>
            </w:r>
            <w:r>
              <w:rPr>
                <w:rFonts w:hint="eastAsia" w:ascii="宋体" w:hAnsi="宋体" w:eastAsia="宋体" w:cs="Times New Roman"/>
                <w:color w:val="000000"/>
                <w:kern w:val="0"/>
                <w:sz w:val="21"/>
                <w:szCs w:val="21"/>
                <w:highlight w:val="none"/>
                <w:lang w:val="en-US" w:eastAsia="zh-CN"/>
              </w:rPr>
              <w:t>6</w:t>
            </w:r>
            <w:r>
              <w:rPr>
                <w:rFonts w:hint="eastAsia" w:ascii="宋体" w:hAnsi="宋体" w:eastAsia="宋体" w:cs="Times New Roman"/>
                <w:color w:val="000000"/>
                <w:kern w:val="0"/>
                <w:sz w:val="21"/>
                <w:szCs w:val="21"/>
                <w:highlight w:val="none"/>
              </w:rPr>
              <w:t>00万元的</w:t>
            </w:r>
            <w:r>
              <w:rPr>
                <w:rFonts w:hint="eastAsia" w:ascii="宋体" w:hAnsi="宋体" w:eastAsia="宋体" w:cs="Times New Roman"/>
                <w:color w:val="000000"/>
                <w:kern w:val="28"/>
                <w:sz w:val="21"/>
                <w:szCs w:val="21"/>
                <w:highlight w:val="none"/>
              </w:rPr>
              <w:t>公共建筑</w:t>
            </w:r>
            <w:r>
              <w:rPr>
                <w:rFonts w:hint="eastAsia" w:ascii="宋体" w:hAnsi="宋体" w:eastAsia="宋体" w:cs="宋体"/>
                <w:snapToGrid w:val="0"/>
                <w:kern w:val="0"/>
                <w:sz w:val="21"/>
                <w:szCs w:val="21"/>
                <w:highlight w:val="none"/>
              </w:rPr>
              <w:t>工程</w:t>
            </w:r>
            <w:r>
              <w:rPr>
                <w:rFonts w:hint="eastAsia" w:ascii="宋体" w:hAnsi="宋体" w:eastAsia="宋体" w:cs="Times New Roman"/>
                <w:color w:val="000000"/>
                <w:kern w:val="0"/>
                <w:sz w:val="21"/>
                <w:szCs w:val="21"/>
                <w:highlight w:val="none"/>
              </w:rPr>
              <w:t>施工</w:t>
            </w:r>
            <w:r>
              <w:rPr>
                <w:rFonts w:hint="eastAsia" w:ascii="宋体" w:hAnsi="宋体" w:eastAsia="宋体" w:cs="Times New Roman"/>
                <w:color w:val="000000"/>
                <w:kern w:val="2"/>
                <w:sz w:val="21"/>
                <w:szCs w:val="24"/>
                <w:highlight w:val="none"/>
              </w:rPr>
              <w:t>的项目经理或项目总工</w:t>
            </w:r>
            <w:r>
              <w:rPr>
                <w:rFonts w:hint="eastAsia" w:ascii="宋体" w:hAnsi="宋体" w:eastAsia="宋体" w:cs="Times New Roman"/>
                <w:color w:val="000000"/>
                <w:kern w:val="2"/>
                <w:sz w:val="21"/>
                <w:szCs w:val="24"/>
                <w:highlight w:val="none"/>
                <w:lang w:val="en-US" w:eastAsia="zh-CN"/>
              </w:rPr>
              <w:t>或技术负责人</w:t>
            </w:r>
            <w:r>
              <w:rPr>
                <w:rFonts w:hint="eastAsia" w:ascii="宋体" w:hAnsi="宋体" w:eastAsia="宋体" w:cs="Times New Roman"/>
                <w:color w:val="000000"/>
                <w:kern w:val="2"/>
                <w:sz w:val="21"/>
                <w:szCs w:val="24"/>
                <w:highlight w:val="none"/>
              </w:rPr>
              <w:t>。</w:t>
            </w:r>
          </w:p>
        </w:tc>
        <w:tc>
          <w:tcPr>
            <w:tcW w:w="713" w:type="pct"/>
            <w:vMerge w:val="restart"/>
            <w:vAlign w:val="center"/>
          </w:tcPr>
          <w:p w14:paraId="03C7A77B">
            <w:pPr>
              <w:adjustRightInd w:val="0"/>
              <w:snapToGrid w:val="0"/>
              <w:rPr>
                <w:rFonts w:ascii="宋体" w:hAnsi="宋体" w:eastAsia="宋体" w:cs="Times New Roman"/>
                <w:color w:val="000000"/>
                <w:kern w:val="0"/>
                <w:sz w:val="21"/>
                <w:szCs w:val="21"/>
                <w:highlight w:val="none"/>
              </w:rPr>
            </w:pPr>
            <w:r>
              <w:rPr>
                <w:rFonts w:hint="eastAsia" w:ascii="宋体" w:hAnsi="宋体" w:eastAsia="宋体" w:cs="Times New Roman"/>
                <w:color w:val="000000"/>
                <w:kern w:val="0"/>
                <w:sz w:val="21"/>
                <w:szCs w:val="21"/>
                <w:highlight w:val="none"/>
              </w:rPr>
              <w:t>目前未在其他项目上任职，或虽在其他项目上任职但能够从其他项目撤离并能在本项目履约</w:t>
            </w:r>
          </w:p>
        </w:tc>
      </w:tr>
      <w:tr w14:paraId="61DB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606" w:type="pct"/>
            <w:vAlign w:val="center"/>
          </w:tcPr>
          <w:p w14:paraId="46F10028">
            <w:pPr>
              <w:jc w:val="center"/>
              <w:rPr>
                <w:rFonts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rPr>
              <w:t>项目总工</w:t>
            </w:r>
          </w:p>
        </w:tc>
        <w:tc>
          <w:tcPr>
            <w:tcW w:w="445" w:type="pct"/>
            <w:vAlign w:val="center"/>
          </w:tcPr>
          <w:p w14:paraId="1F80DCB3">
            <w:pPr>
              <w:jc w:val="center"/>
              <w:rPr>
                <w:rFonts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rPr>
              <w:t>1</w:t>
            </w:r>
          </w:p>
        </w:tc>
        <w:tc>
          <w:tcPr>
            <w:tcW w:w="3237" w:type="pct"/>
            <w:vAlign w:val="center"/>
          </w:tcPr>
          <w:p w14:paraId="150C5DD3">
            <w:pPr>
              <w:widowControl/>
              <w:snapToGrid w:val="0"/>
              <w:spacing w:line="320" w:lineRule="exact"/>
              <w:ind w:firstLine="420" w:firstLineChars="200"/>
              <w:jc w:val="left"/>
              <w:rPr>
                <w:rFonts w:hint="eastAsia" w:ascii="宋体" w:hAnsi="宋体" w:eastAsia="宋体" w:cs="Times New Roman"/>
                <w:color w:val="000000"/>
                <w:kern w:val="2"/>
                <w:sz w:val="21"/>
                <w:szCs w:val="24"/>
                <w:highlight w:val="none"/>
              </w:rPr>
            </w:pPr>
            <w:r>
              <w:rPr>
                <w:rFonts w:hint="eastAsia" w:ascii="宋体" w:hAnsi="宋体" w:eastAsia="宋体" w:cs="Times New Roman"/>
                <w:color w:val="000000"/>
                <w:kern w:val="2"/>
                <w:sz w:val="21"/>
                <w:szCs w:val="24"/>
                <w:highlight w:val="none"/>
              </w:rPr>
              <w:t>高级</w:t>
            </w:r>
            <w:r>
              <w:rPr>
                <w:rFonts w:hint="eastAsia" w:ascii="宋体" w:hAnsi="宋体" w:eastAsia="宋体" w:cs="Times New Roman"/>
                <w:color w:val="000000"/>
                <w:kern w:val="2"/>
                <w:sz w:val="21"/>
                <w:szCs w:val="24"/>
                <w:highlight w:val="none"/>
                <w:lang w:eastAsia="zh-CN"/>
              </w:rPr>
              <w:t>或以上职称</w:t>
            </w:r>
            <w:r>
              <w:rPr>
                <w:rFonts w:hint="eastAsia" w:ascii="宋体" w:hAnsi="宋体" w:eastAsia="宋体" w:cs="Times New Roman"/>
                <w:color w:val="000000"/>
                <w:kern w:val="2"/>
                <w:sz w:val="21"/>
                <w:szCs w:val="24"/>
                <w:highlight w:val="none"/>
              </w:rPr>
              <w:t>；</w:t>
            </w:r>
          </w:p>
          <w:p w14:paraId="05C9DEA8">
            <w:pPr>
              <w:widowControl/>
              <w:snapToGrid w:val="0"/>
              <w:spacing w:line="320" w:lineRule="exact"/>
              <w:ind w:firstLine="420" w:firstLineChars="200"/>
              <w:rPr>
                <w:rFonts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4"/>
                <w:highlight w:val="none"/>
              </w:rPr>
              <w:t>近5年（2021年</w:t>
            </w:r>
            <w:r>
              <w:rPr>
                <w:rFonts w:hint="eastAsia" w:ascii="宋体" w:hAnsi="宋体" w:eastAsia="宋体" w:cs="Times New Roman"/>
                <w:color w:val="000000"/>
                <w:kern w:val="2"/>
                <w:sz w:val="21"/>
                <w:szCs w:val="24"/>
                <w:highlight w:val="none"/>
                <w:lang w:val="en-US" w:eastAsia="zh-CN"/>
              </w:rPr>
              <w:t>6</w:t>
            </w:r>
            <w:r>
              <w:rPr>
                <w:rFonts w:hint="eastAsia" w:ascii="宋体" w:hAnsi="宋体" w:eastAsia="宋体" w:cs="Times New Roman"/>
                <w:color w:val="000000"/>
                <w:kern w:val="2"/>
                <w:sz w:val="21"/>
                <w:szCs w:val="24"/>
                <w:highlight w:val="none"/>
                <w:lang w:eastAsia="zh-CN"/>
              </w:rPr>
              <w:t>月</w:t>
            </w:r>
            <w:r>
              <w:rPr>
                <w:rFonts w:hint="eastAsia" w:ascii="宋体" w:hAnsi="宋体" w:eastAsia="宋体" w:cs="Times New Roman"/>
                <w:color w:val="000000"/>
                <w:kern w:val="2"/>
                <w:sz w:val="21"/>
                <w:szCs w:val="24"/>
                <w:highlight w:val="none"/>
              </w:rPr>
              <w:t>1日至投标截止时间，</w:t>
            </w:r>
            <w:r>
              <w:rPr>
                <w:rFonts w:hint="eastAsia" w:ascii="宋体" w:hAnsi="宋体" w:eastAsia="宋体" w:cs="宋体"/>
                <w:snapToGrid w:val="0"/>
                <w:color w:val="auto"/>
                <w:kern w:val="0"/>
                <w:sz w:val="21"/>
                <w:szCs w:val="21"/>
                <w:highlight w:val="none"/>
                <w:lang w:eastAsia="zh-CN"/>
              </w:rPr>
              <w:t>以工程竣（交）工时间为准</w:t>
            </w:r>
            <w:r>
              <w:rPr>
                <w:rFonts w:hint="eastAsia" w:ascii="宋体" w:hAnsi="宋体" w:eastAsia="宋体" w:cs="Times New Roman"/>
                <w:color w:val="000000"/>
                <w:kern w:val="2"/>
                <w:sz w:val="21"/>
                <w:szCs w:val="24"/>
                <w:highlight w:val="none"/>
              </w:rPr>
              <w:t>）至少担任过1项</w:t>
            </w:r>
            <w:r>
              <w:rPr>
                <w:rFonts w:hint="eastAsia" w:ascii="宋体" w:hAnsi="宋体" w:eastAsia="宋体" w:cs="宋体"/>
                <w:snapToGrid w:val="0"/>
                <w:color w:val="auto"/>
                <w:kern w:val="0"/>
                <w:sz w:val="21"/>
                <w:szCs w:val="21"/>
                <w:highlight w:val="none"/>
                <w:lang w:val="en-US" w:eastAsia="zh-CN"/>
              </w:rPr>
              <w:t>单项</w:t>
            </w:r>
            <w:r>
              <w:rPr>
                <w:rFonts w:hint="eastAsia" w:ascii="宋体" w:hAnsi="宋体" w:eastAsia="宋体" w:cs="Times New Roman"/>
                <w:color w:val="000000"/>
                <w:kern w:val="0"/>
                <w:sz w:val="21"/>
                <w:szCs w:val="21"/>
                <w:highlight w:val="none"/>
              </w:rPr>
              <w:t>合同金额不少于</w:t>
            </w:r>
            <w:r>
              <w:rPr>
                <w:rFonts w:hint="eastAsia" w:ascii="宋体" w:hAnsi="宋体" w:eastAsia="宋体" w:cs="Times New Roman"/>
                <w:color w:val="000000"/>
                <w:kern w:val="0"/>
                <w:sz w:val="21"/>
                <w:szCs w:val="21"/>
                <w:highlight w:val="none"/>
                <w:lang w:val="en-US" w:eastAsia="zh-CN"/>
              </w:rPr>
              <w:t>6</w:t>
            </w:r>
            <w:r>
              <w:rPr>
                <w:rFonts w:hint="eastAsia" w:ascii="宋体" w:hAnsi="宋体" w:eastAsia="宋体" w:cs="Times New Roman"/>
                <w:color w:val="000000"/>
                <w:kern w:val="0"/>
                <w:sz w:val="21"/>
                <w:szCs w:val="21"/>
                <w:highlight w:val="none"/>
              </w:rPr>
              <w:t>00万元的</w:t>
            </w:r>
            <w:r>
              <w:rPr>
                <w:rFonts w:hint="eastAsia" w:ascii="宋体" w:hAnsi="宋体" w:eastAsia="宋体" w:cs="Times New Roman"/>
                <w:color w:val="000000"/>
                <w:kern w:val="28"/>
                <w:sz w:val="21"/>
                <w:szCs w:val="21"/>
                <w:highlight w:val="none"/>
              </w:rPr>
              <w:t>公共建筑</w:t>
            </w:r>
            <w:r>
              <w:rPr>
                <w:rFonts w:hint="eastAsia" w:ascii="宋体" w:hAnsi="宋体" w:eastAsia="宋体" w:cs="宋体"/>
                <w:snapToGrid w:val="0"/>
                <w:kern w:val="0"/>
                <w:sz w:val="21"/>
                <w:szCs w:val="21"/>
                <w:highlight w:val="none"/>
              </w:rPr>
              <w:t>工程</w:t>
            </w:r>
            <w:r>
              <w:rPr>
                <w:rFonts w:hint="eastAsia" w:ascii="宋体" w:hAnsi="宋体" w:eastAsia="宋体" w:cs="Times New Roman"/>
                <w:color w:val="000000"/>
                <w:kern w:val="0"/>
                <w:sz w:val="21"/>
                <w:szCs w:val="21"/>
                <w:highlight w:val="none"/>
              </w:rPr>
              <w:t>施工</w:t>
            </w:r>
            <w:r>
              <w:rPr>
                <w:rFonts w:hint="eastAsia" w:ascii="宋体" w:hAnsi="宋体" w:eastAsia="宋体" w:cs="Times New Roman"/>
                <w:color w:val="000000"/>
                <w:kern w:val="2"/>
                <w:sz w:val="21"/>
                <w:szCs w:val="24"/>
                <w:highlight w:val="none"/>
              </w:rPr>
              <w:t>的项目总工或</w:t>
            </w:r>
            <w:r>
              <w:rPr>
                <w:rFonts w:hint="eastAsia" w:ascii="宋体" w:hAnsi="宋体" w:eastAsia="宋体" w:cs="Times New Roman"/>
                <w:kern w:val="2"/>
                <w:sz w:val="21"/>
                <w:szCs w:val="24"/>
                <w:highlight w:val="none"/>
                <w:shd w:val="clear" w:color="auto" w:fill="FFFFFF"/>
              </w:rPr>
              <w:t>技术负责人</w:t>
            </w:r>
            <w:r>
              <w:rPr>
                <w:rFonts w:hint="eastAsia" w:ascii="宋体" w:hAnsi="宋体" w:eastAsia="宋体" w:cs="Times New Roman"/>
                <w:color w:val="000000"/>
                <w:kern w:val="2"/>
                <w:sz w:val="21"/>
                <w:szCs w:val="24"/>
                <w:highlight w:val="none"/>
              </w:rPr>
              <w:t>。</w:t>
            </w:r>
          </w:p>
        </w:tc>
        <w:tc>
          <w:tcPr>
            <w:tcW w:w="713" w:type="pct"/>
            <w:vMerge w:val="continue"/>
            <w:vAlign w:val="center"/>
          </w:tcPr>
          <w:p w14:paraId="66CFD3C3">
            <w:pPr>
              <w:adjustRightInd w:val="0"/>
              <w:snapToGrid w:val="0"/>
              <w:ind w:firstLine="420" w:firstLineChars="200"/>
              <w:rPr>
                <w:rFonts w:ascii="宋体" w:hAnsi="宋体" w:eastAsia="宋体" w:cs="Arial"/>
                <w:color w:val="000000"/>
                <w:kern w:val="0"/>
                <w:sz w:val="21"/>
                <w:szCs w:val="21"/>
                <w:highlight w:val="none"/>
              </w:rPr>
            </w:pPr>
          </w:p>
        </w:tc>
      </w:tr>
      <w:bookmarkEnd w:id="7"/>
    </w:tbl>
    <w:p w14:paraId="50E38F06">
      <w:pPr>
        <w:ind w:firstLine="420" w:firstLineChars="200"/>
        <w:rPr>
          <w:rFonts w:ascii="宋体" w:hAnsi="宋体" w:eastAsia="宋体" w:cs="Times New Roman"/>
          <w:color w:val="000000"/>
          <w:kern w:val="28"/>
          <w:sz w:val="21"/>
          <w:szCs w:val="21"/>
          <w:highlight w:val="none"/>
        </w:rPr>
      </w:pPr>
    </w:p>
    <w:p w14:paraId="7B7E780D">
      <w:pPr>
        <w:tabs>
          <w:tab w:val="left" w:pos="0"/>
        </w:tabs>
        <w:spacing w:line="360" w:lineRule="auto"/>
        <w:outlineLvl w:val="2"/>
        <w:rPr>
          <w:rFonts w:ascii="黑体" w:hAnsi="黑体" w:eastAsia="黑体" w:cs="黑体"/>
          <w:color w:val="000000"/>
          <w:kern w:val="28"/>
          <w:sz w:val="24"/>
          <w:szCs w:val="24"/>
          <w:highlight w:val="none"/>
        </w:rPr>
      </w:pPr>
      <w:r>
        <w:rPr>
          <w:rFonts w:ascii="宋体" w:hAnsi="宋体" w:eastAsia="宋体" w:cs="Times New Roman"/>
          <w:color w:val="000000"/>
          <w:kern w:val="28"/>
          <w:sz w:val="28"/>
          <w:szCs w:val="20"/>
          <w:highlight w:val="none"/>
        </w:rPr>
        <w:br w:type="page"/>
      </w:r>
      <w:bookmarkStart w:id="9" w:name="_Toc164101096"/>
      <w:bookmarkStart w:id="10" w:name="_Toc161207393"/>
      <w:bookmarkStart w:id="11" w:name="_Toc17709"/>
      <w:bookmarkStart w:id="12" w:name="_Toc19123"/>
      <w:bookmarkStart w:id="13" w:name="_Toc144838351"/>
      <w:bookmarkStart w:id="14" w:name="_Toc134792339"/>
      <w:bookmarkStart w:id="15" w:name="_Toc144837285"/>
      <w:r>
        <w:rPr>
          <w:rFonts w:hint="eastAsia" w:ascii="黑体" w:hAnsi="黑体" w:eastAsia="黑体" w:cs="黑体"/>
          <w:color w:val="000000"/>
          <w:kern w:val="28"/>
          <w:sz w:val="24"/>
          <w:szCs w:val="24"/>
          <w:highlight w:val="none"/>
        </w:rPr>
        <w:t>附件2：随机确定评标基准价计算方法的规则与程序</w:t>
      </w:r>
    </w:p>
    <w:p w14:paraId="1BD8068F">
      <w:pPr>
        <w:snapToGrid w:val="0"/>
        <w:spacing w:line="360" w:lineRule="auto"/>
        <w:ind w:firstLine="422" w:firstLineChars="200"/>
        <w:rPr>
          <w:rFonts w:ascii="宋体" w:hAnsi="宋体" w:eastAsia="宋体" w:cs="宋体"/>
          <w:b/>
          <w:bCs/>
          <w:color w:val="000000"/>
          <w:kern w:val="28"/>
          <w:sz w:val="21"/>
          <w:szCs w:val="21"/>
          <w:highlight w:val="none"/>
        </w:rPr>
      </w:pPr>
    </w:p>
    <w:p w14:paraId="6A97518F">
      <w:pPr>
        <w:snapToGrid w:val="0"/>
        <w:spacing w:line="360" w:lineRule="auto"/>
        <w:ind w:firstLine="422" w:firstLineChars="200"/>
        <w:rPr>
          <w:rFonts w:ascii="宋体" w:hAnsi="宋体" w:eastAsia="宋体" w:cs="宋体"/>
          <w:b/>
          <w:bCs/>
          <w:color w:val="000000"/>
          <w:kern w:val="28"/>
          <w:sz w:val="21"/>
          <w:szCs w:val="21"/>
          <w:highlight w:val="none"/>
        </w:rPr>
      </w:pPr>
      <w:r>
        <w:rPr>
          <w:rFonts w:hint="eastAsia" w:ascii="宋体" w:hAnsi="宋体" w:eastAsia="宋体" w:cs="宋体"/>
          <w:b/>
          <w:bCs/>
          <w:color w:val="000000"/>
          <w:kern w:val="28"/>
          <w:sz w:val="21"/>
          <w:szCs w:val="21"/>
          <w:highlight w:val="none"/>
        </w:rPr>
        <w:t>一、随机抽取确定评标基准价计算方法规则</w:t>
      </w:r>
    </w:p>
    <w:p w14:paraId="6C866CBF">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参与随机确定评标基准价计算方法的各方当事人（以下简称“各方”）应当严格遵守以下规则：</w:t>
      </w:r>
    </w:p>
    <w:p w14:paraId="0D44993D">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（一）各方必须严格遵守公开、公平、公正和诚实信用原则；</w:t>
      </w:r>
    </w:p>
    <w:p w14:paraId="076C4694">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（二）随机抽取活动在招标人的主持下进行，招标人做好影像记录，并存档备查；</w:t>
      </w:r>
    </w:p>
    <w:p w14:paraId="26E1334D">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（三）用于随机抽取的器具由招标人提供；</w:t>
      </w:r>
    </w:p>
    <w:p w14:paraId="30041B62">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（四）各方必须严格遵守现场纪律，确保随机抽取活动有序进行；</w:t>
      </w:r>
    </w:p>
    <w:p w14:paraId="20897F45">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（五）投标人对随机抽取过程有异议的，在“河北省公共资源交易平台”的项目流程中点异议按钮在线提出异议，招标人当场作出答复，并作好记录。</w:t>
      </w:r>
    </w:p>
    <w:p w14:paraId="1CCCE42F">
      <w:pPr>
        <w:snapToGrid w:val="0"/>
        <w:spacing w:line="360" w:lineRule="auto"/>
        <w:ind w:firstLine="422" w:firstLineChars="200"/>
        <w:rPr>
          <w:rFonts w:hint="eastAsia" w:ascii="宋体" w:hAnsi="宋体" w:eastAsia="宋体" w:cs="宋体"/>
          <w:b/>
          <w:bCs/>
          <w:color w:val="000000"/>
          <w:kern w:val="28"/>
          <w:sz w:val="21"/>
          <w:szCs w:val="21"/>
          <w:highlight w:val="none"/>
          <w:lang w:eastAsia="zh-CN"/>
        </w:rPr>
      </w:pPr>
      <w:r>
        <w:rPr>
          <w:rFonts w:hint="eastAsia" w:ascii="宋体" w:hAnsi="宋体" w:eastAsia="宋体" w:cs="宋体"/>
          <w:b/>
          <w:bCs/>
          <w:color w:val="000000"/>
          <w:kern w:val="28"/>
          <w:sz w:val="21"/>
          <w:szCs w:val="21"/>
          <w:highlight w:val="none"/>
        </w:rPr>
        <w:t>二、随机抽取确定评标基准价计算方法的程序</w:t>
      </w:r>
    </w:p>
    <w:p w14:paraId="0B69353C">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（一）确定随机抽取代码球</w:t>
      </w:r>
    </w:p>
    <w:p w14:paraId="63EFA8A8">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用抽取器具随机确定抽取代码球一套，作为本次随机抽取确定评标基准价计算方法的代码球。</w:t>
      </w:r>
    </w:p>
    <w:p w14:paraId="2553CBC0">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（二）本次招标共设置三种评标基准价计算方法（详见评标办法）。</w:t>
      </w:r>
    </w:p>
    <w:p w14:paraId="5DB2355A">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确定评标基准价计算方法的编号及代码球，1号球代表评标基准价计算方法1；2号球代表评标基准价计算方法2；3号球代表评标基准价计算方法3。</w:t>
      </w:r>
    </w:p>
    <w:p w14:paraId="0DB53996">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（三）在投标文件第一信封（商务及技术文件）开标现场，将编号1、2、3代码球全部放入随机抽取器具中，由抽取器具随机抽取产生本次招标评标基准价计算方法。</w:t>
      </w:r>
    </w:p>
    <w:p w14:paraId="406EA4A5">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（四）确定评标基准价计算方法需要的系数（如有）。</w:t>
      </w:r>
    </w:p>
    <w:p w14:paraId="28C23A65">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1、如果抽取的评标基准价计算方法为方法二，则需要抽取评标基准价系数K。K取值范围为0.975、0.98、0.985、0.99、0.995共5个数值。将编号为1～5的代码球放入抽取器具，由抽取器具随机抽取1个代码球。1号球代表K值为0.975；2号球代表K值为0.98；3号球代表K值为0.985；4号球代表K值为0.99；5号球代表K值为0.995。在投标文件第一信封（商务及技术文件）开标现场通过随机抽取方式确定一个评标基准价系数K，并当场公布。</w:t>
      </w:r>
    </w:p>
    <w:p w14:paraId="0592E628">
      <w:pPr>
        <w:snapToGrid w:val="0"/>
        <w:spacing w:line="360" w:lineRule="auto"/>
        <w:ind w:firstLine="420" w:firstLineChars="200"/>
        <w:rPr>
          <w:rFonts w:ascii="宋体" w:hAnsi="宋体" w:eastAsia="宋体" w:cs="宋体"/>
          <w:color w:val="000000"/>
          <w:kern w:val="28"/>
          <w:sz w:val="21"/>
          <w:szCs w:val="21"/>
          <w:highlight w:val="none"/>
        </w:rPr>
      </w:pPr>
      <w:r>
        <w:rPr>
          <w:rFonts w:hint="eastAsia" w:ascii="宋体" w:hAnsi="宋体" w:eastAsia="宋体" w:cs="宋体"/>
          <w:color w:val="000000"/>
          <w:kern w:val="28"/>
          <w:sz w:val="21"/>
          <w:szCs w:val="21"/>
          <w:highlight w:val="none"/>
        </w:rPr>
        <w:t>2、如果抽取的评标基准价计算方法为方法一、方法三，则不需要抽取系数。</w:t>
      </w:r>
    </w:p>
    <w:p w14:paraId="6FEB8FDA">
      <w:pPr>
        <w:snapToGrid w:val="0"/>
        <w:spacing w:line="360" w:lineRule="auto"/>
        <w:ind w:firstLine="420" w:firstLineChars="200"/>
        <w:rPr>
          <w:rFonts w:hint="default" w:ascii="宋体" w:hAnsi="宋体" w:eastAsia="宋体" w:cs="宋体"/>
          <w:b w:val="0"/>
          <w:bCs w:val="0"/>
          <w:color w:val="000000"/>
          <w:kern w:val="28"/>
          <w:sz w:val="21"/>
          <w:szCs w:val="21"/>
          <w:highlight w:val="none"/>
          <w:lang w:val="en-US" w:eastAsia="zh-CN"/>
        </w:rPr>
      </w:pPr>
      <w:r>
        <w:rPr>
          <w:rFonts w:hint="eastAsia" w:ascii="宋体" w:hAnsi="宋体" w:eastAsia="宋体" w:cs="宋体"/>
          <w:b w:val="0"/>
          <w:bCs w:val="0"/>
          <w:color w:val="000000"/>
          <w:kern w:val="28"/>
          <w:sz w:val="21"/>
          <w:szCs w:val="21"/>
          <w:highlight w:val="none"/>
          <w:lang w:eastAsia="zh-CN"/>
        </w:rPr>
        <w:t>（</w:t>
      </w:r>
      <w:r>
        <w:rPr>
          <w:rFonts w:hint="eastAsia" w:ascii="宋体" w:hAnsi="宋体" w:eastAsia="宋体" w:cs="宋体"/>
          <w:b w:val="0"/>
          <w:bCs w:val="0"/>
          <w:color w:val="000000"/>
          <w:kern w:val="28"/>
          <w:sz w:val="21"/>
          <w:szCs w:val="21"/>
          <w:highlight w:val="none"/>
          <w:lang w:val="en-US" w:eastAsia="zh-CN"/>
        </w:rPr>
        <w:t>五）按标段分别随机抽取评标基准价计算方法。</w:t>
      </w:r>
    </w:p>
    <w:p w14:paraId="2539CBB0">
      <w:pPr>
        <w:snapToGrid w:val="0"/>
        <w:spacing w:line="360" w:lineRule="auto"/>
        <w:ind w:firstLine="422" w:firstLineChars="200"/>
        <w:rPr>
          <w:rFonts w:ascii="宋体" w:hAnsi="宋体" w:eastAsia="宋体" w:cs="Times New Roman"/>
          <w:color w:val="000000"/>
          <w:kern w:val="28"/>
          <w:sz w:val="28"/>
          <w:szCs w:val="20"/>
          <w:highlight w:val="none"/>
        </w:rPr>
      </w:pPr>
      <w:r>
        <w:rPr>
          <w:rFonts w:hint="eastAsia" w:ascii="宋体" w:hAnsi="宋体" w:eastAsia="宋体" w:cs="宋体"/>
          <w:b/>
          <w:bCs/>
          <w:color w:val="000000"/>
          <w:kern w:val="28"/>
          <w:sz w:val="21"/>
          <w:szCs w:val="21"/>
          <w:highlight w:val="none"/>
        </w:rPr>
        <w:t>三、</w:t>
      </w:r>
      <w:r>
        <w:rPr>
          <w:rFonts w:hint="eastAsia" w:ascii="宋体" w:hAnsi="宋体" w:eastAsia="宋体" w:cs="宋体"/>
          <w:color w:val="000000"/>
          <w:kern w:val="28"/>
          <w:sz w:val="21"/>
          <w:szCs w:val="21"/>
          <w:highlight w:val="none"/>
        </w:rPr>
        <w:t>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r>
        <w:rPr>
          <w:rFonts w:ascii="宋体" w:hAnsi="宋体" w:eastAsia="宋体" w:cs="Times New Roman"/>
          <w:color w:val="000000"/>
          <w:kern w:val="28"/>
          <w:sz w:val="28"/>
          <w:szCs w:val="20"/>
          <w:highlight w:val="none"/>
        </w:rPr>
        <w:br w:type="page"/>
      </w:r>
    </w:p>
    <w:p w14:paraId="2E563D7C">
      <w:pPr>
        <w:keepNext/>
        <w:keepLines/>
        <w:widowControl w:val="0"/>
        <w:spacing w:before="0" w:after="0" w:line="360" w:lineRule="auto"/>
        <w:jc w:val="both"/>
        <w:outlineLvl w:val="2"/>
        <w:rPr>
          <w:rFonts w:ascii="黑体" w:hAnsi="黑体" w:eastAsia="黑体" w:cs="Times New Roman"/>
          <w:b/>
          <w:bCs/>
          <w:color w:val="000000"/>
          <w:kern w:val="28"/>
          <w:sz w:val="24"/>
          <w:szCs w:val="24"/>
          <w:highlight w:val="none"/>
          <w:lang w:val="en-US" w:eastAsia="zh-CN" w:bidi="ar-SA"/>
        </w:rPr>
      </w:pPr>
      <w:r>
        <w:rPr>
          <w:rFonts w:hint="eastAsia" w:ascii="黑体" w:hAnsi="黑体" w:eastAsia="黑体" w:cs="Times New Roman"/>
          <w:b/>
          <w:bCs/>
          <w:color w:val="000000"/>
          <w:kern w:val="28"/>
          <w:sz w:val="24"/>
          <w:szCs w:val="24"/>
          <w:highlight w:val="none"/>
          <w:lang w:val="en-US" w:eastAsia="zh-CN" w:bidi="ar-SA"/>
        </w:rPr>
        <w:t>附件3：评标办法</w:t>
      </w:r>
      <w:bookmarkEnd w:id="9"/>
      <w:bookmarkEnd w:id="10"/>
      <w:bookmarkEnd w:id="11"/>
      <w:bookmarkEnd w:id="12"/>
    </w:p>
    <w:bookmarkEnd w:id="13"/>
    <w:bookmarkEnd w:id="14"/>
    <w:bookmarkEnd w:id="15"/>
    <w:p w14:paraId="7858F4A6">
      <w:pPr>
        <w:tabs>
          <w:tab w:val="left" w:pos="0"/>
        </w:tabs>
        <w:spacing w:line="360" w:lineRule="auto"/>
        <w:rPr>
          <w:rFonts w:hint="eastAsia" w:ascii="宋体" w:hAnsi="宋体" w:eastAsia="宋体" w:cs="宋体"/>
          <w:b/>
          <w:bCs/>
          <w:color w:val="000000"/>
          <w:kern w:val="28"/>
          <w:sz w:val="24"/>
          <w:szCs w:val="24"/>
          <w:highlight w:val="none"/>
        </w:rPr>
      </w:pPr>
      <w:bookmarkStart w:id="16" w:name="_Toc134892623"/>
      <w:bookmarkStart w:id="17" w:name="_Toc134792410"/>
      <w:bookmarkStart w:id="18" w:name="_Toc134792893"/>
      <w:bookmarkStart w:id="19" w:name="_Toc134899107"/>
      <w:bookmarkStart w:id="20" w:name="_Toc531949858"/>
      <w:bookmarkStart w:id="21" w:name="_Toc134878969"/>
      <w:bookmarkStart w:id="22" w:name="_Toc134896400"/>
      <w:bookmarkStart w:id="23" w:name="_Toc134792342"/>
      <w:r>
        <w:rPr>
          <w:rFonts w:hint="eastAsia" w:ascii="宋体" w:hAnsi="宋体" w:eastAsia="宋体" w:cs="宋体"/>
          <w:b/>
          <w:bCs/>
          <w:color w:val="000000"/>
          <w:kern w:val="28"/>
          <w:sz w:val="24"/>
          <w:szCs w:val="24"/>
          <w:highlight w:val="none"/>
        </w:rPr>
        <w:t>评标办法前附表</w:t>
      </w:r>
      <w:bookmarkEnd w:id="16"/>
      <w:bookmarkEnd w:id="17"/>
      <w:bookmarkEnd w:id="18"/>
      <w:bookmarkEnd w:id="19"/>
      <w:bookmarkEnd w:id="20"/>
      <w:bookmarkEnd w:id="21"/>
      <w:bookmarkEnd w:id="22"/>
      <w:bookmarkEnd w:id="23"/>
    </w:p>
    <w:tbl>
      <w:tblPr>
        <w:tblStyle w:val="4"/>
        <w:tblW w:w="5005"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519"/>
        <w:gridCol w:w="6302"/>
      </w:tblGrid>
      <w:tr w14:paraId="7739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77" w:type="pct"/>
            <w:gridSpan w:val="2"/>
            <w:noWrap w:val="0"/>
            <w:vAlign w:val="center"/>
          </w:tcPr>
          <w:p w14:paraId="3FCC90D7">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bookmarkStart w:id="24" w:name="_Toc478141167"/>
            <w:bookmarkStart w:id="25" w:name="_Toc456619522"/>
            <w:bookmarkStart w:id="26" w:name="_Toc459307892"/>
            <w:bookmarkStart w:id="27" w:name="_Toc472700283"/>
            <w:bookmarkStart w:id="28" w:name="_Toc476561971"/>
            <w:r>
              <w:rPr>
                <w:rFonts w:hint="eastAsia" w:ascii="宋体" w:hAnsi="宋体" w:eastAsia="宋体" w:cs="宋体"/>
                <w:color w:val="auto"/>
                <w:kern w:val="28"/>
                <w:sz w:val="21"/>
                <w:szCs w:val="21"/>
                <w:highlight w:val="none"/>
              </w:rPr>
              <w:t>条款号</w:t>
            </w:r>
          </w:p>
        </w:tc>
        <w:tc>
          <w:tcPr>
            <w:tcW w:w="3422" w:type="pct"/>
            <w:noWrap w:val="0"/>
            <w:vAlign w:val="center"/>
          </w:tcPr>
          <w:p w14:paraId="6B6C3019">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评审因素与评审标准</w:t>
            </w:r>
          </w:p>
        </w:tc>
      </w:tr>
      <w:tr w14:paraId="03A0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59AECD6B">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w:t>
            </w:r>
          </w:p>
        </w:tc>
        <w:tc>
          <w:tcPr>
            <w:tcW w:w="825" w:type="pct"/>
            <w:noWrap w:val="0"/>
            <w:vAlign w:val="center"/>
          </w:tcPr>
          <w:p w14:paraId="39082BB8">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评标方法</w:t>
            </w:r>
          </w:p>
        </w:tc>
        <w:tc>
          <w:tcPr>
            <w:tcW w:w="3422" w:type="pct"/>
            <w:noWrap w:val="0"/>
            <w:vAlign w:val="center"/>
          </w:tcPr>
          <w:p w14:paraId="3E26CEE5">
            <w:pPr>
              <w:snapToGrid w:val="0"/>
              <w:spacing w:line="320" w:lineRule="exact"/>
              <w:ind w:firstLine="420" w:firstLineChars="200"/>
              <w:jc w:val="left"/>
              <w:rPr>
                <w:rFonts w:hint="eastAsia" w:ascii="宋体" w:hAnsi="宋体" w:eastAsia="宋体" w:cs="宋体"/>
                <w:kern w:val="28"/>
                <w:sz w:val="21"/>
                <w:szCs w:val="21"/>
                <w:highlight w:val="none"/>
              </w:rPr>
            </w:pPr>
            <w:r>
              <w:rPr>
                <w:rFonts w:hint="eastAsia" w:ascii="宋体" w:hAnsi="宋体" w:eastAsia="宋体" w:cs="宋体"/>
                <w:kern w:val="28"/>
                <w:sz w:val="21"/>
                <w:szCs w:val="21"/>
                <w:highlight w:val="none"/>
              </w:rPr>
              <w:t>本次评标采用</w:t>
            </w:r>
            <w:r>
              <w:rPr>
                <w:rFonts w:hint="eastAsia" w:ascii="宋体" w:hAnsi="宋体" w:eastAsia="宋体" w:cs="宋体"/>
                <w:kern w:val="28"/>
                <w:sz w:val="21"/>
                <w:szCs w:val="21"/>
                <w:highlight w:val="none"/>
                <w:lang w:eastAsia="zh-CN"/>
              </w:rPr>
              <w:t>技术评分合理低价法</w:t>
            </w:r>
            <w:r>
              <w:rPr>
                <w:rFonts w:hint="eastAsia" w:ascii="宋体" w:hAnsi="宋体" w:eastAsia="宋体" w:cs="宋体"/>
                <w:kern w:val="28"/>
                <w:sz w:val="21"/>
                <w:szCs w:val="21"/>
                <w:highlight w:val="none"/>
              </w:rPr>
              <w:t>，双信封形式。</w:t>
            </w:r>
          </w:p>
          <w:p w14:paraId="66AF5A61">
            <w:pPr>
              <w:snapToGrid w:val="0"/>
              <w:spacing w:line="320" w:lineRule="exact"/>
              <w:ind w:firstLine="315" w:firstLineChars="150"/>
              <w:jc w:val="left"/>
              <w:rPr>
                <w:rFonts w:hint="eastAsia" w:ascii="宋体" w:hAnsi="宋体" w:eastAsia="宋体" w:cs="宋体"/>
                <w:kern w:val="28"/>
                <w:sz w:val="21"/>
                <w:szCs w:val="21"/>
                <w:highlight w:val="none"/>
                <w:lang w:eastAsia="zh-CN"/>
              </w:rPr>
            </w:pPr>
            <w:r>
              <w:rPr>
                <w:rFonts w:hint="eastAsia" w:ascii="宋体" w:hAnsi="宋体" w:eastAsia="宋体" w:cs="宋体"/>
                <w:kern w:val="28"/>
                <w:sz w:val="21"/>
                <w:szCs w:val="21"/>
                <w:highlight w:val="none"/>
                <w:lang w:val="en-US" w:eastAsia="zh-CN"/>
              </w:rPr>
              <w:t xml:space="preserve"> </w:t>
            </w:r>
            <w:r>
              <w:rPr>
                <w:rFonts w:hint="default" w:ascii="宋体" w:hAnsi="宋体" w:eastAsia="宋体" w:cs="宋体"/>
                <w:kern w:val="28"/>
                <w:sz w:val="21"/>
                <w:szCs w:val="21"/>
                <w:highlight w:val="none"/>
                <w:lang w:val="en-US" w:eastAsia="zh-CN"/>
              </w:rPr>
              <w:t>评标委员</w:t>
            </w:r>
            <w:r>
              <w:rPr>
                <w:rFonts w:hint="eastAsia" w:ascii="宋体" w:hAnsi="宋体" w:eastAsia="宋体" w:cs="宋体"/>
                <w:kern w:val="28"/>
                <w:sz w:val="21"/>
                <w:szCs w:val="21"/>
                <w:highlight w:val="none"/>
                <w:lang w:val="en-US" w:eastAsia="zh-CN"/>
              </w:rPr>
              <w:t>会</w:t>
            </w:r>
            <w:r>
              <w:rPr>
                <w:rFonts w:hint="default" w:ascii="宋体" w:hAnsi="宋体" w:eastAsia="宋体" w:cs="宋体"/>
                <w:kern w:val="28"/>
                <w:sz w:val="21"/>
                <w:szCs w:val="21"/>
                <w:highlight w:val="none"/>
                <w:lang w:val="en-US" w:eastAsia="zh-CN"/>
              </w:rPr>
              <w:t>对满足招标文件实质性要求的投标文件的施工组织设计、</w:t>
            </w:r>
            <w:bookmarkStart w:id="29" w:name="OLE_LINK18"/>
            <w:r>
              <w:rPr>
                <w:rFonts w:hint="default" w:ascii="宋体" w:hAnsi="宋体" w:eastAsia="宋体" w:cs="宋体"/>
                <w:kern w:val="28"/>
                <w:sz w:val="21"/>
                <w:szCs w:val="21"/>
                <w:highlight w:val="none"/>
                <w:lang w:val="en-US" w:eastAsia="zh-CN"/>
              </w:rPr>
              <w:t>主要人员、企业业绩</w:t>
            </w:r>
            <w:bookmarkEnd w:id="29"/>
            <w:r>
              <w:rPr>
                <w:rFonts w:hint="eastAsia" w:ascii="宋体" w:hAnsi="宋体" w:eastAsia="宋体" w:cs="宋体"/>
                <w:kern w:val="28"/>
                <w:sz w:val="21"/>
                <w:szCs w:val="21"/>
                <w:highlight w:val="none"/>
                <w:lang w:val="en-US" w:eastAsia="zh-CN"/>
              </w:rPr>
              <w:t>（即第一信封）等因素</w:t>
            </w:r>
            <w:r>
              <w:rPr>
                <w:rFonts w:hint="default" w:ascii="宋体" w:hAnsi="宋体" w:eastAsia="宋体" w:cs="宋体"/>
                <w:kern w:val="28"/>
                <w:sz w:val="21"/>
                <w:szCs w:val="21"/>
                <w:highlight w:val="none"/>
                <w:lang w:val="en-US" w:eastAsia="zh-CN"/>
              </w:rPr>
              <w:t>进行评分，按照得分</w:t>
            </w:r>
            <w:r>
              <w:rPr>
                <w:rFonts w:hint="default" w:ascii="宋体" w:hAnsi="宋体" w:eastAsia="宋体" w:cs="宋体"/>
                <w:kern w:val="28"/>
                <w:sz w:val="21"/>
                <w:szCs w:val="21"/>
                <w:highlight w:val="none"/>
              </w:rPr>
              <w:t>由高到低排序，</w:t>
            </w:r>
            <w:r>
              <w:rPr>
                <w:rFonts w:hint="eastAsia" w:ascii="宋体" w:hAnsi="宋体" w:eastAsia="宋体" w:cs="宋体"/>
                <w:kern w:val="28"/>
                <w:sz w:val="21"/>
                <w:szCs w:val="21"/>
                <w:highlight w:val="none"/>
                <w:lang w:val="en-US" w:eastAsia="zh-CN"/>
              </w:rPr>
              <w:t>确定前5名</w:t>
            </w:r>
            <w:r>
              <w:rPr>
                <w:rFonts w:hint="default" w:ascii="宋体" w:hAnsi="宋体" w:eastAsia="宋体" w:cs="宋体"/>
                <w:kern w:val="28"/>
                <w:sz w:val="21"/>
                <w:szCs w:val="21"/>
                <w:highlight w:val="none"/>
              </w:rPr>
              <w:t>的投标人</w:t>
            </w:r>
            <w:r>
              <w:rPr>
                <w:rFonts w:hint="eastAsia" w:ascii="宋体" w:hAnsi="宋体" w:eastAsia="宋体" w:cs="宋体"/>
                <w:kern w:val="28"/>
                <w:sz w:val="21"/>
                <w:szCs w:val="21"/>
                <w:highlight w:val="none"/>
                <w:lang w:val="en-US" w:eastAsia="zh-CN"/>
              </w:rPr>
              <w:t>进入</w:t>
            </w:r>
            <w:r>
              <w:rPr>
                <w:rFonts w:hint="default" w:ascii="宋体" w:hAnsi="宋体" w:eastAsia="宋体" w:cs="宋体"/>
                <w:kern w:val="28"/>
                <w:sz w:val="21"/>
                <w:szCs w:val="21"/>
                <w:highlight w:val="none"/>
              </w:rPr>
              <w:t>报价文件</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即第二信封</w:t>
            </w:r>
            <w:r>
              <w:rPr>
                <w:rFonts w:hint="eastAsia" w:ascii="宋体" w:hAnsi="宋体" w:eastAsia="宋体" w:cs="宋体"/>
                <w:kern w:val="28"/>
                <w:sz w:val="21"/>
                <w:szCs w:val="21"/>
                <w:highlight w:val="none"/>
                <w:lang w:eastAsia="zh-CN"/>
              </w:rPr>
              <w:t>）</w:t>
            </w:r>
            <w:r>
              <w:rPr>
                <w:rFonts w:hint="default" w:ascii="宋体" w:hAnsi="宋体" w:eastAsia="宋体" w:cs="宋体"/>
                <w:kern w:val="28"/>
                <w:sz w:val="21"/>
                <w:szCs w:val="21"/>
                <w:highlight w:val="none"/>
              </w:rPr>
              <w:t>评审</w:t>
            </w:r>
            <w:r>
              <w:rPr>
                <w:rFonts w:hint="eastAsia" w:ascii="宋体" w:hAnsi="宋体" w:eastAsia="宋体" w:cs="宋体"/>
                <w:kern w:val="28"/>
                <w:sz w:val="21"/>
                <w:szCs w:val="21"/>
                <w:highlight w:val="none"/>
                <w:lang w:eastAsia="zh-CN"/>
              </w:rPr>
              <w:t>。</w:t>
            </w:r>
          </w:p>
          <w:p w14:paraId="47FE4449">
            <w:pPr>
              <w:snapToGrid w:val="0"/>
              <w:spacing w:line="320" w:lineRule="exact"/>
              <w:ind w:firstLine="420" w:firstLineChars="200"/>
              <w:jc w:val="left"/>
              <w:rPr>
                <w:rFonts w:hint="eastAsia" w:ascii="宋体" w:hAnsi="宋体" w:eastAsia="宋体" w:cs="宋体"/>
                <w:kern w:val="28"/>
                <w:sz w:val="21"/>
                <w:szCs w:val="21"/>
                <w:highlight w:val="none"/>
                <w:lang w:eastAsia="zh-CN"/>
              </w:rPr>
            </w:pPr>
            <w:r>
              <w:rPr>
                <w:rFonts w:hint="default" w:ascii="宋体" w:hAnsi="宋体" w:eastAsia="宋体" w:cs="宋体"/>
                <w:kern w:val="28"/>
                <w:sz w:val="21"/>
                <w:szCs w:val="21"/>
                <w:highlight w:val="none"/>
              </w:rPr>
              <w:t>第一信封得分相等时，评标委员会按照</w:t>
            </w:r>
            <w:r>
              <w:rPr>
                <w:rFonts w:hint="eastAsia" w:ascii="宋体" w:hAnsi="宋体" w:eastAsia="宋体" w:cs="宋体"/>
                <w:kern w:val="28"/>
                <w:sz w:val="21"/>
                <w:szCs w:val="21"/>
                <w:highlight w:val="none"/>
                <w:lang w:val="en-US" w:eastAsia="zh-CN"/>
              </w:rPr>
              <w:t>施工组织设计得分高的优先；施工组织设计得分也相等的，以</w:t>
            </w:r>
            <w:r>
              <w:rPr>
                <w:rFonts w:hint="default" w:ascii="宋体" w:hAnsi="宋体" w:eastAsia="宋体" w:cs="宋体"/>
                <w:kern w:val="28"/>
                <w:sz w:val="21"/>
                <w:szCs w:val="21"/>
                <w:highlight w:val="none"/>
              </w:rPr>
              <w:t>满足资格审查条件（业绩最低要求）的业绩</w:t>
            </w:r>
            <w:r>
              <w:rPr>
                <w:rFonts w:hint="eastAsia" w:ascii="宋体" w:hAnsi="宋体" w:eastAsia="宋体" w:cs="宋体"/>
                <w:kern w:val="28"/>
                <w:sz w:val="21"/>
                <w:szCs w:val="21"/>
                <w:highlight w:val="none"/>
                <w:lang w:val="en-US" w:eastAsia="zh-CN"/>
              </w:rPr>
              <w:t>单项合同额最高</w:t>
            </w:r>
            <w:r>
              <w:rPr>
                <w:rFonts w:hint="default" w:ascii="宋体" w:hAnsi="宋体" w:eastAsia="宋体" w:cs="宋体"/>
                <w:kern w:val="28"/>
                <w:sz w:val="21"/>
                <w:szCs w:val="21"/>
                <w:highlight w:val="none"/>
              </w:rPr>
              <w:t>的优先，</w:t>
            </w:r>
            <w:r>
              <w:rPr>
                <w:rFonts w:hint="eastAsia" w:ascii="宋体" w:hAnsi="宋体" w:eastAsia="宋体" w:cs="宋体"/>
                <w:kern w:val="28"/>
                <w:sz w:val="21"/>
                <w:szCs w:val="21"/>
                <w:highlight w:val="none"/>
                <w:lang w:val="en-US" w:eastAsia="zh-CN"/>
              </w:rPr>
              <w:t>单项合同额</w:t>
            </w:r>
            <w:r>
              <w:rPr>
                <w:rFonts w:hint="default" w:ascii="宋体" w:hAnsi="宋体" w:eastAsia="宋体" w:cs="宋体"/>
                <w:kern w:val="28"/>
                <w:sz w:val="21"/>
                <w:szCs w:val="21"/>
                <w:highlight w:val="none"/>
              </w:rPr>
              <w:t>也相等时，以累计合同金额多的优先</w:t>
            </w:r>
            <w:r>
              <w:rPr>
                <w:rFonts w:hint="eastAsia" w:ascii="宋体" w:hAnsi="宋体" w:eastAsia="宋体" w:cs="宋体"/>
                <w:kern w:val="28"/>
                <w:sz w:val="21"/>
                <w:szCs w:val="21"/>
                <w:highlight w:val="none"/>
                <w:lang w:eastAsia="zh-CN"/>
              </w:rPr>
              <w:t>。</w:t>
            </w:r>
          </w:p>
          <w:p w14:paraId="009D7C6D">
            <w:pPr>
              <w:snapToGrid w:val="0"/>
              <w:spacing w:line="320" w:lineRule="exact"/>
              <w:ind w:firstLine="420" w:firstLineChars="200"/>
              <w:jc w:val="left"/>
              <w:rPr>
                <w:rFonts w:hint="eastAsia" w:ascii="宋体" w:hAnsi="宋体" w:eastAsia="宋体" w:cs="宋体"/>
                <w:kern w:val="28"/>
                <w:sz w:val="21"/>
                <w:szCs w:val="21"/>
                <w:highlight w:val="none"/>
                <w:lang w:eastAsia="zh-CN"/>
              </w:rPr>
            </w:pPr>
            <w:r>
              <w:rPr>
                <w:rFonts w:hint="eastAsia" w:ascii="宋体" w:hAnsi="宋体" w:eastAsia="宋体" w:cs="宋体"/>
                <w:kern w:val="28"/>
                <w:sz w:val="21"/>
                <w:szCs w:val="21"/>
                <w:highlight w:val="none"/>
                <w:lang w:eastAsia="zh-CN"/>
              </w:rPr>
              <w:t>未通过第</w:t>
            </w:r>
            <w:r>
              <w:rPr>
                <w:rFonts w:hint="eastAsia" w:ascii="宋体" w:hAnsi="宋体" w:eastAsia="宋体" w:cs="宋体"/>
                <w:kern w:val="28"/>
                <w:sz w:val="21"/>
                <w:szCs w:val="21"/>
                <w:highlight w:val="none"/>
                <w:lang w:val="en-US" w:eastAsia="zh-CN"/>
              </w:rPr>
              <w:t>一</w:t>
            </w:r>
            <w:r>
              <w:rPr>
                <w:rFonts w:hint="eastAsia" w:ascii="宋体" w:hAnsi="宋体" w:eastAsia="宋体" w:cs="宋体"/>
                <w:kern w:val="28"/>
                <w:sz w:val="21"/>
                <w:szCs w:val="21"/>
                <w:highlight w:val="none"/>
                <w:lang w:eastAsia="zh-CN"/>
              </w:rPr>
              <w:t>信封评审或第</w:t>
            </w:r>
            <w:r>
              <w:rPr>
                <w:rFonts w:hint="eastAsia" w:ascii="宋体" w:hAnsi="宋体" w:eastAsia="宋体" w:cs="宋体"/>
                <w:kern w:val="28"/>
                <w:sz w:val="21"/>
                <w:szCs w:val="21"/>
                <w:highlight w:val="none"/>
                <w:lang w:val="en-US" w:eastAsia="zh-CN"/>
              </w:rPr>
              <w:t>一</w:t>
            </w:r>
            <w:r>
              <w:rPr>
                <w:rFonts w:hint="eastAsia" w:ascii="宋体" w:hAnsi="宋体" w:eastAsia="宋体" w:cs="宋体"/>
                <w:kern w:val="28"/>
                <w:sz w:val="21"/>
                <w:szCs w:val="21"/>
                <w:highlight w:val="none"/>
                <w:lang w:eastAsia="zh-CN"/>
              </w:rPr>
              <w:t>信封综合得分未进入前</w:t>
            </w:r>
            <w:r>
              <w:rPr>
                <w:rFonts w:hint="eastAsia" w:ascii="宋体" w:hAnsi="宋体" w:eastAsia="宋体" w:cs="宋体"/>
                <w:kern w:val="28"/>
                <w:sz w:val="21"/>
                <w:szCs w:val="21"/>
                <w:highlight w:val="none"/>
                <w:lang w:val="en-US" w:eastAsia="zh-CN"/>
              </w:rPr>
              <w:t>5</w:t>
            </w:r>
            <w:r>
              <w:rPr>
                <w:rFonts w:hint="eastAsia" w:ascii="宋体" w:hAnsi="宋体" w:eastAsia="宋体" w:cs="宋体"/>
                <w:kern w:val="28"/>
                <w:sz w:val="21"/>
                <w:szCs w:val="21"/>
                <w:highlight w:val="none"/>
                <w:lang w:eastAsia="zh-CN"/>
              </w:rPr>
              <w:t>名的投标人，其第二信封在整个评标期间不再开封，不随任何因素发生变化。</w:t>
            </w:r>
          </w:p>
          <w:p w14:paraId="6E73BC5B">
            <w:pPr>
              <w:snapToGrid w:val="0"/>
              <w:spacing w:line="320" w:lineRule="exact"/>
              <w:ind w:firstLine="420" w:firstLineChars="200"/>
              <w:jc w:val="left"/>
              <w:rPr>
                <w:rFonts w:hint="default" w:ascii="宋体" w:hAnsi="宋体" w:eastAsia="宋体" w:cs="宋体"/>
                <w:kern w:val="28"/>
                <w:sz w:val="21"/>
                <w:szCs w:val="21"/>
                <w:highlight w:val="none"/>
              </w:rPr>
            </w:pPr>
            <w:r>
              <w:rPr>
                <w:rFonts w:hint="eastAsia" w:ascii="宋体" w:hAnsi="宋体" w:eastAsia="宋体" w:cs="宋体"/>
                <w:kern w:val="28"/>
                <w:sz w:val="21"/>
                <w:szCs w:val="21"/>
                <w:highlight w:val="none"/>
                <w:lang w:val="en-US" w:eastAsia="zh-CN"/>
              </w:rPr>
              <w:t>若通过第一信封初步评审的投标人不足5家时，则第一信封不再进行打分，通过第一信封的所有投标人直接进入报价文件（即第二信封）评审</w:t>
            </w:r>
            <w:r>
              <w:rPr>
                <w:rFonts w:hint="default" w:ascii="宋体" w:hAnsi="宋体" w:eastAsia="宋体" w:cs="宋体"/>
                <w:kern w:val="28"/>
                <w:sz w:val="21"/>
                <w:szCs w:val="21"/>
                <w:highlight w:val="none"/>
              </w:rPr>
              <w:t>。</w:t>
            </w:r>
          </w:p>
          <w:p w14:paraId="59991B15">
            <w:pPr>
              <w:snapToGrid w:val="0"/>
              <w:spacing w:line="320" w:lineRule="exact"/>
              <w:ind w:firstLine="420" w:firstLineChars="200"/>
              <w:jc w:val="left"/>
              <w:rPr>
                <w:rFonts w:hint="default" w:ascii="宋体" w:hAnsi="宋体" w:eastAsia="宋体" w:cs="宋体"/>
                <w:kern w:val="28"/>
                <w:sz w:val="21"/>
                <w:szCs w:val="21"/>
                <w:highlight w:val="none"/>
              </w:rPr>
            </w:pPr>
            <w:r>
              <w:rPr>
                <w:rFonts w:hint="eastAsia" w:ascii="宋体" w:hAnsi="宋体" w:eastAsia="宋体" w:cs="宋体"/>
                <w:kern w:val="28"/>
                <w:sz w:val="21"/>
                <w:szCs w:val="21"/>
                <w:highlight w:val="none"/>
              </w:rPr>
              <w:t>评标委员会</w:t>
            </w:r>
            <w:r>
              <w:rPr>
                <w:rFonts w:hint="eastAsia" w:ascii="宋体" w:hAnsi="宋体" w:eastAsia="宋体" w:cs="宋体"/>
                <w:kern w:val="28"/>
                <w:sz w:val="21"/>
                <w:szCs w:val="21"/>
                <w:highlight w:val="none"/>
                <w:lang w:val="en-US" w:eastAsia="zh-CN"/>
              </w:rPr>
              <w:t>对</w:t>
            </w:r>
            <w:r>
              <w:rPr>
                <w:rFonts w:hint="eastAsia" w:ascii="宋体" w:hAnsi="宋体" w:eastAsia="宋体" w:cs="宋体"/>
                <w:kern w:val="28"/>
                <w:sz w:val="21"/>
                <w:szCs w:val="21"/>
                <w:highlight w:val="none"/>
              </w:rPr>
              <w:t>通过第二信封初步评审</w:t>
            </w:r>
            <w:r>
              <w:rPr>
                <w:rFonts w:hint="eastAsia" w:ascii="宋体" w:hAnsi="宋体" w:eastAsia="宋体" w:cs="宋体"/>
                <w:kern w:val="28"/>
                <w:sz w:val="21"/>
                <w:szCs w:val="21"/>
                <w:highlight w:val="none"/>
                <w:lang w:val="en-US" w:eastAsia="zh-CN"/>
              </w:rPr>
              <w:t>的投标人，按其</w:t>
            </w:r>
            <w:r>
              <w:rPr>
                <w:rFonts w:hint="eastAsia" w:ascii="宋体" w:hAnsi="宋体" w:eastAsia="宋体" w:cs="宋体"/>
                <w:kern w:val="28"/>
                <w:sz w:val="21"/>
                <w:szCs w:val="21"/>
                <w:highlight w:val="none"/>
              </w:rPr>
              <w:t>评标价得分由高到低的顺序，向招标人推荐1-3名中标候选</w:t>
            </w:r>
            <w:r>
              <w:rPr>
                <w:rFonts w:hint="eastAsia" w:ascii="Times New Roman" w:hAnsi="Times New Roman" w:eastAsia="宋体" w:cs="Times New Roman"/>
                <w:kern w:val="28"/>
                <w:sz w:val="21"/>
                <w:szCs w:val="24"/>
                <w:highlight w:val="none"/>
              </w:rPr>
              <w:t>人。</w:t>
            </w:r>
            <w:r>
              <w:rPr>
                <w:rFonts w:hint="default" w:ascii="宋体" w:hAnsi="宋体" w:eastAsia="宋体" w:cs="宋体"/>
                <w:kern w:val="28"/>
                <w:sz w:val="21"/>
                <w:szCs w:val="21"/>
                <w:highlight w:val="none"/>
              </w:rPr>
              <w:t>评标价</w:t>
            </w:r>
            <w:r>
              <w:rPr>
                <w:rFonts w:hint="eastAsia" w:ascii="宋体" w:hAnsi="宋体" w:eastAsia="宋体" w:cs="宋体"/>
                <w:kern w:val="28"/>
                <w:sz w:val="21"/>
                <w:szCs w:val="21"/>
                <w:highlight w:val="none"/>
                <w:lang w:val="en-US" w:eastAsia="zh-CN"/>
              </w:rPr>
              <w:t>得分</w:t>
            </w:r>
            <w:r>
              <w:rPr>
                <w:rFonts w:hint="default" w:ascii="宋体" w:hAnsi="宋体" w:eastAsia="宋体" w:cs="宋体"/>
                <w:kern w:val="28"/>
                <w:sz w:val="21"/>
                <w:szCs w:val="21"/>
                <w:highlight w:val="none"/>
              </w:rPr>
              <w:t>相等时，评标委员会按照</w:t>
            </w:r>
            <w:r>
              <w:rPr>
                <w:rFonts w:hint="default" w:ascii="宋体" w:hAnsi="宋体" w:eastAsia="宋体" w:cs="宋体"/>
                <w:kern w:val="28"/>
                <w:sz w:val="21"/>
                <w:szCs w:val="21"/>
                <w:highlight w:val="none"/>
                <w:lang w:eastAsia="zh-CN"/>
              </w:rPr>
              <w:t>以下优先</w:t>
            </w:r>
            <w:r>
              <w:rPr>
                <w:rFonts w:hint="default" w:ascii="宋体" w:hAnsi="宋体" w:eastAsia="宋体" w:cs="宋体"/>
                <w:kern w:val="28"/>
                <w:sz w:val="21"/>
                <w:szCs w:val="21"/>
                <w:highlight w:val="none"/>
              </w:rPr>
              <w:t>顺序推荐中标候选人：</w:t>
            </w:r>
          </w:p>
          <w:p w14:paraId="0B838317">
            <w:pPr>
              <w:snapToGrid w:val="0"/>
              <w:spacing w:line="320" w:lineRule="exact"/>
              <w:ind w:firstLine="315" w:firstLineChars="150"/>
              <w:jc w:val="left"/>
              <w:rPr>
                <w:rFonts w:hint="default" w:ascii="宋体" w:hAnsi="宋体" w:eastAsia="宋体" w:cs="宋体"/>
                <w:kern w:val="28"/>
                <w:sz w:val="21"/>
                <w:szCs w:val="21"/>
                <w:highlight w:val="none"/>
              </w:rPr>
            </w:pPr>
            <w:r>
              <w:rPr>
                <w:rFonts w:hint="default" w:ascii="宋体" w:hAnsi="宋体" w:eastAsia="宋体" w:cs="宋体"/>
                <w:kern w:val="28"/>
                <w:sz w:val="21"/>
                <w:szCs w:val="21"/>
                <w:highlight w:val="none"/>
              </w:rPr>
              <w:t>（1）</w:t>
            </w:r>
            <w:r>
              <w:rPr>
                <w:rFonts w:hint="eastAsia" w:ascii="宋体" w:hAnsi="宋体" w:eastAsia="宋体" w:cs="宋体"/>
                <w:kern w:val="28"/>
                <w:sz w:val="21"/>
                <w:szCs w:val="21"/>
                <w:highlight w:val="none"/>
                <w:lang w:val="en-US" w:eastAsia="zh-CN"/>
              </w:rPr>
              <w:t>评标价</w:t>
            </w:r>
            <w:r>
              <w:rPr>
                <w:rFonts w:hint="default" w:ascii="宋体" w:hAnsi="宋体" w:eastAsia="宋体" w:cs="宋体"/>
                <w:kern w:val="28"/>
                <w:sz w:val="21"/>
                <w:szCs w:val="21"/>
                <w:highlight w:val="none"/>
              </w:rPr>
              <w:t>低的优先；</w:t>
            </w:r>
          </w:p>
          <w:p w14:paraId="3736F1ED">
            <w:pPr>
              <w:snapToGrid w:val="0"/>
              <w:spacing w:line="320" w:lineRule="exact"/>
              <w:ind w:firstLine="315" w:firstLineChars="150"/>
              <w:jc w:val="left"/>
              <w:rPr>
                <w:rFonts w:hint="default" w:ascii="宋体" w:hAnsi="宋体" w:eastAsia="宋体" w:cs="宋体"/>
                <w:kern w:val="28"/>
                <w:sz w:val="21"/>
                <w:szCs w:val="21"/>
                <w:highlight w:val="none"/>
              </w:rPr>
            </w:pPr>
            <w:r>
              <w:rPr>
                <w:rFonts w:hint="default" w:ascii="宋体" w:hAnsi="宋体" w:eastAsia="宋体" w:cs="宋体"/>
                <w:kern w:val="28"/>
                <w:sz w:val="21"/>
                <w:szCs w:val="21"/>
                <w:highlight w:val="none"/>
              </w:rPr>
              <w:t>（2）第一信封得分高的投标人优先。</w:t>
            </w:r>
          </w:p>
          <w:p w14:paraId="4532D015">
            <w:pPr>
              <w:keepNext w:val="0"/>
              <w:keepLines w:val="0"/>
              <w:pageBreakBefore w:val="0"/>
              <w:widowControl w:val="0"/>
              <w:kinsoku/>
              <w:wordWrap/>
              <w:overflowPunct/>
              <w:topLinePunct w:val="0"/>
              <w:bidi w:val="0"/>
              <w:snapToGrid w:val="0"/>
              <w:spacing w:line="320" w:lineRule="exact"/>
              <w:ind w:firstLine="420" w:firstLineChars="200"/>
              <w:jc w:val="left"/>
              <w:textAlignment w:val="auto"/>
              <w:rPr>
                <w:rFonts w:hint="eastAsia" w:ascii="宋体" w:hAnsi="宋体" w:eastAsia="宋体" w:cs="宋体"/>
                <w:kern w:val="28"/>
                <w:sz w:val="21"/>
                <w:szCs w:val="21"/>
                <w:highlight w:val="none"/>
              </w:rPr>
            </w:pPr>
            <w:r>
              <w:rPr>
                <w:rFonts w:hint="default" w:ascii="宋体" w:hAnsi="宋体" w:eastAsia="宋体" w:cs="宋体"/>
                <w:kern w:val="28"/>
                <w:sz w:val="21"/>
                <w:szCs w:val="21"/>
                <w:highlight w:val="none"/>
              </w:rPr>
              <w:t>通过第二信封报价文件评审的投标人少于3个的，评标委员会可以否决全部投标；未否决全部投标的，评标委员会应当在评标报告中阐明理由并推荐中标候选人。</w:t>
            </w:r>
          </w:p>
        </w:tc>
      </w:tr>
      <w:tr w14:paraId="6ABF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10765E60">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2.1.1</w:t>
            </w:r>
          </w:p>
          <w:p w14:paraId="6D14B352">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2.1.3</w:t>
            </w:r>
          </w:p>
        </w:tc>
        <w:tc>
          <w:tcPr>
            <w:tcW w:w="825" w:type="pct"/>
            <w:noWrap w:val="0"/>
            <w:vAlign w:val="center"/>
          </w:tcPr>
          <w:p w14:paraId="0A2352BD">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形式评审与响应性评审标准</w:t>
            </w:r>
          </w:p>
        </w:tc>
        <w:tc>
          <w:tcPr>
            <w:tcW w:w="3422" w:type="pct"/>
            <w:noWrap w:val="0"/>
            <w:vAlign w:val="top"/>
          </w:tcPr>
          <w:p w14:paraId="58445A1B">
            <w:pPr>
              <w:keepNext w:val="0"/>
              <w:keepLines w:val="0"/>
              <w:pageBreakBefore w:val="0"/>
              <w:widowControl w:val="0"/>
              <w:tabs>
                <w:tab w:val="left" w:pos="3060"/>
              </w:tabs>
              <w:kinsoku/>
              <w:wordWrap/>
              <w:overflowPunct/>
              <w:topLinePunct w:val="0"/>
              <w:bidi w:val="0"/>
              <w:snapToGrid w:val="0"/>
              <w:spacing w:line="320" w:lineRule="exact"/>
              <w:ind w:firstLine="211" w:firstLineChars="104"/>
              <w:jc w:val="left"/>
              <w:textAlignment w:val="auto"/>
              <w:rPr>
                <w:rFonts w:hint="eastAsia" w:ascii="宋体" w:hAnsi="宋体" w:eastAsia="宋体" w:cs="宋体"/>
                <w:b/>
                <w:bCs/>
                <w:color w:val="auto"/>
                <w:spacing w:val="-4"/>
                <w:kern w:val="28"/>
                <w:sz w:val="21"/>
                <w:szCs w:val="21"/>
                <w:highlight w:val="none"/>
              </w:rPr>
            </w:pPr>
            <w:r>
              <w:rPr>
                <w:rFonts w:hint="eastAsia" w:ascii="宋体" w:hAnsi="宋体" w:eastAsia="宋体" w:cs="宋体"/>
                <w:b/>
                <w:bCs/>
                <w:color w:val="auto"/>
                <w:spacing w:val="-4"/>
                <w:kern w:val="28"/>
                <w:sz w:val="21"/>
                <w:szCs w:val="21"/>
                <w:highlight w:val="none"/>
              </w:rPr>
              <w:t>第一个信封（商务文件）评审标准（明标部分）：</w:t>
            </w:r>
          </w:p>
          <w:p w14:paraId="675034D9">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（1）投标文件按照招标文件规定的格式、内容填写，字迹清晰可辨：</w:t>
            </w:r>
          </w:p>
          <w:p w14:paraId="26F16BB4">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a．投标函按招标文件规定填报了招标人名称、项目名称、</w:t>
            </w:r>
            <w:r>
              <w:rPr>
                <w:rFonts w:hint="eastAsia" w:ascii="宋体" w:hAnsi="宋体" w:eastAsia="宋体" w:cs="宋体"/>
                <w:color w:val="auto"/>
                <w:kern w:val="28"/>
                <w:sz w:val="21"/>
                <w:szCs w:val="21"/>
                <w:highlight w:val="none"/>
                <w:lang w:val="en-US" w:eastAsia="zh-CN"/>
              </w:rPr>
              <w:t>标段号、</w:t>
            </w:r>
            <w:r>
              <w:rPr>
                <w:rFonts w:hint="eastAsia" w:ascii="宋体" w:hAnsi="宋体" w:eastAsia="宋体" w:cs="宋体"/>
                <w:color w:val="auto"/>
                <w:kern w:val="28"/>
                <w:sz w:val="21"/>
                <w:szCs w:val="21"/>
                <w:highlight w:val="none"/>
              </w:rPr>
              <w:t>补遗书编号（如有）、</w:t>
            </w:r>
            <w:r>
              <w:rPr>
                <w:rFonts w:hint="eastAsia" w:ascii="宋体" w:hAnsi="宋体" w:eastAsia="宋体" w:cs="宋体"/>
                <w:color w:val="auto"/>
                <w:spacing w:val="-4"/>
                <w:kern w:val="28"/>
                <w:sz w:val="21"/>
                <w:szCs w:val="21"/>
                <w:highlight w:val="none"/>
              </w:rPr>
              <w:t>工期</w:t>
            </w:r>
            <w:r>
              <w:rPr>
                <w:rFonts w:hint="eastAsia" w:ascii="宋体" w:hAnsi="宋体" w:eastAsia="宋体" w:cs="宋体"/>
                <w:color w:val="auto"/>
                <w:spacing w:val="-4"/>
                <w:kern w:val="28"/>
                <w:sz w:val="21"/>
                <w:szCs w:val="21"/>
                <w:highlight w:val="none"/>
                <w:lang w:eastAsia="zh-CN"/>
              </w:rPr>
              <w:t>、</w:t>
            </w:r>
            <w:r>
              <w:rPr>
                <w:rFonts w:hint="eastAsia" w:ascii="宋体" w:hAnsi="宋体" w:eastAsia="宋体" w:cs="宋体"/>
                <w:color w:val="auto"/>
                <w:spacing w:val="-4"/>
                <w:kern w:val="28"/>
                <w:sz w:val="21"/>
                <w:szCs w:val="21"/>
                <w:highlight w:val="none"/>
              </w:rPr>
              <w:t>项目经理</w:t>
            </w:r>
            <w:r>
              <w:rPr>
                <w:rFonts w:hint="eastAsia" w:ascii="宋体" w:hAnsi="宋体" w:eastAsia="宋体" w:cs="宋体"/>
                <w:color w:val="auto"/>
                <w:spacing w:val="-4"/>
                <w:kern w:val="28"/>
                <w:sz w:val="21"/>
                <w:szCs w:val="21"/>
                <w:highlight w:val="none"/>
                <w:lang w:val="en-US" w:eastAsia="zh-CN"/>
              </w:rPr>
              <w:t>和项目总工</w:t>
            </w:r>
            <w:r>
              <w:rPr>
                <w:rFonts w:hint="eastAsia" w:ascii="宋体" w:hAnsi="宋体" w:eastAsia="宋体" w:cs="宋体"/>
                <w:color w:val="auto"/>
                <w:kern w:val="28"/>
                <w:sz w:val="21"/>
                <w:szCs w:val="21"/>
                <w:highlight w:val="none"/>
              </w:rPr>
              <w:t>等内容</w:t>
            </w:r>
            <w:r>
              <w:rPr>
                <w:rFonts w:hint="eastAsia" w:ascii="宋体" w:hAnsi="宋体" w:eastAsia="宋体" w:cs="宋体"/>
                <w:color w:val="auto"/>
                <w:kern w:val="28"/>
                <w:sz w:val="21"/>
                <w:szCs w:val="21"/>
                <w:highlight w:val="none"/>
                <w:lang w:eastAsia="zh-CN"/>
              </w:rPr>
              <w:t>，</w:t>
            </w:r>
            <w:r>
              <w:rPr>
                <w:rFonts w:ascii="Times New Roman" w:hAnsi="Times New Roman" w:eastAsia="宋体" w:cs="Times New Roman"/>
                <w:color w:val="auto"/>
                <w:kern w:val="28"/>
                <w:sz w:val="21"/>
                <w:szCs w:val="21"/>
                <w:highlight w:val="none"/>
              </w:rPr>
              <w:t>未对投标函中填写的</w:t>
            </w:r>
            <w:r>
              <w:rPr>
                <w:rFonts w:hint="eastAsia" w:ascii="宋体" w:hAnsi="宋体" w:eastAsia="宋体" w:cs="宋体"/>
                <w:color w:val="auto"/>
                <w:spacing w:val="-4"/>
                <w:kern w:val="28"/>
                <w:sz w:val="21"/>
                <w:szCs w:val="21"/>
                <w:highlight w:val="none"/>
              </w:rPr>
              <w:t>工程质量、安全目标、</w:t>
            </w:r>
            <w:r>
              <w:rPr>
                <w:rFonts w:hint="eastAsia" w:ascii="宋体" w:hAnsi="宋体" w:eastAsia="宋体" w:cs="宋体"/>
                <w:color w:val="auto"/>
                <w:spacing w:val="-4"/>
                <w:kern w:val="28"/>
                <w:sz w:val="21"/>
                <w:szCs w:val="21"/>
                <w:highlight w:val="none"/>
                <w:lang w:val="en-US" w:eastAsia="zh-CN"/>
              </w:rPr>
              <w:t>计划开工日期、缺陷责任期</w:t>
            </w:r>
            <w:r>
              <w:rPr>
                <w:rFonts w:ascii="Times New Roman" w:hAnsi="Times New Roman" w:eastAsia="宋体" w:cs="Times New Roman"/>
                <w:color w:val="auto"/>
                <w:kern w:val="28"/>
                <w:sz w:val="21"/>
                <w:szCs w:val="21"/>
                <w:highlight w:val="none"/>
              </w:rPr>
              <w:t>进行修改</w:t>
            </w:r>
            <w:r>
              <w:rPr>
                <w:rFonts w:hint="eastAsia" w:ascii="宋体" w:hAnsi="宋体" w:eastAsia="宋体" w:cs="宋体"/>
                <w:color w:val="auto"/>
                <w:kern w:val="28"/>
                <w:sz w:val="21"/>
                <w:szCs w:val="21"/>
                <w:highlight w:val="none"/>
              </w:rPr>
              <w:t>；</w:t>
            </w:r>
          </w:p>
          <w:p w14:paraId="682E63F6">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b．投标函附录的所有数据均符合招标文件规定。</w:t>
            </w:r>
          </w:p>
          <w:p w14:paraId="2C6B725D">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C.投标文件组成齐全完整，内容均按规定填写。</w:t>
            </w:r>
          </w:p>
          <w:p w14:paraId="4F20D012">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（2）投标文件上法定代表人或其授权代理人的签字、投标人的单位章盖章齐全，符合招标文件规定。</w:t>
            </w:r>
          </w:p>
          <w:p w14:paraId="28E2970B">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（3）投标人按照招标文件的规定提供了投标保证金，满足招标文件投标人须知前附表第3.4.1款要求。</w:t>
            </w:r>
          </w:p>
          <w:p w14:paraId="418BD2EE">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（4）投标人法定代表人授权委托代理人签署投标文件的，须提交授权委托书，授权委托书符合招标文件规定。</w:t>
            </w:r>
          </w:p>
          <w:p w14:paraId="3866DE7F">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（5）投标人法定代表人亲自签署投标文件的，提供了法定代表人身份证明，法定代表人身份证明符合招标文件规定。</w:t>
            </w:r>
          </w:p>
          <w:p w14:paraId="66CAAECC">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（6）投标人未以联合体形式投标。</w:t>
            </w:r>
          </w:p>
          <w:p w14:paraId="0AC9F027">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default" w:ascii="宋体" w:hAnsi="宋体" w:eastAsia="宋体" w:cs="宋体"/>
                <w:color w:val="auto"/>
                <w:kern w:val="28"/>
                <w:sz w:val="21"/>
                <w:szCs w:val="21"/>
                <w:highlight w:val="none"/>
                <w:lang w:val="en-US" w:eastAsia="zh-CN"/>
              </w:rPr>
            </w:pPr>
            <w:r>
              <w:rPr>
                <w:rFonts w:hint="eastAsia" w:ascii="宋体" w:hAnsi="宋体" w:eastAsia="宋体" w:cs="宋体"/>
                <w:color w:val="auto"/>
                <w:kern w:val="28"/>
                <w:sz w:val="21"/>
                <w:szCs w:val="21"/>
                <w:highlight w:val="none"/>
                <w:lang w:eastAsia="zh-CN"/>
              </w:rPr>
              <w:t>（</w:t>
            </w:r>
            <w:r>
              <w:rPr>
                <w:rFonts w:hint="eastAsia" w:ascii="宋体" w:hAnsi="宋体" w:eastAsia="宋体" w:cs="宋体"/>
                <w:color w:val="auto"/>
                <w:kern w:val="28"/>
                <w:sz w:val="21"/>
                <w:szCs w:val="21"/>
                <w:highlight w:val="none"/>
                <w:lang w:val="en-US" w:eastAsia="zh-CN"/>
              </w:rPr>
              <w:t>7）投标人未对本项目进行分包。</w:t>
            </w:r>
          </w:p>
          <w:p w14:paraId="0AED896A">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w:t>
            </w:r>
            <w:r>
              <w:rPr>
                <w:rFonts w:hint="eastAsia" w:ascii="宋体" w:hAnsi="宋体" w:eastAsia="宋体" w:cs="宋体"/>
                <w:color w:val="auto"/>
                <w:kern w:val="28"/>
                <w:sz w:val="21"/>
                <w:szCs w:val="21"/>
                <w:highlight w:val="none"/>
                <w:lang w:val="en-US" w:eastAsia="zh-CN"/>
              </w:rPr>
              <w:t>8</w:t>
            </w:r>
            <w:r>
              <w:rPr>
                <w:rFonts w:hint="eastAsia" w:ascii="宋体" w:hAnsi="宋体" w:eastAsia="宋体" w:cs="宋体"/>
                <w:color w:val="auto"/>
                <w:kern w:val="28"/>
                <w:sz w:val="21"/>
                <w:szCs w:val="21"/>
                <w:highlight w:val="none"/>
              </w:rPr>
              <w:t>）同一投标人未提交两个以上不同的投标文件。</w:t>
            </w:r>
          </w:p>
          <w:p w14:paraId="128B9749">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w:t>
            </w:r>
            <w:r>
              <w:rPr>
                <w:rFonts w:hint="eastAsia" w:ascii="宋体" w:hAnsi="宋体" w:eastAsia="宋体" w:cs="宋体"/>
                <w:color w:val="auto"/>
                <w:kern w:val="28"/>
                <w:sz w:val="21"/>
                <w:szCs w:val="21"/>
                <w:highlight w:val="none"/>
                <w:lang w:val="en-US" w:eastAsia="zh-CN"/>
              </w:rPr>
              <w:t>9</w:t>
            </w:r>
            <w:r>
              <w:rPr>
                <w:rFonts w:hint="eastAsia" w:ascii="宋体" w:hAnsi="宋体" w:eastAsia="宋体" w:cs="宋体"/>
                <w:color w:val="auto"/>
                <w:kern w:val="28"/>
                <w:sz w:val="21"/>
                <w:szCs w:val="21"/>
                <w:highlight w:val="none"/>
              </w:rPr>
              <w:t>）投标文件中未出现有关投标报价的内容。</w:t>
            </w:r>
          </w:p>
          <w:p w14:paraId="16E749C3">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color w:val="auto"/>
                <w:kern w:val="28"/>
                <w:sz w:val="21"/>
                <w:szCs w:val="21"/>
                <w:highlight w:val="none"/>
              </w:rPr>
              <w:t>（</w:t>
            </w:r>
            <w:r>
              <w:rPr>
                <w:rFonts w:hint="eastAsia" w:ascii="宋体" w:hAnsi="宋体" w:eastAsia="宋体" w:cs="宋体"/>
                <w:color w:val="auto"/>
                <w:kern w:val="28"/>
                <w:sz w:val="21"/>
                <w:szCs w:val="21"/>
                <w:highlight w:val="none"/>
                <w:lang w:val="en-US" w:eastAsia="zh-CN"/>
              </w:rPr>
              <w:t>10</w:t>
            </w:r>
            <w:r>
              <w:rPr>
                <w:rFonts w:hint="eastAsia" w:ascii="宋体" w:hAnsi="宋体" w:eastAsia="宋体" w:cs="宋体"/>
                <w:color w:val="auto"/>
                <w:kern w:val="28"/>
                <w:sz w:val="21"/>
                <w:szCs w:val="21"/>
                <w:highlight w:val="none"/>
              </w:rPr>
              <w:t>）投标文件载明的招标项</w:t>
            </w:r>
            <w:r>
              <w:rPr>
                <w:rFonts w:hint="eastAsia" w:ascii="宋体" w:hAnsi="宋体" w:eastAsia="宋体" w:cs="宋体"/>
                <w:bCs/>
                <w:color w:val="auto"/>
                <w:kern w:val="28"/>
                <w:sz w:val="21"/>
                <w:szCs w:val="21"/>
                <w:highlight w:val="none"/>
              </w:rPr>
              <w:t>目完成期限未超过招标文件规定的时限。</w:t>
            </w:r>
          </w:p>
          <w:p w14:paraId="0DF12BD2">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w:t>
            </w:r>
            <w:r>
              <w:rPr>
                <w:rFonts w:hint="eastAsia" w:ascii="宋体" w:hAnsi="宋体" w:eastAsia="宋体" w:cs="宋体"/>
                <w:bCs/>
                <w:color w:val="auto"/>
                <w:kern w:val="28"/>
                <w:sz w:val="21"/>
                <w:szCs w:val="21"/>
                <w:highlight w:val="none"/>
                <w:lang w:val="en-US" w:eastAsia="zh-CN"/>
              </w:rPr>
              <w:t>11</w:t>
            </w:r>
            <w:r>
              <w:rPr>
                <w:rFonts w:hint="eastAsia" w:ascii="宋体" w:hAnsi="宋体" w:eastAsia="宋体" w:cs="宋体"/>
                <w:bCs/>
                <w:color w:val="auto"/>
                <w:kern w:val="28"/>
                <w:sz w:val="21"/>
                <w:szCs w:val="21"/>
                <w:highlight w:val="none"/>
              </w:rPr>
              <w:t>）投标文件对招标文件的实质性要求和条件作出响应。</w:t>
            </w:r>
          </w:p>
          <w:p w14:paraId="53E558BE">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w:t>
            </w:r>
            <w:r>
              <w:rPr>
                <w:rFonts w:hint="eastAsia" w:ascii="宋体" w:hAnsi="宋体" w:eastAsia="宋体" w:cs="宋体"/>
                <w:bCs/>
                <w:color w:val="auto"/>
                <w:kern w:val="28"/>
                <w:sz w:val="21"/>
                <w:szCs w:val="21"/>
                <w:highlight w:val="none"/>
                <w:lang w:val="en-US" w:eastAsia="zh-CN"/>
              </w:rPr>
              <w:t>12</w:t>
            </w:r>
            <w:r>
              <w:rPr>
                <w:rFonts w:hint="eastAsia" w:ascii="宋体" w:hAnsi="宋体" w:eastAsia="宋体" w:cs="宋体"/>
                <w:bCs/>
                <w:color w:val="auto"/>
                <w:kern w:val="28"/>
                <w:sz w:val="21"/>
                <w:szCs w:val="21"/>
                <w:highlight w:val="none"/>
              </w:rPr>
              <w:t>）权利义务符合招标文件规定：</w:t>
            </w:r>
          </w:p>
          <w:p w14:paraId="1B6D6A52">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a．投标人应接受招标文件规定的风险划分原则，未提出新的风险划分办法；</w:t>
            </w:r>
          </w:p>
          <w:p w14:paraId="571445A5">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b．投标人未增加发包人的责任范围，或减少投标人义务；</w:t>
            </w:r>
          </w:p>
          <w:p w14:paraId="3D6AA7AF">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c．投标人未提出不同的工程验收、计量、支付办法；</w:t>
            </w:r>
          </w:p>
          <w:p w14:paraId="1C10CAC2">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d．投标人对合同纠纷、事故处理办法未提出异议；</w:t>
            </w:r>
          </w:p>
          <w:p w14:paraId="22917B38">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e．投标人在投标活动中无欺诈行为；</w:t>
            </w:r>
          </w:p>
          <w:p w14:paraId="0E8BF191">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lang w:eastAsia="zh-CN"/>
              </w:rPr>
            </w:pPr>
            <w:r>
              <w:rPr>
                <w:rFonts w:hint="eastAsia" w:ascii="宋体" w:hAnsi="宋体" w:eastAsia="宋体" w:cs="宋体"/>
                <w:bCs/>
                <w:color w:val="auto"/>
                <w:kern w:val="28"/>
                <w:sz w:val="21"/>
                <w:szCs w:val="21"/>
                <w:highlight w:val="none"/>
              </w:rPr>
              <w:t>f．投标人未对合同条款有重要保留</w:t>
            </w:r>
            <w:r>
              <w:rPr>
                <w:rFonts w:hint="eastAsia" w:ascii="宋体" w:hAnsi="宋体" w:eastAsia="宋体" w:cs="宋体"/>
                <w:bCs/>
                <w:color w:val="auto"/>
                <w:kern w:val="28"/>
                <w:sz w:val="21"/>
                <w:szCs w:val="21"/>
                <w:highlight w:val="none"/>
                <w:lang w:eastAsia="zh-CN"/>
              </w:rPr>
              <w:t>；</w:t>
            </w:r>
          </w:p>
          <w:p w14:paraId="4E5C93C0">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lang w:eastAsia="zh-CN"/>
              </w:rPr>
            </w:pPr>
            <w:r>
              <w:rPr>
                <w:rFonts w:hint="eastAsia" w:ascii="宋体" w:hAnsi="宋体" w:eastAsia="宋体" w:cs="宋体"/>
                <w:bCs/>
                <w:color w:val="auto"/>
                <w:kern w:val="28"/>
                <w:sz w:val="21"/>
                <w:szCs w:val="21"/>
                <w:highlight w:val="none"/>
                <w:lang w:eastAsia="zh-CN"/>
              </w:rPr>
              <w:t>（</w:t>
            </w:r>
            <w:r>
              <w:rPr>
                <w:rFonts w:hint="eastAsia" w:ascii="宋体" w:hAnsi="宋体" w:eastAsia="宋体" w:cs="宋体"/>
                <w:bCs/>
                <w:color w:val="auto"/>
                <w:kern w:val="28"/>
                <w:sz w:val="21"/>
                <w:szCs w:val="21"/>
                <w:highlight w:val="none"/>
                <w:lang w:val="en-US" w:eastAsia="zh-CN"/>
              </w:rPr>
              <w:t>13</w:t>
            </w:r>
            <w:r>
              <w:rPr>
                <w:rFonts w:hint="eastAsia" w:ascii="宋体" w:hAnsi="宋体" w:eastAsia="宋体" w:cs="宋体"/>
                <w:bCs/>
                <w:color w:val="auto"/>
                <w:kern w:val="28"/>
                <w:sz w:val="21"/>
                <w:szCs w:val="21"/>
                <w:highlight w:val="none"/>
                <w:lang w:eastAsia="zh-CN"/>
              </w:rPr>
              <w:t>）</w:t>
            </w:r>
            <w:r>
              <w:rPr>
                <w:rFonts w:hint="eastAsia" w:ascii="宋体" w:hAnsi="宋体" w:eastAsia="宋体" w:cs="宋体"/>
                <w:bCs/>
                <w:color w:val="auto"/>
                <w:kern w:val="28"/>
                <w:sz w:val="21"/>
                <w:szCs w:val="21"/>
                <w:highlight w:val="none"/>
                <w:lang w:val="en-US" w:eastAsia="zh-CN"/>
              </w:rPr>
              <w:t>递交的</w:t>
            </w:r>
            <w:r>
              <w:rPr>
                <w:rFonts w:hint="eastAsia" w:ascii="宋体" w:hAnsi="宋体" w:eastAsia="宋体" w:cs="宋体"/>
                <w:bCs/>
                <w:color w:val="auto"/>
                <w:kern w:val="28"/>
                <w:sz w:val="21"/>
                <w:szCs w:val="21"/>
                <w:highlight w:val="none"/>
                <w:lang w:eastAsia="zh-CN"/>
              </w:rPr>
              <w:t>投标文件与</w:t>
            </w:r>
            <w:r>
              <w:rPr>
                <w:rFonts w:hint="eastAsia" w:ascii="宋体" w:hAnsi="宋体" w:eastAsia="宋体" w:cs="宋体"/>
                <w:bCs/>
                <w:color w:val="auto"/>
                <w:kern w:val="28"/>
                <w:sz w:val="21"/>
                <w:szCs w:val="21"/>
                <w:highlight w:val="none"/>
                <w:lang w:val="en-US" w:eastAsia="zh-CN"/>
              </w:rPr>
              <w:t>所投</w:t>
            </w:r>
            <w:r>
              <w:rPr>
                <w:rFonts w:hint="eastAsia" w:ascii="宋体" w:hAnsi="宋体" w:eastAsia="宋体" w:cs="宋体"/>
                <w:bCs/>
                <w:color w:val="auto"/>
                <w:kern w:val="28"/>
                <w:sz w:val="21"/>
                <w:szCs w:val="21"/>
                <w:highlight w:val="none"/>
                <w:lang w:eastAsia="zh-CN"/>
              </w:rPr>
              <w:t>标段一致；</w:t>
            </w:r>
          </w:p>
          <w:p w14:paraId="021CB17F">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lang w:eastAsia="zh-CN"/>
              </w:rPr>
            </w:pPr>
            <w:r>
              <w:rPr>
                <w:rFonts w:hint="eastAsia" w:ascii="宋体" w:hAnsi="宋体" w:eastAsia="宋体" w:cs="宋体"/>
                <w:bCs/>
                <w:color w:val="auto"/>
                <w:kern w:val="28"/>
                <w:sz w:val="21"/>
                <w:szCs w:val="21"/>
                <w:highlight w:val="none"/>
                <w:lang w:eastAsia="zh-CN"/>
              </w:rPr>
              <w:t>（</w:t>
            </w:r>
            <w:r>
              <w:rPr>
                <w:rFonts w:hint="eastAsia" w:ascii="宋体" w:hAnsi="宋体" w:eastAsia="宋体" w:cs="宋体"/>
                <w:bCs/>
                <w:color w:val="auto"/>
                <w:kern w:val="28"/>
                <w:sz w:val="21"/>
                <w:szCs w:val="21"/>
                <w:highlight w:val="none"/>
                <w:lang w:val="en-US" w:eastAsia="zh-CN"/>
              </w:rPr>
              <w:t>14</w:t>
            </w:r>
            <w:r>
              <w:rPr>
                <w:rFonts w:hint="eastAsia" w:ascii="宋体" w:hAnsi="宋体" w:eastAsia="宋体" w:cs="宋体"/>
                <w:bCs/>
                <w:color w:val="auto"/>
                <w:kern w:val="28"/>
                <w:sz w:val="21"/>
                <w:szCs w:val="21"/>
                <w:highlight w:val="none"/>
                <w:lang w:eastAsia="zh-CN"/>
              </w:rPr>
              <w:t>）同一投标人未同时对本项目两个标段进行投标；</w:t>
            </w:r>
          </w:p>
          <w:p w14:paraId="1E6F701E">
            <w:pPr>
              <w:keepNext w:val="0"/>
              <w:keepLines w:val="0"/>
              <w:pageBreakBefore w:val="0"/>
              <w:widowControl w:val="0"/>
              <w:tabs>
                <w:tab w:val="left" w:pos="3060"/>
              </w:tabs>
              <w:kinsoku/>
              <w:wordWrap/>
              <w:overflowPunct/>
              <w:topLinePunct w:val="0"/>
              <w:bidi w:val="0"/>
              <w:snapToGrid w:val="0"/>
              <w:spacing w:line="320" w:lineRule="exact"/>
              <w:ind w:firstLine="211" w:firstLineChars="104"/>
              <w:jc w:val="left"/>
              <w:textAlignment w:val="auto"/>
              <w:rPr>
                <w:rFonts w:hint="eastAsia" w:ascii="宋体" w:hAnsi="宋体" w:eastAsia="宋体" w:cs="宋体"/>
                <w:color w:val="auto"/>
                <w:kern w:val="28"/>
                <w:sz w:val="21"/>
                <w:szCs w:val="21"/>
                <w:highlight w:val="none"/>
              </w:rPr>
            </w:pPr>
            <w:r>
              <w:rPr>
                <w:rFonts w:hint="eastAsia" w:ascii="宋体" w:hAnsi="宋体" w:eastAsia="宋体" w:cs="宋体"/>
                <w:b/>
                <w:bCs/>
                <w:color w:val="auto"/>
                <w:spacing w:val="-4"/>
                <w:kern w:val="28"/>
                <w:sz w:val="21"/>
                <w:szCs w:val="21"/>
                <w:highlight w:val="none"/>
              </w:rPr>
              <w:t>第一个信封（技术文件）评审标准（暗标部分）：</w:t>
            </w:r>
          </w:p>
          <w:p w14:paraId="244B18DC">
            <w:pPr>
              <w:keepNext w:val="0"/>
              <w:keepLines w:val="0"/>
              <w:pageBreakBefore w:val="0"/>
              <w:widowControl w:val="0"/>
              <w:tabs>
                <w:tab w:val="left" w:pos="3060"/>
              </w:tabs>
              <w:kinsoku/>
              <w:wordWrap/>
              <w:overflowPunct/>
              <w:topLinePunct w:val="0"/>
              <w:bidi w:val="0"/>
              <w:snapToGrid w:val="0"/>
              <w:spacing w:line="320" w:lineRule="exact"/>
              <w:ind w:firstLine="218" w:firstLineChars="104"/>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8"/>
                <w:sz w:val="21"/>
                <w:szCs w:val="21"/>
                <w:highlight w:val="none"/>
              </w:rPr>
              <w:t>施工组织设计（暗标）</w:t>
            </w:r>
            <w:r>
              <w:rPr>
                <w:rFonts w:hint="eastAsia" w:ascii="宋体" w:hAnsi="宋体" w:eastAsia="宋体" w:cs="宋体"/>
                <w:color w:val="auto"/>
                <w:kern w:val="28"/>
                <w:sz w:val="21"/>
                <w:szCs w:val="21"/>
                <w:highlight w:val="none"/>
                <w:lang w:val="en-US" w:eastAsia="zh-CN"/>
              </w:rPr>
              <w:t>编制</w:t>
            </w:r>
            <w:r>
              <w:rPr>
                <w:rFonts w:hint="eastAsia" w:ascii="宋体" w:hAnsi="宋体" w:eastAsia="宋体" w:cs="宋体"/>
                <w:color w:val="auto"/>
                <w:kern w:val="28"/>
                <w:sz w:val="21"/>
                <w:szCs w:val="21"/>
                <w:highlight w:val="none"/>
              </w:rPr>
              <w:t>符合招标文件第二章“投标人须知”第10.2款的规定</w:t>
            </w:r>
            <w:r>
              <w:rPr>
                <w:rFonts w:hint="eastAsia" w:ascii="宋体" w:hAnsi="宋体" w:eastAsia="宋体" w:cs="宋体"/>
                <w:color w:val="auto"/>
                <w:kern w:val="2"/>
                <w:sz w:val="21"/>
                <w:szCs w:val="21"/>
                <w:highlight w:val="none"/>
              </w:rPr>
              <w:t>。</w:t>
            </w:r>
          </w:p>
          <w:p w14:paraId="1FE8AF28">
            <w:pPr>
              <w:keepNext w:val="0"/>
              <w:keepLines w:val="0"/>
              <w:pageBreakBefore w:val="0"/>
              <w:widowControl w:val="0"/>
              <w:tabs>
                <w:tab w:val="left" w:pos="3060"/>
              </w:tabs>
              <w:kinsoku/>
              <w:wordWrap/>
              <w:overflowPunct/>
              <w:topLinePunct w:val="0"/>
              <w:bidi w:val="0"/>
              <w:snapToGrid w:val="0"/>
              <w:spacing w:line="320" w:lineRule="exact"/>
              <w:ind w:firstLine="219" w:firstLineChars="104"/>
              <w:textAlignment w:val="auto"/>
              <w:rPr>
                <w:rFonts w:hint="default" w:ascii="宋体" w:hAnsi="宋体" w:eastAsia="宋体" w:cs="宋体"/>
                <w:b/>
                <w:color w:val="auto"/>
                <w:kern w:val="28"/>
                <w:sz w:val="21"/>
                <w:szCs w:val="21"/>
                <w:highlight w:val="none"/>
                <w:lang w:val="en-US" w:eastAsia="zh-CN"/>
              </w:rPr>
            </w:pPr>
            <w:r>
              <w:rPr>
                <w:rFonts w:hint="eastAsia" w:ascii="宋体" w:hAnsi="宋体" w:eastAsia="宋体" w:cs="宋体"/>
                <w:b/>
                <w:color w:val="auto"/>
                <w:kern w:val="28"/>
                <w:sz w:val="21"/>
                <w:szCs w:val="21"/>
                <w:highlight w:val="none"/>
              </w:rPr>
              <w:t>第二个信封（报价文件）评审标准：</w:t>
            </w:r>
          </w:p>
          <w:p w14:paraId="63029E87">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（1）投标文件按照招标文件规定的格式、内容填写，字迹清晰可辨，内容齐全完整：</w:t>
            </w:r>
          </w:p>
          <w:p w14:paraId="7BBEEC79">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a．投标函按招标文件规定填报了招标人名称、项目名称、</w:t>
            </w:r>
            <w:r>
              <w:rPr>
                <w:rFonts w:hint="eastAsia" w:ascii="宋体" w:hAnsi="宋体" w:eastAsia="宋体" w:cs="宋体"/>
                <w:color w:val="auto"/>
                <w:kern w:val="28"/>
                <w:sz w:val="21"/>
                <w:szCs w:val="21"/>
                <w:highlight w:val="none"/>
                <w:lang w:val="en-US" w:eastAsia="zh-CN"/>
              </w:rPr>
              <w:t>标段号、</w:t>
            </w:r>
            <w:r>
              <w:rPr>
                <w:rFonts w:hint="eastAsia" w:ascii="宋体" w:hAnsi="宋体" w:eastAsia="宋体" w:cs="宋体"/>
                <w:color w:val="auto"/>
                <w:kern w:val="28"/>
                <w:sz w:val="21"/>
                <w:szCs w:val="21"/>
                <w:highlight w:val="none"/>
              </w:rPr>
              <w:t>补遗书编号（如有）、投标报价（包括大写金额和小写金额）；</w:t>
            </w:r>
          </w:p>
          <w:p w14:paraId="5CFDABFA">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b．已标价工程量清单说明文字与招标文件规定一致，未</w:t>
            </w:r>
            <w:r>
              <w:rPr>
                <w:rFonts w:hint="eastAsia" w:ascii="宋体" w:hAnsi="宋体" w:eastAsia="宋体" w:cs="宋体"/>
                <w:color w:val="auto"/>
                <w:kern w:val="28"/>
                <w:sz w:val="21"/>
                <w:szCs w:val="21"/>
                <w:highlight w:val="none"/>
                <w:lang w:val="en-US" w:eastAsia="zh-CN"/>
              </w:rPr>
              <w:t>进行</w:t>
            </w:r>
            <w:r>
              <w:rPr>
                <w:rFonts w:hint="eastAsia" w:ascii="宋体" w:hAnsi="宋体" w:eastAsia="宋体" w:cs="宋体"/>
                <w:color w:val="auto"/>
                <w:kern w:val="28"/>
                <w:sz w:val="21"/>
                <w:szCs w:val="21"/>
                <w:highlight w:val="none"/>
              </w:rPr>
              <w:t>实质性修改和删减；</w:t>
            </w:r>
          </w:p>
          <w:p w14:paraId="26449BAC">
            <w:pPr>
              <w:keepNext w:val="0"/>
              <w:keepLines w:val="0"/>
              <w:pageBreakBefore w:val="0"/>
              <w:widowControl w:val="0"/>
              <w:tabs>
                <w:tab w:val="left" w:pos="3060"/>
              </w:tabs>
              <w:kinsoku/>
              <w:wordWrap/>
              <w:overflowPunct/>
              <w:topLinePunct w:val="0"/>
              <w:bidi w:val="0"/>
              <w:snapToGrid w:val="0"/>
              <w:spacing w:line="320" w:lineRule="exact"/>
              <w:ind w:firstLine="426" w:firstLineChars="203"/>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lang w:val="en-US" w:eastAsia="zh-CN"/>
              </w:rPr>
              <w:t>c</w:t>
            </w:r>
            <w:r>
              <w:rPr>
                <w:rFonts w:hint="eastAsia" w:ascii="宋体" w:hAnsi="宋体" w:eastAsia="宋体" w:cs="宋体"/>
                <w:color w:val="auto"/>
                <w:kern w:val="28"/>
                <w:sz w:val="21"/>
                <w:szCs w:val="21"/>
                <w:highlight w:val="none"/>
              </w:rPr>
              <w:t>．投标文件组成齐全完整，内容均按规定填写；</w:t>
            </w:r>
          </w:p>
          <w:p w14:paraId="6D558F3B">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（2）投标文件上法定代表人或其授权代理人的签字、投标人的单位章盖章齐全，符合招标文件规定；</w:t>
            </w:r>
          </w:p>
          <w:p w14:paraId="3E7F0A7C">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（3）投标报价未超过招标文件设定的最高投标限价；</w:t>
            </w:r>
          </w:p>
          <w:p w14:paraId="439AA5C1">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（4）投标报价大写金额能够确定具体数值；</w:t>
            </w:r>
          </w:p>
          <w:p w14:paraId="0E096D8C">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（5）投标人未提交两个以上不同的投标报价；</w:t>
            </w:r>
          </w:p>
          <w:p w14:paraId="365C8C93">
            <w:pPr>
              <w:keepNext w:val="0"/>
              <w:keepLines w:val="0"/>
              <w:pageBreakBefore w:val="0"/>
              <w:widowControl w:val="0"/>
              <w:tabs>
                <w:tab w:val="left" w:pos="3060"/>
              </w:tabs>
              <w:kinsoku/>
              <w:wordWrap/>
              <w:overflowPunct/>
              <w:topLinePunct w:val="0"/>
              <w:bidi w:val="0"/>
              <w:snapToGrid w:val="0"/>
              <w:spacing w:line="320" w:lineRule="exact"/>
              <w:ind w:firstLine="218" w:firstLineChars="104"/>
              <w:textAlignment w:val="auto"/>
              <w:rPr>
                <w:rFonts w:hint="eastAsia" w:ascii="宋体" w:hAnsi="宋体" w:eastAsia="宋体" w:cs="宋体"/>
                <w:color w:val="auto"/>
                <w:kern w:val="2"/>
                <w:sz w:val="21"/>
                <w:szCs w:val="21"/>
                <w:highlight w:val="none"/>
              </w:rPr>
            </w:pPr>
            <w:r>
              <w:rPr>
                <w:rFonts w:hint="eastAsia" w:ascii="宋体" w:hAnsi="宋体" w:eastAsia="宋体" w:cs="宋体"/>
                <w:bCs/>
                <w:color w:val="auto"/>
                <w:kern w:val="28"/>
                <w:sz w:val="21"/>
                <w:szCs w:val="21"/>
                <w:highlight w:val="none"/>
              </w:rPr>
              <w:t>（6）</w:t>
            </w:r>
            <w:r>
              <w:rPr>
                <w:rFonts w:hint="eastAsia" w:ascii="宋体" w:hAnsi="宋体" w:eastAsia="宋体" w:cs="宋体"/>
                <w:color w:val="auto"/>
                <w:kern w:val="2"/>
                <w:sz w:val="21"/>
                <w:szCs w:val="21"/>
                <w:highlight w:val="none"/>
                <w:lang w:val="en-US" w:eastAsia="zh-CN"/>
              </w:rPr>
              <w:t>已标价的</w:t>
            </w:r>
            <w:r>
              <w:rPr>
                <w:rFonts w:hint="eastAsia" w:ascii="宋体" w:hAnsi="宋体" w:eastAsia="宋体" w:cs="宋体"/>
                <w:color w:val="auto"/>
                <w:kern w:val="2"/>
                <w:sz w:val="21"/>
                <w:szCs w:val="21"/>
                <w:highlight w:val="none"/>
              </w:rPr>
              <w:t>工程量清单未对招标人提供的工程量固化清单电子文件中的数据、格式和运算定义进行修改；</w:t>
            </w:r>
            <w:r>
              <w:rPr>
                <w:rFonts w:hint="eastAsia" w:ascii="宋体" w:hAnsi="宋体" w:eastAsia="宋体" w:cs="宋体"/>
                <w:color w:val="auto"/>
                <w:kern w:val="2"/>
                <w:sz w:val="21"/>
                <w:szCs w:val="21"/>
                <w:highlight w:val="none"/>
                <w:lang w:val="en-US" w:eastAsia="zh-CN"/>
              </w:rPr>
              <w:t>已标价的</w:t>
            </w:r>
            <w:r>
              <w:rPr>
                <w:rFonts w:hint="eastAsia" w:ascii="宋体" w:hAnsi="宋体" w:eastAsia="宋体" w:cs="宋体"/>
                <w:color w:val="auto"/>
                <w:kern w:val="2"/>
                <w:sz w:val="21"/>
                <w:szCs w:val="21"/>
                <w:highlight w:val="none"/>
              </w:rPr>
              <w:t>工程量清单中的投标报价和投标函大写金额报价一致。</w:t>
            </w:r>
          </w:p>
          <w:p w14:paraId="3D0F5115">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bCs/>
                <w:color w:val="auto"/>
                <w:kern w:val="28"/>
                <w:sz w:val="21"/>
                <w:szCs w:val="21"/>
                <w:highlight w:val="none"/>
                <w:lang w:eastAsia="zh-CN"/>
              </w:rPr>
              <w:t>（</w:t>
            </w:r>
            <w:r>
              <w:rPr>
                <w:rFonts w:hint="eastAsia" w:ascii="宋体" w:hAnsi="宋体" w:eastAsia="宋体" w:cs="宋体"/>
                <w:bCs/>
                <w:color w:val="auto"/>
                <w:kern w:val="28"/>
                <w:sz w:val="21"/>
                <w:szCs w:val="21"/>
                <w:highlight w:val="none"/>
                <w:lang w:val="en-US" w:eastAsia="zh-CN"/>
              </w:rPr>
              <w:t>7</w:t>
            </w:r>
            <w:r>
              <w:rPr>
                <w:rFonts w:hint="eastAsia" w:ascii="宋体" w:hAnsi="宋体" w:eastAsia="宋体" w:cs="宋体"/>
                <w:bCs/>
                <w:color w:val="auto"/>
                <w:kern w:val="28"/>
                <w:sz w:val="21"/>
                <w:szCs w:val="21"/>
                <w:highlight w:val="none"/>
                <w:lang w:eastAsia="zh-CN"/>
              </w:rPr>
              <w:t>）</w:t>
            </w:r>
            <w:r>
              <w:rPr>
                <w:rFonts w:hint="eastAsia" w:ascii="宋体" w:hAnsi="宋体" w:eastAsia="宋体" w:cs="宋体"/>
                <w:bCs/>
                <w:color w:val="auto"/>
                <w:kern w:val="28"/>
                <w:sz w:val="21"/>
                <w:szCs w:val="21"/>
                <w:highlight w:val="none"/>
                <w:lang w:val="en-US" w:eastAsia="zh-CN"/>
              </w:rPr>
              <w:t>递交的</w:t>
            </w:r>
            <w:r>
              <w:rPr>
                <w:rFonts w:hint="eastAsia" w:ascii="宋体" w:hAnsi="宋体" w:eastAsia="宋体" w:cs="宋体"/>
                <w:bCs/>
                <w:color w:val="auto"/>
                <w:kern w:val="28"/>
                <w:sz w:val="21"/>
                <w:szCs w:val="21"/>
                <w:highlight w:val="none"/>
                <w:lang w:eastAsia="zh-CN"/>
              </w:rPr>
              <w:t>投标文件与</w:t>
            </w:r>
            <w:r>
              <w:rPr>
                <w:rFonts w:hint="eastAsia" w:ascii="宋体" w:hAnsi="宋体" w:eastAsia="宋体" w:cs="宋体"/>
                <w:bCs/>
                <w:color w:val="auto"/>
                <w:kern w:val="28"/>
                <w:sz w:val="21"/>
                <w:szCs w:val="21"/>
                <w:highlight w:val="none"/>
                <w:lang w:val="en-US" w:eastAsia="zh-CN"/>
              </w:rPr>
              <w:t>所投</w:t>
            </w:r>
            <w:r>
              <w:rPr>
                <w:rFonts w:hint="eastAsia" w:ascii="宋体" w:hAnsi="宋体" w:eastAsia="宋体" w:cs="宋体"/>
                <w:bCs/>
                <w:color w:val="auto"/>
                <w:kern w:val="28"/>
                <w:sz w:val="21"/>
                <w:szCs w:val="21"/>
                <w:highlight w:val="none"/>
                <w:lang w:eastAsia="zh-CN"/>
              </w:rPr>
              <w:t>标段一致；</w:t>
            </w:r>
          </w:p>
        </w:tc>
      </w:tr>
      <w:tr w14:paraId="2B51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752" w:type="pct"/>
            <w:noWrap w:val="0"/>
            <w:vAlign w:val="center"/>
          </w:tcPr>
          <w:p w14:paraId="379B5730">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2.1.2</w:t>
            </w:r>
          </w:p>
        </w:tc>
        <w:tc>
          <w:tcPr>
            <w:tcW w:w="825" w:type="pct"/>
            <w:noWrap w:val="0"/>
            <w:vAlign w:val="center"/>
          </w:tcPr>
          <w:p w14:paraId="72179711">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资格评审标准</w:t>
            </w:r>
          </w:p>
        </w:tc>
        <w:tc>
          <w:tcPr>
            <w:tcW w:w="3422" w:type="pct"/>
            <w:noWrap w:val="0"/>
            <w:vAlign w:val="top"/>
          </w:tcPr>
          <w:p w14:paraId="6954F952">
            <w:pPr>
              <w:keepNext w:val="0"/>
              <w:keepLines w:val="0"/>
              <w:pageBreakBefore w:val="0"/>
              <w:widowControl w:val="0"/>
              <w:tabs>
                <w:tab w:val="left" w:pos="3060"/>
              </w:tabs>
              <w:kinsoku/>
              <w:wordWrap/>
              <w:overflowPunct/>
              <w:topLinePunct w:val="0"/>
              <w:bidi w:val="0"/>
              <w:snapToGrid w:val="0"/>
              <w:spacing w:line="320" w:lineRule="exact"/>
              <w:ind w:firstLine="205" w:firstLineChars="98"/>
              <w:jc w:val="left"/>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（1）投标人具备有效的营业执照、资质证书、安全生产许可证和基本账户开户许可证（或基本存款账户信息）。</w:t>
            </w:r>
          </w:p>
          <w:p w14:paraId="640F1E56">
            <w:pPr>
              <w:keepNext w:val="0"/>
              <w:keepLines w:val="0"/>
              <w:pageBreakBefore w:val="0"/>
              <w:widowControl w:val="0"/>
              <w:tabs>
                <w:tab w:val="left" w:pos="3060"/>
              </w:tabs>
              <w:kinsoku/>
              <w:wordWrap/>
              <w:overflowPunct/>
              <w:topLinePunct w:val="0"/>
              <w:bidi w:val="0"/>
              <w:snapToGrid w:val="0"/>
              <w:spacing w:line="320" w:lineRule="exact"/>
              <w:ind w:firstLine="205" w:firstLineChars="98"/>
              <w:jc w:val="left"/>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（2）投标人的资质等级符合招标文件规定。</w:t>
            </w:r>
          </w:p>
          <w:p w14:paraId="2F742F4B">
            <w:pPr>
              <w:keepNext w:val="0"/>
              <w:keepLines w:val="0"/>
              <w:pageBreakBefore w:val="0"/>
              <w:widowControl w:val="0"/>
              <w:tabs>
                <w:tab w:val="left" w:pos="3060"/>
              </w:tabs>
              <w:kinsoku/>
              <w:wordWrap/>
              <w:overflowPunct/>
              <w:topLinePunct w:val="0"/>
              <w:bidi w:val="0"/>
              <w:snapToGrid w:val="0"/>
              <w:spacing w:line="320" w:lineRule="exact"/>
              <w:ind w:firstLine="205" w:firstLineChars="98"/>
              <w:jc w:val="left"/>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（3）投标人的财务状况符合招标文件规定。</w:t>
            </w:r>
          </w:p>
          <w:p w14:paraId="4A32BFE8">
            <w:pPr>
              <w:keepNext w:val="0"/>
              <w:keepLines w:val="0"/>
              <w:pageBreakBefore w:val="0"/>
              <w:widowControl w:val="0"/>
              <w:tabs>
                <w:tab w:val="left" w:pos="3060"/>
              </w:tabs>
              <w:kinsoku/>
              <w:wordWrap/>
              <w:overflowPunct/>
              <w:topLinePunct w:val="0"/>
              <w:bidi w:val="0"/>
              <w:snapToGrid w:val="0"/>
              <w:spacing w:line="320" w:lineRule="exact"/>
              <w:ind w:firstLine="205" w:firstLineChars="98"/>
              <w:jc w:val="left"/>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（4）投标人的业绩符合招标文件规定。</w:t>
            </w:r>
          </w:p>
          <w:p w14:paraId="6EE30729">
            <w:pPr>
              <w:keepNext w:val="0"/>
              <w:keepLines w:val="0"/>
              <w:pageBreakBefore w:val="0"/>
              <w:widowControl w:val="0"/>
              <w:tabs>
                <w:tab w:val="left" w:pos="3060"/>
              </w:tabs>
              <w:kinsoku/>
              <w:wordWrap/>
              <w:overflowPunct/>
              <w:topLinePunct w:val="0"/>
              <w:bidi w:val="0"/>
              <w:snapToGrid w:val="0"/>
              <w:spacing w:line="320" w:lineRule="exact"/>
              <w:ind w:firstLine="205" w:firstLineChars="98"/>
              <w:jc w:val="left"/>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（5）投标人的信誉符合招标文件规定。</w:t>
            </w:r>
          </w:p>
          <w:p w14:paraId="09FCCD55">
            <w:pPr>
              <w:keepNext w:val="0"/>
              <w:keepLines w:val="0"/>
              <w:pageBreakBefore w:val="0"/>
              <w:widowControl w:val="0"/>
              <w:tabs>
                <w:tab w:val="left" w:pos="3060"/>
              </w:tabs>
              <w:kinsoku/>
              <w:wordWrap/>
              <w:overflowPunct/>
              <w:topLinePunct w:val="0"/>
              <w:bidi w:val="0"/>
              <w:snapToGrid w:val="0"/>
              <w:spacing w:line="320" w:lineRule="exact"/>
              <w:ind w:firstLine="205" w:firstLineChars="98"/>
              <w:jc w:val="left"/>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（6）投标人的</w:t>
            </w:r>
            <w:r>
              <w:rPr>
                <w:rFonts w:hint="eastAsia" w:ascii="宋体" w:hAnsi="宋体" w:eastAsia="宋体" w:cs="宋体"/>
                <w:bCs/>
                <w:color w:val="auto"/>
                <w:kern w:val="28"/>
                <w:sz w:val="21"/>
                <w:szCs w:val="21"/>
                <w:highlight w:val="none"/>
                <w:lang w:eastAsia="zh-CN"/>
              </w:rPr>
              <w:t>项目经理</w:t>
            </w:r>
            <w:r>
              <w:rPr>
                <w:rFonts w:hint="eastAsia" w:ascii="宋体" w:hAnsi="宋体" w:eastAsia="宋体" w:cs="宋体"/>
                <w:bCs/>
                <w:color w:val="auto"/>
                <w:kern w:val="28"/>
                <w:sz w:val="21"/>
                <w:szCs w:val="21"/>
                <w:highlight w:val="none"/>
                <w:lang w:val="en-US" w:eastAsia="zh-CN"/>
              </w:rPr>
              <w:t>和项目总工</w:t>
            </w:r>
            <w:r>
              <w:rPr>
                <w:rFonts w:hint="eastAsia" w:ascii="宋体" w:hAnsi="宋体" w:eastAsia="宋体" w:cs="宋体"/>
                <w:bCs/>
                <w:color w:val="auto"/>
                <w:kern w:val="28"/>
                <w:sz w:val="21"/>
                <w:szCs w:val="21"/>
                <w:highlight w:val="none"/>
              </w:rPr>
              <w:t>资格符合招标文件规定。</w:t>
            </w:r>
          </w:p>
          <w:p w14:paraId="70BCB9F0">
            <w:pPr>
              <w:keepNext w:val="0"/>
              <w:keepLines w:val="0"/>
              <w:pageBreakBefore w:val="0"/>
              <w:widowControl w:val="0"/>
              <w:tabs>
                <w:tab w:val="left" w:pos="3060"/>
              </w:tabs>
              <w:kinsoku/>
              <w:wordWrap/>
              <w:overflowPunct/>
              <w:topLinePunct w:val="0"/>
              <w:bidi w:val="0"/>
              <w:snapToGrid w:val="0"/>
              <w:spacing w:line="320" w:lineRule="exact"/>
              <w:ind w:firstLine="205" w:firstLineChars="98"/>
              <w:jc w:val="left"/>
              <w:textAlignment w:val="auto"/>
              <w:rPr>
                <w:rFonts w:hint="eastAsia" w:ascii="Times New Roman" w:hAnsi="Times New Roman" w:eastAsia="宋体" w:cs="Times New Roman"/>
                <w:color w:val="auto"/>
                <w:kern w:val="28"/>
                <w:sz w:val="21"/>
                <w:szCs w:val="21"/>
                <w:highlight w:val="none"/>
                <w:lang w:eastAsia="zh-CN"/>
              </w:rPr>
            </w:pPr>
            <w:r>
              <w:rPr>
                <w:rFonts w:hint="eastAsia" w:ascii="宋体" w:hAnsi="宋体" w:eastAsia="宋体" w:cs="宋体"/>
                <w:bCs/>
                <w:color w:val="auto"/>
                <w:kern w:val="28"/>
                <w:sz w:val="21"/>
                <w:szCs w:val="21"/>
                <w:highlight w:val="none"/>
              </w:rPr>
              <w:t>（7）投标人不存在第二章“投标人须知”第 1.4.3 项或第 1.4.4 项规定的任何一种情形。</w:t>
            </w:r>
          </w:p>
        </w:tc>
      </w:tr>
      <w:tr w14:paraId="7DA5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00F9E875">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2.2.1</w:t>
            </w:r>
          </w:p>
        </w:tc>
        <w:tc>
          <w:tcPr>
            <w:tcW w:w="825" w:type="pct"/>
            <w:noWrap w:val="0"/>
            <w:vAlign w:val="center"/>
          </w:tcPr>
          <w:p w14:paraId="712A1B94">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分值构成（总分100分）</w:t>
            </w:r>
          </w:p>
        </w:tc>
        <w:tc>
          <w:tcPr>
            <w:tcW w:w="3422" w:type="pct"/>
            <w:noWrap w:val="0"/>
            <w:vAlign w:val="center"/>
          </w:tcPr>
          <w:p w14:paraId="3900C93F">
            <w:pPr>
              <w:keepNext w:val="0"/>
              <w:keepLines w:val="0"/>
              <w:pageBreakBefore w:val="0"/>
              <w:widowControl w:val="0"/>
              <w:kinsoku/>
              <w:wordWrap/>
              <w:overflowPunct/>
              <w:topLinePunct w:val="0"/>
              <w:bidi w:val="0"/>
              <w:snapToGrid w:val="0"/>
              <w:spacing w:line="320" w:lineRule="exact"/>
              <w:textAlignment w:val="auto"/>
              <w:rPr>
                <w:rFonts w:hint="default" w:ascii="Times New Roman" w:hAnsi="Times New Roman" w:eastAsia="宋体" w:cs="Times New Roman"/>
                <w:b/>
                <w:bCs/>
                <w:color w:val="000000"/>
                <w:kern w:val="28"/>
                <w:sz w:val="21"/>
                <w:szCs w:val="21"/>
                <w:highlight w:val="none"/>
                <w:lang w:val="en-US" w:eastAsia="zh-CN"/>
              </w:rPr>
            </w:pPr>
            <w:r>
              <w:rPr>
                <w:rFonts w:hint="eastAsia" w:ascii="Times New Roman" w:hAnsi="Times New Roman" w:eastAsia="宋体" w:cs="Times New Roman"/>
                <w:b/>
                <w:bCs/>
                <w:color w:val="000000"/>
                <w:kern w:val="28"/>
                <w:sz w:val="21"/>
                <w:szCs w:val="21"/>
                <w:highlight w:val="none"/>
                <w:lang w:val="en-US" w:eastAsia="zh-CN"/>
              </w:rPr>
              <w:t>修改为：</w:t>
            </w:r>
          </w:p>
          <w:p w14:paraId="44C836FC">
            <w:pPr>
              <w:keepNext w:val="0"/>
              <w:keepLines w:val="0"/>
              <w:pageBreakBefore w:val="0"/>
              <w:widowControl w:val="0"/>
              <w:kinsoku/>
              <w:wordWrap/>
              <w:overflowPunct/>
              <w:topLinePunct w:val="0"/>
              <w:bidi w:val="0"/>
              <w:snapToGrid w:val="0"/>
              <w:spacing w:line="320" w:lineRule="exact"/>
              <w:textAlignment w:val="auto"/>
              <w:rPr>
                <w:rFonts w:hint="default" w:ascii="Times New Roman" w:hAnsi="Times New Roman" w:eastAsia="宋体" w:cs="Times New Roman"/>
                <w:b/>
                <w:bCs/>
                <w:color w:val="000000"/>
                <w:kern w:val="28"/>
                <w:sz w:val="21"/>
                <w:szCs w:val="21"/>
                <w:highlight w:val="none"/>
                <w:lang w:val="en-US" w:eastAsia="zh-CN"/>
              </w:rPr>
            </w:pPr>
            <w:r>
              <w:rPr>
                <w:rFonts w:hint="eastAsia" w:ascii="Times New Roman" w:hAnsi="Times New Roman" w:eastAsia="宋体" w:cs="Times New Roman"/>
                <w:b/>
                <w:bCs/>
                <w:color w:val="000000"/>
                <w:kern w:val="28"/>
                <w:sz w:val="21"/>
                <w:szCs w:val="21"/>
                <w:highlight w:val="none"/>
                <w:lang w:val="en-US" w:eastAsia="zh-CN"/>
              </w:rPr>
              <w:t>第一个信封分值构成：</w:t>
            </w:r>
          </w:p>
          <w:p w14:paraId="3C1AEEA2">
            <w:pPr>
              <w:keepNext w:val="0"/>
              <w:keepLines w:val="0"/>
              <w:pageBreakBefore w:val="0"/>
              <w:widowControl w:val="0"/>
              <w:kinsoku/>
              <w:wordWrap/>
              <w:overflowPunct/>
              <w:topLinePunct w:val="0"/>
              <w:bidi w:val="0"/>
              <w:snapToGrid w:val="0"/>
              <w:spacing w:line="320" w:lineRule="exact"/>
              <w:textAlignment w:val="auto"/>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rPr>
              <w:t>施工组织设计：</w:t>
            </w:r>
            <w:r>
              <w:rPr>
                <w:rFonts w:hint="eastAsia" w:ascii="Times New Roman" w:hAnsi="Times New Roman" w:eastAsia="宋体" w:cs="Times New Roman"/>
                <w:color w:val="000000"/>
                <w:kern w:val="28"/>
                <w:sz w:val="21"/>
                <w:szCs w:val="21"/>
                <w:highlight w:val="none"/>
                <w:lang w:val="en-US" w:eastAsia="zh-CN"/>
              </w:rPr>
              <w:t>4</w:t>
            </w:r>
            <w:r>
              <w:rPr>
                <w:rFonts w:hint="eastAsia" w:ascii="Times New Roman" w:hAnsi="Times New Roman" w:eastAsia="宋体" w:cs="Times New Roman"/>
                <w:color w:val="000000"/>
                <w:kern w:val="28"/>
                <w:sz w:val="21"/>
                <w:szCs w:val="21"/>
                <w:highlight w:val="none"/>
              </w:rPr>
              <w:t>0分；</w:t>
            </w:r>
          </w:p>
          <w:p w14:paraId="739F74E6">
            <w:pPr>
              <w:keepNext w:val="0"/>
              <w:keepLines w:val="0"/>
              <w:pageBreakBefore w:val="0"/>
              <w:widowControl w:val="0"/>
              <w:kinsoku/>
              <w:wordWrap/>
              <w:overflowPunct/>
              <w:topLinePunct w:val="0"/>
              <w:bidi w:val="0"/>
              <w:snapToGrid w:val="0"/>
              <w:spacing w:line="320" w:lineRule="exact"/>
              <w:textAlignment w:val="auto"/>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rPr>
              <w:t>主要人员：</w:t>
            </w:r>
            <w:r>
              <w:rPr>
                <w:rFonts w:hint="eastAsia" w:ascii="Times New Roman" w:hAnsi="Times New Roman" w:eastAsia="宋体" w:cs="Times New Roman"/>
                <w:color w:val="000000"/>
                <w:kern w:val="28"/>
                <w:sz w:val="21"/>
                <w:szCs w:val="21"/>
                <w:highlight w:val="none"/>
                <w:lang w:val="en-US" w:eastAsia="zh-CN"/>
              </w:rPr>
              <w:t>40</w:t>
            </w:r>
            <w:r>
              <w:rPr>
                <w:rFonts w:hint="eastAsia" w:ascii="Times New Roman" w:hAnsi="Times New Roman" w:eastAsia="宋体" w:cs="Times New Roman"/>
                <w:color w:val="000000"/>
                <w:kern w:val="28"/>
                <w:sz w:val="21"/>
                <w:szCs w:val="21"/>
                <w:highlight w:val="none"/>
              </w:rPr>
              <w:t>分；</w:t>
            </w:r>
          </w:p>
          <w:p w14:paraId="0068840B">
            <w:pPr>
              <w:keepNext w:val="0"/>
              <w:keepLines w:val="0"/>
              <w:pageBreakBefore w:val="0"/>
              <w:widowControl w:val="0"/>
              <w:kinsoku/>
              <w:wordWrap/>
              <w:overflowPunct/>
              <w:topLinePunct w:val="0"/>
              <w:bidi w:val="0"/>
              <w:snapToGrid w:val="0"/>
              <w:spacing w:line="320" w:lineRule="exact"/>
              <w:textAlignment w:val="auto"/>
              <w:rPr>
                <w:rFonts w:hint="eastAsia" w:ascii="Times New Roman" w:hAnsi="Times New Roman" w:eastAsia="宋体" w:cs="Times New Roman"/>
                <w:color w:val="000000"/>
                <w:kern w:val="28"/>
                <w:sz w:val="21"/>
                <w:szCs w:val="21"/>
                <w:highlight w:val="none"/>
                <w:lang w:val="en-US" w:eastAsia="zh-CN"/>
              </w:rPr>
            </w:pPr>
            <w:r>
              <w:rPr>
                <w:rFonts w:hint="eastAsia" w:ascii="Times New Roman" w:hAnsi="Times New Roman" w:eastAsia="宋体" w:cs="Times New Roman"/>
                <w:color w:val="000000"/>
                <w:kern w:val="28"/>
                <w:sz w:val="21"/>
                <w:szCs w:val="21"/>
                <w:highlight w:val="none"/>
                <w:lang w:val="en-US" w:eastAsia="zh-CN"/>
              </w:rPr>
              <w:t>企业业绩</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20分；</w:t>
            </w:r>
          </w:p>
          <w:p w14:paraId="094E0CD8">
            <w:pPr>
              <w:keepNext w:val="0"/>
              <w:keepLines w:val="0"/>
              <w:pageBreakBefore w:val="0"/>
              <w:widowControl w:val="0"/>
              <w:kinsoku/>
              <w:wordWrap/>
              <w:overflowPunct/>
              <w:topLinePunct w:val="0"/>
              <w:bidi w:val="0"/>
              <w:snapToGrid w:val="0"/>
              <w:spacing w:line="320" w:lineRule="exact"/>
              <w:jc w:val="left"/>
              <w:textAlignment w:val="auto"/>
              <w:rPr>
                <w:rFonts w:hint="default" w:ascii="Times New Roman" w:hAnsi="Times New Roman" w:eastAsia="宋体" w:cs="Times New Roman"/>
                <w:b/>
                <w:bCs/>
                <w:color w:val="000000"/>
                <w:kern w:val="28"/>
                <w:sz w:val="21"/>
                <w:szCs w:val="21"/>
                <w:highlight w:val="none"/>
                <w:lang w:val="en-US" w:eastAsia="zh-CN"/>
              </w:rPr>
            </w:pPr>
            <w:r>
              <w:rPr>
                <w:rFonts w:hint="eastAsia" w:ascii="Times New Roman" w:hAnsi="Times New Roman" w:eastAsia="宋体" w:cs="Times New Roman"/>
                <w:b/>
                <w:bCs/>
                <w:color w:val="000000"/>
                <w:kern w:val="28"/>
                <w:sz w:val="21"/>
                <w:szCs w:val="21"/>
                <w:highlight w:val="none"/>
                <w:lang w:val="en-US" w:eastAsia="zh-CN"/>
              </w:rPr>
              <w:t>第二个信封分值构成：</w:t>
            </w:r>
          </w:p>
          <w:p w14:paraId="00471A30">
            <w:pPr>
              <w:keepNext w:val="0"/>
              <w:keepLines w:val="0"/>
              <w:pageBreakBefore w:val="0"/>
              <w:widowControl w:val="0"/>
              <w:kinsoku/>
              <w:wordWrap/>
              <w:overflowPunct/>
              <w:topLinePunct w:val="0"/>
              <w:bidi w:val="0"/>
              <w:snapToGrid w:val="0"/>
              <w:spacing w:line="320" w:lineRule="exact"/>
              <w:jc w:val="left"/>
              <w:textAlignment w:val="auto"/>
              <w:rPr>
                <w:rFonts w:hint="default" w:ascii="宋体" w:hAnsi="宋体" w:eastAsia="宋体" w:cs="宋体"/>
                <w:b/>
                <w:color w:val="auto"/>
                <w:kern w:val="28"/>
                <w:sz w:val="21"/>
                <w:szCs w:val="21"/>
                <w:highlight w:val="none"/>
                <w:lang w:val="en-US"/>
              </w:rPr>
            </w:pPr>
            <w:r>
              <w:rPr>
                <w:rFonts w:hint="eastAsia" w:ascii="Times New Roman" w:hAnsi="Times New Roman" w:eastAsia="宋体" w:cs="Times New Roman"/>
                <w:color w:val="000000"/>
                <w:kern w:val="28"/>
                <w:sz w:val="21"/>
                <w:szCs w:val="21"/>
                <w:highlight w:val="none"/>
                <w:lang w:val="en-US" w:eastAsia="zh-CN"/>
              </w:rPr>
              <w:t>报价：100</w:t>
            </w:r>
            <w:r>
              <w:rPr>
                <w:rFonts w:hint="eastAsia" w:ascii="Times New Roman" w:hAnsi="Times New Roman" w:eastAsia="宋体" w:cs="Times New Roman"/>
                <w:color w:val="000000"/>
                <w:kern w:val="28"/>
                <w:sz w:val="21"/>
                <w:szCs w:val="21"/>
                <w:highlight w:val="none"/>
              </w:rPr>
              <w:t>分。</w:t>
            </w:r>
          </w:p>
        </w:tc>
      </w:tr>
      <w:tr w14:paraId="09C0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2C5A7452">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kern w:val="28"/>
                <w:sz w:val="21"/>
                <w:szCs w:val="21"/>
                <w:highlight w:val="none"/>
              </w:rPr>
              <w:t>2.2.</w:t>
            </w:r>
            <w:r>
              <w:rPr>
                <w:rFonts w:hint="eastAsia" w:ascii="宋体" w:hAnsi="宋体" w:eastAsia="宋体" w:cs="宋体"/>
                <w:kern w:val="28"/>
                <w:sz w:val="21"/>
                <w:szCs w:val="21"/>
                <w:highlight w:val="none"/>
                <w:lang w:val="en-US" w:eastAsia="zh-CN"/>
              </w:rPr>
              <w:t>2</w:t>
            </w:r>
          </w:p>
        </w:tc>
        <w:tc>
          <w:tcPr>
            <w:tcW w:w="825" w:type="pct"/>
            <w:noWrap w:val="0"/>
            <w:vAlign w:val="center"/>
          </w:tcPr>
          <w:p w14:paraId="64EFCAFB">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Times New Roman"/>
                <w:color w:val="000000"/>
                <w:spacing w:val="0"/>
                <w:w w:val="100"/>
                <w:kern w:val="28"/>
                <w:position w:val="0"/>
                <w:sz w:val="21"/>
                <w:szCs w:val="21"/>
                <w:highlight w:val="none"/>
                <w:u w:val="none"/>
                <w:shd w:val="clear" w:color="auto" w:fill="FFFFFF"/>
                <w:lang w:val="zh-CN" w:eastAsia="zh-CN" w:bidi="zh-CN"/>
              </w:rPr>
              <w:t>第一个信封评分评分标准</w:t>
            </w:r>
          </w:p>
        </w:tc>
        <w:tc>
          <w:tcPr>
            <w:tcW w:w="3422" w:type="pct"/>
            <w:noWrap w:val="0"/>
            <w:vAlign w:val="center"/>
          </w:tcPr>
          <w:p w14:paraId="6E9E6BCD">
            <w:pPr>
              <w:keepNext w:val="0"/>
              <w:keepLines w:val="0"/>
              <w:pageBreakBefore w:val="0"/>
              <w:widowControl w:val="0"/>
              <w:kinsoku/>
              <w:wordWrap/>
              <w:overflowPunct/>
              <w:topLinePunct w:val="0"/>
              <w:autoSpaceDE w:val="0"/>
              <w:autoSpaceDN w:val="0"/>
              <w:bidi w:val="0"/>
              <w:snapToGrid w:val="0"/>
              <w:spacing w:line="320" w:lineRule="exact"/>
              <w:ind w:firstLine="420" w:firstLineChars="200"/>
              <w:jc w:val="both"/>
              <w:textAlignment w:val="auto"/>
              <w:rPr>
                <w:rFonts w:hint="eastAsia" w:ascii="宋体" w:hAnsi="宋体" w:eastAsia="宋体" w:cs="宋体"/>
                <w:color w:val="000000"/>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详见附表</w:t>
            </w:r>
          </w:p>
        </w:tc>
      </w:tr>
      <w:tr w14:paraId="409F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vMerge w:val="restart"/>
            <w:noWrap w:val="0"/>
            <w:vAlign w:val="center"/>
          </w:tcPr>
          <w:p w14:paraId="07CAE414">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kern w:val="28"/>
                <w:sz w:val="21"/>
                <w:szCs w:val="21"/>
                <w:highlight w:val="none"/>
              </w:rPr>
            </w:pPr>
            <w:r>
              <w:rPr>
                <w:rFonts w:hint="eastAsia" w:ascii="宋体" w:hAnsi="宋体" w:eastAsia="宋体" w:cs="宋体"/>
                <w:kern w:val="28"/>
                <w:sz w:val="21"/>
                <w:szCs w:val="21"/>
                <w:highlight w:val="none"/>
              </w:rPr>
              <w:t>2.2.3</w:t>
            </w:r>
          </w:p>
        </w:tc>
        <w:tc>
          <w:tcPr>
            <w:tcW w:w="825" w:type="pct"/>
            <w:vMerge w:val="restart"/>
            <w:noWrap w:val="0"/>
            <w:vAlign w:val="center"/>
          </w:tcPr>
          <w:p w14:paraId="31494A15">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Times New Roman"/>
                <w:kern w:val="28"/>
                <w:sz w:val="21"/>
                <w:szCs w:val="21"/>
                <w:highlight w:val="none"/>
                <w:lang w:eastAsia="zh-CN"/>
              </w:rPr>
            </w:pPr>
            <w:r>
              <w:rPr>
                <w:rFonts w:hint="eastAsia" w:ascii="Times New Roman" w:hAnsi="Times New Roman" w:eastAsia="宋体" w:cs="Times New Roman"/>
                <w:color w:val="000000"/>
                <w:kern w:val="28"/>
                <w:sz w:val="21"/>
                <w:szCs w:val="21"/>
                <w:highlight w:val="none"/>
              </w:rPr>
              <w:t>第二个信封详细评审标准</w:t>
            </w:r>
          </w:p>
        </w:tc>
        <w:tc>
          <w:tcPr>
            <w:tcW w:w="3422" w:type="pct"/>
            <w:noWrap w:val="0"/>
            <w:vAlign w:val="center"/>
          </w:tcPr>
          <w:p w14:paraId="6D348F08">
            <w:pPr>
              <w:keepNext w:val="0"/>
              <w:keepLines w:val="0"/>
              <w:pageBreakBefore w:val="0"/>
              <w:widowControl w:val="0"/>
              <w:kinsoku/>
              <w:wordWrap/>
              <w:overflowPunct/>
              <w:topLinePunct w:val="0"/>
              <w:bidi w:val="0"/>
              <w:snapToGrid w:val="0"/>
              <w:spacing w:line="320" w:lineRule="exact"/>
              <w:textAlignment w:val="auto"/>
              <w:rPr>
                <w:rFonts w:hint="eastAsia" w:ascii="Times New Roman" w:hAnsi="Times New Roman" w:eastAsia="宋体" w:cs="Times New Roman"/>
                <w:b/>
                <w:bCs/>
                <w:color w:val="000000"/>
                <w:kern w:val="28"/>
                <w:sz w:val="21"/>
                <w:szCs w:val="21"/>
                <w:highlight w:val="none"/>
              </w:rPr>
            </w:pPr>
            <w:r>
              <w:rPr>
                <w:rFonts w:hint="eastAsia" w:ascii="宋体" w:hAnsi="宋体" w:eastAsia="宋体" w:cs="宋体"/>
                <w:b/>
                <w:bCs/>
                <w:kern w:val="28"/>
                <w:sz w:val="21"/>
                <w:szCs w:val="21"/>
                <w:highlight w:val="none"/>
                <w:lang w:eastAsia="zh-CN"/>
              </w:rPr>
              <w:t>（</w:t>
            </w:r>
            <w:r>
              <w:rPr>
                <w:rFonts w:hint="eastAsia" w:ascii="宋体" w:hAnsi="宋体" w:eastAsia="宋体" w:cs="宋体"/>
                <w:b/>
                <w:bCs/>
                <w:kern w:val="28"/>
                <w:sz w:val="21"/>
                <w:szCs w:val="21"/>
                <w:highlight w:val="none"/>
                <w:lang w:val="en-US" w:eastAsia="zh-CN"/>
              </w:rPr>
              <w:t>1</w:t>
            </w:r>
            <w:r>
              <w:rPr>
                <w:rFonts w:hint="eastAsia" w:ascii="宋体" w:hAnsi="宋体" w:eastAsia="宋体" w:cs="宋体"/>
                <w:b/>
                <w:bCs/>
                <w:kern w:val="28"/>
                <w:sz w:val="21"/>
                <w:szCs w:val="21"/>
                <w:highlight w:val="none"/>
                <w:lang w:eastAsia="zh-CN"/>
              </w:rPr>
              <w:t>）</w:t>
            </w:r>
            <w:r>
              <w:rPr>
                <w:rFonts w:hint="eastAsia" w:ascii="Times New Roman" w:hAnsi="Times New Roman" w:eastAsia="宋体" w:cs="Times New Roman"/>
                <w:b/>
                <w:bCs/>
                <w:color w:val="000000"/>
                <w:kern w:val="28"/>
                <w:sz w:val="21"/>
                <w:szCs w:val="21"/>
                <w:highlight w:val="none"/>
              </w:rPr>
              <w:t>评标价</w:t>
            </w:r>
            <w:r>
              <w:rPr>
                <w:rFonts w:hint="eastAsia" w:ascii="Times New Roman" w:hAnsi="Times New Roman" w:eastAsia="宋体" w:cs="Times New Roman"/>
                <w:b/>
                <w:bCs/>
                <w:color w:val="000000"/>
                <w:kern w:val="28"/>
                <w:sz w:val="21"/>
                <w:szCs w:val="21"/>
                <w:highlight w:val="none"/>
                <w:lang w:val="en-US" w:eastAsia="zh-CN"/>
              </w:rPr>
              <w:t>的确定</w:t>
            </w:r>
            <w:r>
              <w:rPr>
                <w:rFonts w:hint="eastAsia" w:ascii="Times New Roman" w:hAnsi="Times New Roman" w:eastAsia="宋体" w:cs="Times New Roman"/>
                <w:b/>
                <w:bCs/>
                <w:color w:val="000000"/>
                <w:kern w:val="28"/>
                <w:sz w:val="21"/>
                <w:szCs w:val="21"/>
                <w:highlight w:val="none"/>
              </w:rPr>
              <w:t>：</w:t>
            </w:r>
          </w:p>
          <w:p w14:paraId="12F14326">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kern w:val="28"/>
                <w:sz w:val="21"/>
                <w:szCs w:val="21"/>
                <w:highlight w:val="none"/>
                <w:lang w:eastAsia="zh-CN"/>
              </w:rPr>
            </w:pPr>
            <w:r>
              <w:rPr>
                <w:rFonts w:hint="eastAsia" w:ascii="Times New Roman" w:hAnsi="Times New Roman" w:eastAsia="宋体" w:cs="Times New Roman"/>
                <w:color w:val="000000"/>
                <w:kern w:val="28"/>
                <w:sz w:val="21"/>
                <w:szCs w:val="21"/>
                <w:highlight w:val="none"/>
              </w:rPr>
              <w:t>评标价=投标函文字报价</w:t>
            </w:r>
          </w:p>
          <w:p w14:paraId="57B2616F">
            <w:pPr>
              <w:keepNext w:val="0"/>
              <w:keepLines w:val="0"/>
              <w:pageBreakBefore w:val="0"/>
              <w:widowControl w:val="0"/>
              <w:kinsoku/>
              <w:wordWrap/>
              <w:overflowPunct/>
              <w:topLinePunct w:val="0"/>
              <w:bidi w:val="0"/>
              <w:snapToGrid w:val="0"/>
              <w:spacing w:line="320" w:lineRule="exact"/>
              <w:jc w:val="left"/>
              <w:textAlignment w:val="auto"/>
              <w:rPr>
                <w:rFonts w:hint="default" w:ascii="宋体" w:hAnsi="宋体" w:eastAsia="宋体" w:cs="宋体"/>
                <w:b/>
                <w:bCs/>
                <w:kern w:val="28"/>
                <w:sz w:val="21"/>
                <w:szCs w:val="21"/>
                <w:highlight w:val="none"/>
                <w:lang w:val="en-US" w:eastAsia="zh-CN"/>
              </w:rPr>
            </w:pPr>
            <w:r>
              <w:rPr>
                <w:rFonts w:hint="eastAsia" w:ascii="宋体" w:hAnsi="宋体" w:eastAsia="宋体" w:cs="宋体"/>
                <w:b/>
                <w:bCs/>
                <w:kern w:val="28"/>
                <w:sz w:val="21"/>
                <w:szCs w:val="21"/>
                <w:highlight w:val="none"/>
                <w:lang w:eastAsia="zh-CN"/>
              </w:rPr>
              <w:t>（</w:t>
            </w:r>
            <w:r>
              <w:rPr>
                <w:rFonts w:hint="eastAsia" w:ascii="宋体" w:hAnsi="宋体" w:eastAsia="宋体" w:cs="宋体"/>
                <w:b/>
                <w:bCs/>
                <w:kern w:val="28"/>
                <w:sz w:val="21"/>
                <w:szCs w:val="21"/>
                <w:highlight w:val="none"/>
                <w:lang w:val="en-US" w:eastAsia="zh-CN"/>
              </w:rPr>
              <w:t>2</w:t>
            </w:r>
            <w:r>
              <w:rPr>
                <w:rFonts w:hint="eastAsia" w:ascii="宋体" w:hAnsi="宋体" w:eastAsia="宋体" w:cs="宋体"/>
                <w:b/>
                <w:bCs/>
                <w:kern w:val="28"/>
                <w:sz w:val="21"/>
                <w:szCs w:val="21"/>
                <w:highlight w:val="none"/>
                <w:lang w:eastAsia="zh-CN"/>
              </w:rPr>
              <w:t>）</w:t>
            </w:r>
            <w:r>
              <w:rPr>
                <w:rFonts w:hint="eastAsia" w:ascii="宋体" w:hAnsi="宋体" w:eastAsia="宋体" w:cs="宋体"/>
                <w:b/>
                <w:bCs/>
                <w:kern w:val="28"/>
                <w:sz w:val="21"/>
                <w:szCs w:val="21"/>
                <w:highlight w:val="none"/>
                <w:lang w:val="en-US" w:eastAsia="zh-CN"/>
              </w:rPr>
              <w:t>评标价</w:t>
            </w:r>
            <w:r>
              <w:rPr>
                <w:rFonts w:hint="eastAsia" w:ascii="宋体" w:hAnsi="宋体" w:eastAsia="宋体" w:cs="宋体"/>
                <w:b/>
                <w:bCs/>
                <w:kern w:val="28"/>
                <w:sz w:val="21"/>
                <w:szCs w:val="21"/>
                <w:highlight w:val="none"/>
              </w:rPr>
              <w:t>偏差率</w:t>
            </w:r>
            <w:r>
              <w:rPr>
                <w:rFonts w:hint="eastAsia" w:ascii="宋体" w:hAnsi="宋体" w:eastAsia="宋体" w:cs="宋体"/>
                <w:b/>
                <w:bCs/>
                <w:kern w:val="28"/>
                <w:sz w:val="21"/>
                <w:szCs w:val="21"/>
                <w:highlight w:val="none"/>
                <w:lang w:val="en-US" w:eastAsia="zh-CN"/>
              </w:rPr>
              <w:t>的计算公式：</w:t>
            </w:r>
          </w:p>
          <w:p w14:paraId="6B1FBC26">
            <w:pPr>
              <w:keepNext w:val="0"/>
              <w:keepLines w:val="0"/>
              <w:pageBreakBefore w:val="0"/>
              <w:widowControl w:val="0"/>
              <w:kinsoku/>
              <w:wordWrap/>
              <w:overflowPunct/>
              <w:topLinePunct w:val="0"/>
              <w:bidi w:val="0"/>
              <w:snapToGrid w:val="0"/>
              <w:spacing w:line="320" w:lineRule="exact"/>
              <w:jc w:val="left"/>
              <w:textAlignment w:val="auto"/>
              <w:rPr>
                <w:rFonts w:hint="eastAsia" w:ascii="Times New Roman" w:hAnsi="Times New Roman" w:eastAsia="宋体" w:cs="宋体"/>
                <w:kern w:val="28"/>
                <w:sz w:val="21"/>
                <w:szCs w:val="21"/>
                <w:highlight w:val="none"/>
                <w:lang w:val="en-US" w:eastAsia="zh-CN"/>
              </w:rPr>
            </w:pPr>
            <w:r>
              <w:rPr>
                <w:rFonts w:hint="eastAsia" w:ascii="宋体" w:hAnsi="宋体" w:eastAsia="宋体" w:cs="宋体"/>
                <w:kern w:val="28"/>
                <w:sz w:val="21"/>
                <w:szCs w:val="21"/>
                <w:highlight w:val="none"/>
              </w:rPr>
              <w:t>偏差率=100%×（投标人评标价-评标基准价）／评标基准价</w:t>
            </w:r>
          </w:p>
        </w:tc>
      </w:tr>
      <w:tr w14:paraId="2EF4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vMerge w:val="continue"/>
            <w:noWrap w:val="0"/>
            <w:vAlign w:val="center"/>
          </w:tcPr>
          <w:p w14:paraId="75558ACF">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kern w:val="28"/>
                <w:sz w:val="21"/>
                <w:szCs w:val="21"/>
                <w:highlight w:val="none"/>
              </w:rPr>
            </w:pPr>
          </w:p>
        </w:tc>
        <w:tc>
          <w:tcPr>
            <w:tcW w:w="825" w:type="pct"/>
            <w:vMerge w:val="continue"/>
            <w:noWrap w:val="0"/>
            <w:vAlign w:val="center"/>
          </w:tcPr>
          <w:p w14:paraId="52989001">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Times New Roman"/>
                <w:kern w:val="28"/>
                <w:sz w:val="21"/>
                <w:szCs w:val="21"/>
                <w:highlight w:val="none"/>
                <w:lang w:eastAsia="zh-CN"/>
              </w:rPr>
            </w:pPr>
          </w:p>
        </w:tc>
        <w:tc>
          <w:tcPr>
            <w:tcW w:w="3422" w:type="pct"/>
            <w:noWrap w:val="0"/>
            <w:vAlign w:val="center"/>
          </w:tcPr>
          <w:p w14:paraId="1570CE6B">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rPr>
              <w:t>评标价</w:t>
            </w:r>
            <w:r>
              <w:rPr>
                <w:rFonts w:hint="eastAsia" w:ascii="宋体" w:hAnsi="宋体" w:eastAsia="宋体" w:cs="宋体"/>
                <w:b/>
                <w:bCs/>
                <w:kern w:val="0"/>
                <w:sz w:val="21"/>
                <w:szCs w:val="21"/>
                <w:highlight w:val="none"/>
                <w:lang w:val="en-US" w:eastAsia="zh-CN"/>
              </w:rPr>
              <w:t>的评分标准（100分）：</w:t>
            </w:r>
          </w:p>
          <w:p w14:paraId="6D814E1F">
            <w:pPr>
              <w:keepNext w:val="0"/>
              <w:keepLines w:val="0"/>
              <w:pageBreakBefore w:val="0"/>
              <w:widowControl w:val="0"/>
              <w:kinsoku/>
              <w:wordWrap/>
              <w:overflowPunct/>
              <w:topLinePunct w:val="0"/>
              <w:bidi w:val="0"/>
              <w:snapToGrid w:val="0"/>
              <w:spacing w:before="0" w:beforeLines="0" w:after="0" w:afterLines="0" w:line="32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评标价得分计算公式：</w:t>
            </w:r>
          </w:p>
          <w:p w14:paraId="438ACDD9">
            <w:pPr>
              <w:keepNext w:val="0"/>
              <w:keepLines w:val="0"/>
              <w:pageBreakBefore w:val="0"/>
              <w:widowControl w:val="0"/>
              <w:kinsoku/>
              <w:wordWrap/>
              <w:overflowPunct/>
              <w:topLinePunct w:val="0"/>
              <w:bidi w:val="0"/>
              <w:snapToGrid w:val="0"/>
              <w:spacing w:line="320" w:lineRule="exact"/>
              <w:ind w:firstLine="321" w:firstLineChars="153"/>
              <w:jc w:val="left"/>
              <w:textAlignment w:val="auto"/>
              <w:rPr>
                <w:rFonts w:hint="eastAsia" w:ascii="宋体" w:hAnsi="宋体" w:eastAsia="宋体" w:cs="宋体"/>
                <w:bCs/>
                <w:kern w:val="28"/>
                <w:sz w:val="21"/>
                <w:szCs w:val="21"/>
                <w:highlight w:val="none"/>
              </w:rPr>
            </w:pPr>
            <w:r>
              <w:rPr>
                <w:rFonts w:hint="eastAsia" w:ascii="宋体" w:hAnsi="宋体" w:eastAsia="宋体" w:cs="宋体"/>
                <w:bCs/>
                <w:kern w:val="28"/>
                <w:sz w:val="21"/>
                <w:szCs w:val="21"/>
                <w:highlight w:val="none"/>
              </w:rPr>
              <w:t>a.如果投标人的评标价＞评标基准价，则评标价得分＝100－偏差率×100×E1；</w:t>
            </w:r>
          </w:p>
          <w:p w14:paraId="1105C09B">
            <w:pPr>
              <w:keepNext w:val="0"/>
              <w:keepLines w:val="0"/>
              <w:pageBreakBefore w:val="0"/>
              <w:widowControl w:val="0"/>
              <w:kinsoku/>
              <w:wordWrap/>
              <w:overflowPunct/>
              <w:topLinePunct w:val="0"/>
              <w:bidi w:val="0"/>
              <w:snapToGrid w:val="0"/>
              <w:spacing w:line="320" w:lineRule="exact"/>
              <w:ind w:firstLine="321" w:firstLineChars="153"/>
              <w:jc w:val="left"/>
              <w:textAlignment w:val="auto"/>
              <w:rPr>
                <w:rFonts w:hint="eastAsia" w:ascii="宋体" w:hAnsi="宋体" w:eastAsia="宋体" w:cs="宋体"/>
                <w:bCs/>
                <w:kern w:val="28"/>
                <w:sz w:val="21"/>
                <w:szCs w:val="21"/>
                <w:highlight w:val="none"/>
              </w:rPr>
            </w:pPr>
            <w:r>
              <w:rPr>
                <w:rFonts w:hint="eastAsia" w:ascii="宋体" w:hAnsi="宋体" w:eastAsia="宋体" w:cs="宋体"/>
                <w:bCs/>
                <w:kern w:val="28"/>
                <w:sz w:val="21"/>
                <w:szCs w:val="21"/>
                <w:highlight w:val="none"/>
              </w:rPr>
              <w:t>b.如果投标人的评标价≤评标基准价，则评标价得分＝100＋偏差率×100×E2；</w:t>
            </w:r>
          </w:p>
          <w:p w14:paraId="3B50C192">
            <w:pPr>
              <w:keepNext w:val="0"/>
              <w:keepLines w:val="0"/>
              <w:pageBreakBefore w:val="0"/>
              <w:widowControl w:val="0"/>
              <w:kinsoku/>
              <w:wordWrap/>
              <w:overflowPunct/>
              <w:topLinePunct w:val="0"/>
              <w:bidi w:val="0"/>
              <w:snapToGrid w:val="0"/>
              <w:spacing w:before="0" w:beforeLines="0" w:after="0" w:afterLines="0" w:line="32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其中，E1是评标价每高于评标基准价一个百分点的扣分值，E1＝2；E2是评标价每低于评标基准价一个百分点的扣分值，E2＝1。</w:t>
            </w:r>
          </w:p>
          <w:p w14:paraId="427B0BAA">
            <w:pPr>
              <w:keepNext w:val="0"/>
              <w:keepLines w:val="0"/>
              <w:pageBreakBefore w:val="0"/>
              <w:widowControl w:val="0"/>
              <w:kinsoku/>
              <w:wordWrap/>
              <w:overflowPunct/>
              <w:topLinePunct w:val="0"/>
              <w:bidi w:val="0"/>
              <w:snapToGrid w:val="0"/>
              <w:spacing w:before="0" w:beforeLines="0" w:after="0" w:afterLines="0" w:line="320" w:lineRule="exact"/>
              <w:ind w:left="0" w:lef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注：评标价得分保留小数点后两位，小数点后第三位四舍五入。</w:t>
            </w:r>
          </w:p>
        </w:tc>
      </w:tr>
      <w:tr w14:paraId="08B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483" w:type="dxa"/>
            <w:noWrap w:val="0"/>
            <w:vAlign w:val="center"/>
          </w:tcPr>
          <w:p w14:paraId="63ED07F0">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2.2.</w:t>
            </w:r>
            <w:r>
              <w:rPr>
                <w:rFonts w:hint="eastAsia" w:ascii="宋体" w:hAnsi="宋体" w:eastAsia="宋体" w:cs="宋体"/>
                <w:color w:val="auto"/>
                <w:kern w:val="28"/>
                <w:sz w:val="21"/>
                <w:szCs w:val="21"/>
                <w:highlight w:val="none"/>
                <w:lang w:val="en-US" w:eastAsia="zh-CN"/>
              </w:rPr>
              <w:t>4</w:t>
            </w:r>
          </w:p>
        </w:tc>
        <w:tc>
          <w:tcPr>
            <w:tcW w:w="1628" w:type="dxa"/>
            <w:noWrap w:val="0"/>
            <w:vAlign w:val="center"/>
          </w:tcPr>
          <w:p w14:paraId="0265518E">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评标基准价计算方法</w:t>
            </w:r>
          </w:p>
        </w:tc>
        <w:tc>
          <w:tcPr>
            <w:tcW w:w="6753" w:type="dxa"/>
            <w:noWrap w:val="0"/>
            <w:vAlign w:val="center"/>
          </w:tcPr>
          <w:p w14:paraId="55532BB9">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评标基准价的计算：</w:t>
            </w:r>
          </w:p>
          <w:p w14:paraId="282A96D3">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在第二个信封开标现场，招标人将按照第一信封开标现场抽取的评标基准价的计算方法当场计算并宣布评标基准价。</w:t>
            </w:r>
          </w:p>
          <w:p w14:paraId="04D47BE3">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(1)评标价的确定：</w:t>
            </w:r>
          </w:p>
          <w:p w14:paraId="3B8175E1">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评标价=投标函文字报价</w:t>
            </w:r>
          </w:p>
          <w:p w14:paraId="11426077">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(2)评标价平均值的计算：</w:t>
            </w:r>
          </w:p>
          <w:p w14:paraId="5931EA1A">
            <w:pPr>
              <w:snapToGrid w:val="0"/>
              <w:spacing w:line="320" w:lineRule="exact"/>
              <w:ind w:right="113"/>
              <w:rPr>
                <w:rFonts w:ascii="宋体" w:hAnsi="宋体" w:eastAsia="宋体" w:cs="宋体"/>
                <w:kern w:val="28"/>
                <w:sz w:val="21"/>
                <w:szCs w:val="21"/>
                <w:highlight w:val="none"/>
              </w:rPr>
            </w:pPr>
            <w:r>
              <w:rPr>
                <w:rFonts w:hint="eastAsia" w:ascii="宋体" w:hAnsi="宋体" w:eastAsia="宋体" w:cs="Times New Roman"/>
                <w:color w:val="auto"/>
                <w:kern w:val="28"/>
                <w:sz w:val="21"/>
                <w:szCs w:val="21"/>
                <w:highlight w:val="none"/>
                <w:lang w:val="en-US" w:eastAsia="zh-CN"/>
              </w:rPr>
              <w:t>评标价平均值的计算：</w:t>
            </w:r>
            <w:r>
              <w:rPr>
                <w:rFonts w:hint="eastAsia" w:ascii="宋体" w:hAnsi="宋体" w:eastAsia="宋体" w:cs="Times New Roman"/>
                <w:color w:val="auto"/>
                <w:kern w:val="28"/>
                <w:sz w:val="21"/>
                <w:szCs w:val="21"/>
                <w:highlight w:val="none"/>
              </w:rPr>
              <w:t>除按第二章“投标人须知”第 5.2.4 项规定开标现场被宣布为不进入评标基准价计算的投标报价之外，</w:t>
            </w:r>
            <w:r>
              <w:rPr>
                <w:rFonts w:hint="eastAsia" w:ascii="宋体" w:hAnsi="宋体" w:eastAsia="宋体" w:cs="Times New Roman"/>
                <w:color w:val="auto"/>
                <w:kern w:val="28"/>
                <w:sz w:val="21"/>
                <w:szCs w:val="21"/>
                <w:highlight w:val="none"/>
                <w:lang w:val="en-US" w:eastAsia="zh-CN"/>
              </w:rPr>
              <w:t>进入第二个信封评审的</w:t>
            </w:r>
            <w:r>
              <w:rPr>
                <w:rFonts w:hint="eastAsia" w:ascii="宋体" w:hAnsi="宋体" w:eastAsia="宋体" w:cs="Times New Roman"/>
                <w:color w:val="auto"/>
                <w:kern w:val="28"/>
                <w:sz w:val="21"/>
                <w:szCs w:val="21"/>
                <w:highlight w:val="none"/>
              </w:rPr>
              <w:t>所有投标人评标价的算术平均值即为评标价平均值</w:t>
            </w:r>
            <w:r>
              <w:rPr>
                <w:rFonts w:hint="eastAsia" w:ascii="宋体" w:hAnsi="宋体" w:eastAsia="宋体" w:cs="宋体"/>
                <w:kern w:val="28"/>
                <w:sz w:val="21"/>
                <w:szCs w:val="21"/>
                <w:highlight w:val="none"/>
              </w:rPr>
              <w:t>。</w:t>
            </w:r>
          </w:p>
          <w:p w14:paraId="5685D4CB">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（3）评标基准价的确定：</w:t>
            </w:r>
          </w:p>
          <w:p w14:paraId="5A6D2ADA">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采取随机抽取的方式从下列方法中确定评标基准价的计算方法：</w:t>
            </w:r>
          </w:p>
          <w:p w14:paraId="2380F471">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方法一：评标价平均值直接作为评标基准价P。</w:t>
            </w:r>
          </w:p>
          <w:p w14:paraId="1FFA094F">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方法二：评标价平均值乘以评标基准价系数K，作为评标基准价P。评标基准价系数K取值范围为0.975、0.980、0.985、0.990、0.995，在开标现场随机抽取确定。</w:t>
            </w:r>
          </w:p>
          <w:p w14:paraId="3B0603D7">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方法三：投标人评标价的中位数作为评标基准价P。</w:t>
            </w:r>
          </w:p>
          <w:p w14:paraId="0B576021">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中位数：</w:t>
            </w:r>
            <w:r>
              <w:rPr>
                <w:rFonts w:hint="eastAsia" w:ascii="宋体" w:hAnsi="宋体" w:eastAsia="宋体" w:cs="Times New Roman"/>
                <w:color w:val="auto"/>
                <w:kern w:val="28"/>
                <w:sz w:val="21"/>
                <w:szCs w:val="21"/>
                <w:highlight w:val="none"/>
              </w:rPr>
              <w:t>除按第二章“投标人须知”第 5.2.4 项规定开标现场被宣布为不进入评标基准价计算的投标报价之外</w:t>
            </w:r>
            <w:r>
              <w:rPr>
                <w:rFonts w:hint="eastAsia" w:ascii="宋体" w:hAnsi="宋体" w:eastAsia="宋体" w:cs="Times New Roman"/>
                <w:color w:val="auto"/>
                <w:kern w:val="28"/>
                <w:sz w:val="21"/>
                <w:szCs w:val="21"/>
                <w:highlight w:val="none"/>
                <w:lang w:eastAsia="zh-CN"/>
              </w:rPr>
              <w:t>，</w:t>
            </w:r>
            <w:r>
              <w:rPr>
                <w:rFonts w:hint="eastAsia" w:ascii="宋体" w:hAnsi="宋体" w:eastAsia="宋体" w:cs="Times New Roman"/>
                <w:color w:val="auto"/>
                <w:kern w:val="28"/>
                <w:sz w:val="21"/>
                <w:szCs w:val="21"/>
                <w:highlight w:val="none"/>
                <w:lang w:val="en-US" w:eastAsia="zh-CN"/>
              </w:rPr>
              <w:t>进入第二个信封评审的</w:t>
            </w:r>
            <w:r>
              <w:rPr>
                <w:rFonts w:hint="eastAsia" w:ascii="宋体" w:hAnsi="宋体" w:eastAsia="宋体" w:cs="Times New Roman"/>
                <w:color w:val="auto"/>
                <w:kern w:val="28"/>
                <w:sz w:val="21"/>
                <w:szCs w:val="21"/>
                <w:highlight w:val="none"/>
              </w:rPr>
              <w:t>所有投标人评标价按高低排序后找出正中间的一个作为中位数</w:t>
            </w:r>
            <w:r>
              <w:rPr>
                <w:rFonts w:hint="eastAsia" w:ascii="宋体" w:hAnsi="宋体" w:eastAsia="宋体" w:cs="Times New Roman"/>
                <w:color w:val="auto"/>
                <w:kern w:val="28"/>
                <w:sz w:val="21"/>
                <w:szCs w:val="21"/>
                <w:highlight w:val="none"/>
                <w:lang w:eastAsia="zh-CN"/>
              </w:rPr>
              <w:t>，</w:t>
            </w:r>
            <w:r>
              <w:rPr>
                <w:rFonts w:hint="eastAsia" w:ascii="宋体" w:hAnsi="宋体" w:eastAsia="宋体" w:cs="Times New Roman"/>
                <w:color w:val="auto"/>
                <w:kern w:val="28"/>
                <w:sz w:val="21"/>
                <w:szCs w:val="21"/>
                <w:highlight w:val="none"/>
              </w:rPr>
              <w:t>如果评标价有偶数个，取最中间的两个数值的平均值作为中位数（平均值均保留 2 位小数）</w:t>
            </w:r>
            <w:r>
              <w:rPr>
                <w:rFonts w:hint="eastAsia" w:ascii="宋体" w:hAnsi="宋体" w:eastAsia="宋体" w:cs="宋体"/>
                <w:kern w:val="28"/>
                <w:sz w:val="21"/>
                <w:szCs w:val="21"/>
                <w:highlight w:val="none"/>
              </w:rPr>
              <w:t>。</w:t>
            </w:r>
          </w:p>
          <w:p w14:paraId="2FB8C31D">
            <w:pPr>
              <w:snapToGrid w:val="0"/>
              <w:spacing w:line="320" w:lineRule="exact"/>
              <w:ind w:right="113"/>
              <w:rPr>
                <w:rFonts w:ascii="宋体" w:hAnsi="宋体" w:eastAsia="宋体" w:cs="宋体"/>
                <w:kern w:val="28"/>
                <w:sz w:val="21"/>
                <w:szCs w:val="21"/>
                <w:highlight w:val="none"/>
              </w:rPr>
            </w:pPr>
            <w:r>
              <w:rPr>
                <w:rFonts w:hint="eastAsia" w:ascii="宋体" w:hAnsi="宋体" w:eastAsia="宋体" w:cs="宋体"/>
                <w:kern w:val="28"/>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41733BD9">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color w:val="auto"/>
                <w:kern w:val="28"/>
                <w:sz w:val="21"/>
                <w:szCs w:val="21"/>
                <w:highlight w:val="none"/>
                <w:lang w:val="en-US" w:eastAsia="zh-CN"/>
              </w:rPr>
            </w:pPr>
            <w:r>
              <w:rPr>
                <w:rFonts w:hint="eastAsia" w:ascii="Times New Roman" w:hAnsi="Times New Roman" w:eastAsia="宋体" w:cs="Times New Roman"/>
                <w:kern w:val="28"/>
                <w:sz w:val="21"/>
                <w:szCs w:val="21"/>
                <w:highlight w:val="none"/>
              </w:rPr>
              <w:t>评标基准价保留小数点后两位，小数点后第三位四舍五入</w:t>
            </w:r>
            <w:r>
              <w:rPr>
                <w:rFonts w:hint="eastAsia" w:ascii="Times New Roman" w:hAnsi="Times New Roman" w:eastAsia="宋体" w:cs="Times New Roman"/>
                <w:kern w:val="28"/>
                <w:sz w:val="21"/>
                <w:szCs w:val="21"/>
                <w:highlight w:val="none"/>
                <w:lang w:eastAsia="zh-CN"/>
              </w:rPr>
              <w:t>。</w:t>
            </w:r>
          </w:p>
        </w:tc>
      </w:tr>
      <w:tr w14:paraId="604F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52" w:type="pct"/>
            <w:noWrap w:val="0"/>
            <w:vAlign w:val="center"/>
          </w:tcPr>
          <w:p w14:paraId="399B3CCD">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Times New Roman" w:hAnsi="Times New Roman" w:eastAsia="宋体" w:cs="Times New Roman"/>
                <w:color w:val="000000"/>
                <w:kern w:val="28"/>
                <w:sz w:val="21"/>
                <w:szCs w:val="21"/>
                <w:highlight w:val="none"/>
              </w:rPr>
              <w:t>3.2.4</w:t>
            </w:r>
          </w:p>
        </w:tc>
        <w:tc>
          <w:tcPr>
            <w:tcW w:w="825" w:type="pct"/>
            <w:noWrap w:val="0"/>
            <w:vAlign w:val="center"/>
          </w:tcPr>
          <w:p w14:paraId="3AF0E91F">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Times New Roman" w:hAnsi="Times New Roman" w:eastAsia="宋体" w:cs="Times New Roman"/>
                <w:color w:val="000000"/>
                <w:kern w:val="28"/>
                <w:sz w:val="21"/>
                <w:szCs w:val="21"/>
                <w:highlight w:val="none"/>
              </w:rPr>
              <w:t>通过第一个信封详细评审的投标人数量</w:t>
            </w:r>
          </w:p>
        </w:tc>
        <w:tc>
          <w:tcPr>
            <w:tcW w:w="3422" w:type="pct"/>
            <w:noWrap w:val="0"/>
            <w:vAlign w:val="center"/>
          </w:tcPr>
          <w:p w14:paraId="70D117F5">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Times New Roman"/>
                <w:color w:val="auto"/>
                <w:kern w:val="28"/>
                <w:sz w:val="21"/>
                <w:szCs w:val="21"/>
                <w:highlight w:val="none"/>
              </w:rPr>
            </w:pPr>
            <w:r>
              <w:rPr>
                <w:rFonts w:hint="eastAsia" w:ascii="Times New Roman" w:hAnsi="Times New Roman" w:eastAsia="宋体" w:cs="Times New Roman"/>
                <w:color w:val="000000"/>
                <w:kern w:val="28"/>
                <w:sz w:val="21"/>
                <w:szCs w:val="21"/>
                <w:highlight w:val="none"/>
              </w:rPr>
              <w:t>按照投标人的商务和技术得分由高到低排序，选择前</w:t>
            </w:r>
            <w:r>
              <w:rPr>
                <w:rFonts w:hint="eastAsia" w:ascii="Times New Roman" w:hAnsi="Times New Roman" w:eastAsia="宋体" w:cs="Times New Roman"/>
                <w:color w:val="000000"/>
                <w:kern w:val="28"/>
                <w:sz w:val="21"/>
                <w:szCs w:val="21"/>
                <w:highlight w:val="none"/>
                <w:u w:val="single"/>
              </w:rPr>
              <w:t xml:space="preserve"> </w:t>
            </w:r>
            <w:r>
              <w:rPr>
                <w:rFonts w:hint="eastAsia" w:ascii="Times New Roman" w:hAnsi="Times New Roman" w:eastAsia="宋体" w:cs="Times New Roman"/>
                <w:color w:val="000000"/>
                <w:kern w:val="28"/>
                <w:sz w:val="21"/>
                <w:szCs w:val="21"/>
                <w:highlight w:val="none"/>
                <w:u w:val="single"/>
                <w:lang w:val="en-US" w:eastAsia="zh-CN"/>
              </w:rPr>
              <w:t>5</w:t>
            </w:r>
            <w:r>
              <w:rPr>
                <w:rFonts w:hint="eastAsia" w:ascii="Times New Roman" w:hAnsi="Times New Roman" w:eastAsia="宋体" w:cs="Times New Roman"/>
                <w:color w:val="000000"/>
                <w:kern w:val="28"/>
                <w:sz w:val="21"/>
                <w:szCs w:val="21"/>
                <w:highlight w:val="none"/>
                <w:u w:val="single"/>
              </w:rPr>
              <w:t xml:space="preserve"> </w:t>
            </w:r>
            <w:r>
              <w:rPr>
                <w:rFonts w:hint="eastAsia" w:ascii="Times New Roman" w:hAnsi="Times New Roman" w:eastAsia="宋体" w:cs="Times New Roman"/>
                <w:color w:val="000000"/>
                <w:kern w:val="28"/>
                <w:sz w:val="21"/>
                <w:szCs w:val="21"/>
                <w:highlight w:val="none"/>
              </w:rPr>
              <w:t>名</w:t>
            </w:r>
            <w:r>
              <w:rPr>
                <w:rFonts w:hint="eastAsia" w:ascii="Times New Roman" w:hAnsi="Times New Roman" w:eastAsia="宋体" w:cs="Times New Roman"/>
                <w:color w:val="000000"/>
                <w:kern w:val="28"/>
                <w:sz w:val="21"/>
                <w:szCs w:val="21"/>
                <w:highlight w:val="none"/>
                <w:lang w:val="en-US" w:eastAsia="zh-CN"/>
              </w:rPr>
              <w:t>进入</w:t>
            </w:r>
            <w:r>
              <w:rPr>
                <w:rFonts w:hint="eastAsia" w:ascii="宋体" w:hAnsi="宋体" w:eastAsia="宋体" w:cs="宋体"/>
                <w:color w:val="auto"/>
                <w:kern w:val="28"/>
                <w:sz w:val="21"/>
                <w:szCs w:val="21"/>
                <w:highlight w:val="none"/>
                <w:shd w:val="clear"/>
                <w:lang w:val="en-US" w:eastAsia="zh-CN" w:bidi="ar-SA"/>
              </w:rPr>
              <w:t>第二个信封</w:t>
            </w:r>
            <w:r>
              <w:rPr>
                <w:rFonts w:hint="eastAsia" w:ascii="Times New Roman" w:hAnsi="Times New Roman" w:eastAsia="宋体" w:cs="Times New Roman"/>
                <w:color w:val="000000"/>
                <w:kern w:val="28"/>
                <w:sz w:val="21"/>
                <w:szCs w:val="21"/>
                <w:highlight w:val="none"/>
              </w:rPr>
              <w:t>评审。</w:t>
            </w:r>
            <w:r>
              <w:rPr>
                <w:rFonts w:hint="default" w:ascii="宋体" w:hAnsi="宋体" w:eastAsia="宋体" w:cs="宋体"/>
                <w:kern w:val="28"/>
                <w:sz w:val="21"/>
                <w:szCs w:val="21"/>
                <w:highlight w:val="none"/>
              </w:rPr>
              <w:t>第一信封得分相等时，评标委员会按照</w:t>
            </w:r>
            <w:r>
              <w:rPr>
                <w:rFonts w:hint="eastAsia" w:ascii="宋体" w:hAnsi="宋体" w:eastAsia="宋体" w:cs="宋体"/>
                <w:kern w:val="28"/>
                <w:sz w:val="21"/>
                <w:szCs w:val="21"/>
                <w:highlight w:val="none"/>
                <w:lang w:val="en-US" w:eastAsia="zh-CN"/>
              </w:rPr>
              <w:t>施工组织设计得分高的优先；施工组织设计得分也相等的，以</w:t>
            </w:r>
            <w:r>
              <w:rPr>
                <w:rFonts w:hint="default" w:ascii="宋体" w:hAnsi="宋体" w:eastAsia="宋体" w:cs="宋体"/>
                <w:kern w:val="28"/>
                <w:sz w:val="21"/>
                <w:szCs w:val="21"/>
                <w:highlight w:val="none"/>
              </w:rPr>
              <w:t>满足资格审查条件（业绩最低要求）的业绩</w:t>
            </w:r>
            <w:r>
              <w:rPr>
                <w:rFonts w:hint="eastAsia" w:ascii="宋体" w:hAnsi="宋体" w:eastAsia="宋体" w:cs="宋体"/>
                <w:kern w:val="28"/>
                <w:sz w:val="21"/>
                <w:szCs w:val="21"/>
                <w:highlight w:val="none"/>
                <w:lang w:val="en-US" w:eastAsia="zh-CN"/>
              </w:rPr>
              <w:t>单项合同额最高</w:t>
            </w:r>
            <w:r>
              <w:rPr>
                <w:rFonts w:hint="default" w:ascii="宋体" w:hAnsi="宋体" w:eastAsia="宋体" w:cs="宋体"/>
                <w:kern w:val="28"/>
                <w:sz w:val="21"/>
                <w:szCs w:val="21"/>
                <w:highlight w:val="none"/>
              </w:rPr>
              <w:t>的优先，</w:t>
            </w:r>
            <w:r>
              <w:rPr>
                <w:rFonts w:hint="eastAsia" w:ascii="宋体" w:hAnsi="宋体" w:eastAsia="宋体" w:cs="宋体"/>
                <w:kern w:val="28"/>
                <w:sz w:val="21"/>
                <w:szCs w:val="21"/>
                <w:highlight w:val="none"/>
                <w:lang w:val="en-US" w:eastAsia="zh-CN"/>
              </w:rPr>
              <w:t>单项合同额</w:t>
            </w:r>
            <w:r>
              <w:rPr>
                <w:rFonts w:hint="default" w:ascii="宋体" w:hAnsi="宋体" w:eastAsia="宋体" w:cs="宋体"/>
                <w:kern w:val="28"/>
                <w:sz w:val="21"/>
                <w:szCs w:val="21"/>
                <w:highlight w:val="none"/>
              </w:rPr>
              <w:t>也相等时，以累计合同金额多的优先；</w:t>
            </w:r>
          </w:p>
        </w:tc>
      </w:tr>
      <w:tr w14:paraId="7FE3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752" w:type="pct"/>
            <w:noWrap w:val="0"/>
            <w:vAlign w:val="center"/>
          </w:tcPr>
          <w:p w14:paraId="6B185A92">
            <w:pPr>
              <w:keepNext w:val="0"/>
              <w:keepLines w:val="0"/>
              <w:pageBreakBefore w:val="0"/>
              <w:widowControl w:val="0"/>
              <w:kinsoku/>
              <w:wordWrap/>
              <w:overflowPunct/>
              <w:topLinePunct w:val="0"/>
              <w:bidi w:val="0"/>
              <w:adjustRightInd/>
              <w:snapToGrid w:val="0"/>
              <w:spacing w:line="320" w:lineRule="exact"/>
              <w:ind w:right="113" w:rightChars="0"/>
              <w:jc w:val="center"/>
              <w:textAlignment w:val="auto"/>
              <w:rPr>
                <w:rFonts w:hint="default" w:ascii="宋体" w:hAnsi="宋体" w:eastAsia="宋体" w:cs="宋体"/>
                <w:color w:val="auto"/>
                <w:kern w:val="28"/>
                <w:sz w:val="21"/>
                <w:szCs w:val="21"/>
                <w:highlight w:val="none"/>
                <w:lang w:val="en-US" w:eastAsia="zh-CN"/>
              </w:rPr>
            </w:pPr>
            <w:r>
              <w:rPr>
                <w:rFonts w:hint="eastAsia" w:ascii="宋体" w:hAnsi="宋体" w:eastAsia="宋体" w:cs="宋体"/>
                <w:color w:val="auto"/>
                <w:kern w:val="28"/>
                <w:sz w:val="21"/>
                <w:szCs w:val="21"/>
                <w:highlight w:val="none"/>
                <w:lang w:val="en-US" w:eastAsia="zh-CN"/>
              </w:rPr>
              <w:t>3.5.3</w:t>
            </w:r>
          </w:p>
        </w:tc>
        <w:tc>
          <w:tcPr>
            <w:tcW w:w="4247" w:type="pct"/>
            <w:gridSpan w:val="2"/>
            <w:noWrap w:val="0"/>
            <w:vAlign w:val="center"/>
          </w:tcPr>
          <w:p w14:paraId="178CBDB7">
            <w:pPr>
              <w:spacing w:line="360" w:lineRule="auto"/>
              <w:ind w:right="113"/>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en-US"/>
              </w:rPr>
              <w:t>本款修改为</w:t>
            </w:r>
            <w:r>
              <w:rPr>
                <w:rFonts w:hint="eastAsia" w:ascii="宋体" w:hAnsi="宋体" w:eastAsia="宋体" w:cs="宋体"/>
                <w:kern w:val="0"/>
                <w:sz w:val="21"/>
                <w:szCs w:val="21"/>
                <w:highlight w:val="none"/>
                <w:lang w:eastAsia="zh-CN"/>
              </w:rPr>
              <w:t>：</w:t>
            </w:r>
          </w:p>
          <w:p w14:paraId="3E71008A">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default" w:ascii="宋体" w:hAnsi="宋体" w:eastAsia="宋体" w:cs="宋体"/>
                <w:color w:val="auto"/>
                <w:kern w:val="28"/>
                <w:sz w:val="21"/>
                <w:szCs w:val="21"/>
                <w:highlight w:val="none"/>
                <w:lang w:val="en-US" w:eastAsia="zh-CN"/>
              </w:rPr>
            </w:pPr>
            <w:r>
              <w:rPr>
                <w:rFonts w:hint="eastAsia" w:ascii="宋体" w:hAnsi="宋体" w:eastAsia="宋体" w:cs="宋体"/>
                <w:kern w:val="0"/>
                <w:sz w:val="21"/>
                <w:szCs w:val="21"/>
                <w:highlight w:val="none"/>
                <w:lang w:eastAsia="en-US"/>
              </w:rPr>
              <w:t>评标委员会发现投标人的投标报价低于最高投标限价的</w:t>
            </w:r>
            <w:r>
              <w:rPr>
                <w:rFonts w:hint="eastAsia" w:ascii="宋体" w:hAnsi="宋体" w:eastAsia="宋体" w:cs="宋体"/>
                <w:kern w:val="0"/>
                <w:sz w:val="21"/>
                <w:szCs w:val="21"/>
                <w:highlight w:val="none"/>
                <w:lang w:val="en-US" w:eastAsia="zh-CN"/>
              </w:rPr>
              <w:t>65</w:t>
            </w:r>
            <w:r>
              <w:rPr>
                <w:rFonts w:hint="eastAsia" w:ascii="宋体" w:hAnsi="宋体" w:eastAsia="宋体" w:cs="宋体"/>
                <w:kern w:val="0"/>
                <w:sz w:val="21"/>
                <w:szCs w:val="21"/>
                <w:highlight w:val="none"/>
                <w:lang w:eastAsia="en-US"/>
              </w:rPr>
              <w:t>%时，应当要求该投标人在规定时间内作出书面说明并提供相应的证明材料。投标人不能合理说明或者不能提供相应证明材料的，评标委员会应当认定该投标人以低于成本或者影响履约的异常低价竞标，并否决其投标。</w:t>
            </w:r>
          </w:p>
        </w:tc>
      </w:tr>
      <w:tr w14:paraId="6715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2" w:type="pct"/>
            <w:noWrap w:val="0"/>
            <w:vAlign w:val="center"/>
          </w:tcPr>
          <w:p w14:paraId="27B96039">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3.</w:t>
            </w:r>
            <w:r>
              <w:rPr>
                <w:rFonts w:hint="eastAsia" w:ascii="宋体" w:hAnsi="宋体" w:eastAsia="宋体" w:cs="宋体"/>
                <w:color w:val="auto"/>
                <w:kern w:val="28"/>
                <w:sz w:val="21"/>
                <w:szCs w:val="21"/>
                <w:highlight w:val="none"/>
                <w:lang w:val="en-US" w:eastAsia="zh-CN"/>
              </w:rPr>
              <w:t>6</w:t>
            </w:r>
            <w:r>
              <w:rPr>
                <w:rFonts w:hint="eastAsia" w:ascii="宋体" w:hAnsi="宋体" w:eastAsia="宋体" w:cs="宋体"/>
                <w:color w:val="auto"/>
                <w:kern w:val="28"/>
                <w:sz w:val="21"/>
                <w:szCs w:val="21"/>
                <w:highlight w:val="none"/>
              </w:rPr>
              <w:t>.1</w:t>
            </w:r>
          </w:p>
        </w:tc>
        <w:tc>
          <w:tcPr>
            <w:tcW w:w="825" w:type="pct"/>
            <w:noWrap w:val="0"/>
            <w:vAlign w:val="center"/>
          </w:tcPr>
          <w:p w14:paraId="5B455617">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b w:val="0"/>
                <w:bCs/>
                <w:color w:val="auto"/>
                <w:kern w:val="28"/>
                <w:sz w:val="21"/>
                <w:szCs w:val="21"/>
                <w:highlight w:val="none"/>
              </w:rPr>
              <w:t>投标文件相关信息的核查</w:t>
            </w:r>
          </w:p>
        </w:tc>
        <w:tc>
          <w:tcPr>
            <w:tcW w:w="3422" w:type="pct"/>
            <w:noWrap w:val="0"/>
            <w:vAlign w:val="center"/>
          </w:tcPr>
          <w:p w14:paraId="45BEFA86">
            <w:pPr>
              <w:keepNext w:val="0"/>
              <w:keepLines w:val="0"/>
              <w:pageBreakBefore w:val="0"/>
              <w:widowControl w:val="0"/>
              <w:kinsoku/>
              <w:wordWrap/>
              <w:overflowPunct/>
              <w:topLinePunct w:val="0"/>
              <w:autoSpaceDE w:val="0"/>
              <w:autoSpaceDN w:val="0"/>
              <w:bidi w:val="0"/>
              <w:snapToGrid w:val="0"/>
              <w:spacing w:line="320" w:lineRule="exact"/>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本款修改为：</w:t>
            </w:r>
          </w:p>
          <w:p w14:paraId="55590AF8">
            <w:pPr>
              <w:keepNext w:val="0"/>
              <w:keepLines w:val="0"/>
              <w:pageBreakBefore w:val="0"/>
              <w:widowControl w:val="0"/>
              <w:kinsoku/>
              <w:wordWrap/>
              <w:overflowPunct/>
              <w:topLinePunct w:val="0"/>
              <w:autoSpaceDE w:val="0"/>
              <w:autoSpaceDN w:val="0"/>
              <w:bidi w:val="0"/>
              <w:snapToGrid w:val="0"/>
              <w:spacing w:line="320" w:lineRule="exact"/>
              <w:ind w:firstLine="420" w:firstLineChars="200"/>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投标人信用情况网页截图内容与在“国家企业信用信息公示系统”中</w:t>
            </w:r>
            <w:r>
              <w:rPr>
                <w:rFonts w:hint="eastAsia" w:ascii="宋体" w:hAnsi="宋体" w:eastAsia="宋体" w:cs="宋体"/>
                <w:color w:val="auto"/>
                <w:kern w:val="28"/>
                <w:sz w:val="21"/>
                <w:szCs w:val="21"/>
                <w:highlight w:val="none"/>
                <w:lang w:bidi="ar"/>
              </w:rPr>
              <w:t>严重违法失信名单（黑名单）信息</w:t>
            </w:r>
            <w:r>
              <w:rPr>
                <w:rFonts w:hint="eastAsia" w:ascii="宋体" w:hAnsi="宋体" w:eastAsia="宋体" w:cs="宋体"/>
                <w:color w:val="auto"/>
                <w:kern w:val="28"/>
                <w:sz w:val="21"/>
                <w:szCs w:val="21"/>
                <w:highlight w:val="none"/>
              </w:rPr>
              <w:t>（不含分公司）或</w:t>
            </w:r>
            <w:r>
              <w:rPr>
                <w:rFonts w:hint="eastAsia" w:ascii="宋体" w:hAnsi="宋体" w:eastAsia="宋体" w:cs="宋体"/>
                <w:color w:val="auto"/>
                <w:kern w:val="28"/>
                <w:sz w:val="21"/>
                <w:szCs w:val="21"/>
                <w:highlight w:val="none"/>
                <w:lang w:val="en-US" w:eastAsia="zh-CN"/>
              </w:rPr>
              <w:t>在中国执行信息公开网（</w:t>
            </w:r>
            <w:r>
              <w:rPr>
                <w:rFonts w:hint="eastAsia" w:ascii="宋体" w:hAnsi="宋体" w:eastAsia="宋体" w:cs="宋体"/>
                <w:color w:val="auto"/>
                <w:kern w:val="28"/>
                <w:sz w:val="21"/>
                <w:szCs w:val="21"/>
                <w:highlight w:val="none"/>
              </w:rPr>
              <w:fldChar w:fldCharType="begin"/>
            </w:r>
            <w:r>
              <w:rPr>
                <w:rFonts w:hint="eastAsia" w:ascii="宋体" w:hAnsi="宋体" w:eastAsia="宋体" w:cs="宋体"/>
                <w:color w:val="auto"/>
                <w:kern w:val="28"/>
                <w:sz w:val="21"/>
                <w:szCs w:val="21"/>
                <w:highlight w:val="none"/>
              </w:rPr>
              <w:instrText xml:space="preserve"> HYPERLINK "https://zxgk.court.gov.cn/" </w:instrText>
            </w:r>
            <w:r>
              <w:rPr>
                <w:rFonts w:hint="eastAsia" w:ascii="宋体" w:hAnsi="宋体" w:eastAsia="宋体" w:cs="宋体"/>
                <w:color w:val="auto"/>
                <w:kern w:val="28"/>
                <w:sz w:val="21"/>
                <w:szCs w:val="21"/>
                <w:highlight w:val="none"/>
              </w:rPr>
              <w:fldChar w:fldCharType="separate"/>
            </w:r>
            <w:r>
              <w:rPr>
                <w:rFonts w:hint="eastAsia" w:ascii="宋体" w:hAnsi="宋体" w:eastAsia="宋体" w:cs="宋体"/>
                <w:color w:val="auto"/>
                <w:kern w:val="28"/>
                <w:sz w:val="21"/>
                <w:szCs w:val="21"/>
                <w:highlight w:val="none"/>
              </w:rPr>
              <w:t>https://zxgk.court.gov.cn/</w:t>
            </w:r>
            <w:r>
              <w:rPr>
                <w:rFonts w:hint="eastAsia" w:ascii="宋体" w:hAnsi="宋体" w:eastAsia="宋体" w:cs="宋体"/>
                <w:color w:val="auto"/>
                <w:kern w:val="28"/>
                <w:sz w:val="21"/>
                <w:szCs w:val="21"/>
                <w:highlight w:val="none"/>
              </w:rPr>
              <w:fldChar w:fldCharType="end"/>
            </w:r>
            <w:r>
              <w:rPr>
                <w:rFonts w:hint="eastAsia" w:ascii="宋体" w:hAnsi="宋体" w:eastAsia="宋体" w:cs="宋体"/>
                <w:color w:val="auto"/>
                <w:kern w:val="28"/>
                <w:sz w:val="21"/>
                <w:szCs w:val="21"/>
                <w:highlight w:val="none"/>
                <w:lang w:val="en-US" w:eastAsia="zh-CN"/>
              </w:rPr>
              <w:t>）</w:t>
            </w:r>
            <w:r>
              <w:rPr>
                <w:rFonts w:hint="eastAsia" w:ascii="宋体" w:hAnsi="宋体" w:eastAsia="宋体" w:cs="宋体"/>
                <w:color w:val="auto"/>
                <w:kern w:val="28"/>
                <w:sz w:val="21"/>
                <w:szCs w:val="21"/>
                <w:highlight w:val="none"/>
                <w:lang w:bidi="ar"/>
              </w:rPr>
              <w:t>中失信被执行人</w:t>
            </w:r>
            <w:r>
              <w:rPr>
                <w:rFonts w:hint="eastAsia" w:ascii="宋体" w:hAnsi="宋体" w:eastAsia="宋体" w:cs="宋体"/>
                <w:color w:val="auto"/>
                <w:kern w:val="28"/>
                <w:sz w:val="21"/>
                <w:szCs w:val="21"/>
                <w:highlight w:val="none"/>
                <w:lang w:val="en-US" w:eastAsia="zh-CN" w:bidi="ar"/>
              </w:rPr>
              <w:t>名单或</w:t>
            </w:r>
            <w:r>
              <w:rPr>
                <w:rFonts w:hint="eastAsia" w:ascii="宋体" w:hAnsi="宋体" w:eastAsia="宋体" w:cs="宋体"/>
                <w:color w:val="auto"/>
                <w:kern w:val="28"/>
                <w:sz w:val="21"/>
                <w:szCs w:val="21"/>
                <w:highlight w:val="none"/>
              </w:rPr>
              <w:t>在“信用中国”网站中</w:t>
            </w:r>
            <w:r>
              <w:rPr>
                <w:rFonts w:hint="eastAsia" w:ascii="宋体" w:hAnsi="宋体" w:eastAsia="宋体" w:cs="宋体"/>
                <w:color w:val="auto"/>
                <w:kern w:val="28"/>
                <w:sz w:val="21"/>
                <w:szCs w:val="21"/>
                <w:highlight w:val="none"/>
                <w:lang w:eastAsia="zh-CN"/>
              </w:rPr>
              <w:t>经营（活动）异常名录</w:t>
            </w:r>
            <w:r>
              <w:rPr>
                <w:rFonts w:hint="eastAsia" w:ascii="宋体" w:hAnsi="宋体" w:eastAsia="宋体" w:cs="宋体"/>
                <w:color w:val="auto"/>
                <w:kern w:val="28"/>
                <w:sz w:val="21"/>
                <w:szCs w:val="21"/>
                <w:highlight w:val="none"/>
              </w:rPr>
              <w:t>、</w:t>
            </w:r>
            <w:r>
              <w:rPr>
                <w:rFonts w:hint="eastAsia" w:ascii="宋体" w:hAnsi="宋体" w:eastAsia="宋体" w:cs="宋体"/>
                <w:color w:val="auto"/>
                <w:kern w:val="28"/>
                <w:sz w:val="21"/>
                <w:szCs w:val="21"/>
                <w:highlight w:val="none"/>
                <w:lang w:eastAsia="zh-CN"/>
              </w:rPr>
              <w:t>重大税收违法失信主体、安全生产严重失信主体名单</w:t>
            </w:r>
            <w:r>
              <w:rPr>
                <w:rFonts w:hint="eastAsia" w:ascii="宋体" w:hAnsi="宋体" w:eastAsia="宋体" w:cs="宋体"/>
                <w:color w:val="auto"/>
                <w:kern w:val="28"/>
                <w:sz w:val="21"/>
                <w:szCs w:val="21"/>
                <w:highlight w:val="none"/>
              </w:rPr>
              <w:t>、政府采购严重违法失信行为记录名单（均不含分公司）的复核结果一致。</w:t>
            </w:r>
          </w:p>
          <w:p w14:paraId="2E322D49">
            <w:pPr>
              <w:keepNext w:val="0"/>
              <w:keepLines w:val="0"/>
              <w:pageBreakBefore w:val="0"/>
              <w:widowControl w:val="0"/>
              <w:kinsoku/>
              <w:wordWrap/>
              <w:overflowPunct/>
              <w:topLinePunct w:val="0"/>
              <w:autoSpaceDE w:val="0"/>
              <w:autoSpaceDN w:val="0"/>
              <w:bidi w:val="0"/>
              <w:snapToGrid w:val="0"/>
              <w:spacing w:line="320" w:lineRule="exact"/>
              <w:ind w:firstLine="420" w:firstLineChars="200"/>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如投标人未提供相关网页截图或相关网页截图中的信息无法证实投标人满足招标文件规定的资格审查条件或网页截图与的核查结果不一致，</w:t>
            </w:r>
            <w:r>
              <w:rPr>
                <w:rFonts w:hint="eastAsia" w:ascii="宋体" w:hAnsi="宋体" w:eastAsia="宋体" w:cs="宋体"/>
                <w:color w:val="auto"/>
                <w:kern w:val="28"/>
                <w:sz w:val="21"/>
                <w:szCs w:val="21"/>
                <w:highlight w:val="none"/>
                <w:lang w:eastAsia="zh-CN"/>
              </w:rPr>
              <w:t>否决其投标。</w:t>
            </w:r>
          </w:p>
        </w:tc>
      </w:tr>
      <w:tr w14:paraId="2FAD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52" w:type="pct"/>
            <w:noWrap w:val="0"/>
            <w:vAlign w:val="center"/>
          </w:tcPr>
          <w:p w14:paraId="529E9DB5">
            <w:pPr>
              <w:keepNext w:val="0"/>
              <w:keepLines w:val="0"/>
              <w:pageBreakBefore w:val="0"/>
              <w:widowControl w:val="0"/>
              <w:kinsoku/>
              <w:wordWrap/>
              <w:overflowPunct/>
              <w:topLinePunct w:val="0"/>
              <w:bidi w:val="0"/>
              <w:snapToGrid w:val="0"/>
              <w:spacing w:line="320" w:lineRule="exact"/>
              <w:jc w:val="center"/>
              <w:textAlignment w:val="auto"/>
              <w:rPr>
                <w:rFonts w:hint="default" w:ascii="宋体" w:hAnsi="宋体" w:eastAsia="宋体" w:cs="宋体"/>
                <w:color w:val="auto"/>
                <w:kern w:val="28"/>
                <w:sz w:val="21"/>
                <w:szCs w:val="21"/>
                <w:highlight w:val="none"/>
                <w:lang w:val="en-US" w:eastAsia="zh-CN"/>
              </w:rPr>
            </w:pPr>
            <w:r>
              <w:rPr>
                <w:rFonts w:hint="eastAsia" w:ascii="宋体" w:hAnsi="宋体" w:eastAsia="宋体" w:cs="宋体"/>
                <w:color w:val="auto"/>
                <w:kern w:val="28"/>
                <w:sz w:val="21"/>
                <w:szCs w:val="21"/>
                <w:highlight w:val="none"/>
                <w:lang w:val="en-US" w:eastAsia="zh-CN"/>
              </w:rPr>
              <w:t>增加3.6.3</w:t>
            </w:r>
          </w:p>
        </w:tc>
        <w:tc>
          <w:tcPr>
            <w:tcW w:w="825" w:type="pct"/>
            <w:noWrap w:val="0"/>
            <w:vAlign w:val="center"/>
          </w:tcPr>
          <w:p w14:paraId="0B015519">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b/>
                <w:color w:val="auto"/>
                <w:kern w:val="28"/>
                <w:sz w:val="21"/>
                <w:szCs w:val="21"/>
                <w:highlight w:val="none"/>
              </w:rPr>
            </w:pPr>
            <w:r>
              <w:rPr>
                <w:rFonts w:hint="eastAsia" w:ascii="宋体" w:hAnsi="宋体" w:eastAsia="宋体" w:cs="Times New Roman"/>
                <w:kern w:val="28"/>
                <w:sz w:val="21"/>
                <w:szCs w:val="21"/>
                <w:highlight w:val="none"/>
              </w:rPr>
              <w:t>异常投标情形核查</w:t>
            </w:r>
          </w:p>
        </w:tc>
        <w:tc>
          <w:tcPr>
            <w:tcW w:w="3422" w:type="pct"/>
            <w:noWrap w:val="0"/>
            <w:vAlign w:val="center"/>
          </w:tcPr>
          <w:p w14:paraId="6B48AA8E">
            <w:pPr>
              <w:keepNext w:val="0"/>
              <w:keepLines w:val="0"/>
              <w:pageBreakBefore w:val="0"/>
              <w:widowControl w:val="0"/>
              <w:kinsoku/>
              <w:wordWrap/>
              <w:overflowPunct/>
              <w:topLinePunct w:val="0"/>
              <w:autoSpaceDE w:val="0"/>
              <w:autoSpaceDN w:val="0"/>
              <w:bidi w:val="0"/>
              <w:snapToGrid w:val="0"/>
              <w:spacing w:line="320" w:lineRule="exact"/>
              <w:textAlignment w:val="auto"/>
              <w:rPr>
                <w:rFonts w:hint="default" w:ascii="宋体" w:hAnsi="宋体" w:eastAsia="宋体" w:cs="宋体"/>
                <w:color w:val="auto"/>
                <w:kern w:val="28"/>
                <w:sz w:val="21"/>
                <w:szCs w:val="21"/>
                <w:highlight w:val="none"/>
                <w:lang w:val="en-US" w:eastAsia="zh-CN"/>
              </w:rPr>
            </w:pPr>
            <w:r>
              <w:rPr>
                <w:rFonts w:hint="default" w:ascii="宋体" w:hAnsi="宋体" w:eastAsia="宋体" w:cs="宋体"/>
                <w:color w:val="auto"/>
                <w:kern w:val="28"/>
                <w:sz w:val="21"/>
                <w:szCs w:val="21"/>
                <w:highlight w:val="none"/>
                <w:lang w:val="en-US" w:eastAsia="zh-CN"/>
              </w:rPr>
              <w:t>增加3.6.3款：</w:t>
            </w:r>
          </w:p>
          <w:p w14:paraId="109CFD65">
            <w:pPr>
              <w:keepNext w:val="0"/>
              <w:keepLines w:val="0"/>
              <w:pageBreakBefore w:val="0"/>
              <w:widowControl w:val="0"/>
              <w:kinsoku/>
              <w:wordWrap/>
              <w:overflowPunct/>
              <w:topLinePunct w:val="0"/>
              <w:autoSpaceDE w:val="0"/>
              <w:autoSpaceDN w:val="0"/>
              <w:bidi w:val="0"/>
              <w:snapToGrid w:val="0"/>
              <w:spacing w:line="320" w:lineRule="exact"/>
              <w:ind w:firstLine="420" w:firstLineChars="200"/>
              <w:textAlignment w:val="auto"/>
              <w:rPr>
                <w:rFonts w:hint="default" w:ascii="宋体" w:hAnsi="宋体" w:eastAsia="宋体" w:cs="宋体"/>
                <w:color w:val="auto"/>
                <w:kern w:val="28"/>
                <w:sz w:val="21"/>
                <w:szCs w:val="21"/>
                <w:highlight w:val="none"/>
                <w:lang w:val="en-US" w:eastAsia="zh-CN"/>
              </w:rPr>
            </w:pPr>
            <w:r>
              <w:rPr>
                <w:rFonts w:hint="default" w:ascii="宋体" w:hAnsi="宋体" w:eastAsia="宋体" w:cs="宋体"/>
                <w:color w:val="auto"/>
                <w:kern w:val="28"/>
                <w:sz w:val="21"/>
                <w:szCs w:val="21"/>
                <w:highlight w:val="none"/>
                <w:lang w:val="en-US" w:eastAsia="zh-CN"/>
              </w:rPr>
              <w:t>评标委员会在评标过程中发现存在投标文件异常一致或投标活动异常关联等异常投标情形的，应当要求该投标人在规定时间内作出书面说明并提供相应的证明材料。投标人不能合理说明或者不能提供相应证明材料的，评标委员会应当认定该投标人存在异常投标情形，并否决其投标。</w:t>
            </w:r>
          </w:p>
          <w:p w14:paraId="1FCE1B25">
            <w:pPr>
              <w:keepNext w:val="0"/>
              <w:keepLines w:val="0"/>
              <w:pageBreakBefore w:val="0"/>
              <w:widowControl w:val="0"/>
              <w:kinsoku/>
              <w:wordWrap/>
              <w:overflowPunct/>
              <w:topLinePunct w:val="0"/>
              <w:autoSpaceDE w:val="0"/>
              <w:autoSpaceDN w:val="0"/>
              <w:bidi w:val="0"/>
              <w:snapToGrid w:val="0"/>
              <w:spacing w:line="320" w:lineRule="exact"/>
              <w:ind w:firstLine="420" w:firstLineChars="200"/>
              <w:textAlignment w:val="auto"/>
              <w:rPr>
                <w:rFonts w:hint="default" w:ascii="宋体" w:hAnsi="宋体" w:eastAsia="宋体" w:cs="宋体"/>
                <w:color w:val="auto"/>
                <w:kern w:val="28"/>
                <w:sz w:val="21"/>
                <w:szCs w:val="21"/>
                <w:highlight w:val="none"/>
                <w:lang w:val="en-US" w:eastAsia="zh-CN"/>
              </w:rPr>
            </w:pPr>
            <w:r>
              <w:rPr>
                <w:rFonts w:hint="default" w:ascii="宋体" w:hAnsi="宋体" w:eastAsia="宋体" w:cs="宋体"/>
                <w:color w:val="auto"/>
                <w:kern w:val="28"/>
                <w:sz w:val="21"/>
                <w:szCs w:val="21"/>
                <w:highlight w:val="none"/>
                <w:lang w:val="en-US" w:eastAsia="zh-CN"/>
              </w:rPr>
              <w:t>有下列情形之一的，属于投标文件异常一致或投标活动异常关联等异常投标情形：</w:t>
            </w:r>
          </w:p>
          <w:p w14:paraId="0A8BE187">
            <w:pPr>
              <w:keepNext w:val="0"/>
              <w:keepLines w:val="0"/>
              <w:pageBreakBefore w:val="0"/>
              <w:widowControl w:val="0"/>
              <w:kinsoku/>
              <w:wordWrap/>
              <w:overflowPunct/>
              <w:topLinePunct w:val="0"/>
              <w:autoSpaceDE w:val="0"/>
              <w:autoSpaceDN w:val="0"/>
              <w:bidi w:val="0"/>
              <w:snapToGrid w:val="0"/>
              <w:spacing w:line="320" w:lineRule="exact"/>
              <w:ind w:firstLine="210" w:firstLineChars="100"/>
              <w:textAlignment w:val="auto"/>
              <w:rPr>
                <w:rFonts w:hint="default" w:ascii="宋体" w:hAnsi="宋体" w:eastAsia="宋体" w:cs="宋体"/>
                <w:color w:val="auto"/>
                <w:kern w:val="28"/>
                <w:sz w:val="21"/>
                <w:szCs w:val="21"/>
                <w:highlight w:val="none"/>
                <w:lang w:val="en-US" w:eastAsia="zh-CN"/>
              </w:rPr>
            </w:pPr>
            <w:r>
              <w:rPr>
                <w:rFonts w:hint="default" w:ascii="宋体" w:hAnsi="宋体" w:eastAsia="宋体" w:cs="宋体"/>
                <w:color w:val="auto"/>
                <w:kern w:val="28"/>
                <w:sz w:val="21"/>
                <w:szCs w:val="21"/>
                <w:highlight w:val="none"/>
                <w:lang w:val="en-US" w:eastAsia="zh-CN"/>
              </w:rPr>
              <w:t>（1）投标人投标文件制作机器码雷同；</w:t>
            </w:r>
          </w:p>
          <w:p w14:paraId="79358E04">
            <w:pPr>
              <w:keepNext w:val="0"/>
              <w:keepLines w:val="0"/>
              <w:pageBreakBefore w:val="0"/>
              <w:widowControl w:val="0"/>
              <w:kinsoku/>
              <w:wordWrap/>
              <w:overflowPunct/>
              <w:topLinePunct w:val="0"/>
              <w:autoSpaceDE w:val="0"/>
              <w:autoSpaceDN w:val="0"/>
              <w:bidi w:val="0"/>
              <w:snapToGrid w:val="0"/>
              <w:spacing w:line="320" w:lineRule="exact"/>
              <w:ind w:firstLine="210" w:firstLineChars="100"/>
              <w:textAlignment w:val="auto"/>
              <w:rPr>
                <w:rFonts w:hint="default" w:ascii="宋体" w:hAnsi="宋体" w:eastAsia="宋体" w:cs="宋体"/>
                <w:color w:val="auto"/>
                <w:kern w:val="28"/>
                <w:sz w:val="21"/>
                <w:szCs w:val="21"/>
                <w:highlight w:val="none"/>
                <w:lang w:val="en-US" w:eastAsia="zh-CN"/>
              </w:rPr>
            </w:pPr>
            <w:r>
              <w:rPr>
                <w:rFonts w:hint="default" w:ascii="宋体" w:hAnsi="宋体" w:eastAsia="宋体" w:cs="宋体"/>
                <w:color w:val="auto"/>
                <w:kern w:val="28"/>
                <w:sz w:val="21"/>
                <w:szCs w:val="21"/>
                <w:highlight w:val="none"/>
                <w:lang w:val="en-US" w:eastAsia="zh-CN"/>
              </w:rPr>
              <w:t>（2）投标文件创建标识码雷同；</w:t>
            </w:r>
          </w:p>
          <w:p w14:paraId="1C97C040">
            <w:pPr>
              <w:keepNext w:val="0"/>
              <w:keepLines w:val="0"/>
              <w:pageBreakBefore w:val="0"/>
              <w:widowControl w:val="0"/>
              <w:kinsoku/>
              <w:wordWrap/>
              <w:overflowPunct/>
              <w:topLinePunct w:val="0"/>
              <w:autoSpaceDE w:val="0"/>
              <w:autoSpaceDN w:val="0"/>
              <w:bidi w:val="0"/>
              <w:snapToGrid w:val="0"/>
              <w:spacing w:line="320" w:lineRule="exact"/>
              <w:ind w:firstLine="210" w:firstLineChars="100"/>
              <w:textAlignment w:val="auto"/>
              <w:rPr>
                <w:rFonts w:hint="default" w:ascii="宋体" w:hAnsi="宋体" w:eastAsia="宋体" w:cs="宋体"/>
                <w:color w:val="auto"/>
                <w:kern w:val="28"/>
                <w:sz w:val="21"/>
                <w:szCs w:val="21"/>
                <w:highlight w:val="none"/>
                <w:lang w:val="en-US" w:eastAsia="zh-CN"/>
              </w:rPr>
            </w:pPr>
            <w:r>
              <w:rPr>
                <w:rFonts w:hint="default" w:ascii="宋体" w:hAnsi="宋体" w:eastAsia="宋体" w:cs="宋体"/>
                <w:color w:val="auto"/>
                <w:kern w:val="28"/>
                <w:sz w:val="21"/>
                <w:szCs w:val="21"/>
                <w:highlight w:val="none"/>
                <w:lang w:val="en-US" w:eastAsia="zh-CN"/>
              </w:rPr>
              <w:t>（3）投标文件制作计算机MAC地址雷同；</w:t>
            </w:r>
          </w:p>
          <w:p w14:paraId="694B2D20">
            <w:pPr>
              <w:keepNext w:val="0"/>
              <w:keepLines w:val="0"/>
              <w:pageBreakBefore w:val="0"/>
              <w:widowControl w:val="0"/>
              <w:kinsoku/>
              <w:wordWrap/>
              <w:overflowPunct/>
              <w:topLinePunct w:val="0"/>
              <w:autoSpaceDE w:val="0"/>
              <w:autoSpaceDN w:val="0"/>
              <w:bidi w:val="0"/>
              <w:snapToGrid w:val="0"/>
              <w:spacing w:line="320" w:lineRule="exact"/>
              <w:ind w:firstLine="210" w:firstLineChars="100"/>
              <w:textAlignment w:val="auto"/>
              <w:rPr>
                <w:rFonts w:hint="default" w:ascii="宋体" w:hAnsi="宋体" w:eastAsia="宋体" w:cs="宋体"/>
                <w:color w:val="auto"/>
                <w:kern w:val="28"/>
                <w:sz w:val="21"/>
                <w:szCs w:val="21"/>
                <w:highlight w:val="none"/>
                <w:lang w:val="en-US" w:eastAsia="zh-CN"/>
              </w:rPr>
            </w:pPr>
            <w:r>
              <w:rPr>
                <w:rFonts w:hint="default" w:ascii="宋体" w:hAnsi="宋体" w:eastAsia="宋体" w:cs="宋体"/>
                <w:color w:val="auto"/>
                <w:kern w:val="28"/>
                <w:sz w:val="21"/>
                <w:szCs w:val="21"/>
                <w:highlight w:val="none"/>
                <w:lang w:val="en-US" w:eastAsia="zh-CN"/>
              </w:rPr>
              <w:t>（4）投标文件制作计算机硬盘序列号雷同；</w:t>
            </w:r>
          </w:p>
          <w:p w14:paraId="55011899">
            <w:pPr>
              <w:keepNext w:val="0"/>
              <w:keepLines w:val="0"/>
              <w:pageBreakBefore w:val="0"/>
              <w:widowControl w:val="0"/>
              <w:kinsoku/>
              <w:wordWrap/>
              <w:overflowPunct/>
              <w:topLinePunct w:val="0"/>
              <w:autoSpaceDE w:val="0"/>
              <w:autoSpaceDN w:val="0"/>
              <w:bidi w:val="0"/>
              <w:snapToGrid w:val="0"/>
              <w:spacing w:line="320" w:lineRule="exact"/>
              <w:ind w:firstLine="210" w:firstLineChars="100"/>
              <w:textAlignment w:val="auto"/>
              <w:rPr>
                <w:rFonts w:hint="default" w:ascii="宋体" w:hAnsi="宋体" w:eastAsia="宋体" w:cs="宋体"/>
                <w:color w:val="auto"/>
                <w:kern w:val="28"/>
                <w:sz w:val="21"/>
                <w:szCs w:val="21"/>
                <w:highlight w:val="none"/>
                <w:lang w:val="en-US" w:eastAsia="zh-CN"/>
              </w:rPr>
            </w:pPr>
            <w:r>
              <w:rPr>
                <w:rFonts w:hint="default" w:ascii="宋体" w:hAnsi="宋体" w:eastAsia="宋体" w:cs="宋体"/>
                <w:color w:val="auto"/>
                <w:kern w:val="28"/>
                <w:sz w:val="21"/>
                <w:szCs w:val="21"/>
                <w:highlight w:val="none"/>
                <w:lang w:val="en-US" w:eastAsia="zh-CN"/>
              </w:rPr>
              <w:t>（5）招标文件下载IP地址雷同；</w:t>
            </w:r>
          </w:p>
          <w:p w14:paraId="5D2EF05A">
            <w:pPr>
              <w:keepNext w:val="0"/>
              <w:keepLines w:val="0"/>
              <w:pageBreakBefore w:val="0"/>
              <w:widowControl w:val="0"/>
              <w:kinsoku/>
              <w:wordWrap/>
              <w:overflowPunct/>
              <w:topLinePunct w:val="0"/>
              <w:autoSpaceDE w:val="0"/>
              <w:autoSpaceDN w:val="0"/>
              <w:bidi w:val="0"/>
              <w:snapToGrid w:val="0"/>
              <w:spacing w:line="320" w:lineRule="exact"/>
              <w:ind w:firstLine="210" w:firstLineChars="100"/>
              <w:textAlignment w:val="auto"/>
              <w:rPr>
                <w:rFonts w:hint="default" w:ascii="宋体" w:hAnsi="宋体" w:eastAsia="宋体" w:cs="宋体"/>
                <w:color w:val="auto"/>
                <w:kern w:val="28"/>
                <w:sz w:val="21"/>
                <w:szCs w:val="21"/>
                <w:highlight w:val="none"/>
                <w:lang w:val="en-US" w:eastAsia="zh-CN"/>
              </w:rPr>
            </w:pPr>
            <w:r>
              <w:rPr>
                <w:rFonts w:hint="default" w:ascii="宋体" w:hAnsi="宋体" w:eastAsia="宋体" w:cs="宋体"/>
                <w:color w:val="auto"/>
                <w:kern w:val="28"/>
                <w:sz w:val="21"/>
                <w:szCs w:val="21"/>
                <w:highlight w:val="none"/>
                <w:lang w:val="en-US" w:eastAsia="zh-CN"/>
              </w:rPr>
              <w:t>（6）投标文件上传IP地址雷同；</w:t>
            </w:r>
          </w:p>
          <w:p w14:paraId="645509E5">
            <w:pPr>
              <w:keepNext w:val="0"/>
              <w:keepLines w:val="0"/>
              <w:pageBreakBefore w:val="0"/>
              <w:widowControl w:val="0"/>
              <w:kinsoku/>
              <w:wordWrap/>
              <w:overflowPunct/>
              <w:topLinePunct w:val="0"/>
              <w:autoSpaceDE w:val="0"/>
              <w:autoSpaceDN w:val="0"/>
              <w:bidi w:val="0"/>
              <w:snapToGrid w:val="0"/>
              <w:spacing w:line="320" w:lineRule="exact"/>
              <w:ind w:firstLine="210" w:firstLineChars="100"/>
              <w:textAlignment w:val="auto"/>
              <w:rPr>
                <w:rFonts w:hint="default" w:ascii="宋体" w:hAnsi="宋体" w:eastAsia="宋体" w:cs="宋体"/>
                <w:color w:val="auto"/>
                <w:kern w:val="28"/>
                <w:sz w:val="21"/>
                <w:szCs w:val="21"/>
                <w:highlight w:val="none"/>
                <w:lang w:val="en-US" w:eastAsia="zh-CN"/>
              </w:rPr>
            </w:pPr>
            <w:r>
              <w:rPr>
                <w:rFonts w:hint="default" w:ascii="宋体" w:hAnsi="宋体" w:eastAsia="宋体" w:cs="宋体"/>
                <w:color w:val="auto"/>
                <w:kern w:val="28"/>
                <w:sz w:val="21"/>
                <w:szCs w:val="21"/>
                <w:highlight w:val="none"/>
                <w:lang w:val="en-US" w:eastAsia="zh-CN"/>
              </w:rPr>
              <w:t>（7）投标文件解密IP地址雷同。</w:t>
            </w:r>
          </w:p>
        </w:tc>
      </w:tr>
      <w:tr w14:paraId="3A7E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52" w:type="pct"/>
            <w:noWrap w:val="0"/>
            <w:vAlign w:val="center"/>
          </w:tcPr>
          <w:p w14:paraId="426E58EE">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3.</w:t>
            </w:r>
            <w:r>
              <w:rPr>
                <w:rFonts w:hint="eastAsia" w:ascii="宋体" w:hAnsi="宋体" w:eastAsia="宋体" w:cs="宋体"/>
                <w:color w:val="auto"/>
                <w:kern w:val="28"/>
                <w:sz w:val="21"/>
                <w:szCs w:val="21"/>
                <w:highlight w:val="none"/>
                <w:lang w:val="en-US" w:eastAsia="zh-CN"/>
              </w:rPr>
              <w:t>9</w:t>
            </w:r>
            <w:r>
              <w:rPr>
                <w:rFonts w:hint="eastAsia" w:ascii="宋体" w:hAnsi="宋体" w:eastAsia="宋体" w:cs="宋体"/>
                <w:color w:val="auto"/>
                <w:kern w:val="28"/>
                <w:sz w:val="21"/>
                <w:szCs w:val="21"/>
                <w:highlight w:val="none"/>
              </w:rPr>
              <w:t>.1</w:t>
            </w:r>
          </w:p>
        </w:tc>
        <w:tc>
          <w:tcPr>
            <w:tcW w:w="825" w:type="pct"/>
            <w:noWrap w:val="0"/>
            <w:vAlign w:val="center"/>
          </w:tcPr>
          <w:p w14:paraId="4136A003">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评标</w:t>
            </w:r>
          </w:p>
          <w:p w14:paraId="11B32915">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b/>
                <w:color w:val="auto"/>
                <w:kern w:val="28"/>
                <w:sz w:val="21"/>
                <w:szCs w:val="21"/>
                <w:highlight w:val="none"/>
              </w:rPr>
            </w:pPr>
            <w:r>
              <w:rPr>
                <w:rFonts w:hint="eastAsia" w:ascii="宋体" w:hAnsi="宋体" w:eastAsia="宋体" w:cs="宋体"/>
                <w:color w:val="auto"/>
                <w:kern w:val="28"/>
                <w:sz w:val="21"/>
                <w:szCs w:val="21"/>
                <w:highlight w:val="none"/>
              </w:rPr>
              <w:t>结果</w:t>
            </w:r>
          </w:p>
        </w:tc>
        <w:tc>
          <w:tcPr>
            <w:tcW w:w="3422" w:type="pct"/>
            <w:noWrap w:val="0"/>
            <w:vAlign w:val="center"/>
          </w:tcPr>
          <w:p w14:paraId="1451AF5D">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评标委员会按照评标办法前附表“1.评标办法”的规定推荐中标候选人。</w:t>
            </w:r>
          </w:p>
        </w:tc>
      </w:tr>
      <w:tr w14:paraId="4067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noWrap w:val="0"/>
            <w:vAlign w:val="center"/>
          </w:tcPr>
          <w:p w14:paraId="68A9B5B1">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bCs/>
                <w:color w:val="auto"/>
                <w:kern w:val="28"/>
                <w:sz w:val="21"/>
                <w:szCs w:val="21"/>
                <w:highlight w:val="none"/>
              </w:rPr>
            </w:pPr>
            <w:r>
              <w:rPr>
                <w:rFonts w:hint="eastAsia" w:ascii="宋体" w:hAnsi="宋体" w:eastAsia="宋体" w:cs="宋体"/>
                <w:color w:val="auto"/>
                <w:kern w:val="28"/>
                <w:sz w:val="21"/>
                <w:szCs w:val="21"/>
                <w:highlight w:val="none"/>
              </w:rPr>
              <w:t>需补充的其他内容：无</w:t>
            </w:r>
          </w:p>
        </w:tc>
      </w:tr>
    </w:tbl>
    <w:p w14:paraId="12ADC2AB">
      <w:pPr>
        <w:rPr>
          <w:rFonts w:hint="eastAsia" w:ascii="宋体" w:hAnsi="宋体" w:eastAsia="宋体" w:cs="宋体"/>
          <w:color w:val="auto"/>
          <w:kern w:val="28"/>
          <w:sz w:val="28"/>
          <w:szCs w:val="20"/>
          <w:highlight w:val="none"/>
        </w:rPr>
      </w:pPr>
    </w:p>
    <w:bookmarkEnd w:id="24"/>
    <w:bookmarkEnd w:id="25"/>
    <w:bookmarkEnd w:id="26"/>
    <w:bookmarkEnd w:id="27"/>
    <w:bookmarkEnd w:id="28"/>
    <w:p w14:paraId="461232E1">
      <w:pPr>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br w:type="page"/>
      </w:r>
    </w:p>
    <w:p w14:paraId="4BBADECA">
      <w:pPr>
        <w:widowControl w:val="0"/>
        <w:spacing w:after="120"/>
        <w:ind w:left="0" w:leftChars="0"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附表</w:t>
      </w:r>
    </w:p>
    <w:tbl>
      <w:tblPr>
        <w:tblStyle w:val="4"/>
        <w:tblW w:w="0" w:type="auto"/>
        <w:jc w:val="center"/>
        <w:tblLayout w:type="fixed"/>
        <w:tblCellMar>
          <w:top w:w="0" w:type="dxa"/>
          <w:left w:w="108" w:type="dxa"/>
          <w:bottom w:w="0" w:type="dxa"/>
          <w:right w:w="108" w:type="dxa"/>
        </w:tblCellMar>
      </w:tblPr>
      <w:tblGrid>
        <w:gridCol w:w="817"/>
        <w:gridCol w:w="1701"/>
        <w:gridCol w:w="1418"/>
        <w:gridCol w:w="1134"/>
        <w:gridCol w:w="3572"/>
        <w:gridCol w:w="1212"/>
      </w:tblGrid>
      <w:tr w14:paraId="74305625">
        <w:tblPrEx>
          <w:tblCellMar>
            <w:top w:w="0" w:type="dxa"/>
            <w:left w:w="108" w:type="dxa"/>
            <w:bottom w:w="0" w:type="dxa"/>
            <w:right w:w="108" w:type="dxa"/>
          </w:tblCellMar>
        </w:tblPrEx>
        <w:trPr>
          <w:trHeight w:val="831" w:hRule="atLeast"/>
          <w:jc w:val="center"/>
        </w:trPr>
        <w:tc>
          <w:tcPr>
            <w:tcW w:w="817" w:type="dxa"/>
            <w:tcBorders>
              <w:top w:val="single" w:color="auto" w:sz="8" w:space="0"/>
              <w:left w:val="single" w:color="auto" w:sz="8" w:space="0"/>
              <w:bottom w:val="single" w:color="auto" w:sz="4" w:space="0"/>
              <w:right w:val="single" w:color="auto" w:sz="4" w:space="0"/>
            </w:tcBorders>
            <w:noWrap w:val="0"/>
            <w:vAlign w:val="center"/>
          </w:tcPr>
          <w:p w14:paraId="5C9AD619">
            <w:pPr>
              <w:jc w:val="center"/>
              <w:rPr>
                <w:rFonts w:hint="eastAsia" w:ascii="Times New Roman" w:hAnsi="Times New Roman" w:eastAsia="宋体" w:cs="Times New Roman"/>
                <w:b/>
                <w:bCs/>
                <w:color w:val="000000"/>
                <w:kern w:val="28"/>
                <w:sz w:val="21"/>
                <w:szCs w:val="21"/>
                <w:highlight w:val="none"/>
              </w:rPr>
            </w:pPr>
            <w:r>
              <w:rPr>
                <w:rFonts w:hint="eastAsia" w:ascii="Times New Roman" w:hAnsi="Times New Roman" w:eastAsia="宋体" w:cs="Times New Roman"/>
                <w:b/>
                <w:bCs/>
                <w:color w:val="000000"/>
                <w:kern w:val="28"/>
                <w:sz w:val="21"/>
                <w:szCs w:val="21"/>
                <w:highlight w:val="none"/>
              </w:rPr>
              <w:t>条款号</w:t>
            </w:r>
          </w:p>
        </w:tc>
        <w:tc>
          <w:tcPr>
            <w:tcW w:w="1701" w:type="dxa"/>
            <w:tcBorders>
              <w:top w:val="single" w:color="auto" w:sz="8" w:space="0"/>
              <w:left w:val="single" w:color="auto" w:sz="4" w:space="0"/>
              <w:bottom w:val="single" w:color="auto" w:sz="4" w:space="0"/>
              <w:right w:val="single" w:color="auto" w:sz="4" w:space="0"/>
            </w:tcBorders>
            <w:noWrap w:val="0"/>
            <w:vAlign w:val="center"/>
          </w:tcPr>
          <w:p w14:paraId="55776B91">
            <w:pPr>
              <w:jc w:val="center"/>
              <w:rPr>
                <w:rFonts w:hint="eastAsia" w:ascii="Times New Roman" w:hAnsi="Times New Roman" w:eastAsia="宋体" w:cs="Times New Roman"/>
                <w:b/>
                <w:bCs/>
                <w:color w:val="000000"/>
                <w:kern w:val="28"/>
                <w:sz w:val="21"/>
                <w:szCs w:val="21"/>
                <w:highlight w:val="none"/>
              </w:rPr>
            </w:pPr>
            <w:r>
              <w:rPr>
                <w:rFonts w:hint="eastAsia" w:ascii="Times New Roman" w:hAnsi="Times New Roman" w:eastAsia="宋体" w:cs="Times New Roman"/>
                <w:b/>
                <w:bCs/>
                <w:color w:val="000000"/>
                <w:kern w:val="28"/>
                <w:sz w:val="21"/>
                <w:szCs w:val="21"/>
                <w:highlight w:val="none"/>
              </w:rPr>
              <w:t>评分因素及其权重分值</w:t>
            </w:r>
          </w:p>
        </w:tc>
        <w:tc>
          <w:tcPr>
            <w:tcW w:w="1418" w:type="dxa"/>
            <w:tcBorders>
              <w:top w:val="single" w:color="auto" w:sz="8" w:space="0"/>
              <w:left w:val="single" w:color="auto" w:sz="4" w:space="0"/>
              <w:bottom w:val="single" w:color="auto" w:sz="4" w:space="0"/>
              <w:right w:val="single" w:color="auto" w:sz="4" w:space="0"/>
            </w:tcBorders>
            <w:noWrap w:val="0"/>
            <w:vAlign w:val="center"/>
          </w:tcPr>
          <w:p w14:paraId="20FA1EF6">
            <w:pPr>
              <w:jc w:val="center"/>
              <w:rPr>
                <w:rFonts w:hint="eastAsia" w:ascii="Times New Roman" w:hAnsi="Times New Roman" w:eastAsia="宋体" w:cs="Times New Roman"/>
                <w:b/>
                <w:bCs/>
                <w:color w:val="000000"/>
                <w:kern w:val="28"/>
                <w:sz w:val="21"/>
                <w:szCs w:val="21"/>
                <w:highlight w:val="none"/>
              </w:rPr>
            </w:pPr>
            <w:r>
              <w:rPr>
                <w:rFonts w:hint="eastAsia" w:ascii="Times New Roman" w:hAnsi="Times New Roman" w:eastAsia="宋体" w:cs="Times New Roman"/>
                <w:b/>
                <w:bCs/>
                <w:color w:val="000000"/>
                <w:kern w:val="28"/>
                <w:sz w:val="21"/>
                <w:szCs w:val="21"/>
                <w:highlight w:val="none"/>
              </w:rPr>
              <w:t>各评分因素细分项</w:t>
            </w:r>
          </w:p>
        </w:tc>
        <w:tc>
          <w:tcPr>
            <w:tcW w:w="1134" w:type="dxa"/>
            <w:tcBorders>
              <w:top w:val="single" w:color="auto" w:sz="8" w:space="0"/>
              <w:left w:val="single" w:color="auto" w:sz="4" w:space="0"/>
              <w:bottom w:val="single" w:color="auto" w:sz="4" w:space="0"/>
              <w:right w:val="single" w:color="auto" w:sz="4" w:space="0"/>
            </w:tcBorders>
            <w:noWrap w:val="0"/>
            <w:vAlign w:val="center"/>
          </w:tcPr>
          <w:p w14:paraId="67BD52CC">
            <w:pPr>
              <w:jc w:val="center"/>
              <w:rPr>
                <w:rFonts w:hint="eastAsia" w:ascii="Times New Roman" w:hAnsi="Times New Roman" w:eastAsia="宋体" w:cs="Times New Roman"/>
                <w:b/>
                <w:bCs/>
                <w:color w:val="000000"/>
                <w:kern w:val="28"/>
                <w:sz w:val="21"/>
                <w:szCs w:val="21"/>
                <w:highlight w:val="none"/>
              </w:rPr>
            </w:pPr>
            <w:r>
              <w:rPr>
                <w:rFonts w:hint="eastAsia" w:ascii="Times New Roman" w:hAnsi="Times New Roman" w:eastAsia="宋体" w:cs="Times New Roman"/>
                <w:b/>
                <w:bCs/>
                <w:color w:val="000000"/>
                <w:kern w:val="28"/>
                <w:sz w:val="21"/>
                <w:szCs w:val="21"/>
                <w:highlight w:val="none"/>
              </w:rPr>
              <w:t>评分因素权重分值</w:t>
            </w:r>
          </w:p>
        </w:tc>
        <w:tc>
          <w:tcPr>
            <w:tcW w:w="3572" w:type="dxa"/>
            <w:tcBorders>
              <w:top w:val="single" w:color="auto" w:sz="8" w:space="0"/>
              <w:left w:val="single" w:color="auto" w:sz="4" w:space="0"/>
              <w:bottom w:val="single" w:color="auto" w:sz="4" w:space="0"/>
              <w:right w:val="single" w:color="auto" w:sz="4" w:space="0"/>
            </w:tcBorders>
            <w:noWrap w:val="0"/>
            <w:vAlign w:val="center"/>
          </w:tcPr>
          <w:p w14:paraId="6FFE6E8C">
            <w:pPr>
              <w:jc w:val="center"/>
              <w:rPr>
                <w:rFonts w:hint="eastAsia" w:ascii="Times New Roman" w:hAnsi="Times New Roman" w:eastAsia="宋体" w:cs="Times New Roman"/>
                <w:b/>
                <w:bCs/>
                <w:color w:val="000000"/>
                <w:kern w:val="28"/>
                <w:sz w:val="21"/>
                <w:szCs w:val="21"/>
                <w:highlight w:val="none"/>
              </w:rPr>
            </w:pPr>
            <w:r>
              <w:rPr>
                <w:rFonts w:hint="eastAsia" w:ascii="Times New Roman" w:hAnsi="Times New Roman" w:eastAsia="宋体" w:cs="Times New Roman"/>
                <w:b/>
                <w:bCs/>
                <w:color w:val="000000"/>
                <w:kern w:val="28"/>
                <w:sz w:val="21"/>
                <w:szCs w:val="21"/>
                <w:highlight w:val="none"/>
              </w:rPr>
              <w:t>评分标准</w:t>
            </w:r>
          </w:p>
        </w:tc>
        <w:tc>
          <w:tcPr>
            <w:tcW w:w="1212" w:type="dxa"/>
            <w:tcBorders>
              <w:top w:val="single" w:color="auto" w:sz="8" w:space="0"/>
              <w:left w:val="single" w:color="auto" w:sz="4" w:space="0"/>
              <w:bottom w:val="single" w:color="auto" w:sz="4" w:space="0"/>
              <w:right w:val="single" w:color="auto" w:sz="8" w:space="0"/>
            </w:tcBorders>
            <w:noWrap w:val="0"/>
            <w:vAlign w:val="center"/>
          </w:tcPr>
          <w:p w14:paraId="010BD8AD">
            <w:pPr>
              <w:jc w:val="center"/>
              <w:rPr>
                <w:rFonts w:hint="eastAsia" w:ascii="Times New Roman" w:hAnsi="Times New Roman" w:eastAsia="宋体" w:cs="Times New Roman"/>
                <w:b/>
                <w:bCs/>
                <w:color w:val="000000"/>
                <w:kern w:val="28"/>
                <w:sz w:val="21"/>
                <w:szCs w:val="21"/>
                <w:highlight w:val="none"/>
              </w:rPr>
            </w:pPr>
            <w:r>
              <w:rPr>
                <w:rFonts w:hint="eastAsia" w:ascii="Times New Roman" w:hAnsi="Times New Roman" w:eastAsia="宋体" w:cs="Times New Roman"/>
                <w:b/>
                <w:bCs/>
                <w:color w:val="000000"/>
                <w:kern w:val="28"/>
                <w:sz w:val="21"/>
                <w:szCs w:val="21"/>
                <w:highlight w:val="none"/>
              </w:rPr>
              <w:t>分值</w:t>
            </w:r>
          </w:p>
        </w:tc>
      </w:tr>
      <w:tr w14:paraId="0B81AC5D">
        <w:tblPrEx>
          <w:tblCellMar>
            <w:top w:w="0" w:type="dxa"/>
            <w:left w:w="108" w:type="dxa"/>
            <w:bottom w:w="0" w:type="dxa"/>
            <w:right w:w="108" w:type="dxa"/>
          </w:tblCellMar>
        </w:tblPrEx>
        <w:trPr>
          <w:trHeight w:val="299" w:hRule="atLeast"/>
          <w:jc w:val="center"/>
        </w:trPr>
        <w:tc>
          <w:tcPr>
            <w:tcW w:w="817" w:type="dxa"/>
            <w:vMerge w:val="restart"/>
            <w:tcBorders>
              <w:top w:val="single" w:color="auto" w:sz="4" w:space="0"/>
              <w:left w:val="single" w:color="auto" w:sz="8" w:space="0"/>
              <w:right w:val="single" w:color="auto" w:sz="4" w:space="0"/>
            </w:tcBorders>
            <w:noWrap w:val="0"/>
            <w:vAlign w:val="center"/>
          </w:tcPr>
          <w:p w14:paraId="1DA9A977">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rPr>
              <w:t>2.2.2（1）</w:t>
            </w:r>
          </w:p>
        </w:tc>
        <w:tc>
          <w:tcPr>
            <w:tcW w:w="1701" w:type="dxa"/>
            <w:vMerge w:val="restart"/>
            <w:tcBorders>
              <w:top w:val="single" w:color="auto" w:sz="4" w:space="0"/>
              <w:left w:val="single" w:color="auto" w:sz="4" w:space="0"/>
              <w:right w:val="single" w:color="auto" w:sz="4" w:space="0"/>
            </w:tcBorders>
            <w:noWrap w:val="0"/>
            <w:vAlign w:val="center"/>
          </w:tcPr>
          <w:p w14:paraId="249652E9">
            <w:pPr>
              <w:jc w:val="center"/>
              <w:rPr>
                <w:rFonts w:hint="default" w:ascii="Times New Roman" w:hAnsi="Times New Roman" w:eastAsia="宋体" w:cs="Times New Roman"/>
                <w:color w:val="000000"/>
                <w:kern w:val="28"/>
                <w:sz w:val="21"/>
                <w:szCs w:val="21"/>
                <w:highlight w:val="none"/>
                <w:lang w:val="en-US" w:eastAsia="zh-CN"/>
              </w:rPr>
            </w:pPr>
            <w:r>
              <w:rPr>
                <w:rFonts w:ascii="Times New Roman" w:hAnsi="Times New Roman" w:eastAsia="宋体" w:cs="Times New Roman"/>
                <w:color w:val="000000"/>
                <w:kern w:val="28"/>
                <w:sz w:val="21"/>
                <w:szCs w:val="21"/>
                <w:highlight w:val="none"/>
              </w:rPr>
              <w:t>施工组织设计</w:t>
            </w:r>
            <w:r>
              <w:rPr>
                <w:rFonts w:hint="eastAsia" w:ascii="Times New Roman" w:hAnsi="Times New Roman" w:eastAsia="宋体" w:cs="Times New Roman"/>
                <w:color w:val="000000"/>
                <w:kern w:val="28"/>
                <w:sz w:val="21"/>
                <w:szCs w:val="21"/>
                <w:highlight w:val="none"/>
                <w:lang w:eastAsia="zh-CN"/>
              </w:rPr>
              <w:t>（</w:t>
            </w:r>
            <w:r>
              <w:rPr>
                <w:rFonts w:hint="eastAsia" w:ascii="Times New Roman" w:hAnsi="Times New Roman" w:eastAsia="宋体" w:cs="Times New Roman"/>
                <w:color w:val="000000"/>
                <w:kern w:val="28"/>
                <w:sz w:val="21"/>
                <w:szCs w:val="21"/>
                <w:highlight w:val="none"/>
                <w:lang w:val="en-US" w:eastAsia="zh-CN"/>
              </w:rPr>
              <w:t>暗标</w:t>
            </w:r>
            <w:r>
              <w:rPr>
                <w:rFonts w:hint="eastAsia" w:ascii="Times New Roman" w:hAnsi="Times New Roman" w:eastAsia="宋体" w:cs="Times New Roman"/>
                <w:color w:val="000000"/>
                <w:kern w:val="28"/>
                <w:sz w:val="21"/>
                <w:szCs w:val="21"/>
                <w:highlight w:val="none"/>
                <w:lang w:eastAsia="zh-CN"/>
              </w:rPr>
              <w:t>）</w:t>
            </w:r>
            <w:r>
              <w:rPr>
                <w:rFonts w:hint="eastAsia" w:ascii="Times New Roman" w:hAnsi="Times New Roman" w:eastAsia="宋体" w:cs="Times New Roman"/>
                <w:color w:val="000000"/>
                <w:kern w:val="28"/>
                <w:sz w:val="21"/>
                <w:szCs w:val="21"/>
                <w:highlight w:val="none"/>
              </w:rPr>
              <w:t>（40分）</w:t>
            </w:r>
          </w:p>
        </w:tc>
        <w:tc>
          <w:tcPr>
            <w:tcW w:w="1418" w:type="dxa"/>
            <w:vMerge w:val="restart"/>
            <w:tcBorders>
              <w:top w:val="single" w:color="auto" w:sz="4" w:space="0"/>
              <w:left w:val="single" w:color="auto" w:sz="4" w:space="0"/>
              <w:right w:val="single" w:color="auto" w:sz="4" w:space="0"/>
            </w:tcBorders>
            <w:noWrap w:val="0"/>
            <w:vAlign w:val="center"/>
          </w:tcPr>
          <w:p w14:paraId="729EB0FE">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rPr>
              <w:t>总体施工组织布置及规划</w:t>
            </w:r>
          </w:p>
        </w:tc>
        <w:tc>
          <w:tcPr>
            <w:tcW w:w="1134" w:type="dxa"/>
            <w:vMerge w:val="restart"/>
            <w:tcBorders>
              <w:top w:val="single" w:color="auto" w:sz="4" w:space="0"/>
              <w:left w:val="single" w:color="auto" w:sz="4" w:space="0"/>
              <w:right w:val="single" w:color="auto" w:sz="4" w:space="0"/>
            </w:tcBorders>
            <w:noWrap w:val="0"/>
            <w:vAlign w:val="center"/>
          </w:tcPr>
          <w:p w14:paraId="4C65A856">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分</w:t>
            </w:r>
          </w:p>
        </w:tc>
        <w:tc>
          <w:tcPr>
            <w:tcW w:w="3572" w:type="dxa"/>
            <w:tcBorders>
              <w:top w:val="single" w:color="auto" w:sz="4" w:space="0"/>
              <w:left w:val="single" w:color="auto" w:sz="4" w:space="0"/>
              <w:bottom w:val="single" w:color="auto" w:sz="4" w:space="0"/>
              <w:right w:val="single" w:color="auto" w:sz="4" w:space="0"/>
            </w:tcBorders>
            <w:noWrap w:val="0"/>
            <w:vAlign w:val="center"/>
          </w:tcPr>
          <w:p w14:paraId="1DCEC5C3">
            <w:pPr>
              <w:rPr>
                <w:rFonts w:ascii="Times New Roman" w:hAnsi="Times New Roman" w:eastAsia="宋体" w:cs="Times New Roman"/>
                <w:color w:val="000000"/>
                <w:kern w:val="28"/>
                <w:sz w:val="21"/>
                <w:szCs w:val="21"/>
                <w:highlight w:val="none"/>
              </w:rPr>
            </w:pPr>
            <w:r>
              <w:rPr>
                <w:rFonts w:ascii="Times New Roman" w:hAnsi="Times New Roman" w:eastAsia="宋体" w:cs="Times New Roman"/>
                <w:color w:val="000000"/>
                <w:kern w:val="28"/>
                <w:sz w:val="21"/>
                <w:szCs w:val="21"/>
                <w:highlight w:val="none"/>
              </w:rPr>
              <w:t xml:space="preserve">内容完整，编制水平高  </w:t>
            </w:r>
          </w:p>
        </w:tc>
        <w:tc>
          <w:tcPr>
            <w:tcW w:w="1212" w:type="dxa"/>
            <w:tcBorders>
              <w:top w:val="single" w:color="auto" w:sz="8" w:space="0"/>
              <w:left w:val="single" w:color="auto" w:sz="4" w:space="0"/>
              <w:bottom w:val="single" w:color="auto" w:sz="4" w:space="0"/>
              <w:right w:val="single" w:color="auto" w:sz="8" w:space="0"/>
            </w:tcBorders>
            <w:noWrap w:val="0"/>
            <w:vAlign w:val="center"/>
          </w:tcPr>
          <w:p w14:paraId="04D1C646">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4.0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.0</w:t>
            </w:r>
          </w:p>
        </w:tc>
      </w:tr>
      <w:tr w14:paraId="33257CAF">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65BCFBAA">
            <w:pPr>
              <w:jc w:val="center"/>
              <w:rPr>
                <w:rFonts w:hint="eastAsia"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06785102">
            <w:pPr>
              <w:jc w:val="center"/>
              <w:rPr>
                <w:rFonts w:ascii="Times New Roman" w:hAnsi="Times New Roman" w:eastAsia="宋体" w:cs="Times New Roman"/>
                <w:color w:val="000000"/>
                <w:kern w:val="28"/>
                <w:sz w:val="21"/>
                <w:szCs w:val="21"/>
                <w:highlight w:val="none"/>
              </w:rPr>
            </w:pPr>
          </w:p>
        </w:tc>
        <w:tc>
          <w:tcPr>
            <w:tcW w:w="1418" w:type="dxa"/>
            <w:vMerge w:val="continue"/>
            <w:tcBorders>
              <w:left w:val="single" w:color="auto" w:sz="4" w:space="0"/>
              <w:right w:val="single" w:color="auto" w:sz="4" w:space="0"/>
            </w:tcBorders>
            <w:noWrap w:val="0"/>
            <w:vAlign w:val="center"/>
          </w:tcPr>
          <w:p w14:paraId="024953AD">
            <w:pPr>
              <w:jc w:val="center"/>
              <w:rPr>
                <w:rFonts w:hint="eastAsia" w:ascii="Times New Roman" w:hAnsi="Times New Roman" w:eastAsia="宋体" w:cs="Times New Roman"/>
                <w:color w:val="000000"/>
                <w:kern w:val="28"/>
                <w:sz w:val="21"/>
                <w:szCs w:val="21"/>
                <w:highlight w:val="none"/>
              </w:rPr>
            </w:pPr>
          </w:p>
        </w:tc>
        <w:tc>
          <w:tcPr>
            <w:tcW w:w="1134" w:type="dxa"/>
            <w:vMerge w:val="continue"/>
            <w:tcBorders>
              <w:left w:val="single" w:color="auto" w:sz="4" w:space="0"/>
              <w:right w:val="single" w:color="auto" w:sz="4" w:space="0"/>
            </w:tcBorders>
            <w:noWrap w:val="0"/>
            <w:vAlign w:val="center"/>
          </w:tcPr>
          <w:p w14:paraId="2863DF4A">
            <w:pPr>
              <w:rPr>
                <w:rFonts w:ascii="Times New Roman" w:hAnsi="Times New Roman" w:eastAsia="宋体" w:cs="Times New Roman"/>
                <w:color w:val="000000"/>
                <w:kern w:val="28"/>
                <w:sz w:val="21"/>
                <w:szCs w:val="21"/>
                <w:highlight w:val="none"/>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25088FE8">
            <w:pPr>
              <w:rPr>
                <w:rFonts w:ascii="Times New Roman" w:hAnsi="Times New Roman" w:eastAsia="宋体" w:cs="Times New Roman"/>
                <w:color w:val="000000"/>
                <w:kern w:val="28"/>
                <w:sz w:val="21"/>
                <w:szCs w:val="21"/>
                <w:highlight w:val="none"/>
              </w:rPr>
            </w:pPr>
            <w:r>
              <w:rPr>
                <w:rFonts w:ascii="Times New Roman" w:hAnsi="Times New Roman" w:eastAsia="宋体" w:cs="Times New Roman"/>
                <w:color w:val="000000"/>
                <w:kern w:val="28"/>
                <w:sz w:val="21"/>
                <w:szCs w:val="21"/>
                <w:highlight w:val="none"/>
              </w:rPr>
              <w:t>内容较完整，编制水平较高</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337BA0B9">
            <w:pPr>
              <w:jc w:val="center"/>
              <w:rPr>
                <w:rFonts w:hint="default" w:ascii="Times New Roman" w:hAnsi="Times New Roman" w:eastAsia="宋体" w:cs="Times New Roman"/>
                <w:color w:val="000000"/>
                <w:kern w:val="28"/>
                <w:sz w:val="21"/>
                <w:szCs w:val="21"/>
                <w:highlight w:val="none"/>
                <w:lang w:val="en-US" w:eastAsia="zh-CN"/>
              </w:rPr>
            </w:pPr>
            <w:r>
              <w:rPr>
                <w:rFonts w:hint="eastAsia" w:ascii="Times New Roman" w:hAnsi="Times New Roman" w:eastAsia="宋体" w:cs="Times New Roman"/>
                <w:color w:val="000000"/>
                <w:kern w:val="28"/>
                <w:sz w:val="21"/>
                <w:szCs w:val="21"/>
                <w:highlight w:val="none"/>
                <w:lang w:val="en-US" w:eastAsia="zh-CN"/>
              </w:rPr>
              <w:t>3.0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4.0</w:t>
            </w:r>
          </w:p>
        </w:tc>
      </w:tr>
      <w:tr w14:paraId="1C328960">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63642C99">
            <w:pPr>
              <w:jc w:val="center"/>
              <w:rPr>
                <w:rFonts w:hint="eastAsia"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2A2D0BB5">
            <w:pPr>
              <w:jc w:val="center"/>
              <w:rPr>
                <w:rFonts w:ascii="Times New Roman" w:hAnsi="Times New Roman" w:eastAsia="宋体" w:cs="Times New Roman"/>
                <w:color w:val="000000"/>
                <w:kern w:val="28"/>
                <w:sz w:val="21"/>
                <w:szCs w:val="21"/>
                <w:highlight w:val="none"/>
              </w:rPr>
            </w:pPr>
          </w:p>
        </w:tc>
        <w:tc>
          <w:tcPr>
            <w:tcW w:w="1418" w:type="dxa"/>
            <w:vMerge w:val="continue"/>
            <w:tcBorders>
              <w:left w:val="single" w:color="auto" w:sz="4" w:space="0"/>
              <w:right w:val="single" w:color="auto" w:sz="4" w:space="0"/>
            </w:tcBorders>
            <w:noWrap w:val="0"/>
            <w:vAlign w:val="center"/>
          </w:tcPr>
          <w:p w14:paraId="21DF2229">
            <w:pPr>
              <w:jc w:val="center"/>
              <w:rPr>
                <w:rFonts w:hint="eastAsia" w:ascii="Times New Roman" w:hAnsi="Times New Roman" w:eastAsia="宋体" w:cs="Times New Roman"/>
                <w:color w:val="000000"/>
                <w:kern w:val="28"/>
                <w:sz w:val="21"/>
                <w:szCs w:val="21"/>
                <w:highlight w:val="none"/>
              </w:rPr>
            </w:pPr>
          </w:p>
        </w:tc>
        <w:tc>
          <w:tcPr>
            <w:tcW w:w="1134" w:type="dxa"/>
            <w:vMerge w:val="continue"/>
            <w:tcBorders>
              <w:left w:val="single" w:color="auto" w:sz="4" w:space="0"/>
              <w:right w:val="single" w:color="auto" w:sz="4" w:space="0"/>
            </w:tcBorders>
            <w:noWrap w:val="0"/>
            <w:vAlign w:val="center"/>
          </w:tcPr>
          <w:p w14:paraId="35C8681B">
            <w:pPr>
              <w:rPr>
                <w:rFonts w:ascii="Times New Roman" w:hAnsi="Times New Roman" w:eastAsia="宋体" w:cs="Times New Roman"/>
                <w:color w:val="000000"/>
                <w:kern w:val="28"/>
                <w:sz w:val="21"/>
                <w:szCs w:val="21"/>
                <w:highlight w:val="none"/>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3F6CF410">
            <w:pPr>
              <w:rPr>
                <w:rFonts w:ascii="Times New Roman" w:hAnsi="Times New Roman" w:eastAsia="宋体" w:cs="Times New Roman"/>
                <w:color w:val="000000"/>
                <w:kern w:val="28"/>
                <w:sz w:val="21"/>
                <w:szCs w:val="21"/>
                <w:highlight w:val="none"/>
              </w:rPr>
            </w:pPr>
            <w:r>
              <w:rPr>
                <w:rFonts w:ascii="Times New Roman" w:hAnsi="Times New Roman" w:eastAsia="宋体" w:cs="Times New Roman"/>
                <w:color w:val="000000"/>
                <w:kern w:val="28"/>
                <w:sz w:val="21"/>
                <w:szCs w:val="21"/>
                <w:highlight w:val="none"/>
              </w:rPr>
              <w:t>内容基本完整，编制水平一般</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42167C81">
            <w:pPr>
              <w:jc w:val="center"/>
              <w:rPr>
                <w:rFonts w:hint="default" w:ascii="Times New Roman" w:hAnsi="Times New Roman" w:eastAsia="宋体" w:cs="Times New Roman"/>
                <w:color w:val="000000"/>
                <w:kern w:val="28"/>
                <w:sz w:val="21"/>
                <w:szCs w:val="21"/>
                <w:highlight w:val="none"/>
                <w:lang w:val="en-US" w:eastAsia="zh-CN"/>
              </w:rPr>
            </w:pPr>
            <w:r>
              <w:rPr>
                <w:rFonts w:hint="eastAsia" w:ascii="Times New Roman" w:hAnsi="Times New Roman" w:eastAsia="宋体" w:cs="Times New Roman"/>
                <w:color w:val="000000"/>
                <w:kern w:val="28"/>
                <w:sz w:val="21"/>
                <w:szCs w:val="21"/>
                <w:highlight w:val="none"/>
                <w:lang w:val="en-US" w:eastAsia="zh-CN"/>
              </w:rPr>
              <w:t>3.0</w:t>
            </w:r>
          </w:p>
        </w:tc>
      </w:tr>
      <w:tr w14:paraId="510E5A52">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6F7A31DD">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3298F4FC">
            <w:pPr>
              <w:jc w:val="center"/>
              <w:rPr>
                <w:rFonts w:hint="eastAsia" w:ascii="Times New Roman" w:hAnsi="Times New Roman" w:eastAsia="宋体" w:cs="Times New Roman"/>
                <w:color w:val="000000"/>
                <w:kern w:val="28"/>
                <w:sz w:val="21"/>
                <w:szCs w:val="21"/>
                <w:highlight w:val="none"/>
              </w:rPr>
            </w:pPr>
          </w:p>
        </w:tc>
        <w:tc>
          <w:tcPr>
            <w:tcW w:w="1418" w:type="dxa"/>
            <w:vMerge w:val="restart"/>
            <w:tcBorders>
              <w:top w:val="single" w:color="auto" w:sz="4" w:space="0"/>
              <w:left w:val="single" w:color="auto" w:sz="4" w:space="0"/>
              <w:right w:val="single" w:color="auto" w:sz="4" w:space="0"/>
            </w:tcBorders>
            <w:noWrap w:val="0"/>
            <w:vAlign w:val="center"/>
          </w:tcPr>
          <w:p w14:paraId="7DD2ABC2">
            <w:pPr>
              <w:jc w:val="center"/>
              <w:rPr>
                <w:rFonts w:hint="eastAsia" w:ascii="Times New Roman" w:hAnsi="Times New Roman" w:eastAsia="宋体" w:cs="Times New Roman"/>
                <w:color w:val="000000"/>
                <w:kern w:val="28"/>
                <w:sz w:val="21"/>
                <w:szCs w:val="21"/>
                <w:highlight w:val="none"/>
              </w:rPr>
            </w:pPr>
            <w:r>
              <w:rPr>
                <w:rFonts w:ascii="Times New Roman" w:hAnsi="Times New Roman" w:eastAsia="宋体" w:cs="Times New Roman"/>
                <w:color w:val="000000"/>
                <w:kern w:val="28"/>
                <w:sz w:val="21"/>
                <w:szCs w:val="21"/>
                <w:highlight w:val="none"/>
              </w:rPr>
              <w:t>施工方案</w:t>
            </w:r>
            <w:r>
              <w:rPr>
                <w:rFonts w:hint="eastAsia" w:ascii="Times New Roman" w:hAnsi="Times New Roman" w:eastAsia="宋体" w:cs="Times New Roman"/>
                <w:color w:val="000000"/>
                <w:kern w:val="28"/>
                <w:sz w:val="21"/>
                <w:szCs w:val="21"/>
                <w:highlight w:val="none"/>
              </w:rPr>
              <w:t>、方法</w:t>
            </w:r>
            <w:r>
              <w:rPr>
                <w:rFonts w:ascii="Times New Roman" w:hAnsi="Times New Roman" w:eastAsia="宋体" w:cs="Times New Roman"/>
                <w:color w:val="000000"/>
                <w:kern w:val="28"/>
                <w:sz w:val="21"/>
                <w:szCs w:val="21"/>
                <w:highlight w:val="none"/>
              </w:rPr>
              <w:t>与技术措施</w:t>
            </w:r>
          </w:p>
        </w:tc>
        <w:tc>
          <w:tcPr>
            <w:tcW w:w="1134" w:type="dxa"/>
            <w:vMerge w:val="restart"/>
            <w:tcBorders>
              <w:top w:val="single" w:color="auto" w:sz="4" w:space="0"/>
              <w:left w:val="single" w:color="auto" w:sz="4" w:space="0"/>
              <w:right w:val="single" w:color="auto" w:sz="4" w:space="0"/>
            </w:tcBorders>
            <w:noWrap w:val="0"/>
            <w:vAlign w:val="center"/>
          </w:tcPr>
          <w:p w14:paraId="419DA6BA">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分</w:t>
            </w:r>
          </w:p>
        </w:tc>
        <w:tc>
          <w:tcPr>
            <w:tcW w:w="3572" w:type="dxa"/>
            <w:tcBorders>
              <w:top w:val="single" w:color="auto" w:sz="4" w:space="0"/>
              <w:left w:val="single" w:color="auto" w:sz="4" w:space="0"/>
              <w:bottom w:val="single" w:color="auto" w:sz="4" w:space="0"/>
              <w:right w:val="single" w:color="auto" w:sz="4" w:space="0"/>
            </w:tcBorders>
            <w:noWrap w:val="0"/>
            <w:vAlign w:val="center"/>
          </w:tcPr>
          <w:p w14:paraId="3137500F">
            <w:pPr>
              <w:rPr>
                <w:rFonts w:ascii="Times New Roman" w:hAnsi="Times New Roman" w:eastAsia="宋体" w:cs="Times New Roman"/>
                <w:color w:val="000000"/>
                <w:kern w:val="28"/>
                <w:sz w:val="21"/>
                <w:szCs w:val="21"/>
                <w:highlight w:val="none"/>
              </w:rPr>
            </w:pPr>
            <w:r>
              <w:rPr>
                <w:rFonts w:ascii="Times New Roman" w:hAnsi="Times New Roman" w:eastAsia="宋体" w:cs="Times New Roman"/>
                <w:color w:val="000000"/>
                <w:kern w:val="28"/>
                <w:sz w:val="21"/>
                <w:szCs w:val="21"/>
                <w:highlight w:val="none"/>
              </w:rPr>
              <w:t>科学合理</w:t>
            </w:r>
            <w:r>
              <w:rPr>
                <w:rFonts w:hint="eastAsia" w:ascii="Times New Roman" w:hAnsi="Times New Roman" w:eastAsia="宋体" w:cs="Times New Roman"/>
                <w:color w:val="000000"/>
                <w:kern w:val="28"/>
                <w:sz w:val="21"/>
                <w:szCs w:val="21"/>
                <w:highlight w:val="none"/>
              </w:rPr>
              <w:t>，适用性及合理性高的</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5A8841E4">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4.0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.0</w:t>
            </w:r>
          </w:p>
        </w:tc>
      </w:tr>
      <w:tr w14:paraId="547FB28D">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2ECDC83A">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567BD5B6">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left w:val="single" w:color="auto" w:sz="4" w:space="0"/>
              <w:right w:val="single" w:color="auto" w:sz="4" w:space="0"/>
            </w:tcBorders>
            <w:noWrap w:val="0"/>
            <w:vAlign w:val="center"/>
          </w:tcPr>
          <w:p w14:paraId="7064F83A">
            <w:pPr>
              <w:jc w:val="center"/>
              <w:rPr>
                <w:rFonts w:ascii="Times New Roman" w:hAnsi="Times New Roman" w:eastAsia="宋体" w:cs="Times New Roman"/>
                <w:color w:val="000000"/>
                <w:kern w:val="28"/>
                <w:sz w:val="21"/>
                <w:szCs w:val="21"/>
                <w:highlight w:val="none"/>
              </w:rPr>
            </w:pPr>
          </w:p>
        </w:tc>
        <w:tc>
          <w:tcPr>
            <w:tcW w:w="1134" w:type="dxa"/>
            <w:vMerge w:val="continue"/>
            <w:tcBorders>
              <w:left w:val="single" w:color="auto" w:sz="4" w:space="0"/>
              <w:right w:val="single" w:color="auto" w:sz="4" w:space="0"/>
            </w:tcBorders>
            <w:noWrap w:val="0"/>
            <w:vAlign w:val="center"/>
          </w:tcPr>
          <w:p w14:paraId="388BDE5C">
            <w:pPr>
              <w:rPr>
                <w:rFonts w:ascii="Times New Roman" w:hAnsi="Times New Roman" w:eastAsia="宋体" w:cs="Times New Roman"/>
                <w:color w:val="000000"/>
                <w:kern w:val="28"/>
                <w:sz w:val="21"/>
                <w:szCs w:val="21"/>
                <w:highlight w:val="none"/>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3D06EC08">
            <w:pPr>
              <w:rPr>
                <w:rFonts w:ascii="Times New Roman" w:hAnsi="Times New Roman" w:eastAsia="宋体" w:cs="Times New Roman"/>
                <w:color w:val="000000"/>
                <w:kern w:val="28"/>
                <w:sz w:val="21"/>
                <w:szCs w:val="21"/>
                <w:highlight w:val="none"/>
              </w:rPr>
            </w:pPr>
            <w:r>
              <w:rPr>
                <w:rFonts w:ascii="Times New Roman" w:hAnsi="Times New Roman" w:eastAsia="宋体" w:cs="Times New Roman"/>
                <w:color w:val="000000"/>
                <w:kern w:val="28"/>
                <w:sz w:val="21"/>
                <w:szCs w:val="21"/>
                <w:highlight w:val="none"/>
              </w:rPr>
              <w:t>较合理</w:t>
            </w:r>
            <w:r>
              <w:rPr>
                <w:rFonts w:hint="eastAsia" w:ascii="Times New Roman" w:hAnsi="Times New Roman" w:eastAsia="宋体" w:cs="Times New Roman"/>
                <w:color w:val="000000"/>
                <w:kern w:val="28"/>
                <w:sz w:val="21"/>
                <w:szCs w:val="21"/>
                <w:highlight w:val="none"/>
              </w:rPr>
              <w:t>，适用性及合理性较高的</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50819C9C">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3.0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4.0</w:t>
            </w:r>
          </w:p>
        </w:tc>
      </w:tr>
      <w:tr w14:paraId="2145961A">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50423FB2">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4C0945EC">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left w:val="single" w:color="auto" w:sz="4" w:space="0"/>
              <w:bottom w:val="single" w:color="auto" w:sz="4" w:space="0"/>
              <w:right w:val="single" w:color="auto" w:sz="4" w:space="0"/>
            </w:tcBorders>
            <w:noWrap w:val="0"/>
            <w:vAlign w:val="center"/>
          </w:tcPr>
          <w:p w14:paraId="2FE21C7E">
            <w:pPr>
              <w:jc w:val="center"/>
              <w:rPr>
                <w:rFonts w:ascii="Times New Roman" w:hAnsi="Times New Roman" w:eastAsia="宋体" w:cs="Times New Roman"/>
                <w:color w:val="000000"/>
                <w:kern w:val="28"/>
                <w:sz w:val="21"/>
                <w:szCs w:val="21"/>
                <w:highlight w:val="none"/>
              </w:rPr>
            </w:pPr>
          </w:p>
        </w:tc>
        <w:tc>
          <w:tcPr>
            <w:tcW w:w="1134" w:type="dxa"/>
            <w:vMerge w:val="continue"/>
            <w:tcBorders>
              <w:left w:val="single" w:color="auto" w:sz="4" w:space="0"/>
              <w:bottom w:val="single" w:color="auto" w:sz="4" w:space="0"/>
              <w:right w:val="single" w:color="auto" w:sz="4" w:space="0"/>
            </w:tcBorders>
            <w:noWrap w:val="0"/>
            <w:vAlign w:val="center"/>
          </w:tcPr>
          <w:p w14:paraId="3090F2F5">
            <w:pPr>
              <w:rPr>
                <w:rFonts w:ascii="Times New Roman" w:hAnsi="Times New Roman" w:eastAsia="宋体" w:cs="Times New Roman"/>
                <w:color w:val="000000"/>
                <w:kern w:val="28"/>
                <w:sz w:val="21"/>
                <w:szCs w:val="21"/>
                <w:highlight w:val="none"/>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35DD9299">
            <w:pPr>
              <w:rPr>
                <w:rFonts w:ascii="Times New Roman" w:hAnsi="Times New Roman" w:eastAsia="宋体" w:cs="Times New Roman"/>
                <w:color w:val="000000"/>
                <w:kern w:val="28"/>
                <w:sz w:val="21"/>
                <w:szCs w:val="21"/>
                <w:highlight w:val="none"/>
              </w:rPr>
            </w:pPr>
            <w:r>
              <w:rPr>
                <w:rFonts w:ascii="Times New Roman" w:hAnsi="Times New Roman" w:eastAsia="宋体" w:cs="Times New Roman"/>
                <w:color w:val="000000"/>
                <w:kern w:val="28"/>
                <w:sz w:val="21"/>
                <w:szCs w:val="21"/>
                <w:highlight w:val="none"/>
              </w:rPr>
              <w:t>一般</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3A4B1E01">
            <w:pPr>
              <w:jc w:val="center"/>
              <w:rPr>
                <w:rFonts w:hint="default" w:ascii="Times New Roman" w:hAnsi="Times New Roman" w:eastAsia="宋体" w:cs="Times New Roman"/>
                <w:color w:val="000000"/>
                <w:kern w:val="28"/>
                <w:sz w:val="21"/>
                <w:szCs w:val="21"/>
                <w:highlight w:val="none"/>
                <w:lang w:val="en-US" w:eastAsia="zh-CN"/>
              </w:rPr>
            </w:pPr>
            <w:r>
              <w:rPr>
                <w:rFonts w:hint="eastAsia" w:ascii="Times New Roman" w:hAnsi="Times New Roman" w:eastAsia="宋体" w:cs="Times New Roman"/>
                <w:color w:val="000000"/>
                <w:kern w:val="28"/>
                <w:sz w:val="21"/>
                <w:szCs w:val="21"/>
                <w:highlight w:val="none"/>
                <w:lang w:val="en-US" w:eastAsia="zh-CN"/>
              </w:rPr>
              <w:t>3.0</w:t>
            </w:r>
          </w:p>
        </w:tc>
      </w:tr>
      <w:tr w14:paraId="5316047B">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61F4F9B2">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27659F14">
            <w:pPr>
              <w:jc w:val="center"/>
              <w:rPr>
                <w:rFonts w:hint="eastAsia" w:ascii="Times New Roman" w:hAnsi="Times New Roman" w:eastAsia="宋体" w:cs="Times New Roman"/>
                <w:color w:val="000000"/>
                <w:kern w:val="28"/>
                <w:sz w:val="21"/>
                <w:szCs w:val="21"/>
                <w:highlight w:val="none"/>
              </w:rPr>
            </w:pP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1BE6982D">
            <w:pPr>
              <w:jc w:val="center"/>
              <w:rPr>
                <w:rFonts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rPr>
              <w:t>工期的保证体系及保证措施</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B069BB2">
            <w:pPr>
              <w:jc w:val="center"/>
              <w:rPr>
                <w:rFonts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分</w:t>
            </w:r>
          </w:p>
        </w:tc>
        <w:tc>
          <w:tcPr>
            <w:tcW w:w="3572" w:type="dxa"/>
            <w:tcBorders>
              <w:top w:val="single" w:color="auto" w:sz="4" w:space="0"/>
              <w:left w:val="single" w:color="auto" w:sz="4" w:space="0"/>
              <w:bottom w:val="single" w:color="auto" w:sz="4" w:space="0"/>
              <w:right w:val="single" w:color="auto" w:sz="4" w:space="0"/>
            </w:tcBorders>
            <w:noWrap w:val="0"/>
            <w:vAlign w:val="center"/>
          </w:tcPr>
          <w:p w14:paraId="4E919912">
            <w:pPr>
              <w:rPr>
                <w:rFonts w:ascii="Times New Roman" w:hAnsi="Times New Roman" w:eastAsia="宋体" w:cs="Times New Roman"/>
                <w:color w:val="000000"/>
                <w:kern w:val="28"/>
                <w:sz w:val="21"/>
                <w:szCs w:val="21"/>
                <w:highlight w:val="none"/>
              </w:rPr>
            </w:pPr>
            <w:r>
              <w:rPr>
                <w:rFonts w:ascii="Times New Roman" w:hAnsi="Times New Roman" w:eastAsia="宋体" w:cs="Times New Roman"/>
                <w:color w:val="000000"/>
                <w:kern w:val="28"/>
                <w:sz w:val="21"/>
                <w:szCs w:val="21"/>
                <w:highlight w:val="none"/>
              </w:rPr>
              <w:t>科学合理</w:t>
            </w:r>
            <w:r>
              <w:rPr>
                <w:rFonts w:hint="eastAsia" w:ascii="Times New Roman" w:hAnsi="Times New Roman" w:eastAsia="宋体" w:cs="Times New Roman"/>
                <w:color w:val="000000"/>
                <w:kern w:val="28"/>
                <w:sz w:val="21"/>
                <w:szCs w:val="21"/>
                <w:highlight w:val="none"/>
              </w:rPr>
              <w:t>，适用性及合理性高的</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27526F7D">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4.0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.0</w:t>
            </w:r>
          </w:p>
        </w:tc>
      </w:tr>
      <w:tr w14:paraId="5600494D">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49A0F79F">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7B234557">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6B99C7FB">
            <w:pPr>
              <w:jc w:val="center"/>
              <w:rPr>
                <w:rFonts w:ascii="Times New Roman" w:hAnsi="Times New Roman" w:eastAsia="宋体" w:cs="Times New Roman"/>
                <w:color w:val="000000"/>
                <w:kern w:val="28"/>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3D6B091">
            <w:pPr>
              <w:rPr>
                <w:rFonts w:ascii="Times New Roman" w:hAnsi="Times New Roman" w:eastAsia="宋体" w:cs="Times New Roman"/>
                <w:color w:val="000000"/>
                <w:kern w:val="28"/>
                <w:sz w:val="21"/>
                <w:szCs w:val="21"/>
                <w:highlight w:val="none"/>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31C6598B">
            <w:pPr>
              <w:rPr>
                <w:rFonts w:ascii="Times New Roman" w:hAnsi="Times New Roman" w:eastAsia="宋体" w:cs="Times New Roman"/>
                <w:color w:val="000000"/>
                <w:kern w:val="28"/>
                <w:sz w:val="21"/>
                <w:szCs w:val="21"/>
                <w:highlight w:val="none"/>
              </w:rPr>
            </w:pPr>
            <w:r>
              <w:rPr>
                <w:rFonts w:ascii="Times New Roman" w:hAnsi="Times New Roman" w:eastAsia="宋体" w:cs="Times New Roman"/>
                <w:color w:val="000000"/>
                <w:kern w:val="28"/>
                <w:sz w:val="21"/>
                <w:szCs w:val="21"/>
                <w:highlight w:val="none"/>
              </w:rPr>
              <w:t>较合理</w:t>
            </w:r>
            <w:r>
              <w:rPr>
                <w:rFonts w:hint="eastAsia" w:ascii="Times New Roman" w:hAnsi="Times New Roman" w:eastAsia="宋体" w:cs="Times New Roman"/>
                <w:color w:val="000000"/>
                <w:kern w:val="28"/>
                <w:sz w:val="21"/>
                <w:szCs w:val="21"/>
                <w:highlight w:val="none"/>
              </w:rPr>
              <w:t>，，适用性及合理性较高的</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1A815384">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3.0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4.0</w:t>
            </w:r>
          </w:p>
        </w:tc>
      </w:tr>
      <w:tr w14:paraId="09250A5C">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0224E6D1">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796E3E8E">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6B8278F4">
            <w:pPr>
              <w:jc w:val="center"/>
              <w:rPr>
                <w:rFonts w:ascii="Times New Roman" w:hAnsi="Times New Roman" w:eastAsia="宋体" w:cs="Times New Roman"/>
                <w:color w:val="000000"/>
                <w:kern w:val="28"/>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22521B2">
            <w:pPr>
              <w:rPr>
                <w:rFonts w:ascii="Times New Roman" w:hAnsi="Times New Roman" w:eastAsia="宋体" w:cs="Times New Roman"/>
                <w:color w:val="000000"/>
                <w:kern w:val="28"/>
                <w:sz w:val="21"/>
                <w:szCs w:val="21"/>
                <w:highlight w:val="none"/>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18FD049E">
            <w:pPr>
              <w:rPr>
                <w:rFonts w:ascii="Times New Roman" w:hAnsi="Times New Roman" w:eastAsia="宋体" w:cs="Times New Roman"/>
                <w:color w:val="000000"/>
                <w:kern w:val="28"/>
                <w:sz w:val="21"/>
                <w:szCs w:val="21"/>
                <w:highlight w:val="none"/>
              </w:rPr>
            </w:pPr>
            <w:r>
              <w:rPr>
                <w:rFonts w:ascii="Times New Roman" w:hAnsi="Times New Roman" w:eastAsia="宋体" w:cs="Times New Roman"/>
                <w:color w:val="000000"/>
                <w:kern w:val="28"/>
                <w:sz w:val="21"/>
                <w:szCs w:val="21"/>
                <w:highlight w:val="none"/>
              </w:rPr>
              <w:t>一般</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248CF999">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3.0</w:t>
            </w:r>
          </w:p>
        </w:tc>
      </w:tr>
      <w:tr w14:paraId="3E37821E">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602102DE">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06FFCE6F">
            <w:pPr>
              <w:jc w:val="center"/>
              <w:rPr>
                <w:rFonts w:hint="eastAsia" w:ascii="Times New Roman" w:hAnsi="Times New Roman" w:eastAsia="宋体" w:cs="Times New Roman"/>
                <w:color w:val="000000"/>
                <w:kern w:val="28"/>
                <w:sz w:val="21"/>
                <w:szCs w:val="21"/>
                <w:highlight w:val="none"/>
              </w:rPr>
            </w:pP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6815935A">
            <w:pPr>
              <w:jc w:val="center"/>
              <w:rPr>
                <w:rFonts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bidi="en-US"/>
              </w:rPr>
              <w:t>质量管理体系及保证措施</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49A8363">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分</w:t>
            </w:r>
          </w:p>
        </w:tc>
        <w:tc>
          <w:tcPr>
            <w:tcW w:w="3572" w:type="dxa"/>
            <w:tcBorders>
              <w:top w:val="single" w:color="auto" w:sz="4" w:space="0"/>
              <w:left w:val="single" w:color="auto" w:sz="4" w:space="0"/>
              <w:bottom w:val="single" w:color="auto" w:sz="4" w:space="0"/>
              <w:right w:val="single" w:color="auto" w:sz="4" w:space="0"/>
            </w:tcBorders>
            <w:noWrap w:val="0"/>
            <w:vAlign w:val="center"/>
          </w:tcPr>
          <w:p w14:paraId="31D56C2E">
            <w:pPr>
              <w:rPr>
                <w:rFonts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bidi="en-US"/>
              </w:rPr>
              <w:t>体系措施完整严密，且相应措施体系完善得当</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7E340D0F">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4.0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.0</w:t>
            </w:r>
          </w:p>
        </w:tc>
      </w:tr>
      <w:tr w14:paraId="3F8C18D6">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4002BD87">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316C7464">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36AF583A">
            <w:pPr>
              <w:jc w:val="center"/>
              <w:rPr>
                <w:rFonts w:ascii="Times New Roman" w:hAnsi="Times New Roman" w:eastAsia="宋体" w:cs="Times New Roman"/>
                <w:color w:val="000000"/>
                <w:kern w:val="28"/>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EC2614F">
            <w:pPr>
              <w:rPr>
                <w:rFonts w:hint="eastAsia" w:ascii="Times New Roman" w:hAnsi="Times New Roman" w:eastAsia="宋体" w:cs="Times New Roman"/>
                <w:color w:val="000000"/>
                <w:kern w:val="28"/>
                <w:sz w:val="21"/>
                <w:szCs w:val="21"/>
                <w:highlight w:val="none"/>
                <w:lang w:bidi="en-US"/>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53FBAF66">
            <w:pPr>
              <w:rPr>
                <w:rFonts w:hint="default" w:ascii="Times New Roman" w:hAnsi="Times New Roman" w:eastAsia="宋体" w:cs="Times New Roman"/>
                <w:color w:val="000000"/>
                <w:kern w:val="28"/>
                <w:sz w:val="21"/>
                <w:szCs w:val="21"/>
                <w:highlight w:val="none"/>
                <w:lang w:val="en-US" w:eastAsia="zh-CN"/>
              </w:rPr>
            </w:pPr>
            <w:r>
              <w:rPr>
                <w:rFonts w:hint="eastAsia" w:ascii="Times New Roman" w:hAnsi="Times New Roman" w:eastAsia="宋体" w:cs="Times New Roman"/>
                <w:color w:val="000000"/>
                <w:kern w:val="28"/>
                <w:sz w:val="21"/>
                <w:szCs w:val="21"/>
                <w:highlight w:val="none"/>
                <w:lang w:bidi="en-US"/>
              </w:rPr>
              <w:t>体系措施</w:t>
            </w:r>
            <w:r>
              <w:rPr>
                <w:rFonts w:hint="eastAsia" w:ascii="Times New Roman" w:hAnsi="Times New Roman" w:eastAsia="宋体" w:cs="Times New Roman"/>
                <w:color w:val="000000"/>
                <w:kern w:val="28"/>
                <w:sz w:val="21"/>
                <w:szCs w:val="21"/>
                <w:highlight w:val="none"/>
                <w:lang w:val="en-US" w:eastAsia="zh-CN" w:bidi="en-US"/>
              </w:rPr>
              <w:t>较完善</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370FFCA9">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3.0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4.0</w:t>
            </w:r>
          </w:p>
        </w:tc>
      </w:tr>
      <w:tr w14:paraId="0A49C371">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685B75A6">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30E50161">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1E59FB6B">
            <w:pPr>
              <w:jc w:val="center"/>
              <w:rPr>
                <w:rFonts w:ascii="Times New Roman" w:hAnsi="Times New Roman" w:eastAsia="宋体" w:cs="Times New Roman"/>
                <w:color w:val="000000"/>
                <w:kern w:val="28"/>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B5D5758">
            <w:pPr>
              <w:rPr>
                <w:rFonts w:hint="eastAsia" w:ascii="Times New Roman" w:hAnsi="Times New Roman" w:eastAsia="宋体" w:cs="Times New Roman"/>
                <w:color w:val="000000"/>
                <w:kern w:val="28"/>
                <w:sz w:val="21"/>
                <w:szCs w:val="21"/>
                <w:highlight w:val="none"/>
                <w:lang w:bidi="en-US"/>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75F6577A">
            <w:pPr>
              <w:rPr>
                <w:rFonts w:hint="eastAsia" w:ascii="Times New Roman" w:hAnsi="Times New Roman" w:eastAsia="宋体" w:cs="Times New Roman"/>
                <w:color w:val="000000"/>
                <w:kern w:val="28"/>
                <w:sz w:val="21"/>
                <w:szCs w:val="21"/>
                <w:highlight w:val="none"/>
                <w:lang w:eastAsia="zh-CN"/>
              </w:rPr>
            </w:pPr>
            <w:r>
              <w:rPr>
                <w:rFonts w:hint="eastAsia" w:ascii="Times New Roman" w:hAnsi="Times New Roman" w:eastAsia="宋体" w:cs="Times New Roman"/>
                <w:color w:val="000000"/>
                <w:kern w:val="28"/>
                <w:sz w:val="21"/>
                <w:szCs w:val="21"/>
                <w:highlight w:val="none"/>
                <w:lang w:bidi="en-US"/>
              </w:rPr>
              <w:t>体系措施</w:t>
            </w:r>
            <w:r>
              <w:rPr>
                <w:rFonts w:hint="eastAsia" w:ascii="Times New Roman" w:hAnsi="Times New Roman" w:eastAsia="宋体" w:cs="Times New Roman"/>
                <w:color w:val="000000"/>
                <w:kern w:val="28"/>
                <w:sz w:val="21"/>
                <w:szCs w:val="21"/>
                <w:highlight w:val="none"/>
                <w:lang w:val="en-US" w:eastAsia="zh-CN" w:bidi="en-US"/>
              </w:rPr>
              <w:t>一般</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04043596">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3.0</w:t>
            </w:r>
          </w:p>
        </w:tc>
      </w:tr>
      <w:tr w14:paraId="43414A0C">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66911EFA">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7CD88AAD">
            <w:pPr>
              <w:jc w:val="center"/>
              <w:rPr>
                <w:rFonts w:hint="eastAsia" w:ascii="Times New Roman" w:hAnsi="Times New Roman" w:eastAsia="宋体" w:cs="Times New Roman"/>
                <w:color w:val="000000"/>
                <w:kern w:val="28"/>
                <w:sz w:val="21"/>
                <w:szCs w:val="21"/>
                <w:highlight w:val="none"/>
              </w:rPr>
            </w:pPr>
          </w:p>
        </w:tc>
        <w:tc>
          <w:tcPr>
            <w:tcW w:w="1418" w:type="dxa"/>
            <w:vMerge w:val="restart"/>
            <w:tcBorders>
              <w:top w:val="single" w:color="auto" w:sz="4" w:space="0"/>
              <w:left w:val="nil"/>
              <w:bottom w:val="single" w:color="auto" w:sz="4" w:space="0"/>
              <w:right w:val="single" w:color="auto" w:sz="8" w:space="0"/>
            </w:tcBorders>
            <w:noWrap w:val="0"/>
            <w:vAlign w:val="center"/>
          </w:tcPr>
          <w:p w14:paraId="585EFE47">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bidi="en-US"/>
              </w:rPr>
              <w:t>安全生产管理体系及保证措施</w:t>
            </w:r>
          </w:p>
        </w:tc>
        <w:tc>
          <w:tcPr>
            <w:tcW w:w="1134" w:type="dxa"/>
            <w:vMerge w:val="restart"/>
            <w:tcBorders>
              <w:top w:val="single" w:color="auto" w:sz="4" w:space="0"/>
              <w:left w:val="single" w:color="auto" w:sz="8" w:space="0"/>
              <w:bottom w:val="single" w:color="auto" w:sz="4" w:space="0"/>
              <w:right w:val="single" w:color="auto" w:sz="4" w:space="0"/>
            </w:tcBorders>
            <w:noWrap w:val="0"/>
            <w:vAlign w:val="center"/>
          </w:tcPr>
          <w:p w14:paraId="5D013247">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分</w:t>
            </w:r>
          </w:p>
        </w:tc>
        <w:tc>
          <w:tcPr>
            <w:tcW w:w="3572" w:type="dxa"/>
            <w:tcBorders>
              <w:top w:val="single" w:color="auto" w:sz="4" w:space="0"/>
              <w:left w:val="single" w:color="auto" w:sz="4" w:space="0"/>
              <w:bottom w:val="single" w:color="auto" w:sz="4" w:space="0"/>
              <w:right w:val="single" w:color="auto" w:sz="4" w:space="0"/>
            </w:tcBorders>
            <w:noWrap w:val="0"/>
            <w:vAlign w:val="center"/>
          </w:tcPr>
          <w:p w14:paraId="4B3A6736">
            <w:pP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bidi="en-US"/>
              </w:rPr>
              <w:t>体系措施完整严密，且相应措施体系完善全面得当</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6920B75B">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4.0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.0</w:t>
            </w:r>
          </w:p>
        </w:tc>
      </w:tr>
      <w:tr w14:paraId="5B91D5F6">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14D2720F">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0EDF0897">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nil"/>
              <w:bottom w:val="single" w:color="auto" w:sz="4" w:space="0"/>
              <w:right w:val="single" w:color="auto" w:sz="8" w:space="0"/>
            </w:tcBorders>
            <w:noWrap w:val="0"/>
            <w:vAlign w:val="center"/>
          </w:tcPr>
          <w:p w14:paraId="2AB7D75C">
            <w:pPr>
              <w:jc w:val="center"/>
              <w:rPr>
                <w:rFonts w:hint="eastAsia" w:ascii="Times New Roman" w:hAnsi="Times New Roman" w:eastAsia="宋体" w:cs="Times New Roman"/>
                <w:color w:val="000000"/>
                <w:kern w:val="28"/>
                <w:sz w:val="21"/>
                <w:szCs w:val="21"/>
                <w:highlight w:val="none"/>
              </w:rPr>
            </w:pPr>
          </w:p>
        </w:tc>
        <w:tc>
          <w:tcPr>
            <w:tcW w:w="1134" w:type="dxa"/>
            <w:vMerge w:val="continue"/>
            <w:tcBorders>
              <w:top w:val="single" w:color="auto" w:sz="4" w:space="0"/>
              <w:left w:val="single" w:color="auto" w:sz="8" w:space="0"/>
              <w:bottom w:val="single" w:color="auto" w:sz="4" w:space="0"/>
              <w:right w:val="single" w:color="auto" w:sz="4" w:space="0"/>
            </w:tcBorders>
            <w:noWrap w:val="0"/>
            <w:vAlign w:val="center"/>
          </w:tcPr>
          <w:p w14:paraId="60D0F36C">
            <w:pPr>
              <w:rPr>
                <w:rFonts w:hint="eastAsia" w:ascii="Times New Roman" w:hAnsi="Times New Roman" w:eastAsia="宋体" w:cs="Times New Roman"/>
                <w:color w:val="000000"/>
                <w:kern w:val="28"/>
                <w:sz w:val="21"/>
                <w:szCs w:val="21"/>
                <w:highlight w:val="none"/>
                <w:lang w:bidi="en-US"/>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46C50BEC">
            <w:pPr>
              <w:rPr>
                <w:rFonts w:hint="eastAsia" w:ascii="Times New Roman" w:hAnsi="Times New Roman" w:eastAsia="宋体" w:cs="Times New Roman"/>
                <w:color w:val="000000"/>
                <w:kern w:val="28"/>
                <w:sz w:val="21"/>
                <w:szCs w:val="21"/>
                <w:highlight w:val="none"/>
                <w:lang w:eastAsia="zh-CN"/>
              </w:rPr>
            </w:pPr>
            <w:r>
              <w:rPr>
                <w:rFonts w:hint="eastAsia" w:ascii="Times New Roman" w:hAnsi="Times New Roman" w:eastAsia="宋体" w:cs="Times New Roman"/>
                <w:color w:val="000000"/>
                <w:kern w:val="28"/>
                <w:sz w:val="21"/>
                <w:szCs w:val="21"/>
                <w:highlight w:val="none"/>
                <w:lang w:bidi="en-US"/>
              </w:rPr>
              <w:t>体系措施</w:t>
            </w:r>
            <w:r>
              <w:rPr>
                <w:rFonts w:hint="eastAsia" w:ascii="Times New Roman" w:hAnsi="Times New Roman" w:eastAsia="宋体" w:cs="Times New Roman"/>
                <w:color w:val="000000"/>
                <w:kern w:val="28"/>
                <w:sz w:val="21"/>
                <w:szCs w:val="21"/>
                <w:highlight w:val="none"/>
                <w:lang w:val="en-US" w:eastAsia="zh-CN" w:bidi="en-US"/>
              </w:rPr>
              <w:t>较完善</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2D31C241">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3.0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4.0</w:t>
            </w:r>
          </w:p>
        </w:tc>
      </w:tr>
      <w:tr w14:paraId="64FC288D">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0243FDCB">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15C10316">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nil"/>
              <w:bottom w:val="single" w:color="auto" w:sz="4" w:space="0"/>
              <w:right w:val="single" w:color="auto" w:sz="8" w:space="0"/>
            </w:tcBorders>
            <w:noWrap w:val="0"/>
            <w:vAlign w:val="center"/>
          </w:tcPr>
          <w:p w14:paraId="450AC027">
            <w:pPr>
              <w:jc w:val="center"/>
              <w:rPr>
                <w:rFonts w:hint="eastAsia" w:ascii="Times New Roman" w:hAnsi="Times New Roman" w:eastAsia="宋体" w:cs="Times New Roman"/>
                <w:color w:val="000000"/>
                <w:kern w:val="28"/>
                <w:sz w:val="21"/>
                <w:szCs w:val="21"/>
                <w:highlight w:val="none"/>
              </w:rPr>
            </w:pPr>
          </w:p>
        </w:tc>
        <w:tc>
          <w:tcPr>
            <w:tcW w:w="1134" w:type="dxa"/>
            <w:vMerge w:val="continue"/>
            <w:tcBorders>
              <w:top w:val="single" w:color="auto" w:sz="4" w:space="0"/>
              <w:left w:val="single" w:color="auto" w:sz="8" w:space="0"/>
              <w:bottom w:val="single" w:color="auto" w:sz="4" w:space="0"/>
              <w:right w:val="single" w:color="auto" w:sz="4" w:space="0"/>
            </w:tcBorders>
            <w:noWrap w:val="0"/>
            <w:vAlign w:val="center"/>
          </w:tcPr>
          <w:p w14:paraId="33571C98">
            <w:pPr>
              <w:rPr>
                <w:rFonts w:hint="eastAsia" w:ascii="Times New Roman" w:hAnsi="Times New Roman" w:eastAsia="宋体" w:cs="Times New Roman"/>
                <w:color w:val="000000"/>
                <w:kern w:val="28"/>
                <w:sz w:val="21"/>
                <w:szCs w:val="21"/>
                <w:highlight w:val="none"/>
                <w:lang w:bidi="en-US"/>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4A792554">
            <w:pP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bidi="en-US"/>
              </w:rPr>
              <w:t>体系措施一般</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0696C61C">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3.0</w:t>
            </w:r>
          </w:p>
        </w:tc>
      </w:tr>
      <w:tr w14:paraId="06933517">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501B9CDF">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33EAB33C">
            <w:pPr>
              <w:jc w:val="center"/>
              <w:rPr>
                <w:rFonts w:hint="eastAsia" w:ascii="Times New Roman" w:hAnsi="Times New Roman" w:eastAsia="宋体" w:cs="Times New Roman"/>
                <w:color w:val="000000"/>
                <w:kern w:val="28"/>
                <w:sz w:val="21"/>
                <w:szCs w:val="21"/>
                <w:highlight w:val="none"/>
              </w:rPr>
            </w:pPr>
          </w:p>
        </w:tc>
        <w:tc>
          <w:tcPr>
            <w:tcW w:w="1418" w:type="dxa"/>
            <w:vMerge w:val="restart"/>
            <w:tcBorders>
              <w:top w:val="single" w:color="auto" w:sz="4" w:space="0"/>
              <w:left w:val="nil"/>
              <w:bottom w:val="single" w:color="auto" w:sz="4" w:space="0"/>
              <w:right w:val="single" w:color="auto" w:sz="8" w:space="0"/>
            </w:tcBorders>
            <w:noWrap w:val="0"/>
            <w:vAlign w:val="center"/>
          </w:tcPr>
          <w:p w14:paraId="5CC65F41">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rPr>
              <w:t>环境保护、水土保持、文明施工保证措施</w:t>
            </w:r>
          </w:p>
        </w:tc>
        <w:tc>
          <w:tcPr>
            <w:tcW w:w="1134" w:type="dxa"/>
            <w:vMerge w:val="restart"/>
            <w:tcBorders>
              <w:top w:val="single" w:color="auto" w:sz="4" w:space="0"/>
              <w:left w:val="single" w:color="auto" w:sz="8" w:space="0"/>
              <w:bottom w:val="single" w:color="auto" w:sz="4" w:space="0"/>
              <w:right w:val="single" w:color="auto" w:sz="4" w:space="0"/>
            </w:tcBorders>
            <w:noWrap w:val="0"/>
            <w:vAlign w:val="center"/>
          </w:tcPr>
          <w:p w14:paraId="3B3360D1">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分</w:t>
            </w:r>
          </w:p>
        </w:tc>
        <w:tc>
          <w:tcPr>
            <w:tcW w:w="3572" w:type="dxa"/>
            <w:tcBorders>
              <w:top w:val="single" w:color="auto" w:sz="4" w:space="0"/>
              <w:left w:val="single" w:color="auto" w:sz="4" w:space="0"/>
              <w:bottom w:val="single" w:color="auto" w:sz="4" w:space="0"/>
              <w:right w:val="single" w:color="auto" w:sz="4" w:space="0"/>
            </w:tcBorders>
            <w:noWrap w:val="0"/>
            <w:vAlign w:val="center"/>
          </w:tcPr>
          <w:p w14:paraId="6CC83AEF">
            <w:pP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bidi="en-US"/>
              </w:rPr>
              <w:t>保证</w:t>
            </w:r>
            <w:r>
              <w:rPr>
                <w:rFonts w:hint="eastAsia" w:ascii="Times New Roman" w:hAnsi="Times New Roman" w:eastAsia="宋体" w:cs="Times New Roman"/>
                <w:color w:val="000000"/>
                <w:kern w:val="28"/>
                <w:sz w:val="21"/>
                <w:szCs w:val="21"/>
                <w:highlight w:val="none"/>
                <w:lang w:bidi="en-US"/>
              </w:rPr>
              <w:t>措施完整严密，且相应措施体系完善全面得当</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63AD805A">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4.0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.0</w:t>
            </w:r>
          </w:p>
        </w:tc>
      </w:tr>
      <w:tr w14:paraId="38D29CBE">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6FC358BD">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574430A2">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nil"/>
              <w:bottom w:val="single" w:color="auto" w:sz="4" w:space="0"/>
              <w:right w:val="single" w:color="auto" w:sz="8" w:space="0"/>
            </w:tcBorders>
            <w:noWrap w:val="0"/>
            <w:vAlign w:val="center"/>
          </w:tcPr>
          <w:p w14:paraId="49F8627B">
            <w:pPr>
              <w:jc w:val="center"/>
              <w:rPr>
                <w:rFonts w:hint="eastAsia" w:ascii="Times New Roman" w:hAnsi="Times New Roman" w:eastAsia="宋体" w:cs="Times New Roman"/>
                <w:color w:val="000000"/>
                <w:kern w:val="28"/>
                <w:sz w:val="21"/>
                <w:szCs w:val="21"/>
                <w:highlight w:val="none"/>
              </w:rPr>
            </w:pPr>
          </w:p>
        </w:tc>
        <w:tc>
          <w:tcPr>
            <w:tcW w:w="1134" w:type="dxa"/>
            <w:vMerge w:val="continue"/>
            <w:tcBorders>
              <w:top w:val="single" w:color="auto" w:sz="4" w:space="0"/>
              <w:left w:val="single" w:color="auto" w:sz="8" w:space="0"/>
              <w:bottom w:val="single" w:color="auto" w:sz="4" w:space="0"/>
              <w:right w:val="single" w:color="auto" w:sz="4" w:space="0"/>
            </w:tcBorders>
            <w:noWrap w:val="0"/>
            <w:vAlign w:val="center"/>
          </w:tcPr>
          <w:p w14:paraId="13706B9D">
            <w:pPr>
              <w:rPr>
                <w:rFonts w:hint="eastAsia" w:ascii="Times New Roman" w:hAnsi="Times New Roman" w:eastAsia="宋体" w:cs="Times New Roman"/>
                <w:color w:val="000000"/>
                <w:kern w:val="28"/>
                <w:sz w:val="21"/>
                <w:szCs w:val="21"/>
                <w:highlight w:val="none"/>
                <w:lang w:bidi="en-US"/>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3A12957A">
            <w:pPr>
              <w:rPr>
                <w:rFonts w:hint="default" w:ascii="Times New Roman" w:hAnsi="Times New Roman" w:eastAsia="宋体" w:cs="Times New Roman"/>
                <w:color w:val="000000"/>
                <w:kern w:val="28"/>
                <w:sz w:val="21"/>
                <w:szCs w:val="21"/>
                <w:highlight w:val="none"/>
                <w:lang w:val="en-US" w:eastAsia="zh-CN"/>
              </w:rPr>
            </w:pPr>
            <w:r>
              <w:rPr>
                <w:rFonts w:hint="eastAsia" w:ascii="Times New Roman" w:hAnsi="Times New Roman" w:eastAsia="宋体" w:cs="Times New Roman"/>
                <w:color w:val="000000"/>
                <w:kern w:val="28"/>
                <w:sz w:val="21"/>
                <w:szCs w:val="21"/>
                <w:highlight w:val="none"/>
                <w:lang w:val="en-US" w:eastAsia="zh-CN" w:bidi="en-US"/>
              </w:rPr>
              <w:t>保证</w:t>
            </w:r>
            <w:r>
              <w:rPr>
                <w:rFonts w:hint="eastAsia" w:ascii="Times New Roman" w:hAnsi="Times New Roman" w:eastAsia="宋体" w:cs="Times New Roman"/>
                <w:color w:val="000000"/>
                <w:kern w:val="28"/>
                <w:sz w:val="21"/>
                <w:szCs w:val="21"/>
                <w:highlight w:val="none"/>
                <w:lang w:bidi="en-US"/>
              </w:rPr>
              <w:t>措施</w:t>
            </w:r>
            <w:r>
              <w:rPr>
                <w:rFonts w:hint="eastAsia" w:ascii="Times New Roman" w:hAnsi="Times New Roman" w:eastAsia="宋体" w:cs="Times New Roman"/>
                <w:color w:val="000000"/>
                <w:kern w:val="28"/>
                <w:sz w:val="21"/>
                <w:szCs w:val="21"/>
                <w:highlight w:val="none"/>
                <w:lang w:val="en-US" w:eastAsia="zh-CN" w:bidi="en-US"/>
              </w:rPr>
              <w:t>较完善</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3F8F5DD7">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3.0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4.0</w:t>
            </w:r>
          </w:p>
        </w:tc>
      </w:tr>
      <w:tr w14:paraId="31DFAE85">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06609A20">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12B02787">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nil"/>
              <w:bottom w:val="single" w:color="auto" w:sz="4" w:space="0"/>
              <w:right w:val="single" w:color="auto" w:sz="8" w:space="0"/>
            </w:tcBorders>
            <w:noWrap w:val="0"/>
            <w:vAlign w:val="center"/>
          </w:tcPr>
          <w:p w14:paraId="568F96B5">
            <w:pPr>
              <w:jc w:val="center"/>
              <w:rPr>
                <w:rFonts w:hint="eastAsia" w:ascii="Times New Roman" w:hAnsi="Times New Roman" w:eastAsia="宋体" w:cs="Times New Roman"/>
                <w:color w:val="000000"/>
                <w:kern w:val="28"/>
                <w:sz w:val="21"/>
                <w:szCs w:val="21"/>
                <w:highlight w:val="none"/>
              </w:rPr>
            </w:pPr>
          </w:p>
        </w:tc>
        <w:tc>
          <w:tcPr>
            <w:tcW w:w="1134" w:type="dxa"/>
            <w:vMerge w:val="continue"/>
            <w:tcBorders>
              <w:top w:val="single" w:color="auto" w:sz="4" w:space="0"/>
              <w:left w:val="single" w:color="auto" w:sz="8" w:space="0"/>
              <w:bottom w:val="single" w:color="auto" w:sz="4" w:space="0"/>
              <w:right w:val="single" w:color="auto" w:sz="4" w:space="0"/>
            </w:tcBorders>
            <w:noWrap w:val="0"/>
            <w:vAlign w:val="center"/>
          </w:tcPr>
          <w:p w14:paraId="3805C30A">
            <w:pPr>
              <w:rPr>
                <w:rFonts w:hint="eastAsia" w:ascii="Times New Roman" w:hAnsi="Times New Roman" w:eastAsia="宋体" w:cs="Times New Roman"/>
                <w:color w:val="000000"/>
                <w:kern w:val="28"/>
                <w:sz w:val="21"/>
                <w:szCs w:val="21"/>
                <w:highlight w:val="none"/>
                <w:lang w:bidi="en-US"/>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54B4417D">
            <w:pP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bidi="en-US"/>
              </w:rPr>
              <w:t>保证</w:t>
            </w:r>
            <w:r>
              <w:rPr>
                <w:rFonts w:hint="eastAsia" w:ascii="Times New Roman" w:hAnsi="Times New Roman" w:eastAsia="宋体" w:cs="Times New Roman"/>
                <w:color w:val="000000"/>
                <w:kern w:val="28"/>
                <w:sz w:val="21"/>
                <w:szCs w:val="21"/>
                <w:highlight w:val="none"/>
                <w:lang w:bidi="en-US"/>
              </w:rPr>
              <w:t>措施一般</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0754D775">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3.0</w:t>
            </w:r>
          </w:p>
        </w:tc>
      </w:tr>
      <w:tr w14:paraId="5B745A69">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257B382A">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4FF2752D">
            <w:pPr>
              <w:jc w:val="center"/>
              <w:rPr>
                <w:rFonts w:hint="eastAsia" w:ascii="Times New Roman" w:hAnsi="Times New Roman" w:eastAsia="宋体" w:cs="Times New Roman"/>
                <w:color w:val="000000"/>
                <w:kern w:val="28"/>
                <w:sz w:val="21"/>
                <w:szCs w:val="21"/>
                <w:highlight w:val="none"/>
              </w:rPr>
            </w:pPr>
          </w:p>
        </w:tc>
        <w:tc>
          <w:tcPr>
            <w:tcW w:w="1418" w:type="dxa"/>
            <w:vMerge w:val="restart"/>
            <w:tcBorders>
              <w:top w:val="single" w:color="auto" w:sz="4" w:space="0"/>
              <w:left w:val="nil"/>
              <w:bottom w:val="single" w:color="auto" w:sz="4" w:space="0"/>
              <w:right w:val="single" w:color="auto" w:sz="4" w:space="0"/>
            </w:tcBorders>
            <w:noWrap w:val="0"/>
            <w:vAlign w:val="center"/>
          </w:tcPr>
          <w:p w14:paraId="32FE58AC">
            <w:pPr>
              <w:jc w:val="center"/>
              <w:rPr>
                <w:rFonts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bidi="en-US"/>
              </w:rPr>
              <w:t>项目风险预测与防范及应急预案</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11097C76">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分</w:t>
            </w:r>
          </w:p>
        </w:tc>
        <w:tc>
          <w:tcPr>
            <w:tcW w:w="3572" w:type="dxa"/>
            <w:tcBorders>
              <w:top w:val="single" w:color="auto" w:sz="4" w:space="0"/>
              <w:left w:val="single" w:color="auto" w:sz="4" w:space="0"/>
              <w:bottom w:val="single" w:color="auto" w:sz="4" w:space="0"/>
              <w:right w:val="single" w:color="auto" w:sz="4" w:space="0"/>
            </w:tcBorders>
            <w:noWrap w:val="0"/>
            <w:vAlign w:val="center"/>
          </w:tcPr>
          <w:p w14:paraId="42036741">
            <w:pPr>
              <w:rPr>
                <w:rFonts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bidi="en-US"/>
              </w:rPr>
              <w:t>有全面合理的应急预案，且相应预测与防范完善得当</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12B7E32C">
            <w:pPr>
              <w:jc w:val="center"/>
              <w:rPr>
                <w:rFonts w:hint="eastAsia" w:ascii="Times New Roman" w:hAnsi="Times New Roman" w:eastAsia="宋体" w:cs="Times New Roman"/>
                <w:strike w:val="0"/>
                <w:color w:val="000000"/>
                <w:kern w:val="28"/>
                <w:sz w:val="21"/>
                <w:szCs w:val="21"/>
                <w:highlight w:val="none"/>
                <w:u w:val="none"/>
              </w:rPr>
            </w:pPr>
            <w:r>
              <w:rPr>
                <w:rFonts w:hint="eastAsia" w:ascii="Times New Roman" w:hAnsi="Times New Roman" w:eastAsia="宋体" w:cs="Times New Roman"/>
                <w:color w:val="000000"/>
                <w:kern w:val="28"/>
                <w:sz w:val="21"/>
                <w:szCs w:val="21"/>
                <w:highlight w:val="none"/>
                <w:lang w:val="en-US" w:eastAsia="zh-CN"/>
              </w:rPr>
              <w:t>4.0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.0</w:t>
            </w:r>
          </w:p>
        </w:tc>
      </w:tr>
      <w:tr w14:paraId="67D5087B">
        <w:tblPrEx>
          <w:tblCellMar>
            <w:top w:w="0" w:type="dxa"/>
            <w:left w:w="108" w:type="dxa"/>
            <w:bottom w:w="0" w:type="dxa"/>
            <w:right w:w="108" w:type="dxa"/>
          </w:tblCellMar>
        </w:tblPrEx>
        <w:trPr>
          <w:trHeight w:val="290" w:hRule="atLeast"/>
          <w:jc w:val="center"/>
        </w:trPr>
        <w:tc>
          <w:tcPr>
            <w:tcW w:w="817" w:type="dxa"/>
            <w:vMerge w:val="continue"/>
            <w:tcBorders>
              <w:left w:val="single" w:color="auto" w:sz="8" w:space="0"/>
              <w:right w:val="single" w:color="auto" w:sz="4" w:space="0"/>
            </w:tcBorders>
            <w:noWrap w:val="0"/>
            <w:vAlign w:val="center"/>
          </w:tcPr>
          <w:p w14:paraId="680994A0">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34E2F878">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nil"/>
              <w:bottom w:val="single" w:color="auto" w:sz="4" w:space="0"/>
              <w:right w:val="single" w:color="auto" w:sz="4" w:space="0"/>
            </w:tcBorders>
            <w:noWrap w:val="0"/>
            <w:vAlign w:val="center"/>
          </w:tcPr>
          <w:p w14:paraId="1DC77DFD">
            <w:pPr>
              <w:jc w:val="center"/>
              <w:rPr>
                <w:rFonts w:hint="eastAsia" w:ascii="Times New Roman" w:hAnsi="Times New Roman" w:eastAsia="宋体" w:cs="Times New Roman"/>
                <w:color w:val="000000"/>
                <w:kern w:val="28"/>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D72C293">
            <w:pPr>
              <w:rPr>
                <w:rFonts w:hint="eastAsia" w:ascii="Times New Roman" w:hAnsi="Times New Roman" w:eastAsia="宋体" w:cs="Times New Roman"/>
                <w:color w:val="000000"/>
                <w:kern w:val="28"/>
                <w:sz w:val="21"/>
                <w:szCs w:val="21"/>
                <w:highlight w:val="none"/>
                <w:lang w:bidi="en-US"/>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4773FD46">
            <w:pPr>
              <w:rPr>
                <w:rFonts w:hint="default" w:ascii="Times New Roman" w:hAnsi="Times New Roman" w:eastAsia="宋体" w:cs="Times New Roman"/>
                <w:color w:val="000000"/>
                <w:kern w:val="28"/>
                <w:sz w:val="21"/>
                <w:szCs w:val="21"/>
                <w:highlight w:val="none"/>
                <w:lang w:val="en-US" w:eastAsia="zh-CN"/>
              </w:rPr>
            </w:pPr>
            <w:r>
              <w:rPr>
                <w:rFonts w:hint="eastAsia" w:ascii="Times New Roman" w:hAnsi="Times New Roman" w:eastAsia="宋体" w:cs="Times New Roman"/>
                <w:color w:val="000000"/>
                <w:kern w:val="28"/>
                <w:sz w:val="21"/>
                <w:szCs w:val="21"/>
                <w:highlight w:val="none"/>
                <w:lang w:bidi="en-US"/>
              </w:rPr>
              <w:t>应急预案</w:t>
            </w:r>
            <w:r>
              <w:rPr>
                <w:rFonts w:hint="eastAsia" w:ascii="Times New Roman" w:hAnsi="Times New Roman" w:eastAsia="宋体" w:cs="Times New Roman"/>
                <w:color w:val="000000"/>
                <w:kern w:val="28"/>
                <w:sz w:val="21"/>
                <w:szCs w:val="21"/>
                <w:highlight w:val="none"/>
                <w:lang w:val="en-US" w:eastAsia="zh-CN" w:bidi="en-US"/>
              </w:rPr>
              <w:t>较合理</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7FB0224D">
            <w:pPr>
              <w:jc w:val="center"/>
              <w:rPr>
                <w:rFonts w:hint="eastAsia" w:ascii="Times New Roman" w:hAnsi="Times New Roman" w:eastAsia="宋体" w:cs="Times New Roman"/>
                <w:strike w:val="0"/>
                <w:color w:val="000000"/>
                <w:kern w:val="28"/>
                <w:sz w:val="21"/>
                <w:szCs w:val="21"/>
                <w:highlight w:val="none"/>
                <w:u w:val="none"/>
              </w:rPr>
            </w:pPr>
            <w:r>
              <w:rPr>
                <w:rFonts w:hint="eastAsia" w:ascii="Times New Roman" w:hAnsi="Times New Roman" w:eastAsia="宋体" w:cs="Times New Roman"/>
                <w:color w:val="000000"/>
                <w:kern w:val="28"/>
                <w:sz w:val="21"/>
                <w:szCs w:val="21"/>
                <w:highlight w:val="none"/>
                <w:lang w:val="en-US" w:eastAsia="zh-CN"/>
              </w:rPr>
              <w:t>3.0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4.0</w:t>
            </w:r>
          </w:p>
        </w:tc>
      </w:tr>
      <w:tr w14:paraId="7CAAE5C4">
        <w:tblPrEx>
          <w:tblCellMar>
            <w:top w:w="0" w:type="dxa"/>
            <w:left w:w="108" w:type="dxa"/>
            <w:bottom w:w="0" w:type="dxa"/>
            <w:right w:w="108" w:type="dxa"/>
          </w:tblCellMar>
        </w:tblPrEx>
        <w:trPr>
          <w:trHeight w:val="380" w:hRule="atLeast"/>
          <w:jc w:val="center"/>
        </w:trPr>
        <w:tc>
          <w:tcPr>
            <w:tcW w:w="817" w:type="dxa"/>
            <w:vMerge w:val="continue"/>
            <w:tcBorders>
              <w:left w:val="single" w:color="auto" w:sz="8" w:space="0"/>
              <w:right w:val="single" w:color="auto" w:sz="4" w:space="0"/>
            </w:tcBorders>
            <w:noWrap w:val="0"/>
            <w:vAlign w:val="center"/>
          </w:tcPr>
          <w:p w14:paraId="62A8C3F8">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192BD590">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nil"/>
              <w:bottom w:val="single" w:color="auto" w:sz="4" w:space="0"/>
              <w:right w:val="single" w:color="auto" w:sz="4" w:space="0"/>
            </w:tcBorders>
            <w:noWrap w:val="0"/>
            <w:vAlign w:val="center"/>
          </w:tcPr>
          <w:p w14:paraId="25E83A1D">
            <w:pPr>
              <w:jc w:val="center"/>
              <w:rPr>
                <w:rFonts w:hint="eastAsia" w:ascii="Times New Roman" w:hAnsi="Times New Roman" w:eastAsia="宋体" w:cs="Times New Roman"/>
                <w:color w:val="000000"/>
                <w:kern w:val="28"/>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5D02C17">
            <w:pPr>
              <w:rPr>
                <w:rFonts w:hint="eastAsia" w:ascii="Times New Roman" w:hAnsi="Times New Roman" w:eastAsia="宋体" w:cs="Times New Roman"/>
                <w:color w:val="000000"/>
                <w:kern w:val="28"/>
                <w:sz w:val="21"/>
                <w:szCs w:val="21"/>
                <w:highlight w:val="none"/>
                <w:lang w:bidi="en-US"/>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48875BC0">
            <w:pPr>
              <w:rPr>
                <w:rFonts w:hint="default" w:ascii="Times New Roman" w:hAnsi="Times New Roman" w:eastAsia="宋体" w:cs="Times New Roman"/>
                <w:color w:val="000000"/>
                <w:kern w:val="28"/>
                <w:sz w:val="21"/>
                <w:szCs w:val="21"/>
                <w:highlight w:val="none"/>
                <w:lang w:val="en-US" w:eastAsia="zh-CN"/>
              </w:rPr>
            </w:pPr>
            <w:r>
              <w:rPr>
                <w:rFonts w:hint="eastAsia" w:ascii="Times New Roman" w:hAnsi="Times New Roman" w:eastAsia="宋体" w:cs="Times New Roman"/>
                <w:color w:val="000000"/>
                <w:kern w:val="28"/>
                <w:sz w:val="21"/>
                <w:szCs w:val="21"/>
                <w:highlight w:val="none"/>
                <w:lang w:bidi="en-US"/>
              </w:rPr>
              <w:t>应急预案</w:t>
            </w:r>
            <w:r>
              <w:rPr>
                <w:rFonts w:hint="eastAsia" w:ascii="Times New Roman" w:hAnsi="Times New Roman" w:eastAsia="宋体" w:cs="Times New Roman"/>
                <w:color w:val="000000"/>
                <w:kern w:val="28"/>
                <w:sz w:val="21"/>
                <w:szCs w:val="21"/>
                <w:highlight w:val="none"/>
                <w:lang w:val="en-US" w:eastAsia="zh-CN" w:bidi="en-US"/>
              </w:rPr>
              <w:t>基本满足要求</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2A8B7468">
            <w:pPr>
              <w:jc w:val="center"/>
              <w:rPr>
                <w:rFonts w:hint="eastAsia" w:ascii="Times New Roman" w:hAnsi="Times New Roman" w:eastAsia="宋体" w:cs="Times New Roman"/>
                <w:strike w:val="0"/>
                <w:color w:val="000000"/>
                <w:kern w:val="28"/>
                <w:sz w:val="21"/>
                <w:szCs w:val="21"/>
                <w:highlight w:val="none"/>
                <w:u w:val="none"/>
              </w:rPr>
            </w:pPr>
            <w:r>
              <w:rPr>
                <w:rFonts w:hint="eastAsia" w:ascii="Times New Roman" w:hAnsi="Times New Roman" w:eastAsia="宋体" w:cs="Times New Roman"/>
                <w:color w:val="000000"/>
                <w:kern w:val="28"/>
                <w:sz w:val="21"/>
                <w:szCs w:val="21"/>
                <w:highlight w:val="none"/>
                <w:lang w:val="en-US" w:eastAsia="zh-CN"/>
              </w:rPr>
              <w:t>3.0</w:t>
            </w:r>
          </w:p>
        </w:tc>
      </w:tr>
      <w:tr w14:paraId="7F7BD6D1">
        <w:tblPrEx>
          <w:tblCellMar>
            <w:top w:w="0" w:type="dxa"/>
            <w:left w:w="108" w:type="dxa"/>
            <w:bottom w:w="0" w:type="dxa"/>
            <w:right w:w="108" w:type="dxa"/>
          </w:tblCellMar>
        </w:tblPrEx>
        <w:trPr>
          <w:trHeight w:val="241" w:hRule="atLeast"/>
          <w:jc w:val="center"/>
        </w:trPr>
        <w:tc>
          <w:tcPr>
            <w:tcW w:w="817" w:type="dxa"/>
            <w:vMerge w:val="continue"/>
            <w:tcBorders>
              <w:left w:val="single" w:color="auto" w:sz="8" w:space="0"/>
              <w:right w:val="single" w:color="auto" w:sz="4" w:space="0"/>
            </w:tcBorders>
            <w:noWrap w:val="0"/>
            <w:vAlign w:val="center"/>
          </w:tcPr>
          <w:p w14:paraId="75C5FA12">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70CA064D">
            <w:pPr>
              <w:jc w:val="center"/>
              <w:rPr>
                <w:rFonts w:hint="eastAsia" w:ascii="Times New Roman" w:hAnsi="Times New Roman" w:eastAsia="宋体" w:cs="Times New Roman"/>
                <w:color w:val="000000"/>
                <w:kern w:val="28"/>
                <w:sz w:val="21"/>
                <w:szCs w:val="21"/>
                <w:highlight w:val="none"/>
              </w:rPr>
            </w:pPr>
          </w:p>
        </w:tc>
        <w:tc>
          <w:tcPr>
            <w:tcW w:w="1418" w:type="dxa"/>
            <w:vMerge w:val="restart"/>
            <w:tcBorders>
              <w:top w:val="single" w:color="auto" w:sz="4" w:space="0"/>
              <w:left w:val="nil"/>
              <w:bottom w:val="single" w:color="auto" w:sz="4" w:space="0"/>
              <w:right w:val="single" w:color="auto" w:sz="4" w:space="0"/>
            </w:tcBorders>
            <w:noWrap w:val="0"/>
            <w:vAlign w:val="center"/>
          </w:tcPr>
          <w:p w14:paraId="6101FFE8">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交通组织方案</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6A6079B6">
            <w:pPr>
              <w:jc w:val="center"/>
              <w:rPr>
                <w:rFonts w:hint="eastAsia" w:ascii="Times New Roman" w:hAnsi="Times New Roman" w:eastAsia="宋体" w:cs="Times New Roman"/>
                <w:color w:val="000000"/>
                <w:kern w:val="28"/>
                <w:sz w:val="21"/>
                <w:szCs w:val="21"/>
                <w:highlight w:val="none"/>
                <w:lang w:bidi="en-US"/>
              </w:rPr>
            </w:pP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分</w:t>
            </w:r>
          </w:p>
        </w:tc>
        <w:tc>
          <w:tcPr>
            <w:tcW w:w="3572" w:type="dxa"/>
            <w:tcBorders>
              <w:top w:val="single" w:color="auto" w:sz="4" w:space="0"/>
              <w:left w:val="single" w:color="auto" w:sz="4" w:space="0"/>
              <w:bottom w:val="single" w:color="auto" w:sz="4" w:space="0"/>
              <w:right w:val="single" w:color="auto" w:sz="4" w:space="0"/>
            </w:tcBorders>
            <w:noWrap w:val="0"/>
            <w:vAlign w:val="center"/>
          </w:tcPr>
          <w:p w14:paraId="2026A35E">
            <w:pPr>
              <w:rPr>
                <w:rFonts w:hint="eastAsia" w:ascii="Times New Roman" w:hAnsi="Times New Roman" w:eastAsia="宋体" w:cs="Times New Roman"/>
                <w:color w:val="000000"/>
                <w:kern w:val="28"/>
                <w:sz w:val="21"/>
                <w:szCs w:val="21"/>
                <w:highlight w:val="none"/>
                <w:lang w:bidi="en-US"/>
              </w:rPr>
            </w:pPr>
            <w:r>
              <w:rPr>
                <w:rFonts w:hint="eastAsia" w:ascii="Times New Roman" w:hAnsi="Times New Roman" w:eastAsia="宋体" w:cs="Times New Roman"/>
                <w:color w:val="000000"/>
                <w:kern w:val="28"/>
                <w:sz w:val="21"/>
                <w:szCs w:val="21"/>
                <w:highlight w:val="none"/>
                <w:lang w:val="en-US" w:eastAsia="zh-CN" w:bidi="en-US"/>
              </w:rPr>
              <w:t>方案合理、完善</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62F1C730">
            <w:pPr>
              <w:jc w:val="center"/>
              <w:rPr>
                <w:rFonts w:hint="eastAsia" w:ascii="Times New Roman" w:hAnsi="Times New Roman" w:eastAsia="宋体" w:cs="Times New Roman"/>
                <w:strike w:val="0"/>
                <w:color w:val="000000"/>
                <w:kern w:val="28"/>
                <w:sz w:val="21"/>
                <w:szCs w:val="21"/>
                <w:highlight w:val="none"/>
                <w:u w:val="none"/>
                <w:lang w:val="en-US" w:eastAsia="zh-CN"/>
              </w:rPr>
            </w:pPr>
            <w:r>
              <w:rPr>
                <w:rFonts w:hint="eastAsia" w:ascii="Times New Roman" w:hAnsi="Times New Roman" w:eastAsia="宋体" w:cs="Times New Roman"/>
                <w:color w:val="000000"/>
                <w:kern w:val="28"/>
                <w:sz w:val="21"/>
                <w:szCs w:val="21"/>
                <w:highlight w:val="none"/>
                <w:lang w:val="en-US" w:eastAsia="zh-CN"/>
              </w:rPr>
              <w:t>4.0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5</w:t>
            </w:r>
            <w:r>
              <w:rPr>
                <w:rFonts w:hint="eastAsia" w:ascii="Times New Roman" w:hAnsi="Times New Roman" w:eastAsia="宋体" w:cs="Times New Roman"/>
                <w:color w:val="000000"/>
                <w:kern w:val="28"/>
                <w:sz w:val="21"/>
                <w:szCs w:val="21"/>
                <w:highlight w:val="none"/>
              </w:rPr>
              <w:t>.0</w:t>
            </w:r>
          </w:p>
        </w:tc>
      </w:tr>
      <w:tr w14:paraId="5C9209F0">
        <w:tblPrEx>
          <w:tblCellMar>
            <w:top w:w="0" w:type="dxa"/>
            <w:left w:w="108" w:type="dxa"/>
            <w:bottom w:w="0" w:type="dxa"/>
            <w:right w:w="108" w:type="dxa"/>
          </w:tblCellMar>
        </w:tblPrEx>
        <w:trPr>
          <w:trHeight w:val="240" w:hRule="atLeast"/>
          <w:jc w:val="center"/>
        </w:trPr>
        <w:tc>
          <w:tcPr>
            <w:tcW w:w="817" w:type="dxa"/>
            <w:vMerge w:val="continue"/>
            <w:tcBorders>
              <w:left w:val="single" w:color="auto" w:sz="8" w:space="0"/>
              <w:right w:val="single" w:color="auto" w:sz="4" w:space="0"/>
            </w:tcBorders>
            <w:noWrap w:val="0"/>
            <w:vAlign w:val="center"/>
          </w:tcPr>
          <w:p w14:paraId="3094E8F5">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0C6BB271">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nil"/>
              <w:bottom w:val="single" w:color="auto" w:sz="4" w:space="0"/>
              <w:right w:val="single" w:color="auto" w:sz="4" w:space="0"/>
            </w:tcBorders>
            <w:noWrap w:val="0"/>
            <w:vAlign w:val="center"/>
          </w:tcPr>
          <w:p w14:paraId="03884F62">
            <w:pPr>
              <w:jc w:val="center"/>
              <w:rPr>
                <w:rFonts w:hint="eastAsia" w:ascii="Times New Roman" w:hAnsi="Times New Roman" w:eastAsia="宋体" w:cs="Times New Roman"/>
                <w:color w:val="000000"/>
                <w:kern w:val="28"/>
                <w:sz w:val="21"/>
                <w:szCs w:val="21"/>
                <w:highlight w:val="none"/>
                <w:lang w:val="en-US" w:eastAsia="zh-CN"/>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690756">
            <w:pPr>
              <w:jc w:val="center"/>
              <w:rPr>
                <w:rFonts w:hint="eastAsia" w:ascii="Times New Roman" w:hAnsi="Times New Roman" w:eastAsia="宋体" w:cs="Times New Roman"/>
                <w:color w:val="000000"/>
                <w:kern w:val="28"/>
                <w:sz w:val="21"/>
                <w:szCs w:val="21"/>
                <w:highlight w:val="none"/>
                <w:lang w:val="en-US" w:eastAsia="zh-CN"/>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73981E8D">
            <w:pPr>
              <w:rPr>
                <w:rFonts w:hint="default" w:ascii="Times New Roman" w:hAnsi="Times New Roman" w:eastAsia="宋体" w:cs="Times New Roman"/>
                <w:color w:val="000000"/>
                <w:kern w:val="28"/>
                <w:sz w:val="21"/>
                <w:szCs w:val="21"/>
                <w:highlight w:val="none"/>
                <w:lang w:val="en-US" w:eastAsia="zh-CN" w:bidi="en-US"/>
              </w:rPr>
            </w:pPr>
            <w:r>
              <w:rPr>
                <w:rFonts w:hint="eastAsia" w:ascii="Times New Roman" w:hAnsi="Times New Roman" w:eastAsia="宋体" w:cs="Times New Roman"/>
                <w:color w:val="000000"/>
                <w:kern w:val="28"/>
                <w:sz w:val="21"/>
                <w:szCs w:val="21"/>
                <w:highlight w:val="none"/>
                <w:lang w:val="en-US" w:eastAsia="zh-CN" w:bidi="en-US"/>
              </w:rPr>
              <w:t>方案较合理、较完善</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7D8A01E0">
            <w:pPr>
              <w:jc w:val="center"/>
              <w:rPr>
                <w:rFonts w:hint="eastAsia" w:ascii="Times New Roman" w:hAnsi="Times New Roman" w:eastAsia="宋体" w:cs="Times New Roman"/>
                <w:strike w:val="0"/>
                <w:color w:val="000000"/>
                <w:kern w:val="28"/>
                <w:sz w:val="21"/>
                <w:szCs w:val="21"/>
                <w:highlight w:val="none"/>
                <w:u w:val="none"/>
                <w:lang w:val="en-US" w:eastAsia="zh-CN"/>
              </w:rPr>
            </w:pPr>
            <w:r>
              <w:rPr>
                <w:rFonts w:hint="eastAsia" w:ascii="Times New Roman" w:hAnsi="Times New Roman" w:eastAsia="宋体" w:cs="Times New Roman"/>
                <w:color w:val="000000"/>
                <w:kern w:val="28"/>
                <w:sz w:val="21"/>
                <w:szCs w:val="21"/>
                <w:highlight w:val="none"/>
                <w:lang w:val="en-US" w:eastAsia="zh-CN"/>
              </w:rPr>
              <w:t>3.0</w:t>
            </w: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4.0</w:t>
            </w:r>
          </w:p>
        </w:tc>
      </w:tr>
      <w:tr w14:paraId="7138C1EB">
        <w:tblPrEx>
          <w:tblCellMar>
            <w:top w:w="0" w:type="dxa"/>
            <w:left w:w="108" w:type="dxa"/>
            <w:bottom w:w="0" w:type="dxa"/>
            <w:right w:w="108" w:type="dxa"/>
          </w:tblCellMar>
        </w:tblPrEx>
        <w:trPr>
          <w:trHeight w:val="260" w:hRule="atLeast"/>
          <w:jc w:val="center"/>
        </w:trPr>
        <w:tc>
          <w:tcPr>
            <w:tcW w:w="817" w:type="dxa"/>
            <w:vMerge w:val="continue"/>
            <w:tcBorders>
              <w:left w:val="single" w:color="auto" w:sz="8" w:space="0"/>
              <w:right w:val="single" w:color="auto" w:sz="4" w:space="0"/>
            </w:tcBorders>
            <w:noWrap w:val="0"/>
            <w:vAlign w:val="center"/>
          </w:tcPr>
          <w:p w14:paraId="2DC7F953">
            <w:pPr>
              <w:jc w:val="center"/>
              <w:rPr>
                <w:rFonts w:ascii="Times New Roman" w:hAnsi="Times New Roman" w:eastAsia="宋体" w:cs="Times New Roman"/>
                <w:color w:val="000000"/>
                <w:kern w:val="28"/>
                <w:sz w:val="21"/>
                <w:szCs w:val="21"/>
                <w:highlight w:val="none"/>
              </w:rPr>
            </w:pPr>
          </w:p>
        </w:tc>
        <w:tc>
          <w:tcPr>
            <w:tcW w:w="1701" w:type="dxa"/>
            <w:vMerge w:val="continue"/>
            <w:tcBorders>
              <w:left w:val="single" w:color="auto" w:sz="4" w:space="0"/>
              <w:right w:val="single" w:color="auto" w:sz="4" w:space="0"/>
            </w:tcBorders>
            <w:noWrap w:val="0"/>
            <w:vAlign w:val="center"/>
          </w:tcPr>
          <w:p w14:paraId="3028F0A7">
            <w:pPr>
              <w:jc w:val="center"/>
              <w:rPr>
                <w:rFonts w:hint="eastAsia" w:ascii="Times New Roman" w:hAnsi="Times New Roman" w:eastAsia="宋体" w:cs="Times New Roman"/>
                <w:color w:val="000000"/>
                <w:kern w:val="28"/>
                <w:sz w:val="21"/>
                <w:szCs w:val="21"/>
                <w:highlight w:val="none"/>
              </w:rPr>
            </w:pPr>
          </w:p>
        </w:tc>
        <w:tc>
          <w:tcPr>
            <w:tcW w:w="1418" w:type="dxa"/>
            <w:vMerge w:val="continue"/>
            <w:tcBorders>
              <w:top w:val="single" w:color="auto" w:sz="4" w:space="0"/>
              <w:left w:val="nil"/>
              <w:bottom w:val="single" w:color="auto" w:sz="4" w:space="0"/>
              <w:right w:val="single" w:color="auto" w:sz="4" w:space="0"/>
            </w:tcBorders>
            <w:noWrap w:val="0"/>
            <w:vAlign w:val="center"/>
          </w:tcPr>
          <w:p w14:paraId="30AD3360">
            <w:pPr>
              <w:jc w:val="center"/>
              <w:rPr>
                <w:rFonts w:hint="eastAsia" w:ascii="Times New Roman" w:hAnsi="Times New Roman" w:eastAsia="宋体" w:cs="Times New Roman"/>
                <w:color w:val="000000"/>
                <w:kern w:val="28"/>
                <w:sz w:val="21"/>
                <w:szCs w:val="21"/>
                <w:highlight w:val="none"/>
                <w:lang w:val="en-US" w:eastAsia="zh-CN"/>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CF238F4">
            <w:pPr>
              <w:jc w:val="center"/>
              <w:rPr>
                <w:rFonts w:hint="eastAsia" w:ascii="Times New Roman" w:hAnsi="Times New Roman" w:eastAsia="宋体" w:cs="Times New Roman"/>
                <w:color w:val="000000"/>
                <w:kern w:val="28"/>
                <w:sz w:val="21"/>
                <w:szCs w:val="21"/>
                <w:highlight w:val="none"/>
                <w:lang w:val="en-US" w:eastAsia="zh-CN"/>
              </w:rPr>
            </w:pPr>
          </w:p>
        </w:tc>
        <w:tc>
          <w:tcPr>
            <w:tcW w:w="3572" w:type="dxa"/>
            <w:tcBorders>
              <w:top w:val="single" w:color="auto" w:sz="4" w:space="0"/>
              <w:left w:val="single" w:color="auto" w:sz="4" w:space="0"/>
              <w:bottom w:val="single" w:color="auto" w:sz="4" w:space="0"/>
              <w:right w:val="single" w:color="auto" w:sz="4" w:space="0"/>
            </w:tcBorders>
            <w:noWrap w:val="0"/>
            <w:vAlign w:val="center"/>
          </w:tcPr>
          <w:p w14:paraId="0E48000C">
            <w:pPr>
              <w:rPr>
                <w:rFonts w:hint="default" w:ascii="Times New Roman" w:hAnsi="Times New Roman" w:eastAsia="宋体" w:cs="Times New Roman"/>
                <w:color w:val="000000"/>
                <w:kern w:val="28"/>
                <w:sz w:val="21"/>
                <w:szCs w:val="21"/>
                <w:highlight w:val="none"/>
                <w:lang w:val="en-US" w:eastAsia="zh-CN" w:bidi="en-US"/>
              </w:rPr>
            </w:pPr>
            <w:r>
              <w:rPr>
                <w:rFonts w:hint="eastAsia" w:ascii="Times New Roman" w:hAnsi="Times New Roman" w:eastAsia="宋体" w:cs="Times New Roman"/>
                <w:color w:val="000000"/>
                <w:kern w:val="28"/>
                <w:sz w:val="21"/>
                <w:szCs w:val="21"/>
                <w:highlight w:val="none"/>
                <w:lang w:val="en-US" w:eastAsia="zh-CN" w:bidi="en-US"/>
              </w:rPr>
              <w:t>方案基本满足要求</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35473B80">
            <w:pPr>
              <w:jc w:val="center"/>
              <w:rPr>
                <w:rFonts w:hint="eastAsia" w:ascii="Times New Roman" w:hAnsi="Times New Roman" w:eastAsia="宋体" w:cs="Times New Roman"/>
                <w:strike w:val="0"/>
                <w:color w:val="000000"/>
                <w:kern w:val="28"/>
                <w:sz w:val="21"/>
                <w:szCs w:val="21"/>
                <w:highlight w:val="none"/>
                <w:u w:val="none"/>
                <w:lang w:val="en-US" w:eastAsia="zh-CN"/>
              </w:rPr>
            </w:pPr>
            <w:r>
              <w:rPr>
                <w:rFonts w:hint="eastAsia" w:ascii="Times New Roman" w:hAnsi="Times New Roman" w:eastAsia="宋体" w:cs="Times New Roman"/>
                <w:color w:val="000000"/>
                <w:kern w:val="28"/>
                <w:sz w:val="21"/>
                <w:szCs w:val="21"/>
                <w:highlight w:val="none"/>
                <w:lang w:val="en-US" w:eastAsia="zh-CN"/>
              </w:rPr>
              <w:t>3.0</w:t>
            </w:r>
          </w:p>
        </w:tc>
      </w:tr>
      <w:tr w14:paraId="52EA4C90">
        <w:tblPrEx>
          <w:tblCellMar>
            <w:top w:w="0" w:type="dxa"/>
            <w:left w:w="108" w:type="dxa"/>
            <w:bottom w:w="0" w:type="dxa"/>
            <w:right w:w="108" w:type="dxa"/>
          </w:tblCellMar>
        </w:tblPrEx>
        <w:trPr>
          <w:trHeight w:val="967" w:hRule="atLeast"/>
          <w:jc w:val="center"/>
        </w:trPr>
        <w:tc>
          <w:tcPr>
            <w:tcW w:w="817" w:type="dxa"/>
            <w:vMerge w:val="restart"/>
            <w:tcBorders>
              <w:top w:val="single" w:color="auto" w:sz="4" w:space="0"/>
              <w:left w:val="single" w:color="auto" w:sz="8" w:space="0"/>
              <w:bottom w:val="single" w:color="auto" w:sz="4" w:space="0"/>
              <w:right w:val="single" w:color="auto" w:sz="8" w:space="0"/>
            </w:tcBorders>
            <w:noWrap w:val="0"/>
            <w:vAlign w:val="center"/>
          </w:tcPr>
          <w:p w14:paraId="14241C2C">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rPr>
              <w:t>2.2.2（2）</w:t>
            </w:r>
          </w:p>
        </w:tc>
        <w:tc>
          <w:tcPr>
            <w:tcW w:w="1701" w:type="dxa"/>
            <w:vMerge w:val="restart"/>
            <w:tcBorders>
              <w:top w:val="single" w:color="auto" w:sz="4" w:space="0"/>
              <w:left w:val="single" w:color="auto" w:sz="8" w:space="0"/>
              <w:bottom w:val="single" w:color="auto" w:sz="4" w:space="0"/>
              <w:right w:val="single" w:color="auto" w:sz="8" w:space="0"/>
            </w:tcBorders>
            <w:noWrap w:val="0"/>
            <w:vAlign w:val="center"/>
          </w:tcPr>
          <w:p w14:paraId="46DCE83D">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rPr>
              <w:t>主要人员</w:t>
            </w:r>
          </w:p>
          <w:p w14:paraId="453A40A3">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rPr>
              <w:t>（</w:t>
            </w:r>
            <w:r>
              <w:rPr>
                <w:rFonts w:hint="eastAsia" w:ascii="Times New Roman" w:hAnsi="Times New Roman" w:eastAsia="宋体" w:cs="Times New Roman"/>
                <w:color w:val="000000"/>
                <w:kern w:val="28"/>
                <w:sz w:val="21"/>
                <w:szCs w:val="21"/>
                <w:highlight w:val="none"/>
                <w:lang w:val="en-US" w:eastAsia="zh-CN"/>
              </w:rPr>
              <w:t>40</w:t>
            </w:r>
            <w:r>
              <w:rPr>
                <w:rFonts w:hint="eastAsia" w:ascii="Times New Roman" w:hAnsi="Times New Roman" w:eastAsia="宋体" w:cs="Times New Roman"/>
                <w:color w:val="000000"/>
                <w:kern w:val="28"/>
                <w:sz w:val="21"/>
                <w:szCs w:val="21"/>
                <w:highlight w:val="none"/>
              </w:rPr>
              <w:t>分）</w:t>
            </w:r>
          </w:p>
        </w:tc>
        <w:tc>
          <w:tcPr>
            <w:tcW w:w="1418" w:type="dxa"/>
            <w:tcBorders>
              <w:top w:val="single" w:color="auto" w:sz="4" w:space="0"/>
              <w:left w:val="nil"/>
              <w:right w:val="single" w:color="auto" w:sz="4" w:space="0"/>
            </w:tcBorders>
            <w:noWrap w:val="0"/>
            <w:vAlign w:val="center"/>
          </w:tcPr>
          <w:p w14:paraId="5F60EB69">
            <w:pPr>
              <w:ind w:right="113"/>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bidi="en-US"/>
              </w:rPr>
              <w:t>项目经理任职资格</w:t>
            </w:r>
          </w:p>
        </w:tc>
        <w:tc>
          <w:tcPr>
            <w:tcW w:w="1134" w:type="dxa"/>
            <w:tcBorders>
              <w:top w:val="single" w:color="auto" w:sz="4" w:space="0"/>
              <w:left w:val="single" w:color="auto" w:sz="4" w:space="0"/>
              <w:right w:val="single" w:color="auto" w:sz="4" w:space="0"/>
            </w:tcBorders>
            <w:noWrap w:val="0"/>
            <w:vAlign w:val="center"/>
          </w:tcPr>
          <w:p w14:paraId="1497D87C">
            <w:pPr>
              <w:jc w:val="center"/>
              <w:rPr>
                <w:rFonts w:hint="eastAsia" w:ascii="Times New Roman" w:hAnsi="Times New Roman" w:eastAsia="宋体" w:cs="Times New Roman"/>
                <w:color w:val="000000"/>
                <w:kern w:val="28"/>
                <w:sz w:val="21"/>
                <w:szCs w:val="21"/>
                <w:highlight w:val="none"/>
                <w:lang w:bidi="en-US"/>
              </w:rPr>
            </w:pPr>
            <w:r>
              <w:rPr>
                <w:rFonts w:hint="eastAsia" w:ascii="Times New Roman" w:hAnsi="Times New Roman" w:eastAsia="宋体" w:cs="Times New Roman"/>
                <w:color w:val="000000"/>
                <w:kern w:val="28"/>
                <w:sz w:val="21"/>
                <w:szCs w:val="21"/>
                <w:highlight w:val="none"/>
                <w:lang w:val="en-US" w:eastAsia="zh-CN"/>
              </w:rPr>
              <w:t>20</w:t>
            </w:r>
            <w:r>
              <w:rPr>
                <w:rFonts w:hint="eastAsia" w:ascii="Times New Roman" w:hAnsi="Times New Roman" w:eastAsia="宋体" w:cs="Times New Roman"/>
                <w:color w:val="000000"/>
                <w:kern w:val="28"/>
                <w:sz w:val="21"/>
                <w:szCs w:val="21"/>
                <w:highlight w:val="none"/>
              </w:rPr>
              <w:t>分</w:t>
            </w:r>
          </w:p>
        </w:tc>
        <w:tc>
          <w:tcPr>
            <w:tcW w:w="3572" w:type="dxa"/>
            <w:tcBorders>
              <w:top w:val="single" w:color="auto" w:sz="4" w:space="0"/>
              <w:left w:val="single" w:color="auto" w:sz="4" w:space="0"/>
              <w:right w:val="single" w:color="auto" w:sz="4" w:space="0"/>
            </w:tcBorders>
            <w:noWrap w:val="0"/>
            <w:vAlign w:val="center"/>
          </w:tcPr>
          <w:p w14:paraId="50ACC03E">
            <w:pPr>
              <w:ind w:right="113"/>
              <w:rPr>
                <w:rFonts w:hint="eastAsia" w:ascii="Times New Roman" w:hAnsi="Times New Roman" w:eastAsia="宋体" w:cs="Times New Roman"/>
                <w:color w:val="000000"/>
                <w:kern w:val="28"/>
                <w:sz w:val="21"/>
                <w:szCs w:val="21"/>
                <w:highlight w:val="none"/>
                <w:lang w:eastAsia="zh-CN"/>
              </w:rPr>
            </w:pPr>
            <w:r>
              <w:rPr>
                <w:rFonts w:hint="eastAsia" w:ascii="Times New Roman" w:hAnsi="Times New Roman" w:eastAsia="宋体" w:cs="Times New Roman"/>
                <w:color w:val="000000"/>
                <w:kern w:val="28"/>
                <w:sz w:val="21"/>
                <w:szCs w:val="21"/>
                <w:highlight w:val="none"/>
              </w:rPr>
              <w:t>满足</w:t>
            </w:r>
            <w:r>
              <w:rPr>
                <w:rFonts w:hint="eastAsia" w:ascii="Times New Roman" w:hAnsi="Times New Roman" w:eastAsia="宋体" w:cs="Times New Roman"/>
                <w:color w:val="000000"/>
                <w:kern w:val="28"/>
                <w:sz w:val="21"/>
                <w:szCs w:val="21"/>
                <w:highlight w:val="none"/>
                <w:lang w:val="en-US" w:eastAsia="zh-CN"/>
              </w:rPr>
              <w:t>资格审查条件（项目经理和项目总工最低要求），得12分</w:t>
            </w:r>
            <w:r>
              <w:rPr>
                <w:rFonts w:hint="eastAsia" w:ascii="Times New Roman" w:hAnsi="Times New Roman" w:eastAsia="宋体" w:cs="Times New Roman"/>
                <w:color w:val="000000"/>
                <w:kern w:val="28"/>
                <w:sz w:val="21"/>
                <w:szCs w:val="21"/>
                <w:highlight w:val="none"/>
                <w:lang w:eastAsia="zh-CN"/>
              </w:rPr>
              <w:t>；</w:t>
            </w:r>
          </w:p>
          <w:p w14:paraId="0DAB3BCE">
            <w:pPr>
              <w:ind w:right="113"/>
              <w:rPr>
                <w:rFonts w:hint="default" w:ascii="Times New Roman" w:hAnsi="Times New Roman" w:eastAsia="宋体" w:cs="Times New Roman"/>
                <w:color w:val="000000"/>
                <w:kern w:val="28"/>
                <w:sz w:val="21"/>
                <w:szCs w:val="21"/>
                <w:highlight w:val="none"/>
                <w:lang w:val="en-US" w:eastAsia="zh-CN" w:bidi="en-US"/>
              </w:rPr>
            </w:pPr>
            <w:r>
              <w:rPr>
                <w:rFonts w:hint="eastAsia" w:ascii="Times New Roman" w:hAnsi="Times New Roman" w:eastAsia="宋体" w:cs="Times New Roman"/>
                <w:color w:val="000000"/>
                <w:kern w:val="28"/>
                <w:sz w:val="21"/>
                <w:szCs w:val="21"/>
                <w:highlight w:val="none"/>
                <w:lang w:val="en-US" w:eastAsia="zh-CN"/>
              </w:rPr>
              <w:t>每增加1个满足资格审查要求（项目经理和项目总工最低要求）的业绩加4分，最多加8分。</w:t>
            </w:r>
          </w:p>
        </w:tc>
        <w:tc>
          <w:tcPr>
            <w:tcW w:w="1212" w:type="dxa"/>
            <w:tcBorders>
              <w:top w:val="single" w:color="auto" w:sz="4" w:space="0"/>
              <w:left w:val="single" w:color="auto" w:sz="4" w:space="0"/>
              <w:right w:val="single" w:color="auto" w:sz="8" w:space="0"/>
            </w:tcBorders>
            <w:noWrap w:val="0"/>
            <w:vAlign w:val="center"/>
          </w:tcPr>
          <w:p w14:paraId="6405B3B2">
            <w:pPr>
              <w:jc w:val="center"/>
              <w:rPr>
                <w:rFonts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20</w:t>
            </w:r>
            <w:r>
              <w:rPr>
                <w:rFonts w:hint="eastAsia" w:ascii="Times New Roman" w:hAnsi="Times New Roman" w:eastAsia="宋体" w:cs="Times New Roman"/>
                <w:color w:val="000000"/>
                <w:kern w:val="28"/>
                <w:sz w:val="21"/>
                <w:szCs w:val="21"/>
                <w:highlight w:val="none"/>
              </w:rPr>
              <w:t>分</w:t>
            </w:r>
          </w:p>
        </w:tc>
      </w:tr>
      <w:tr w14:paraId="3CE2B2F4">
        <w:tblPrEx>
          <w:tblCellMar>
            <w:top w:w="0" w:type="dxa"/>
            <w:left w:w="108" w:type="dxa"/>
            <w:bottom w:w="0" w:type="dxa"/>
            <w:right w:w="108" w:type="dxa"/>
          </w:tblCellMar>
        </w:tblPrEx>
        <w:trPr>
          <w:trHeight w:val="957" w:hRule="atLeast"/>
          <w:jc w:val="center"/>
        </w:trPr>
        <w:tc>
          <w:tcPr>
            <w:tcW w:w="817" w:type="dxa"/>
            <w:vMerge w:val="continue"/>
            <w:tcBorders>
              <w:top w:val="single" w:color="auto" w:sz="4" w:space="0"/>
              <w:left w:val="single" w:color="auto" w:sz="8" w:space="0"/>
              <w:bottom w:val="single" w:color="auto" w:sz="4" w:space="0"/>
              <w:right w:val="single" w:color="auto" w:sz="8" w:space="0"/>
            </w:tcBorders>
            <w:noWrap w:val="0"/>
            <w:vAlign w:val="center"/>
          </w:tcPr>
          <w:p w14:paraId="2F5E13A1">
            <w:pPr>
              <w:jc w:val="center"/>
              <w:rPr>
                <w:rFonts w:ascii="Times New Roman" w:hAnsi="Times New Roman" w:eastAsia="宋体" w:cs="Times New Roman"/>
                <w:color w:val="000000"/>
                <w:kern w:val="28"/>
                <w:sz w:val="21"/>
                <w:szCs w:val="21"/>
                <w:highlight w:val="none"/>
              </w:rPr>
            </w:pPr>
          </w:p>
        </w:tc>
        <w:tc>
          <w:tcPr>
            <w:tcW w:w="1701" w:type="dxa"/>
            <w:vMerge w:val="continue"/>
            <w:tcBorders>
              <w:top w:val="single" w:color="auto" w:sz="4" w:space="0"/>
              <w:left w:val="single" w:color="auto" w:sz="8" w:space="0"/>
              <w:bottom w:val="single" w:color="auto" w:sz="4" w:space="0"/>
              <w:right w:val="single" w:color="auto" w:sz="8" w:space="0"/>
            </w:tcBorders>
            <w:noWrap w:val="0"/>
            <w:vAlign w:val="center"/>
          </w:tcPr>
          <w:p w14:paraId="35C1ABD6">
            <w:pPr>
              <w:jc w:val="center"/>
              <w:rPr>
                <w:rFonts w:hint="eastAsia" w:ascii="Times New Roman" w:hAnsi="Times New Roman" w:eastAsia="宋体" w:cs="Times New Roman"/>
                <w:color w:val="000000"/>
                <w:kern w:val="28"/>
                <w:sz w:val="21"/>
                <w:szCs w:val="21"/>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456AFC2">
            <w:pPr>
              <w:ind w:right="113"/>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bidi="en-US"/>
              </w:rPr>
              <w:t>项目总工任职资格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D33416">
            <w:pPr>
              <w:jc w:val="center"/>
              <w:rPr>
                <w:rFonts w:hint="eastAsia" w:ascii="Times New Roman" w:hAnsi="Times New Roman" w:eastAsia="宋体" w:cs="Times New Roman"/>
                <w:color w:val="000000"/>
                <w:kern w:val="28"/>
                <w:sz w:val="21"/>
                <w:szCs w:val="21"/>
                <w:highlight w:val="none"/>
                <w:lang w:bidi="en-US"/>
              </w:rPr>
            </w:pPr>
            <w:r>
              <w:rPr>
                <w:rFonts w:hint="eastAsia" w:ascii="Times New Roman" w:hAnsi="Times New Roman" w:eastAsia="宋体" w:cs="Times New Roman"/>
                <w:color w:val="000000"/>
                <w:kern w:val="28"/>
                <w:sz w:val="21"/>
                <w:szCs w:val="21"/>
                <w:highlight w:val="none"/>
                <w:lang w:val="en-US" w:eastAsia="zh-CN"/>
              </w:rPr>
              <w:t>20</w:t>
            </w:r>
            <w:r>
              <w:rPr>
                <w:rFonts w:hint="eastAsia" w:ascii="Times New Roman" w:hAnsi="Times New Roman" w:eastAsia="宋体" w:cs="Times New Roman"/>
                <w:color w:val="000000"/>
                <w:kern w:val="28"/>
                <w:sz w:val="21"/>
                <w:szCs w:val="21"/>
                <w:highlight w:val="none"/>
              </w:rPr>
              <w:t>分</w:t>
            </w:r>
          </w:p>
        </w:tc>
        <w:tc>
          <w:tcPr>
            <w:tcW w:w="3572" w:type="dxa"/>
            <w:tcBorders>
              <w:top w:val="single" w:color="auto" w:sz="4" w:space="0"/>
              <w:left w:val="single" w:color="auto" w:sz="4" w:space="0"/>
              <w:bottom w:val="single" w:color="auto" w:sz="4" w:space="0"/>
              <w:right w:val="single" w:color="auto" w:sz="4" w:space="0"/>
            </w:tcBorders>
            <w:noWrap w:val="0"/>
            <w:vAlign w:val="center"/>
          </w:tcPr>
          <w:p w14:paraId="12907A32">
            <w:pPr>
              <w:ind w:right="113"/>
              <w:rPr>
                <w:rFonts w:hint="eastAsia" w:ascii="Times New Roman" w:hAnsi="Times New Roman" w:eastAsia="宋体" w:cs="Times New Roman"/>
                <w:color w:val="000000"/>
                <w:kern w:val="28"/>
                <w:sz w:val="21"/>
                <w:szCs w:val="21"/>
                <w:highlight w:val="none"/>
                <w:lang w:eastAsia="zh-CN"/>
              </w:rPr>
            </w:pPr>
            <w:r>
              <w:rPr>
                <w:rFonts w:hint="eastAsia" w:ascii="Times New Roman" w:hAnsi="Times New Roman" w:eastAsia="宋体" w:cs="Times New Roman"/>
                <w:color w:val="000000"/>
                <w:kern w:val="28"/>
                <w:sz w:val="21"/>
                <w:szCs w:val="21"/>
                <w:highlight w:val="none"/>
              </w:rPr>
              <w:t>满足</w:t>
            </w:r>
            <w:r>
              <w:rPr>
                <w:rFonts w:hint="eastAsia" w:ascii="Times New Roman" w:hAnsi="Times New Roman" w:eastAsia="宋体" w:cs="Times New Roman"/>
                <w:color w:val="000000"/>
                <w:kern w:val="28"/>
                <w:sz w:val="21"/>
                <w:szCs w:val="21"/>
                <w:highlight w:val="none"/>
                <w:lang w:val="en-US" w:eastAsia="zh-CN"/>
              </w:rPr>
              <w:t>资格审查条件（项目经理和项目总工最低要求），得12分</w:t>
            </w:r>
            <w:r>
              <w:rPr>
                <w:rFonts w:hint="eastAsia" w:ascii="Times New Roman" w:hAnsi="Times New Roman" w:eastAsia="宋体" w:cs="Times New Roman"/>
                <w:color w:val="000000"/>
                <w:kern w:val="28"/>
                <w:sz w:val="21"/>
                <w:szCs w:val="21"/>
                <w:highlight w:val="none"/>
                <w:lang w:eastAsia="zh-CN"/>
              </w:rPr>
              <w:t>；</w:t>
            </w:r>
          </w:p>
          <w:p w14:paraId="5895A7F4">
            <w:pPr>
              <w:ind w:right="113"/>
              <w:rPr>
                <w:rFonts w:hint="eastAsia" w:ascii="Times New Roman" w:hAnsi="Times New Roman" w:eastAsia="宋体" w:cs="Times New Roman"/>
                <w:color w:val="000000"/>
                <w:kern w:val="28"/>
                <w:sz w:val="21"/>
                <w:szCs w:val="21"/>
                <w:highlight w:val="none"/>
                <w:lang w:bidi="en-US"/>
              </w:rPr>
            </w:pPr>
            <w:r>
              <w:rPr>
                <w:rFonts w:hint="eastAsia" w:ascii="Times New Roman" w:hAnsi="Times New Roman" w:eastAsia="宋体" w:cs="Times New Roman"/>
                <w:color w:val="000000"/>
                <w:kern w:val="28"/>
                <w:sz w:val="21"/>
                <w:szCs w:val="21"/>
                <w:highlight w:val="none"/>
                <w:lang w:val="en-US" w:eastAsia="zh-CN"/>
              </w:rPr>
              <w:t>每增加1个满足资格审查要求（项目经理和项目总工最低要求）的业绩加4分，最多加8分。</w:t>
            </w:r>
          </w:p>
        </w:tc>
        <w:tc>
          <w:tcPr>
            <w:tcW w:w="1212" w:type="dxa"/>
            <w:tcBorders>
              <w:top w:val="single" w:color="auto" w:sz="4" w:space="0"/>
              <w:left w:val="single" w:color="auto" w:sz="4" w:space="0"/>
              <w:bottom w:val="single" w:color="auto" w:sz="4" w:space="0"/>
              <w:right w:val="single" w:color="auto" w:sz="8" w:space="0"/>
            </w:tcBorders>
            <w:noWrap w:val="0"/>
            <w:vAlign w:val="center"/>
          </w:tcPr>
          <w:p w14:paraId="70A777A7">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rPr>
              <w:t>20</w:t>
            </w:r>
            <w:r>
              <w:rPr>
                <w:rFonts w:hint="eastAsia" w:ascii="Times New Roman" w:hAnsi="Times New Roman" w:eastAsia="宋体" w:cs="Times New Roman"/>
                <w:color w:val="000000"/>
                <w:kern w:val="28"/>
                <w:sz w:val="21"/>
                <w:szCs w:val="21"/>
                <w:highlight w:val="none"/>
              </w:rPr>
              <w:t>分</w:t>
            </w:r>
          </w:p>
        </w:tc>
      </w:tr>
      <w:tr w14:paraId="5F9C1B17">
        <w:tblPrEx>
          <w:tblCellMar>
            <w:top w:w="0" w:type="dxa"/>
            <w:left w:w="108" w:type="dxa"/>
            <w:bottom w:w="0" w:type="dxa"/>
            <w:right w:w="108" w:type="dxa"/>
          </w:tblCellMar>
        </w:tblPrEx>
        <w:trPr>
          <w:trHeight w:val="108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F6E5DF3">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rPr>
              <w:t>2.2.2（3）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574F2CC">
            <w:pPr>
              <w:jc w:val="center"/>
              <w:rPr>
                <w:rFonts w:hint="eastAsia" w:ascii="Times New Roman" w:hAnsi="Times New Roman" w:eastAsia="宋体" w:cs="Times New Roman"/>
                <w:color w:val="000000"/>
                <w:kern w:val="28"/>
                <w:sz w:val="21"/>
                <w:szCs w:val="21"/>
                <w:highlight w:val="none"/>
              </w:rPr>
            </w:pPr>
            <w:r>
              <w:rPr>
                <w:rFonts w:hint="eastAsia" w:ascii="Times New Roman" w:hAnsi="Times New Roman" w:eastAsia="宋体" w:cs="Times New Roman"/>
                <w:color w:val="000000"/>
                <w:kern w:val="28"/>
                <w:sz w:val="21"/>
                <w:szCs w:val="21"/>
                <w:highlight w:val="none"/>
                <w:lang w:val="en-US" w:eastAsia="zh-CN" w:bidi="en-US"/>
              </w:rPr>
              <w:t>企业业绩</w:t>
            </w:r>
            <w:r>
              <w:rPr>
                <w:rFonts w:hint="eastAsia" w:ascii="Times New Roman" w:hAnsi="Times New Roman" w:eastAsia="宋体" w:cs="Times New Roman"/>
                <w:color w:val="000000"/>
                <w:kern w:val="28"/>
                <w:sz w:val="21"/>
                <w:szCs w:val="21"/>
                <w:highlight w:val="none"/>
                <w:lang w:eastAsia="zh-CN" w:bidi="en-US"/>
              </w:rPr>
              <w:t>（</w:t>
            </w:r>
            <w:r>
              <w:rPr>
                <w:rFonts w:hint="eastAsia" w:ascii="Times New Roman" w:hAnsi="Times New Roman" w:eastAsia="宋体" w:cs="Times New Roman"/>
                <w:color w:val="000000"/>
                <w:kern w:val="28"/>
                <w:sz w:val="21"/>
                <w:szCs w:val="21"/>
                <w:highlight w:val="none"/>
                <w:lang w:val="en-US" w:eastAsia="zh-CN" w:bidi="en-US"/>
              </w:rPr>
              <w:t>20分</w:t>
            </w:r>
            <w:r>
              <w:rPr>
                <w:rFonts w:hint="eastAsia" w:ascii="Times New Roman" w:hAnsi="Times New Roman" w:eastAsia="宋体" w:cs="Times New Roman"/>
                <w:color w:val="000000"/>
                <w:kern w:val="28"/>
                <w:sz w:val="21"/>
                <w:szCs w:val="21"/>
                <w:highlight w:val="none"/>
                <w:lang w:eastAsia="zh-CN" w:bidi="en-US"/>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2B1E2A">
            <w:pPr>
              <w:jc w:val="center"/>
              <w:rPr>
                <w:rFonts w:hint="eastAsia" w:ascii="Times New Roman" w:hAnsi="Times New Roman" w:eastAsia="宋体" w:cs="Times New Roman"/>
                <w:color w:val="000000"/>
                <w:kern w:val="28"/>
                <w:sz w:val="21"/>
                <w:szCs w:val="21"/>
                <w:highlight w:val="none"/>
                <w:lang w:val="en-US" w:eastAsia="zh-CN" w:bidi="ar-SA"/>
              </w:rPr>
            </w:pPr>
            <w:r>
              <w:rPr>
                <w:rFonts w:hint="eastAsia" w:ascii="Times New Roman" w:hAnsi="Times New Roman" w:eastAsia="宋体" w:cs="Times New Roman"/>
                <w:color w:val="000000"/>
                <w:kern w:val="28"/>
                <w:sz w:val="21"/>
                <w:szCs w:val="21"/>
                <w:highlight w:val="none"/>
                <w:lang w:val="en-US" w:eastAsia="zh-CN"/>
              </w:rPr>
              <w:t>企业业绩</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9937F1">
            <w:pPr>
              <w:ind w:right="113" w:rightChars="0"/>
              <w:jc w:val="center"/>
              <w:rPr>
                <w:rFonts w:hint="eastAsia" w:ascii="Times New Roman" w:hAnsi="Times New Roman" w:eastAsia="宋体" w:cs="Times New Roman"/>
                <w:color w:val="000000"/>
                <w:kern w:val="28"/>
                <w:sz w:val="21"/>
                <w:szCs w:val="21"/>
                <w:highlight w:val="none"/>
                <w:lang w:val="en-US" w:eastAsia="zh-CN" w:bidi="ar-SA"/>
              </w:rPr>
            </w:pPr>
            <w:r>
              <w:rPr>
                <w:rFonts w:hint="eastAsia" w:ascii="Times New Roman" w:hAnsi="Times New Roman" w:eastAsia="宋体" w:cs="Times New Roman"/>
                <w:color w:val="000000"/>
                <w:kern w:val="28"/>
                <w:sz w:val="21"/>
                <w:szCs w:val="21"/>
                <w:highlight w:val="none"/>
                <w:lang w:val="en-US" w:eastAsia="zh-CN"/>
              </w:rPr>
              <w:t>20分</w:t>
            </w:r>
          </w:p>
        </w:tc>
        <w:tc>
          <w:tcPr>
            <w:tcW w:w="3572" w:type="dxa"/>
            <w:tcBorders>
              <w:top w:val="single" w:color="auto" w:sz="4" w:space="0"/>
              <w:left w:val="single" w:color="auto" w:sz="4" w:space="0"/>
              <w:bottom w:val="single" w:color="auto" w:sz="4" w:space="0"/>
              <w:right w:val="single" w:color="auto" w:sz="4" w:space="0"/>
            </w:tcBorders>
            <w:noWrap w:val="0"/>
            <w:vAlign w:val="center"/>
          </w:tcPr>
          <w:p w14:paraId="3050074F">
            <w:pPr>
              <w:ind w:right="113"/>
              <w:rPr>
                <w:rFonts w:hint="eastAsia" w:ascii="Times New Roman" w:hAnsi="Times New Roman" w:eastAsia="宋体" w:cs="Times New Roman"/>
                <w:color w:val="000000"/>
                <w:kern w:val="28"/>
                <w:sz w:val="21"/>
                <w:szCs w:val="21"/>
                <w:highlight w:val="none"/>
                <w:lang w:eastAsia="zh-CN"/>
              </w:rPr>
            </w:pPr>
            <w:r>
              <w:rPr>
                <w:rFonts w:hint="eastAsia" w:ascii="Times New Roman" w:hAnsi="Times New Roman" w:eastAsia="宋体" w:cs="Times New Roman"/>
                <w:color w:val="000000"/>
                <w:kern w:val="28"/>
                <w:sz w:val="21"/>
                <w:szCs w:val="21"/>
                <w:highlight w:val="none"/>
              </w:rPr>
              <w:t>满足</w:t>
            </w:r>
            <w:r>
              <w:rPr>
                <w:rFonts w:hint="eastAsia" w:ascii="Times New Roman" w:hAnsi="Times New Roman" w:eastAsia="宋体" w:cs="Times New Roman"/>
                <w:color w:val="000000"/>
                <w:kern w:val="28"/>
                <w:sz w:val="21"/>
                <w:szCs w:val="21"/>
                <w:highlight w:val="none"/>
                <w:lang w:val="en-US" w:eastAsia="zh-CN"/>
              </w:rPr>
              <w:t>资格审查条件（业绩最低要求），得12分</w:t>
            </w:r>
            <w:r>
              <w:rPr>
                <w:rFonts w:hint="eastAsia" w:ascii="Times New Roman" w:hAnsi="Times New Roman" w:eastAsia="宋体" w:cs="Times New Roman"/>
                <w:color w:val="000000"/>
                <w:kern w:val="28"/>
                <w:sz w:val="21"/>
                <w:szCs w:val="21"/>
                <w:highlight w:val="none"/>
                <w:lang w:eastAsia="zh-CN"/>
              </w:rPr>
              <w:t>；</w:t>
            </w:r>
          </w:p>
          <w:p w14:paraId="75462EB8">
            <w:pPr>
              <w:rPr>
                <w:rFonts w:hint="eastAsia" w:ascii="Times New Roman" w:hAnsi="Times New Roman" w:eastAsia="宋体" w:cs="Times New Roman"/>
                <w:color w:val="000000"/>
                <w:kern w:val="28"/>
                <w:sz w:val="21"/>
                <w:szCs w:val="21"/>
                <w:highlight w:val="none"/>
                <w:lang w:val="en-US" w:eastAsia="zh-CN" w:bidi="ar-SA"/>
              </w:rPr>
            </w:pPr>
            <w:r>
              <w:rPr>
                <w:rFonts w:hint="eastAsia" w:ascii="Times New Roman" w:hAnsi="Times New Roman" w:eastAsia="宋体" w:cs="Times New Roman"/>
                <w:color w:val="000000"/>
                <w:kern w:val="28"/>
                <w:sz w:val="21"/>
                <w:szCs w:val="21"/>
                <w:highlight w:val="none"/>
                <w:lang w:val="en-US" w:eastAsia="zh-CN"/>
              </w:rPr>
              <w:t>每增加1个满足资格审查要求（业绩最低要求）的业绩加4分，最多加8分。</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EACEA0B">
            <w:pPr>
              <w:jc w:val="center"/>
              <w:rPr>
                <w:rFonts w:hint="eastAsia" w:ascii="Times New Roman" w:hAnsi="Times New Roman" w:eastAsia="宋体" w:cs="Times New Roman"/>
                <w:color w:val="000000"/>
                <w:kern w:val="28"/>
                <w:sz w:val="21"/>
                <w:szCs w:val="21"/>
                <w:highlight w:val="none"/>
                <w:lang w:val="en-US" w:eastAsia="zh-CN" w:bidi="ar-SA"/>
              </w:rPr>
            </w:pPr>
            <w:r>
              <w:rPr>
                <w:rFonts w:hint="eastAsia" w:ascii="Times New Roman" w:hAnsi="Times New Roman" w:eastAsia="宋体" w:cs="Times New Roman"/>
                <w:color w:val="000000"/>
                <w:kern w:val="28"/>
                <w:sz w:val="21"/>
                <w:szCs w:val="21"/>
                <w:highlight w:val="none"/>
                <w:lang w:val="en-US" w:eastAsia="zh-CN"/>
              </w:rPr>
              <w:t>20分</w:t>
            </w:r>
          </w:p>
        </w:tc>
      </w:tr>
      <w:tr w14:paraId="0B4A936F">
        <w:tblPrEx>
          <w:tblCellMar>
            <w:top w:w="0" w:type="dxa"/>
            <w:left w:w="108" w:type="dxa"/>
            <w:bottom w:w="0" w:type="dxa"/>
            <w:right w:w="108" w:type="dxa"/>
          </w:tblCellMar>
        </w:tblPrEx>
        <w:trPr>
          <w:trHeight w:val="1081" w:hRule="atLeast"/>
          <w:jc w:val="center"/>
        </w:trPr>
        <w:tc>
          <w:tcPr>
            <w:tcW w:w="9854" w:type="dxa"/>
            <w:gridSpan w:val="6"/>
            <w:tcBorders>
              <w:top w:val="single" w:color="auto" w:sz="4" w:space="0"/>
              <w:left w:val="single" w:color="auto" w:sz="4" w:space="0"/>
              <w:bottom w:val="single" w:color="auto" w:sz="4" w:space="0"/>
              <w:right w:val="single" w:color="auto" w:sz="4" w:space="0"/>
            </w:tcBorders>
            <w:noWrap w:val="0"/>
            <w:vAlign w:val="center"/>
          </w:tcPr>
          <w:p w14:paraId="1CAEF16F">
            <w:pPr>
              <w:widowControl w:val="0"/>
              <w:autoSpaceDE w:val="0"/>
              <w:autoSpaceDN w:val="0"/>
              <w:spacing w:line="420" w:lineRule="exact"/>
              <w:jc w:val="left"/>
              <w:rPr>
                <w:rFonts w:ascii="宋体" w:hAnsi="宋体" w:eastAsia="宋体" w:cs="宋体"/>
                <w:spacing w:val="-2"/>
                <w:kern w:val="0"/>
                <w:sz w:val="21"/>
                <w:szCs w:val="22"/>
                <w:highlight w:val="none"/>
                <w:lang w:val="zh-CN" w:eastAsia="zh-CN" w:bidi="zh-CN"/>
              </w:rPr>
            </w:pPr>
            <w:r>
              <w:rPr>
                <w:rFonts w:hint="eastAsia" w:ascii="宋体" w:hAnsi="宋体" w:eastAsia="宋体" w:cs="宋体"/>
                <w:spacing w:val="-2"/>
                <w:kern w:val="0"/>
                <w:sz w:val="21"/>
                <w:szCs w:val="22"/>
                <w:highlight w:val="none"/>
                <w:lang w:val="zh-CN" w:eastAsia="zh-CN" w:bidi="zh-CN"/>
              </w:rPr>
              <w:t>注：1、</w:t>
            </w:r>
            <w:r>
              <w:rPr>
                <w:rFonts w:ascii="宋体" w:hAnsi="宋体" w:eastAsia="宋体" w:cs="宋体"/>
                <w:color w:val="000000"/>
                <w:kern w:val="0"/>
                <w:sz w:val="21"/>
                <w:szCs w:val="21"/>
                <w:highlight w:val="none"/>
                <w:lang w:val="zh-CN" w:eastAsia="zh-CN" w:bidi="zh-CN"/>
              </w:rPr>
              <w:t>施工组织设计</w:t>
            </w:r>
            <w:r>
              <w:rPr>
                <w:rFonts w:hint="eastAsia" w:ascii="宋体" w:hAnsi="宋体" w:eastAsia="宋体" w:cs="宋体"/>
                <w:spacing w:val="-2"/>
                <w:kern w:val="0"/>
                <w:sz w:val="21"/>
                <w:szCs w:val="22"/>
                <w:highlight w:val="none"/>
                <w:lang w:val="zh-CN" w:eastAsia="zh-CN" w:bidi="zh-CN"/>
              </w:rPr>
              <w:t>评</w:t>
            </w:r>
            <w:r>
              <w:rPr>
                <w:rFonts w:hint="eastAsia" w:ascii="宋体" w:hAnsi="宋体" w:eastAsia="宋体" w:cs="宋体"/>
                <w:spacing w:val="-2"/>
                <w:kern w:val="0"/>
                <w:sz w:val="21"/>
                <w:szCs w:val="22"/>
                <w:highlight w:val="none"/>
                <w:lang w:val="en-US" w:eastAsia="zh-CN" w:bidi="zh-CN"/>
              </w:rPr>
              <w:t>分因素细项</w:t>
            </w:r>
            <w:r>
              <w:rPr>
                <w:rFonts w:hint="eastAsia" w:ascii="宋体" w:hAnsi="宋体" w:eastAsia="宋体" w:cs="宋体"/>
                <w:spacing w:val="-2"/>
                <w:kern w:val="0"/>
                <w:sz w:val="21"/>
                <w:szCs w:val="22"/>
                <w:highlight w:val="none"/>
                <w:lang w:val="zh-CN" w:eastAsia="zh-CN" w:bidi="zh-CN"/>
              </w:rPr>
              <w:t>缺项，</w:t>
            </w:r>
            <w:r>
              <w:rPr>
                <w:rFonts w:hint="eastAsia" w:ascii="宋体" w:hAnsi="宋体" w:eastAsia="宋体" w:cs="宋体"/>
                <w:spacing w:val="-2"/>
                <w:kern w:val="0"/>
                <w:sz w:val="21"/>
                <w:szCs w:val="22"/>
                <w:highlight w:val="none"/>
                <w:lang w:val="en-US" w:eastAsia="zh-CN" w:bidi="zh-CN"/>
              </w:rPr>
              <w:t>则该项</w:t>
            </w:r>
            <w:r>
              <w:rPr>
                <w:rFonts w:hint="eastAsia" w:ascii="宋体" w:hAnsi="宋体" w:eastAsia="宋体" w:cs="宋体"/>
                <w:spacing w:val="-2"/>
                <w:kern w:val="0"/>
                <w:sz w:val="21"/>
                <w:szCs w:val="22"/>
                <w:highlight w:val="none"/>
                <w:lang w:val="zh-CN" w:eastAsia="zh-CN" w:bidi="zh-CN"/>
              </w:rPr>
              <w:t>得</w:t>
            </w:r>
            <w:r>
              <w:rPr>
                <w:rFonts w:ascii="宋体" w:hAnsi="宋体" w:eastAsia="宋体" w:cs="宋体"/>
                <w:spacing w:val="-2"/>
                <w:kern w:val="0"/>
                <w:sz w:val="21"/>
                <w:szCs w:val="22"/>
                <w:highlight w:val="none"/>
                <w:lang w:val="zh-CN" w:eastAsia="zh-CN" w:bidi="zh-CN"/>
              </w:rPr>
              <w:t>0</w:t>
            </w:r>
            <w:r>
              <w:rPr>
                <w:rFonts w:hint="eastAsia" w:ascii="宋体" w:hAnsi="宋体" w:eastAsia="宋体" w:cs="宋体"/>
                <w:spacing w:val="-2"/>
                <w:kern w:val="0"/>
                <w:sz w:val="21"/>
                <w:szCs w:val="22"/>
                <w:highlight w:val="none"/>
                <w:lang w:val="zh-CN" w:eastAsia="zh-CN" w:bidi="zh-CN"/>
              </w:rPr>
              <w:t>分。</w:t>
            </w:r>
          </w:p>
          <w:p w14:paraId="1B44F07D">
            <w:pPr>
              <w:jc w:val="both"/>
              <w:rPr>
                <w:rFonts w:hint="default" w:ascii="Times New Roman" w:hAnsi="Times New Roman" w:eastAsia="宋体" w:cs="Times New Roman"/>
                <w:color w:val="000000"/>
                <w:kern w:val="28"/>
                <w:sz w:val="21"/>
                <w:szCs w:val="21"/>
                <w:highlight w:val="none"/>
                <w:lang w:val="en-US" w:eastAsia="zh-CN"/>
              </w:rPr>
            </w:pPr>
            <w:r>
              <w:rPr>
                <w:rFonts w:hint="eastAsia" w:ascii="Times New Roman" w:hAnsi="Times New Roman" w:eastAsia="宋体" w:cs="Times New Roman"/>
                <w:spacing w:val="-2"/>
                <w:kern w:val="28"/>
                <w:sz w:val="21"/>
                <w:szCs w:val="20"/>
                <w:highlight w:val="none"/>
                <w:lang w:val="en-US" w:eastAsia="zh-CN"/>
              </w:rPr>
              <w:t>2、</w:t>
            </w:r>
            <w:r>
              <w:rPr>
                <w:rFonts w:hint="eastAsia" w:ascii="Times New Roman" w:hAnsi="Times New Roman" w:eastAsia="宋体" w:cs="Times New Roman"/>
                <w:spacing w:val="-2"/>
                <w:kern w:val="28"/>
                <w:sz w:val="21"/>
                <w:szCs w:val="20"/>
                <w:highlight w:val="none"/>
              </w:rPr>
              <w:t>评委打分保留小数点后1位小数，</w:t>
            </w:r>
            <w:r>
              <w:rPr>
                <w:rFonts w:hint="eastAsia" w:ascii="Times New Roman" w:hAnsi="Times New Roman" w:eastAsia="宋体" w:cs="Times New Roman"/>
                <w:kern w:val="28"/>
                <w:sz w:val="21"/>
                <w:szCs w:val="21"/>
                <w:highlight w:val="none"/>
              </w:rPr>
              <w:t>投标人总得分为各评委得分的算术平均值（四舍五入保留两位小数）。</w:t>
            </w:r>
          </w:p>
        </w:tc>
      </w:tr>
    </w:tbl>
    <w:p w14:paraId="733848AB"/>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266AE"/>
    <w:rsid w:val="5E654BF0"/>
    <w:rsid w:val="5EE3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4881</Words>
  <Characters>5484</Characters>
  <Lines>0</Lines>
  <Paragraphs>0</Paragraphs>
  <TotalTime>0</TotalTime>
  <ScaleCrop>false</ScaleCrop>
  <LinksUpToDate>false</LinksUpToDate>
  <CharactersWithSpaces>5513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2026-06-24T08:58:00Z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