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ED692">
      <w:pPr>
        <w:wordWrap w:val="0"/>
        <w:outlineLvl w:val="3"/>
        <w:rPr>
          <w:rFonts w:ascii="Times New Roman" w:hAnsi="Times New Roman" w:eastAsia="宋体" w:cs="Times New Roman"/>
          <w:b/>
          <w:color w:val="000000"/>
          <w:sz w:val="24"/>
          <w:szCs w:val="24"/>
          <w:highlight w:val="none"/>
        </w:rPr>
      </w:pPr>
      <w:bookmarkStart w:id="2" w:name="_GoBack"/>
      <w:bookmarkEnd w:id="2"/>
      <w:r>
        <w:rPr>
          <w:rFonts w:ascii="Times New Roman" w:hAnsi="Times New Roman" w:eastAsia="宋体" w:cs="Times New Roman"/>
          <w:b/>
          <w:color w:val="000000"/>
          <w:sz w:val="24"/>
          <w:szCs w:val="24"/>
          <w:highlight w:val="none"/>
        </w:rPr>
        <w:t>附件1：</w:t>
      </w:r>
      <w:bookmarkStart w:id="0" w:name="_Toc404712451"/>
      <w:r>
        <w:rPr>
          <w:rFonts w:ascii="Times New Roman" w:hAnsi="Times New Roman" w:eastAsia="宋体" w:cs="Times New Roman"/>
          <w:b/>
          <w:color w:val="000000"/>
          <w:sz w:val="24"/>
          <w:szCs w:val="24"/>
          <w:highlight w:val="none"/>
        </w:rPr>
        <w:t>资格审查条件</w:t>
      </w:r>
      <w:bookmarkEnd w:id="0"/>
    </w:p>
    <w:p w14:paraId="102A68B2">
      <w:pPr>
        <w:wordWrap w:val="0"/>
        <w:rPr>
          <w:rFonts w:ascii="Times New Roman" w:hAnsi="Times New Roman" w:eastAsia="宋体" w:cs="Times New Roman"/>
          <w:b/>
          <w:color w:val="000000"/>
          <w:sz w:val="28"/>
          <w:szCs w:val="28"/>
          <w:highlight w:val="none"/>
        </w:rPr>
      </w:pPr>
    </w:p>
    <w:p w14:paraId="00EA4DA7">
      <w:pPr>
        <w:widowControl w:val="0"/>
        <w:adjustRightInd w:val="0"/>
        <w:snapToGrid w:val="0"/>
        <w:ind w:firstLine="422" w:firstLineChars="200"/>
        <w:jc w:val="center"/>
        <w:rPr>
          <w:rFonts w:hint="eastAsia" w:ascii="宋体" w:hAnsi="宋体" w:eastAsia="宋体" w:cs="宋体"/>
          <w:b/>
          <w:color w:val="000000"/>
          <w:kern w:val="2"/>
          <w:sz w:val="21"/>
          <w:szCs w:val="21"/>
          <w:highlight w:val="none"/>
          <w:shd w:val="clear" w:color="auto" w:fill="FFFFFF"/>
          <w:lang w:val="en-US" w:eastAsia="zh-CN" w:bidi="ar-SA"/>
        </w:rPr>
      </w:pPr>
      <w:bookmarkStart w:id="1" w:name="_Hlk44947073"/>
      <w:r>
        <w:rPr>
          <w:rFonts w:hint="eastAsia" w:ascii="宋体" w:hAnsi="宋体" w:eastAsia="宋体" w:cs="宋体"/>
          <w:b/>
          <w:color w:val="000000"/>
          <w:kern w:val="2"/>
          <w:sz w:val="21"/>
          <w:szCs w:val="21"/>
          <w:highlight w:val="none"/>
          <w:shd w:val="clear" w:color="auto" w:fill="FFFFFF"/>
          <w:lang w:val="en-US" w:eastAsia="zh-CN" w:bidi="ar-SA"/>
        </w:rPr>
        <w:t>附录1  资格审查条件(资质最低条件)</w:t>
      </w:r>
    </w:p>
    <w:bookmarkEnd w:id="1"/>
    <w:tbl>
      <w:tblPr>
        <w:tblStyle w:val="4"/>
        <w:tblpPr w:leftFromText="180" w:rightFromText="180" w:vertAnchor="text" w:horzAnchor="page" w:tblpX="1407" w:tblpY="25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1023"/>
        <w:gridCol w:w="8297"/>
      </w:tblGrid>
      <w:tr w14:paraId="678D5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89" w:hRule="atLeast"/>
          <w:tblHeader/>
        </w:trPr>
        <w:tc>
          <w:tcPr>
            <w:tcW w:w="9320" w:type="dxa"/>
            <w:gridSpan w:val="2"/>
            <w:vAlign w:val="center"/>
          </w:tcPr>
          <w:p w14:paraId="66C1D69F">
            <w:pPr>
              <w:wordWrap w:val="0"/>
              <w:adjustRightInd w:val="0"/>
              <w:snapToGrid w:val="0"/>
              <w:spacing w:line="360" w:lineRule="auto"/>
              <w:jc w:val="center"/>
              <w:rPr>
                <w:rFonts w:hint="eastAsia" w:ascii="宋体" w:hAnsi="宋体" w:eastAsia="宋体" w:cs="宋体"/>
                <w:b/>
                <w:bCs/>
                <w:color w:val="000000"/>
                <w:sz w:val="21"/>
                <w:szCs w:val="21"/>
                <w:highlight w:val="none"/>
                <w:shd w:val="clear" w:color="auto" w:fill="FFFFFF"/>
              </w:rPr>
            </w:pPr>
            <w:r>
              <w:rPr>
                <w:rFonts w:hint="eastAsia" w:ascii="宋体" w:hAnsi="宋体" w:eastAsia="宋体" w:cs="宋体"/>
                <w:b/>
                <w:bCs/>
                <w:color w:val="000000"/>
                <w:sz w:val="21"/>
                <w:szCs w:val="21"/>
                <w:highlight w:val="none"/>
                <w:shd w:val="clear" w:color="auto" w:fill="FFFFFF"/>
              </w:rPr>
              <w:t>资质要求</w:t>
            </w:r>
          </w:p>
        </w:tc>
      </w:tr>
      <w:tr w14:paraId="78366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52" w:hRule="atLeast"/>
        </w:trPr>
        <w:tc>
          <w:tcPr>
            <w:tcW w:w="1023" w:type="dxa"/>
            <w:vAlign w:val="center"/>
          </w:tcPr>
          <w:p w14:paraId="1D56CE79">
            <w:pPr>
              <w:keepNext w:val="0"/>
              <w:keepLines w:val="0"/>
              <w:pageBreakBefore w:val="0"/>
              <w:widowControl/>
              <w:kinsoku/>
              <w:wordWrap/>
              <w:overflowPunct/>
              <w:topLinePunct w:val="0"/>
              <w:autoSpaceDE/>
              <w:autoSpaceDN/>
              <w:bidi w:val="0"/>
              <w:adjustRightInd w:val="0"/>
              <w:snapToGrid w:val="0"/>
              <w:ind w:left="105" w:leftChars="50"/>
              <w:textAlignment w:val="auto"/>
              <w:rPr>
                <w:rFonts w:hint="eastAsia" w:ascii="宋体" w:hAnsi="宋体" w:eastAsia="宋体" w:cs="宋体"/>
                <w:color w:val="000000"/>
                <w:sz w:val="21"/>
                <w:szCs w:val="21"/>
                <w:highlight w:val="none"/>
              </w:rPr>
            </w:pPr>
            <w:r>
              <w:rPr>
                <w:rFonts w:ascii="宋体" w:hAnsi="宋体" w:eastAsia="宋体" w:cs="宋体"/>
                <w:color w:val="000000"/>
                <w:sz w:val="21"/>
                <w:szCs w:val="21"/>
                <w:highlight w:val="none"/>
              </w:rPr>
              <w:t>制造商</w:t>
            </w:r>
          </w:p>
        </w:tc>
        <w:tc>
          <w:tcPr>
            <w:tcW w:w="8297" w:type="dxa"/>
            <w:vAlign w:val="center"/>
          </w:tcPr>
          <w:p w14:paraId="77028E57">
            <w:pPr>
              <w:keepNext w:val="0"/>
              <w:keepLines w:val="0"/>
              <w:pageBreakBefore w:val="0"/>
              <w:widowControl/>
              <w:kinsoku/>
              <w:wordWrap/>
              <w:overflowPunct/>
              <w:topLinePunct w:val="0"/>
              <w:autoSpaceDE/>
              <w:autoSpaceDN/>
              <w:bidi w:val="0"/>
              <w:adjustRightInd w:val="0"/>
              <w:snapToGrid w:val="0"/>
              <w:ind w:left="105" w:leftChars="50"/>
              <w:textAlignment w:val="auto"/>
              <w:rPr>
                <w:rFonts w:ascii="宋体" w:hAnsi="宋体" w:eastAsia="宋体" w:cs="宋体"/>
                <w:color w:val="000000"/>
                <w:sz w:val="21"/>
                <w:szCs w:val="21"/>
                <w:highlight w:val="none"/>
              </w:rPr>
            </w:pPr>
            <w:r>
              <w:rPr>
                <w:rFonts w:ascii="宋体" w:hAnsi="宋体" w:eastAsia="宋体" w:cs="宋体"/>
                <w:color w:val="000000"/>
                <w:sz w:val="21"/>
                <w:szCs w:val="21"/>
                <w:highlight w:val="none"/>
              </w:rPr>
              <w:t>投标人如为制造商，</w:t>
            </w:r>
            <w:r>
              <w:rPr>
                <w:rFonts w:hint="eastAsia" w:ascii="宋体" w:hAnsi="宋体" w:eastAsia="宋体" w:cs="宋体"/>
                <w:color w:val="000000"/>
                <w:szCs w:val="21"/>
                <w:highlight w:val="none"/>
              </w:rPr>
              <w:t>应是中华人民共和国境内的法人或其他组织，持有有效的营业执照；</w:t>
            </w:r>
          </w:p>
          <w:p w14:paraId="4C9C247F">
            <w:pPr>
              <w:keepNext w:val="0"/>
              <w:keepLines w:val="0"/>
              <w:pageBreakBefore w:val="0"/>
              <w:widowControl/>
              <w:kinsoku/>
              <w:wordWrap/>
              <w:overflowPunct/>
              <w:topLinePunct w:val="0"/>
              <w:autoSpaceDE/>
              <w:autoSpaceDN/>
              <w:bidi w:val="0"/>
              <w:adjustRightInd w:val="0"/>
              <w:snapToGrid w:val="0"/>
              <w:ind w:left="105" w:leftChars="50"/>
              <w:textAlignment w:val="auto"/>
              <w:rPr>
                <w:rFonts w:ascii="宋体" w:hAnsi="宋体" w:eastAsia="宋体" w:cs="宋体"/>
                <w:color w:val="000000"/>
                <w:sz w:val="21"/>
                <w:szCs w:val="21"/>
                <w:highlight w:val="none"/>
              </w:rPr>
            </w:pPr>
            <w:r>
              <w:rPr>
                <w:rFonts w:ascii="宋体" w:hAnsi="宋体" w:eastAsia="宋体" w:cs="宋体"/>
                <w:color w:val="000000"/>
                <w:sz w:val="21"/>
                <w:szCs w:val="21"/>
                <w:highlight w:val="none"/>
              </w:rPr>
              <w:t>可以是国产</w:t>
            </w:r>
            <w:r>
              <w:rPr>
                <w:rFonts w:hint="eastAsia" w:ascii="宋体" w:hAnsi="宋体" w:eastAsia="宋体" w:cs="宋体"/>
                <w:color w:val="000000"/>
                <w:sz w:val="21"/>
                <w:szCs w:val="21"/>
                <w:highlight w:val="none"/>
                <w:lang w:val="en-US" w:eastAsia="zh-CN"/>
              </w:rPr>
              <w:t>沥青</w:t>
            </w:r>
            <w:r>
              <w:rPr>
                <w:rFonts w:ascii="宋体" w:hAnsi="宋体" w:eastAsia="宋体" w:cs="宋体"/>
                <w:color w:val="000000"/>
                <w:sz w:val="21"/>
                <w:szCs w:val="21"/>
                <w:highlight w:val="none"/>
              </w:rPr>
              <w:t>制造商（含制造商的国内销售公司）或进口</w:t>
            </w:r>
            <w:r>
              <w:rPr>
                <w:rFonts w:hint="eastAsia" w:ascii="宋体" w:hAnsi="宋体" w:eastAsia="宋体" w:cs="宋体"/>
                <w:color w:val="000000"/>
                <w:sz w:val="21"/>
                <w:szCs w:val="21"/>
                <w:highlight w:val="none"/>
                <w:lang w:val="en-US" w:eastAsia="zh-CN"/>
              </w:rPr>
              <w:t>沥青</w:t>
            </w:r>
            <w:r>
              <w:rPr>
                <w:rFonts w:ascii="宋体" w:hAnsi="宋体" w:eastAsia="宋体" w:cs="宋体"/>
                <w:color w:val="000000"/>
                <w:sz w:val="21"/>
                <w:szCs w:val="21"/>
                <w:highlight w:val="none"/>
              </w:rPr>
              <w:t>制造商的中国销售公司。</w:t>
            </w:r>
          </w:p>
        </w:tc>
      </w:tr>
      <w:tr w14:paraId="56399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29" w:hRule="atLeast"/>
        </w:trPr>
        <w:tc>
          <w:tcPr>
            <w:tcW w:w="1023" w:type="dxa"/>
            <w:tcBorders>
              <w:bottom w:val="single" w:color="auto" w:sz="4" w:space="0"/>
            </w:tcBorders>
            <w:vAlign w:val="center"/>
          </w:tcPr>
          <w:p w14:paraId="0453B0C6">
            <w:pPr>
              <w:keepNext w:val="0"/>
              <w:keepLines w:val="0"/>
              <w:pageBreakBefore w:val="0"/>
              <w:widowControl/>
              <w:kinsoku/>
              <w:wordWrap/>
              <w:overflowPunct/>
              <w:topLinePunct w:val="0"/>
              <w:autoSpaceDE/>
              <w:autoSpaceDN/>
              <w:bidi w:val="0"/>
              <w:adjustRightInd w:val="0"/>
              <w:snapToGrid w:val="0"/>
              <w:ind w:left="105" w:leftChars="50"/>
              <w:textAlignment w:val="auto"/>
              <w:rPr>
                <w:rFonts w:hint="eastAsia" w:ascii="宋体" w:hAnsi="宋体" w:eastAsia="宋体" w:cs="宋体"/>
                <w:color w:val="000000"/>
                <w:sz w:val="21"/>
                <w:szCs w:val="21"/>
                <w:highlight w:val="none"/>
              </w:rPr>
            </w:pPr>
            <w:r>
              <w:rPr>
                <w:rFonts w:ascii="宋体" w:hAnsi="宋体" w:eastAsia="宋体" w:cs="宋体"/>
                <w:color w:val="000000"/>
                <w:sz w:val="21"/>
                <w:szCs w:val="21"/>
                <w:highlight w:val="none"/>
              </w:rPr>
              <w:t>代理商</w:t>
            </w:r>
          </w:p>
        </w:tc>
        <w:tc>
          <w:tcPr>
            <w:tcW w:w="8297" w:type="dxa"/>
            <w:tcBorders>
              <w:bottom w:val="single" w:color="auto" w:sz="4" w:space="0"/>
            </w:tcBorders>
            <w:vAlign w:val="center"/>
          </w:tcPr>
          <w:p w14:paraId="51803C86">
            <w:pPr>
              <w:keepNext w:val="0"/>
              <w:keepLines w:val="0"/>
              <w:pageBreakBefore w:val="0"/>
              <w:widowControl/>
              <w:kinsoku/>
              <w:wordWrap/>
              <w:overflowPunct/>
              <w:topLinePunct w:val="0"/>
              <w:autoSpaceDE/>
              <w:autoSpaceDN/>
              <w:bidi w:val="0"/>
              <w:adjustRightInd w:val="0"/>
              <w:snapToGrid w:val="0"/>
              <w:ind w:left="105" w:leftChars="50"/>
              <w:textAlignment w:val="auto"/>
              <w:rPr>
                <w:rFonts w:hint="eastAsia" w:ascii="宋体" w:hAnsi="宋体" w:eastAsia="宋体" w:cs="宋体"/>
                <w:color w:val="000000"/>
                <w:sz w:val="21"/>
                <w:szCs w:val="21"/>
                <w:highlight w:val="none"/>
                <w:lang w:eastAsia="zh-CN"/>
              </w:rPr>
            </w:pPr>
            <w:r>
              <w:rPr>
                <w:rFonts w:ascii="宋体" w:hAnsi="宋体" w:eastAsia="宋体" w:cs="宋体"/>
                <w:color w:val="000000"/>
                <w:sz w:val="21"/>
                <w:szCs w:val="21"/>
                <w:highlight w:val="none"/>
              </w:rPr>
              <w:t>投标人如为代理商，</w:t>
            </w:r>
            <w:r>
              <w:rPr>
                <w:rFonts w:hint="eastAsia" w:ascii="宋体" w:hAnsi="宋体" w:eastAsia="宋体" w:cs="宋体"/>
                <w:color w:val="000000"/>
                <w:szCs w:val="21"/>
                <w:highlight w:val="none"/>
              </w:rPr>
              <w:t>应是中华人民共和国境内的法人或其他组织，持有有效的营业执照；</w:t>
            </w:r>
            <w:r>
              <w:rPr>
                <w:rFonts w:ascii="宋体" w:hAnsi="宋体" w:eastAsia="宋体" w:cs="宋体"/>
                <w:color w:val="000000"/>
                <w:sz w:val="21"/>
                <w:szCs w:val="21"/>
                <w:highlight w:val="none"/>
              </w:rPr>
              <w:t>具有制造商出具的针对本招标项目的唯一授权，且其代理的制造商必须满足对上述投标人为制造商的资格要求</w:t>
            </w:r>
            <w:r>
              <w:rPr>
                <w:rFonts w:hint="eastAsia" w:ascii="宋体" w:hAnsi="宋体" w:eastAsia="宋体" w:cs="宋体"/>
                <w:color w:val="000000"/>
                <w:sz w:val="21"/>
                <w:szCs w:val="21"/>
                <w:highlight w:val="none"/>
                <w:lang w:eastAsia="zh-CN"/>
              </w:rPr>
              <w:t>。</w:t>
            </w:r>
          </w:p>
        </w:tc>
      </w:tr>
    </w:tbl>
    <w:p w14:paraId="4C7A6CF7">
      <w:pPr>
        <w:keepNext w:val="0"/>
        <w:keepLines w:val="0"/>
        <w:pageBreakBefore w:val="0"/>
        <w:widowControl/>
        <w:kinsoku/>
        <w:wordWrap w:val="0"/>
        <w:overflowPunct/>
        <w:topLinePunct w:val="0"/>
        <w:autoSpaceDE/>
        <w:autoSpaceDN/>
        <w:bidi w:val="0"/>
        <w:adjustRightInd w:val="0"/>
        <w:snapToGrid w:val="0"/>
        <w:ind w:left="210" w:leftChars="100" w:firstLine="422" w:firstLineChars="200"/>
        <w:jc w:val="both"/>
        <w:textAlignment w:val="auto"/>
        <w:rPr>
          <w:rFonts w:hint="eastAsia" w:ascii="宋体" w:hAnsi="宋体" w:eastAsia="宋体" w:cs="宋体"/>
          <w:b/>
          <w:color w:val="000000"/>
          <w:kern w:val="2"/>
          <w:sz w:val="21"/>
          <w:szCs w:val="21"/>
          <w:highlight w:val="none"/>
          <w:shd w:val="clear" w:color="auto" w:fill="FFFFFF"/>
          <w:lang w:val="en-US" w:eastAsia="zh-CN" w:bidi="ar-SA"/>
        </w:rPr>
      </w:pPr>
    </w:p>
    <w:p w14:paraId="27F2B7EC">
      <w:pPr>
        <w:keepNext w:val="0"/>
        <w:keepLines w:val="0"/>
        <w:pageBreakBefore w:val="0"/>
        <w:widowControl/>
        <w:kinsoku/>
        <w:wordWrap w:val="0"/>
        <w:overflowPunct/>
        <w:topLinePunct w:val="0"/>
        <w:autoSpaceDE/>
        <w:autoSpaceDN/>
        <w:bidi w:val="0"/>
        <w:adjustRightInd w:val="0"/>
        <w:snapToGrid w:val="0"/>
        <w:ind w:left="210" w:leftChars="100" w:firstLine="422" w:firstLineChars="200"/>
        <w:jc w:val="both"/>
        <w:textAlignment w:val="auto"/>
        <w:rPr>
          <w:rFonts w:hint="eastAsia" w:ascii="宋体" w:hAnsi="宋体" w:eastAsia="宋体" w:cs="宋体"/>
          <w:b/>
          <w:color w:val="000000"/>
          <w:kern w:val="2"/>
          <w:sz w:val="21"/>
          <w:szCs w:val="21"/>
          <w:highlight w:val="none"/>
          <w:shd w:val="clear" w:color="auto" w:fill="FFFFFF"/>
          <w:lang w:val="en-US" w:eastAsia="zh-CN" w:bidi="ar-SA"/>
        </w:rPr>
      </w:pPr>
    </w:p>
    <w:p w14:paraId="1381B0F2">
      <w:pPr>
        <w:keepNext w:val="0"/>
        <w:keepLines w:val="0"/>
        <w:pageBreakBefore w:val="0"/>
        <w:widowControl/>
        <w:kinsoku/>
        <w:overflowPunct/>
        <w:topLinePunct w:val="0"/>
        <w:autoSpaceDE/>
        <w:autoSpaceDN/>
        <w:bidi w:val="0"/>
        <w:ind w:left="210" w:leftChars="100"/>
        <w:jc w:val="center"/>
        <w:textAlignment w:val="auto"/>
        <w:rPr>
          <w:rFonts w:hint="eastAsia" w:ascii="宋体" w:hAnsi="宋体" w:eastAsia="宋体" w:cs="宋体"/>
          <w:b/>
          <w:color w:val="000000"/>
          <w:sz w:val="21"/>
          <w:szCs w:val="21"/>
          <w:highlight w:val="none"/>
          <w:shd w:val="clear" w:color="auto" w:fill="FFFFFF"/>
        </w:rPr>
      </w:pPr>
      <w:r>
        <w:rPr>
          <w:rFonts w:hint="eastAsia" w:ascii="宋体" w:hAnsi="宋体" w:eastAsia="宋体" w:cs="宋体"/>
          <w:b/>
          <w:color w:val="000000"/>
          <w:sz w:val="21"/>
          <w:szCs w:val="21"/>
          <w:highlight w:val="none"/>
          <w:shd w:val="clear" w:color="auto" w:fill="FFFFFF"/>
        </w:rPr>
        <w:t>附录2  资格审查条件(</w:t>
      </w:r>
      <w:r>
        <w:rPr>
          <w:rFonts w:hint="eastAsia" w:ascii="宋体" w:hAnsi="宋体" w:eastAsia="宋体" w:cs="宋体"/>
          <w:b/>
          <w:color w:val="000000"/>
          <w:sz w:val="21"/>
          <w:szCs w:val="21"/>
          <w:highlight w:val="none"/>
          <w:shd w:val="clear" w:color="auto" w:fill="FFFFFF"/>
          <w:lang w:val="en-US" w:eastAsia="zh-CN"/>
        </w:rPr>
        <w:t>财务</w:t>
      </w:r>
      <w:r>
        <w:rPr>
          <w:rFonts w:hint="eastAsia" w:ascii="宋体" w:hAnsi="宋体" w:eastAsia="宋体" w:cs="宋体"/>
          <w:b/>
          <w:color w:val="000000"/>
          <w:sz w:val="21"/>
          <w:szCs w:val="21"/>
          <w:highlight w:val="none"/>
          <w:shd w:val="clear" w:color="auto" w:fill="FFFFFF"/>
        </w:rPr>
        <w:t>最低要求)</w:t>
      </w:r>
    </w:p>
    <w:tbl>
      <w:tblPr>
        <w:tblStyle w:val="4"/>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13"/>
      </w:tblGrid>
      <w:tr w14:paraId="643F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9413" w:type="dxa"/>
            <w:vAlign w:val="center"/>
          </w:tcPr>
          <w:p w14:paraId="21DDAFD1">
            <w:pPr>
              <w:keepNext w:val="0"/>
              <w:keepLines w:val="0"/>
              <w:pageBreakBefore w:val="0"/>
              <w:widowControl/>
              <w:kinsoku/>
              <w:overflowPunct/>
              <w:topLinePunct w:val="0"/>
              <w:autoSpaceDE/>
              <w:autoSpaceDN/>
              <w:bidi w:val="0"/>
              <w:adjustRightInd w:val="0"/>
              <w:snapToGrid w:val="0"/>
              <w:ind w:left="210" w:leftChars="100"/>
              <w:jc w:val="center"/>
              <w:textAlignment w:val="auto"/>
              <w:rPr>
                <w:rFonts w:hint="eastAsia" w:ascii="宋体" w:hAnsi="宋体" w:eastAsia="宋体" w:cs="宋体"/>
                <w:b/>
                <w:color w:val="000000"/>
                <w:sz w:val="21"/>
                <w:szCs w:val="21"/>
                <w:highlight w:val="none"/>
                <w:shd w:val="clear" w:color="auto" w:fill="FFFFFF"/>
              </w:rPr>
            </w:pPr>
            <w:r>
              <w:rPr>
                <w:rFonts w:hint="eastAsia" w:ascii="宋体" w:hAnsi="宋体" w:eastAsia="宋体" w:cs="宋体"/>
                <w:b/>
                <w:color w:val="000000"/>
                <w:sz w:val="21"/>
                <w:szCs w:val="21"/>
                <w:highlight w:val="none"/>
                <w:shd w:val="clear" w:color="auto" w:fill="FFFFFF"/>
                <w:lang w:val="en-US" w:eastAsia="zh-CN"/>
              </w:rPr>
              <w:t>财务</w:t>
            </w:r>
            <w:r>
              <w:rPr>
                <w:rFonts w:hint="eastAsia" w:ascii="宋体" w:hAnsi="宋体" w:eastAsia="宋体" w:cs="宋体"/>
                <w:b/>
                <w:color w:val="000000"/>
                <w:sz w:val="21"/>
                <w:szCs w:val="21"/>
                <w:highlight w:val="none"/>
                <w:shd w:val="clear" w:color="auto" w:fill="FFFFFF"/>
              </w:rPr>
              <w:t>要求</w:t>
            </w:r>
          </w:p>
        </w:tc>
      </w:tr>
      <w:tr w14:paraId="3400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4" w:hRule="atLeast"/>
        </w:trPr>
        <w:tc>
          <w:tcPr>
            <w:tcW w:w="9413" w:type="dxa"/>
            <w:vAlign w:val="center"/>
          </w:tcPr>
          <w:p w14:paraId="49E427CB">
            <w:pPr>
              <w:keepNext/>
              <w:keepLines/>
              <w:pageBreakBefore w:val="0"/>
              <w:widowControl/>
              <w:kinsoku/>
              <w:wordWrap/>
              <w:overflowPunct/>
              <w:topLinePunct w:val="0"/>
              <w:autoSpaceDE/>
              <w:autoSpaceDN/>
              <w:bidi w:val="0"/>
              <w:adjustRightInd/>
              <w:snapToGrid/>
              <w:spacing w:before="0" w:after="0" w:line="240" w:lineRule="auto"/>
              <w:ind w:firstLine="420" w:firstLineChars="200"/>
              <w:jc w:val="both"/>
              <w:textAlignment w:val="auto"/>
              <w:outlineLvl w:val="0"/>
              <w:rPr>
                <w:rFonts w:hint="eastAsia" w:ascii="宋体" w:hAnsi="宋体" w:eastAsia="宋体" w:cs="宋体"/>
                <w:b w:val="0"/>
                <w:bCs/>
                <w:color w:val="000000"/>
                <w:kern w:val="0"/>
                <w:sz w:val="21"/>
                <w:szCs w:val="21"/>
                <w:highlight w:val="none"/>
                <w:shd w:val="clear" w:color="auto" w:fill="FFFFFF"/>
                <w:lang w:val="en-US" w:eastAsia="zh-CN" w:bidi="ar-SA"/>
              </w:rPr>
            </w:pPr>
            <w:r>
              <w:rPr>
                <w:rFonts w:hint="eastAsia" w:ascii="宋体" w:hAnsi="宋体" w:eastAsia="宋体" w:cs="宋体"/>
                <w:b w:val="0"/>
                <w:bCs/>
                <w:color w:val="000000"/>
                <w:kern w:val="0"/>
                <w:sz w:val="21"/>
                <w:szCs w:val="21"/>
                <w:highlight w:val="none"/>
                <w:shd w:val="clear" w:color="auto" w:fill="FFFFFF"/>
                <w:lang w:val="en-US" w:eastAsia="zh-CN" w:bidi="ar-SA"/>
              </w:rPr>
              <w:t>投标人承诺为本合同所提供的营运资金(以经会计事务所或审计机构审计的财务报表(2025年度)中：营运资金=流动资产-流动负债，以年末数计算)以及为本项目而专门开具的银行信贷证明总和不得少于2000万元。</w:t>
            </w:r>
          </w:p>
        </w:tc>
      </w:tr>
    </w:tbl>
    <w:p w14:paraId="018021C5">
      <w:pPr>
        <w:keepNext w:val="0"/>
        <w:keepLines w:val="0"/>
        <w:pageBreakBefore w:val="0"/>
        <w:widowControl/>
        <w:kinsoku/>
        <w:overflowPunct/>
        <w:topLinePunct w:val="0"/>
        <w:autoSpaceDE/>
        <w:autoSpaceDN/>
        <w:bidi w:val="0"/>
        <w:ind w:left="210" w:leftChars="100"/>
        <w:jc w:val="center"/>
        <w:textAlignment w:val="auto"/>
        <w:rPr>
          <w:rFonts w:hint="eastAsia" w:ascii="宋体" w:hAnsi="宋体" w:eastAsia="宋体" w:cs="宋体"/>
          <w:b/>
          <w:color w:val="000000"/>
          <w:sz w:val="21"/>
          <w:szCs w:val="21"/>
          <w:highlight w:val="none"/>
          <w:shd w:val="clear" w:color="auto" w:fill="FFFFFF"/>
        </w:rPr>
      </w:pPr>
    </w:p>
    <w:p w14:paraId="792DFAA2">
      <w:pPr>
        <w:keepNext w:val="0"/>
        <w:keepLines w:val="0"/>
        <w:pageBreakBefore w:val="0"/>
        <w:widowControl/>
        <w:kinsoku/>
        <w:overflowPunct/>
        <w:topLinePunct w:val="0"/>
        <w:autoSpaceDE/>
        <w:autoSpaceDN/>
        <w:bidi w:val="0"/>
        <w:ind w:left="210" w:leftChars="100"/>
        <w:jc w:val="center"/>
        <w:textAlignment w:val="auto"/>
        <w:rPr>
          <w:rFonts w:hint="eastAsia" w:ascii="宋体" w:hAnsi="宋体" w:eastAsia="宋体" w:cs="宋体"/>
          <w:b/>
          <w:color w:val="000000"/>
          <w:sz w:val="21"/>
          <w:szCs w:val="21"/>
          <w:highlight w:val="none"/>
          <w:shd w:val="clear" w:color="auto" w:fill="FFFFFF"/>
        </w:rPr>
      </w:pPr>
    </w:p>
    <w:p w14:paraId="04983786">
      <w:pPr>
        <w:keepNext w:val="0"/>
        <w:keepLines w:val="0"/>
        <w:pageBreakBefore w:val="0"/>
        <w:widowControl/>
        <w:kinsoku/>
        <w:overflowPunct/>
        <w:topLinePunct w:val="0"/>
        <w:autoSpaceDE/>
        <w:autoSpaceDN/>
        <w:bidi w:val="0"/>
        <w:ind w:left="210" w:leftChars="100"/>
        <w:jc w:val="center"/>
        <w:textAlignment w:val="auto"/>
        <w:rPr>
          <w:rFonts w:hint="eastAsia" w:ascii="宋体" w:hAnsi="宋体" w:eastAsia="宋体" w:cs="宋体"/>
          <w:b/>
          <w:color w:val="000000"/>
          <w:sz w:val="21"/>
          <w:szCs w:val="21"/>
          <w:highlight w:val="none"/>
          <w:shd w:val="clear" w:color="auto" w:fill="FFFFFF"/>
        </w:rPr>
      </w:pPr>
      <w:r>
        <w:rPr>
          <w:rFonts w:hint="eastAsia" w:ascii="宋体" w:hAnsi="宋体" w:eastAsia="宋体" w:cs="宋体"/>
          <w:b/>
          <w:color w:val="000000"/>
          <w:sz w:val="21"/>
          <w:szCs w:val="21"/>
          <w:highlight w:val="none"/>
          <w:shd w:val="clear" w:color="auto" w:fill="FFFFFF"/>
        </w:rPr>
        <w:t>附录</w:t>
      </w:r>
      <w:r>
        <w:rPr>
          <w:rFonts w:hint="eastAsia" w:ascii="宋体" w:hAnsi="宋体" w:eastAsia="宋体" w:cs="宋体"/>
          <w:b/>
          <w:color w:val="000000"/>
          <w:sz w:val="21"/>
          <w:szCs w:val="21"/>
          <w:highlight w:val="none"/>
          <w:shd w:val="clear" w:color="auto" w:fill="FFFFFF"/>
          <w:lang w:val="en-US" w:eastAsia="zh-CN"/>
        </w:rPr>
        <w:t>3</w:t>
      </w:r>
      <w:r>
        <w:rPr>
          <w:rFonts w:hint="eastAsia" w:ascii="宋体" w:hAnsi="宋体" w:eastAsia="宋体" w:cs="宋体"/>
          <w:b/>
          <w:color w:val="000000"/>
          <w:sz w:val="21"/>
          <w:szCs w:val="21"/>
          <w:highlight w:val="none"/>
          <w:shd w:val="clear" w:color="auto" w:fill="FFFFFF"/>
        </w:rPr>
        <w:t xml:space="preserve">  资格审查条件(业绩最低要求)</w:t>
      </w:r>
    </w:p>
    <w:tbl>
      <w:tblPr>
        <w:tblStyle w:val="4"/>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13"/>
      </w:tblGrid>
      <w:tr w14:paraId="2904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9413" w:type="dxa"/>
            <w:vAlign w:val="center"/>
          </w:tcPr>
          <w:p w14:paraId="3A5CF726">
            <w:pPr>
              <w:keepNext w:val="0"/>
              <w:keepLines w:val="0"/>
              <w:pageBreakBefore w:val="0"/>
              <w:widowControl/>
              <w:kinsoku/>
              <w:overflowPunct/>
              <w:topLinePunct w:val="0"/>
              <w:autoSpaceDE/>
              <w:autoSpaceDN/>
              <w:bidi w:val="0"/>
              <w:adjustRightInd w:val="0"/>
              <w:snapToGrid w:val="0"/>
              <w:ind w:left="210" w:leftChars="100"/>
              <w:jc w:val="center"/>
              <w:textAlignment w:val="auto"/>
              <w:rPr>
                <w:rFonts w:hint="eastAsia" w:ascii="宋体" w:hAnsi="宋体" w:eastAsia="宋体" w:cs="宋体"/>
                <w:b/>
                <w:color w:val="000000"/>
                <w:sz w:val="21"/>
                <w:szCs w:val="21"/>
                <w:highlight w:val="none"/>
                <w:shd w:val="clear" w:color="auto" w:fill="FFFFFF"/>
              </w:rPr>
            </w:pPr>
            <w:r>
              <w:rPr>
                <w:rFonts w:hint="eastAsia" w:ascii="宋体" w:hAnsi="宋体" w:eastAsia="宋体" w:cs="宋体"/>
                <w:b/>
                <w:color w:val="000000"/>
                <w:sz w:val="21"/>
                <w:szCs w:val="21"/>
                <w:highlight w:val="none"/>
                <w:shd w:val="clear" w:color="auto" w:fill="FFFFFF"/>
              </w:rPr>
              <w:t>业绩要求</w:t>
            </w:r>
          </w:p>
        </w:tc>
      </w:tr>
      <w:tr w14:paraId="6CF1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9" w:hRule="atLeast"/>
        </w:trPr>
        <w:tc>
          <w:tcPr>
            <w:tcW w:w="9413" w:type="dxa"/>
            <w:vAlign w:val="center"/>
          </w:tcPr>
          <w:p w14:paraId="369A280F">
            <w:pPr>
              <w:keepNext/>
              <w:keepLines/>
              <w:pageBreakBefore w:val="0"/>
              <w:widowControl/>
              <w:kinsoku/>
              <w:wordWrap/>
              <w:overflowPunct/>
              <w:topLinePunct w:val="0"/>
              <w:autoSpaceDE/>
              <w:autoSpaceDN/>
              <w:bidi w:val="0"/>
              <w:adjustRightInd/>
              <w:snapToGrid/>
              <w:spacing w:before="0" w:after="0" w:line="240" w:lineRule="auto"/>
              <w:ind w:firstLine="420" w:firstLineChars="200"/>
              <w:jc w:val="both"/>
              <w:textAlignment w:val="auto"/>
              <w:outlineLvl w:val="0"/>
              <w:rPr>
                <w:rFonts w:hint="eastAsia" w:ascii="宋体" w:hAnsi="宋体" w:eastAsia="宋体" w:cs="宋体"/>
                <w:b w:val="0"/>
                <w:bCs/>
                <w:color w:val="000000"/>
                <w:kern w:val="0"/>
                <w:sz w:val="21"/>
                <w:szCs w:val="21"/>
                <w:highlight w:val="none"/>
                <w:shd w:val="clear" w:color="auto" w:fill="FFFFFF"/>
                <w:lang w:val="en-US" w:eastAsia="zh-CN" w:bidi="ar-SA"/>
              </w:rPr>
            </w:pPr>
            <w:r>
              <w:rPr>
                <w:rFonts w:hint="eastAsia" w:ascii="宋体" w:hAnsi="宋体" w:eastAsia="宋体" w:cs="宋体"/>
                <w:b w:val="0"/>
                <w:bCs w:val="0"/>
                <w:color w:val="000000"/>
                <w:kern w:val="44"/>
                <w:sz w:val="21"/>
                <w:szCs w:val="21"/>
                <w:highlight w:val="none"/>
                <w:shd w:val="clear" w:color="auto" w:fill="FFFFFF"/>
                <w:lang w:val="en-US" w:eastAsia="zh-CN" w:bidi="ar-SA"/>
              </w:rPr>
              <w:t>投标人近3年（2023年6月1日至今，以合同签订时间为准）累计完成过不少于4.5万吨</w:t>
            </w:r>
            <w:r>
              <w:rPr>
                <w:rFonts w:hint="eastAsia" w:ascii="宋体" w:hAnsi="宋体" w:eastAsia="宋体" w:cs="宋体"/>
                <w:b w:val="0"/>
                <w:bCs/>
                <w:color w:val="000000"/>
                <w:kern w:val="0"/>
                <w:sz w:val="21"/>
                <w:szCs w:val="21"/>
                <w:highlight w:val="none"/>
                <w:shd w:val="clear" w:color="auto" w:fill="FFFFFF"/>
                <w:lang w:val="en-US" w:eastAsia="zh-CN" w:bidi="ar-SA"/>
              </w:rPr>
              <w:t>沥青供货业绩。</w:t>
            </w:r>
          </w:p>
        </w:tc>
      </w:tr>
    </w:tbl>
    <w:p w14:paraId="3F54B413">
      <w:pPr>
        <w:keepNext w:val="0"/>
        <w:keepLines w:val="0"/>
        <w:pageBreakBefore w:val="0"/>
        <w:widowControl/>
        <w:kinsoku/>
        <w:overflowPunct/>
        <w:topLinePunct w:val="0"/>
        <w:autoSpaceDE/>
        <w:autoSpaceDN/>
        <w:bidi w:val="0"/>
        <w:ind w:left="210" w:leftChars="100"/>
        <w:textAlignment w:val="auto"/>
        <w:rPr>
          <w:rFonts w:hint="eastAsia" w:ascii="宋体" w:hAnsi="宋体" w:eastAsia="宋体" w:cs="宋体"/>
          <w:color w:val="000000"/>
          <w:sz w:val="21"/>
          <w:szCs w:val="21"/>
          <w:highlight w:val="none"/>
        </w:rPr>
      </w:pPr>
    </w:p>
    <w:p w14:paraId="4DF64798">
      <w:pPr>
        <w:keepNext w:val="0"/>
        <w:keepLines w:val="0"/>
        <w:pageBreakBefore w:val="0"/>
        <w:widowControl/>
        <w:kinsoku/>
        <w:overflowPunct/>
        <w:topLinePunct w:val="0"/>
        <w:autoSpaceDE/>
        <w:autoSpaceDN/>
        <w:bidi w:val="0"/>
        <w:ind w:left="210" w:leftChars="100"/>
        <w:textAlignment w:val="auto"/>
        <w:rPr>
          <w:rFonts w:hint="eastAsia" w:ascii="宋体" w:hAnsi="宋体" w:eastAsia="宋体" w:cs="宋体"/>
          <w:color w:val="000000"/>
          <w:sz w:val="21"/>
          <w:szCs w:val="21"/>
          <w:highlight w:val="none"/>
        </w:rPr>
      </w:pPr>
    </w:p>
    <w:p w14:paraId="5A2BA1BF">
      <w:pPr>
        <w:keepNext w:val="0"/>
        <w:keepLines w:val="0"/>
        <w:pageBreakBefore w:val="0"/>
        <w:widowControl/>
        <w:kinsoku/>
        <w:overflowPunct/>
        <w:topLinePunct w:val="0"/>
        <w:autoSpaceDE/>
        <w:autoSpaceDN/>
        <w:bidi w:val="0"/>
        <w:ind w:left="210" w:leftChars="100"/>
        <w:jc w:val="center"/>
        <w:textAlignment w:val="auto"/>
        <w:rPr>
          <w:rFonts w:hint="eastAsia" w:ascii="宋体" w:hAnsi="宋体" w:eastAsia="宋体" w:cs="宋体"/>
          <w:b/>
          <w:color w:val="000000"/>
          <w:sz w:val="21"/>
          <w:szCs w:val="21"/>
          <w:highlight w:val="none"/>
          <w:shd w:val="clear" w:color="auto" w:fill="FFFFFF"/>
        </w:rPr>
      </w:pPr>
      <w:r>
        <w:rPr>
          <w:rFonts w:hint="eastAsia" w:ascii="宋体" w:hAnsi="宋体" w:eastAsia="宋体" w:cs="宋体"/>
          <w:b/>
          <w:color w:val="000000"/>
          <w:sz w:val="21"/>
          <w:szCs w:val="21"/>
          <w:highlight w:val="none"/>
          <w:shd w:val="clear" w:color="auto" w:fill="FFFFFF"/>
        </w:rPr>
        <w:t>附录</w:t>
      </w:r>
      <w:r>
        <w:rPr>
          <w:rFonts w:hint="eastAsia" w:ascii="宋体" w:hAnsi="宋体" w:eastAsia="宋体" w:cs="宋体"/>
          <w:b/>
          <w:color w:val="000000"/>
          <w:sz w:val="21"/>
          <w:szCs w:val="21"/>
          <w:highlight w:val="none"/>
          <w:shd w:val="clear" w:color="auto" w:fill="FFFFFF"/>
          <w:lang w:val="en-US" w:eastAsia="zh-CN"/>
        </w:rPr>
        <w:t>4</w:t>
      </w:r>
      <w:r>
        <w:rPr>
          <w:rFonts w:hint="eastAsia" w:ascii="宋体" w:hAnsi="宋体" w:eastAsia="宋体" w:cs="宋体"/>
          <w:b/>
          <w:color w:val="000000"/>
          <w:sz w:val="21"/>
          <w:szCs w:val="21"/>
          <w:highlight w:val="none"/>
          <w:shd w:val="clear" w:color="auto" w:fill="FFFFFF"/>
        </w:rPr>
        <w:t xml:space="preserve">  资格审查条件(信誉最低要求)</w:t>
      </w:r>
    </w:p>
    <w:tbl>
      <w:tblPr>
        <w:tblStyle w:val="4"/>
        <w:tblW w:w="9382"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2"/>
      </w:tblGrid>
      <w:tr w14:paraId="5C0C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9382" w:type="dxa"/>
            <w:vAlign w:val="center"/>
          </w:tcPr>
          <w:p w14:paraId="40908F65">
            <w:pPr>
              <w:keepNext w:val="0"/>
              <w:keepLines w:val="0"/>
              <w:pageBreakBefore w:val="0"/>
              <w:widowControl/>
              <w:kinsoku/>
              <w:wordWrap/>
              <w:overflowPunct/>
              <w:topLinePunct w:val="0"/>
              <w:autoSpaceDE/>
              <w:autoSpaceDN/>
              <w:bidi w:val="0"/>
              <w:adjustRightInd w:val="0"/>
              <w:snapToGrid w:val="0"/>
              <w:ind w:left="105" w:leftChars="50"/>
              <w:jc w:val="center"/>
              <w:textAlignment w:val="auto"/>
              <w:rPr>
                <w:rFonts w:hint="eastAsia" w:ascii="宋体" w:hAnsi="宋体" w:eastAsia="宋体" w:cs="宋体"/>
                <w:b/>
                <w:color w:val="000000"/>
                <w:sz w:val="21"/>
                <w:szCs w:val="21"/>
                <w:highlight w:val="none"/>
                <w:shd w:val="clear" w:color="auto" w:fill="FFFFFF"/>
              </w:rPr>
            </w:pPr>
            <w:r>
              <w:rPr>
                <w:rFonts w:hint="eastAsia" w:ascii="宋体" w:hAnsi="宋体" w:eastAsia="宋体" w:cs="宋体"/>
                <w:b/>
                <w:color w:val="000000"/>
                <w:sz w:val="21"/>
                <w:szCs w:val="21"/>
                <w:highlight w:val="none"/>
                <w:shd w:val="clear" w:color="auto" w:fill="FFFFFF"/>
              </w:rPr>
              <w:t>信誉要求</w:t>
            </w:r>
          </w:p>
        </w:tc>
      </w:tr>
      <w:tr w14:paraId="2F86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trPr>
        <w:tc>
          <w:tcPr>
            <w:tcW w:w="9382" w:type="dxa"/>
            <w:vAlign w:val="center"/>
          </w:tcPr>
          <w:p w14:paraId="2E99B06D">
            <w:pPr>
              <w:keepNext w:val="0"/>
              <w:keepLines w:val="0"/>
              <w:pageBreakBefore w:val="0"/>
              <w:widowControl/>
              <w:kinsoku/>
              <w:wordWrap/>
              <w:overflowPunct/>
              <w:topLinePunct w:val="0"/>
              <w:autoSpaceDE/>
              <w:autoSpaceDN/>
              <w:bidi w:val="0"/>
              <w:adjustRightInd w:val="0"/>
              <w:snapToGrid/>
              <w:spacing w:line="360" w:lineRule="auto"/>
              <w:ind w:left="105" w:leftChars="50" w:firstLine="420" w:firstLineChars="200"/>
              <w:textAlignment w:val="auto"/>
              <w:rPr>
                <w:rFonts w:hint="eastAsia" w:ascii="宋体" w:hAnsi="宋体" w:eastAsia="宋体" w:cs="宋体"/>
                <w:b/>
                <w:color w:val="000000"/>
                <w:sz w:val="21"/>
                <w:szCs w:val="21"/>
                <w:highlight w:val="none"/>
                <w:shd w:val="clear" w:color="auto" w:fill="FFFFFF"/>
              </w:rPr>
            </w:pPr>
            <w:r>
              <w:rPr>
                <w:rFonts w:hint="eastAsia" w:ascii="宋体" w:hAnsi="宋体" w:eastAsia="宋体" w:cs="宋体"/>
                <w:color w:val="000000"/>
                <w:sz w:val="21"/>
                <w:szCs w:val="21"/>
                <w:highlight w:val="none"/>
              </w:rPr>
              <w:t>投标人在过去1年中(202</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lang w:val="en-US" w:eastAsia="zh-CN"/>
              </w:rPr>
              <w:t>6月</w:t>
            </w:r>
            <w:r>
              <w:rPr>
                <w:rFonts w:hint="eastAsia" w:ascii="宋体" w:hAnsi="宋体" w:eastAsia="宋体" w:cs="宋体"/>
                <w:color w:val="000000"/>
                <w:sz w:val="21"/>
                <w:szCs w:val="21"/>
                <w:highlight w:val="none"/>
              </w:rPr>
              <w:t>1日至今)不曾在</w:t>
            </w:r>
            <w:r>
              <w:rPr>
                <w:rFonts w:hint="eastAsia" w:ascii="宋体" w:hAnsi="宋体" w:eastAsia="宋体" w:cs="宋体"/>
                <w:color w:val="000000"/>
                <w:sz w:val="21"/>
                <w:szCs w:val="21"/>
                <w:highlight w:val="none"/>
                <w:lang w:val="en-US" w:eastAsia="zh-CN"/>
              </w:rPr>
              <w:t>沥青</w:t>
            </w:r>
            <w:r>
              <w:rPr>
                <w:rFonts w:hint="eastAsia" w:ascii="宋体" w:hAnsi="宋体" w:eastAsia="宋体" w:cs="宋体"/>
                <w:color w:val="000000"/>
                <w:sz w:val="21"/>
                <w:szCs w:val="21"/>
                <w:highlight w:val="none"/>
              </w:rPr>
              <w:t>供货合同中违约而被驱逐或因投标人自身的原因而使</w:t>
            </w:r>
            <w:r>
              <w:rPr>
                <w:rFonts w:hint="eastAsia" w:ascii="宋体" w:hAnsi="宋体" w:eastAsia="宋体" w:cs="宋体"/>
                <w:color w:val="000000"/>
                <w:sz w:val="21"/>
                <w:szCs w:val="21"/>
                <w:highlight w:val="none"/>
                <w:lang w:val="en-US" w:eastAsia="zh-CN"/>
              </w:rPr>
              <w:t>沥青供货合同</w:t>
            </w:r>
            <w:r>
              <w:rPr>
                <w:rFonts w:hint="eastAsia" w:ascii="宋体" w:hAnsi="宋体" w:eastAsia="宋体" w:cs="宋体"/>
                <w:color w:val="000000"/>
                <w:sz w:val="21"/>
                <w:szCs w:val="21"/>
                <w:highlight w:val="none"/>
              </w:rPr>
              <w:t>被解除。</w:t>
            </w:r>
          </w:p>
        </w:tc>
      </w:tr>
    </w:tbl>
    <w:p w14:paraId="6B31E0FC">
      <w:pPr>
        <w:wordWrap w:val="0"/>
        <w:rPr>
          <w:rFonts w:ascii="Times New Roman" w:hAnsi="Times New Roman" w:eastAsia="宋体" w:cs="Times New Roman"/>
          <w:b/>
          <w:color w:val="000000"/>
          <w:sz w:val="24"/>
          <w:szCs w:val="22"/>
          <w:highlight w:val="none"/>
        </w:rPr>
      </w:pPr>
    </w:p>
    <w:p w14:paraId="41D1DC48">
      <w:pPr>
        <w:wordWrap w:val="0"/>
        <w:rPr>
          <w:rFonts w:ascii="Times New Roman" w:hAnsi="Times New Roman" w:eastAsia="宋体" w:cs="Times New Roman"/>
          <w:b/>
          <w:color w:val="000000"/>
          <w:sz w:val="24"/>
          <w:szCs w:val="22"/>
          <w:highlight w:val="none"/>
        </w:rPr>
      </w:pPr>
    </w:p>
    <w:p w14:paraId="1C64111C">
      <w:pPr>
        <w:wordWrap w:val="0"/>
        <w:rPr>
          <w:rFonts w:ascii="Times New Roman" w:hAnsi="Times New Roman" w:eastAsia="宋体" w:cs="Times New Roman"/>
          <w:b/>
          <w:color w:val="000000"/>
          <w:sz w:val="24"/>
          <w:szCs w:val="22"/>
          <w:highlight w:val="none"/>
        </w:rPr>
      </w:pPr>
    </w:p>
    <w:p w14:paraId="45F11C8A">
      <w:pPr>
        <w:snapToGrid w:val="0"/>
        <w:rPr>
          <w:rFonts w:ascii="宋体" w:hAnsi="宋体" w:eastAsia="宋体" w:cs="Times New Roman"/>
          <w:color w:val="000000"/>
          <w:szCs w:val="21"/>
          <w:highlight w:val="none"/>
        </w:rPr>
      </w:pPr>
    </w:p>
    <w:p w14:paraId="3926D666">
      <w:pPr>
        <w:keepNext/>
        <w:keepLines/>
        <w:widowControl w:val="0"/>
        <w:adjustRightInd w:val="0"/>
        <w:snapToGrid w:val="0"/>
        <w:spacing w:before="0" w:after="0" w:line="360" w:lineRule="auto"/>
        <w:jc w:val="both"/>
        <w:outlineLvl w:val="1"/>
        <w:rPr>
          <w:rFonts w:hint="eastAsia" w:ascii="宋体" w:hAnsi="宋体" w:eastAsia="宋体" w:cs="Times New Roman"/>
          <w:b/>
          <w:bCs/>
          <w:color w:val="000000"/>
          <w:spacing w:val="-2"/>
          <w:kern w:val="2"/>
          <w:sz w:val="24"/>
          <w:szCs w:val="24"/>
          <w:highlight w:val="none"/>
          <w:lang w:val="en-US" w:eastAsia="zh-CN" w:bidi="ar-SA"/>
        </w:rPr>
      </w:pPr>
      <w:r>
        <w:rPr>
          <w:rFonts w:ascii="Cambria" w:hAnsi="Cambria" w:eastAsia="宋体" w:cs="Times New Roman"/>
          <w:b/>
          <w:bCs/>
          <w:color w:val="000000"/>
          <w:kern w:val="2"/>
          <w:sz w:val="28"/>
          <w:szCs w:val="28"/>
          <w:highlight w:val="none"/>
          <w:lang w:val="en-US" w:eastAsia="zh-CN" w:bidi="ar-SA"/>
        </w:rPr>
        <w:br w:type="page"/>
      </w:r>
      <w:r>
        <w:rPr>
          <w:rFonts w:hint="eastAsia" w:ascii="宋体" w:hAnsi="宋体" w:eastAsia="宋体" w:cs="Times New Roman"/>
          <w:b/>
          <w:bCs/>
          <w:color w:val="000000"/>
          <w:spacing w:val="-2"/>
          <w:kern w:val="2"/>
          <w:sz w:val="24"/>
          <w:szCs w:val="24"/>
          <w:highlight w:val="none"/>
          <w:lang w:val="en-US" w:eastAsia="zh-CN" w:bidi="ar-SA"/>
        </w:rPr>
        <w:t>附件2：随机确定评标基准价计算方法的规则与程序</w:t>
      </w:r>
    </w:p>
    <w:p w14:paraId="78EE269D">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一、随机抽取确定评标基准价计算方法规则</w:t>
      </w:r>
    </w:p>
    <w:p w14:paraId="29743EF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参与随机确定评标基准价计算方法的各方当事人（以下简称“各方”）应当严格遵守以下规则：</w:t>
      </w:r>
    </w:p>
    <w:p w14:paraId="71789A0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（一）各方必须严格遵守公开、公平、公正和诚实信用原则；</w:t>
      </w:r>
    </w:p>
    <w:p w14:paraId="6449644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（二）随机抽取活动在招标人的主持下进行，招标人做好影像记录，并存档备查；</w:t>
      </w:r>
    </w:p>
    <w:p w14:paraId="55A6030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（三）用于随机抽取的器具由招标人提供；</w:t>
      </w:r>
    </w:p>
    <w:p w14:paraId="0524CF6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（四）各方必须严格遵守现场纪律，确保随机抽取活动有序进行；</w:t>
      </w:r>
    </w:p>
    <w:p w14:paraId="5369F3B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（五）投标人对随机抽取过程有异议的，在“河北省公共资源交易平台”的项目流程中点异议按钮在线提出异议，招标人当场作出答复，并作好记录。</w:t>
      </w:r>
    </w:p>
    <w:p w14:paraId="734992D9">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二、随机抽取确定评标基准价计算方法的程序</w:t>
      </w:r>
    </w:p>
    <w:p w14:paraId="6061C4E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（一）确定随机抽取代码球</w:t>
      </w:r>
    </w:p>
    <w:p w14:paraId="19F5369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用抽取器具随机确定抽取代码球一套，作为本次随机抽取确定评标基准价计算方法的代码球。</w:t>
      </w:r>
    </w:p>
    <w:p w14:paraId="29E8FF5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二</w:t>
      </w:r>
      <w:r>
        <w:rPr>
          <w:rFonts w:hint="eastAsia" w:ascii="宋体" w:hAnsi="宋体" w:eastAsia="宋体" w:cs="宋体"/>
          <w:color w:val="000000"/>
          <w:sz w:val="21"/>
          <w:szCs w:val="21"/>
          <w:highlight w:val="none"/>
        </w:rPr>
        <w:t>）本次招标共设置三种评标基准价计算方法（详见评标办法）。</w:t>
      </w:r>
    </w:p>
    <w:p w14:paraId="73E02BF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确定评标基准价计算方法的编号及代码球，1号球代表评标基准价计算方法1；2号球代表评标基准价计算方法2；3号球代表评标基准价计算方法3。</w:t>
      </w:r>
    </w:p>
    <w:p w14:paraId="6B963B9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三</w:t>
      </w:r>
      <w:r>
        <w:rPr>
          <w:rFonts w:hint="eastAsia" w:ascii="宋体" w:hAnsi="宋体" w:eastAsia="宋体" w:cs="宋体"/>
          <w:color w:val="000000"/>
          <w:sz w:val="21"/>
          <w:szCs w:val="21"/>
          <w:highlight w:val="none"/>
        </w:rPr>
        <w:t>）在投标文件第一信封（商务及技术文件）开标现场，将编号1、2、3代码球全部放入随机抽取器具中，由抽取器具随机抽取产生本次招标评标基准价计算方法。</w:t>
      </w:r>
    </w:p>
    <w:p w14:paraId="24E8DD8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四</w:t>
      </w:r>
      <w:r>
        <w:rPr>
          <w:rFonts w:hint="eastAsia" w:ascii="宋体" w:hAnsi="宋体" w:eastAsia="宋体" w:cs="宋体"/>
          <w:color w:val="000000"/>
          <w:sz w:val="21"/>
          <w:szCs w:val="21"/>
          <w:highlight w:val="none"/>
        </w:rPr>
        <w:t>）确定评标基准价计算方法需要的系数（如有）。</w:t>
      </w:r>
    </w:p>
    <w:p w14:paraId="5EB9795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1、如果抽取的评标基准价计算方法为方法二，则需要抽取评标基准价系数K。K取值范围为</w:t>
      </w:r>
      <w:r>
        <w:rPr>
          <w:rFonts w:hint="eastAsia" w:ascii="宋体" w:hAnsi="宋体" w:eastAsia="宋体" w:cs="宋体"/>
          <w:color w:val="000000"/>
          <w:sz w:val="21"/>
          <w:szCs w:val="21"/>
          <w:highlight w:val="none"/>
          <w:lang w:val="en-US" w:eastAsia="zh-CN"/>
        </w:rPr>
        <w:t>0.975、</w:t>
      </w:r>
      <w:r>
        <w:rPr>
          <w:rFonts w:hint="eastAsia" w:ascii="宋体" w:hAnsi="宋体" w:eastAsia="宋体" w:cs="宋体"/>
          <w:color w:val="000000"/>
          <w:sz w:val="21"/>
          <w:szCs w:val="21"/>
          <w:highlight w:val="none"/>
        </w:rPr>
        <w:t>0.98、0.985、0.99、0.995共5个数值。将编号为1～5的代码球放入抽取器具，由抽取器具随机抽取1个代码球。1号球代表K值为0.</w:t>
      </w:r>
      <w:r>
        <w:rPr>
          <w:rFonts w:hint="eastAsia" w:ascii="宋体" w:hAnsi="宋体" w:eastAsia="宋体" w:cs="宋体"/>
          <w:color w:val="000000"/>
          <w:sz w:val="21"/>
          <w:szCs w:val="21"/>
          <w:highlight w:val="none"/>
          <w:lang w:val="en-US" w:eastAsia="zh-CN"/>
        </w:rPr>
        <w:t>975</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号球代表K值为0.98；</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号球代表K值为0.985；</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号球代表K值为0.99；</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号球代表K值为0.995。在投标文件第一信封（商务及技术文件）开标现场通过随机抽取方式确定一个评标基准价系数K，并当场公布。</w:t>
      </w:r>
    </w:p>
    <w:p w14:paraId="60D2B26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2、如果抽取的评标基准价计算方法为方法一、方法三，则不需要抽取系数。</w:t>
      </w:r>
    </w:p>
    <w:p w14:paraId="1172DC90">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ascii="Times New Roman" w:hAnsi="Times New Roman" w:eastAsia="宋体" w:cs="Times New Roman"/>
          <w:b/>
          <w:color w:val="000000"/>
          <w:sz w:val="28"/>
          <w:szCs w:val="28"/>
          <w:highlight w:val="none"/>
        </w:rPr>
      </w:pPr>
      <w:r>
        <w:rPr>
          <w:rFonts w:hint="eastAsia" w:ascii="宋体" w:hAnsi="宋体" w:eastAsia="宋体" w:cs="宋体"/>
          <w:b/>
          <w:bCs/>
          <w:color w:val="000000"/>
          <w:sz w:val="21"/>
          <w:szCs w:val="21"/>
          <w:highlight w:val="none"/>
        </w:rPr>
        <w:t>三、</w:t>
      </w:r>
      <w:r>
        <w:rPr>
          <w:rFonts w:hint="eastAsia" w:ascii="宋体" w:hAnsi="宋体" w:eastAsia="宋体" w:cs="宋体"/>
          <w:color w:val="000000"/>
          <w:sz w:val="21"/>
          <w:szCs w:val="21"/>
          <w:highlight w:val="none"/>
        </w:rPr>
        <w:t>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r>
        <w:rPr>
          <w:rFonts w:hint="eastAsia" w:ascii="宋体" w:hAnsi="宋体" w:eastAsia="宋体" w:cs="Times New Roman"/>
          <w:color w:val="000000"/>
          <w:sz w:val="21"/>
          <w:szCs w:val="21"/>
          <w:highlight w:val="none"/>
        </w:rPr>
        <w:t>。</w:t>
      </w:r>
      <w:r>
        <w:rPr>
          <w:rFonts w:ascii="Times New Roman" w:hAnsi="Times New Roman" w:eastAsia="宋体" w:cs="Times New Roman"/>
          <w:b/>
          <w:color w:val="000000"/>
          <w:sz w:val="28"/>
          <w:szCs w:val="28"/>
          <w:highlight w:val="none"/>
        </w:rPr>
        <w:br w:type="page"/>
      </w:r>
    </w:p>
    <w:p w14:paraId="4DE0AAE8">
      <w:pPr>
        <w:wordWrap w:val="0"/>
        <w:autoSpaceDE w:val="0"/>
        <w:autoSpaceDN w:val="0"/>
        <w:adjustRightInd w:val="0"/>
        <w:ind w:right="-20"/>
        <w:jc w:val="left"/>
        <w:outlineLvl w:val="3"/>
        <w:rPr>
          <w:rFonts w:ascii="Times New Roman" w:hAnsi="Times New Roman" w:eastAsia="宋体" w:cs="Times New Roman"/>
          <w:b/>
          <w:color w:val="000000"/>
          <w:sz w:val="28"/>
          <w:szCs w:val="28"/>
          <w:highlight w:val="none"/>
        </w:rPr>
      </w:pPr>
      <w:r>
        <w:rPr>
          <w:rFonts w:ascii="Times New Roman" w:hAnsi="Times New Roman" w:eastAsia="宋体" w:cs="Times New Roman"/>
          <w:b/>
          <w:color w:val="000000"/>
          <w:sz w:val="24"/>
          <w:szCs w:val="24"/>
          <w:highlight w:val="none"/>
        </w:rPr>
        <w:t>附件</w:t>
      </w:r>
      <w:r>
        <w:rPr>
          <w:rFonts w:hint="eastAsia" w:ascii="Times New Roman" w:hAnsi="Times New Roman" w:eastAsia="宋体" w:cs="Times New Roman"/>
          <w:b/>
          <w:color w:val="000000"/>
          <w:sz w:val="24"/>
          <w:szCs w:val="24"/>
          <w:highlight w:val="none"/>
          <w:lang w:val="en-US" w:eastAsia="zh-CN"/>
        </w:rPr>
        <w:t>3</w:t>
      </w:r>
      <w:r>
        <w:rPr>
          <w:rFonts w:ascii="Times New Roman" w:hAnsi="Times New Roman" w:eastAsia="宋体" w:cs="Times New Roman"/>
          <w:b/>
          <w:color w:val="000000"/>
          <w:sz w:val="24"/>
          <w:szCs w:val="24"/>
          <w:highlight w:val="none"/>
        </w:rPr>
        <w:t>：评标办法</w:t>
      </w:r>
    </w:p>
    <w:p w14:paraId="3F0958C7">
      <w:pPr>
        <w:keepNext/>
        <w:keepLines/>
        <w:widowControl w:val="0"/>
        <w:wordWrap w:val="0"/>
        <w:spacing w:before="120" w:beforeLines="50" w:line="360" w:lineRule="auto"/>
        <w:jc w:val="both"/>
        <w:outlineLvl w:val="2"/>
        <w:rPr>
          <w:rFonts w:hint="eastAsia" w:ascii="宋体" w:hAnsi="宋体" w:eastAsia="宋体" w:cs="宋体"/>
          <w:b/>
          <w:bCs/>
          <w:color w:val="000000"/>
          <w:spacing w:val="2"/>
          <w:kern w:val="2"/>
          <w:sz w:val="24"/>
          <w:szCs w:val="24"/>
          <w:highlight w:val="none"/>
          <w:lang w:val="en-US" w:eastAsia="zh-CN" w:bidi="ar-SA"/>
        </w:rPr>
      </w:pPr>
      <w:r>
        <w:rPr>
          <w:rFonts w:hint="eastAsia" w:ascii="宋体" w:hAnsi="宋体" w:eastAsia="宋体" w:cs="宋体"/>
          <w:b/>
          <w:bCs/>
          <w:color w:val="000000"/>
          <w:spacing w:val="2"/>
          <w:kern w:val="2"/>
          <w:sz w:val="24"/>
          <w:szCs w:val="24"/>
          <w:highlight w:val="none"/>
          <w:lang w:val="en-US" w:eastAsia="zh-CN" w:bidi="ar-SA"/>
        </w:rPr>
        <w:t>评标办法前附表</w:t>
      </w:r>
    </w:p>
    <w:tbl>
      <w:tblPr>
        <w:tblStyle w:val="4"/>
        <w:tblW w:w="9649" w:type="dxa"/>
        <w:tblInd w:w="5"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181"/>
        <w:gridCol w:w="1996"/>
        <w:gridCol w:w="5526"/>
      </w:tblGrid>
      <w:tr w14:paraId="563C64A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27" w:type="dxa"/>
            <w:gridSpan w:val="2"/>
            <w:tcBorders>
              <w:tl2br w:val="nil"/>
              <w:tr2bl w:val="nil"/>
            </w:tcBorders>
            <w:vAlign w:val="center"/>
          </w:tcPr>
          <w:p w14:paraId="2F504B4E">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634"/>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条款号</w:t>
            </w:r>
          </w:p>
        </w:tc>
        <w:tc>
          <w:tcPr>
            <w:tcW w:w="1996" w:type="dxa"/>
            <w:tcBorders>
              <w:tl2br w:val="nil"/>
              <w:tr2bl w:val="nil"/>
            </w:tcBorders>
            <w:vAlign w:val="center"/>
          </w:tcPr>
          <w:p w14:paraId="4AC80994">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评审因素</w:t>
            </w:r>
          </w:p>
        </w:tc>
        <w:tc>
          <w:tcPr>
            <w:tcW w:w="5526" w:type="dxa"/>
            <w:tcBorders>
              <w:tl2br w:val="nil"/>
              <w:tr2bl w:val="nil"/>
            </w:tcBorders>
            <w:vAlign w:val="center"/>
          </w:tcPr>
          <w:p w14:paraId="1B15EA14">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1857"/>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评审标准</w:t>
            </w:r>
          </w:p>
        </w:tc>
      </w:tr>
      <w:tr w14:paraId="576F673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tcBorders>
              <w:tl2br w:val="nil"/>
              <w:tr2bl w:val="nil"/>
            </w:tcBorders>
            <w:vAlign w:val="center"/>
          </w:tcPr>
          <w:p w14:paraId="643224A8">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337"/>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181" w:type="dxa"/>
            <w:tcBorders>
              <w:tl2br w:val="nil"/>
              <w:tr2bl w:val="nil"/>
            </w:tcBorders>
            <w:vAlign w:val="center"/>
          </w:tcPr>
          <w:p w14:paraId="5D190105">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w:t>
            </w:r>
            <w:r>
              <w:rPr>
                <w:rFonts w:hint="eastAsia" w:ascii="宋体" w:hAnsi="宋体" w:eastAsia="宋体" w:cs="宋体"/>
                <w:color w:val="000000"/>
                <w:spacing w:val="-2"/>
                <w:sz w:val="21"/>
                <w:szCs w:val="21"/>
                <w:highlight w:val="none"/>
              </w:rPr>
              <w:t>方</w:t>
            </w:r>
            <w:r>
              <w:rPr>
                <w:rFonts w:hint="eastAsia" w:ascii="宋体" w:hAnsi="宋体" w:eastAsia="宋体" w:cs="宋体"/>
                <w:color w:val="000000"/>
                <w:sz w:val="21"/>
                <w:szCs w:val="21"/>
                <w:highlight w:val="none"/>
              </w:rPr>
              <w:t>法</w:t>
            </w:r>
          </w:p>
        </w:tc>
        <w:tc>
          <w:tcPr>
            <w:tcW w:w="1996" w:type="dxa"/>
            <w:tcBorders>
              <w:tl2br w:val="nil"/>
              <w:tr2bl w:val="nil"/>
            </w:tcBorders>
            <w:vAlign w:val="center"/>
          </w:tcPr>
          <w:p w14:paraId="4A2A1C04">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中标</w:t>
            </w:r>
            <w:r>
              <w:rPr>
                <w:rFonts w:hint="eastAsia" w:ascii="宋体" w:hAnsi="宋体" w:eastAsia="宋体" w:cs="宋体"/>
                <w:color w:val="000000"/>
                <w:spacing w:val="-2"/>
                <w:sz w:val="21"/>
                <w:szCs w:val="21"/>
                <w:highlight w:val="none"/>
              </w:rPr>
              <w:t>候</w:t>
            </w:r>
            <w:r>
              <w:rPr>
                <w:rFonts w:hint="eastAsia" w:ascii="宋体" w:hAnsi="宋体" w:eastAsia="宋体" w:cs="宋体"/>
                <w:color w:val="000000"/>
                <w:sz w:val="21"/>
                <w:szCs w:val="21"/>
                <w:highlight w:val="none"/>
              </w:rPr>
              <w:t>选</w:t>
            </w:r>
            <w:r>
              <w:rPr>
                <w:rFonts w:hint="eastAsia" w:ascii="宋体" w:hAnsi="宋体" w:eastAsia="宋体" w:cs="宋体"/>
                <w:color w:val="000000"/>
                <w:spacing w:val="-2"/>
                <w:sz w:val="21"/>
                <w:szCs w:val="21"/>
                <w:highlight w:val="none"/>
              </w:rPr>
              <w:t>人</w:t>
            </w:r>
            <w:r>
              <w:rPr>
                <w:rFonts w:hint="eastAsia" w:ascii="宋体" w:hAnsi="宋体" w:eastAsia="宋体" w:cs="宋体"/>
                <w:color w:val="000000"/>
                <w:sz w:val="21"/>
                <w:szCs w:val="21"/>
                <w:highlight w:val="none"/>
              </w:rPr>
              <w:t>排</w:t>
            </w:r>
            <w:r>
              <w:rPr>
                <w:rFonts w:hint="eastAsia" w:ascii="宋体" w:hAnsi="宋体" w:eastAsia="宋体" w:cs="宋体"/>
                <w:color w:val="000000"/>
                <w:spacing w:val="-2"/>
                <w:sz w:val="21"/>
                <w:szCs w:val="21"/>
                <w:highlight w:val="none"/>
              </w:rPr>
              <w:t>序</w:t>
            </w:r>
            <w:r>
              <w:rPr>
                <w:rFonts w:hint="eastAsia" w:ascii="宋体" w:hAnsi="宋体" w:eastAsia="宋体" w:cs="宋体"/>
                <w:color w:val="000000"/>
                <w:sz w:val="21"/>
                <w:szCs w:val="21"/>
                <w:highlight w:val="none"/>
              </w:rPr>
              <w:t>方法</w:t>
            </w:r>
          </w:p>
        </w:tc>
        <w:tc>
          <w:tcPr>
            <w:tcW w:w="5526" w:type="dxa"/>
            <w:tcBorders>
              <w:tl2br w:val="nil"/>
              <w:tr2bl w:val="nil"/>
            </w:tcBorders>
            <w:vAlign w:val="center"/>
          </w:tcPr>
          <w:p w14:paraId="68DCB269">
            <w:pPr>
              <w:keepNext w:val="0"/>
              <w:keepLines w:val="0"/>
              <w:pageBreakBefore w:val="0"/>
              <w:widowControl w:val="0"/>
              <w:kinsoku/>
              <w:wordWrap/>
              <w:overflowPunct/>
              <w:topLinePunct w:val="0"/>
              <w:bidi w:val="0"/>
              <w:adjustRightInd/>
              <w:snapToGrid w:val="0"/>
              <w:spacing w:line="320" w:lineRule="exact"/>
              <w:ind w:left="21" w:leftChars="10"/>
              <w:jc w:val="both"/>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spacing w:val="-1"/>
                <w:kern w:val="2"/>
                <w:sz w:val="21"/>
                <w:szCs w:val="21"/>
                <w:highlight w:val="none"/>
              </w:rPr>
              <w:t>本条修改为：</w:t>
            </w:r>
          </w:p>
          <w:p w14:paraId="3F722CFB">
            <w:pPr>
              <w:snapToGrid w:val="0"/>
              <w:spacing w:line="32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本次评标采用综合评估法。评标委员会对满足招标文件实质性要求的投标文件，按照本评标办法第2.2款规定的评分标准进行打分，并按得分由高到低顺序推荐1-3名中标候选人。综合评分相等时，评标委员会依次按照以下优先顺序推荐中标候选人：</w:t>
            </w:r>
          </w:p>
          <w:p w14:paraId="38ED168F">
            <w:pPr>
              <w:snapToGrid w:val="0"/>
              <w:spacing w:line="32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(1)评标价低的投标人优先；</w:t>
            </w:r>
          </w:p>
          <w:p w14:paraId="106878F1">
            <w:pPr>
              <w:snapToGrid w:val="0"/>
              <w:spacing w:line="32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(2)技术得分较高的投标人优先；</w:t>
            </w:r>
          </w:p>
          <w:p w14:paraId="4C7DFCE7">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firstLine="420" w:firstLineChars="2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Cs w:val="21"/>
                <w:highlight w:val="none"/>
              </w:rPr>
              <w:t>(3)满足资格审查条件附录2（业绩最低要求）要求的</w:t>
            </w:r>
            <w:r>
              <w:rPr>
                <w:rFonts w:hint="default" w:ascii="宋体" w:hAnsi="宋体" w:eastAsia="宋体" w:cs="宋体"/>
                <w:b w:val="0"/>
                <w:bCs/>
                <w:color w:val="000000"/>
                <w:kern w:val="0"/>
                <w:sz w:val="21"/>
                <w:szCs w:val="21"/>
                <w:highlight w:val="none"/>
                <w:shd w:val="clear" w:color="auto" w:fill="FFFFFF"/>
                <w:lang w:eastAsia="zh-CN" w:bidi="ar-SA"/>
              </w:rPr>
              <w:t>沥青</w:t>
            </w:r>
            <w:r>
              <w:rPr>
                <w:rFonts w:hint="eastAsia" w:ascii="宋体" w:hAnsi="宋体" w:eastAsia="宋体" w:cs="宋体"/>
                <w:b w:val="0"/>
                <w:bCs/>
                <w:color w:val="000000"/>
                <w:kern w:val="0"/>
                <w:sz w:val="21"/>
                <w:szCs w:val="21"/>
                <w:highlight w:val="none"/>
                <w:shd w:val="clear" w:color="auto" w:fill="FFFFFF"/>
                <w:lang w:val="en-US" w:eastAsia="zh-CN" w:bidi="ar-SA"/>
              </w:rPr>
              <w:t>累计供货</w:t>
            </w:r>
            <w:r>
              <w:rPr>
                <w:rFonts w:hint="default" w:ascii="宋体" w:hAnsi="宋体" w:eastAsia="宋体" w:cs="宋体"/>
                <w:b w:val="0"/>
                <w:bCs/>
                <w:color w:val="000000"/>
                <w:kern w:val="0"/>
                <w:sz w:val="21"/>
                <w:szCs w:val="21"/>
                <w:highlight w:val="none"/>
                <w:shd w:val="clear" w:color="auto" w:fill="FFFFFF"/>
                <w:lang w:eastAsia="zh-CN" w:bidi="ar-SA"/>
              </w:rPr>
              <w:t>数量</w:t>
            </w:r>
            <w:r>
              <w:rPr>
                <w:rFonts w:hint="eastAsia" w:ascii="宋体" w:hAnsi="宋体" w:eastAsia="宋体" w:cs="宋体"/>
                <w:color w:val="000000"/>
                <w:szCs w:val="21"/>
                <w:highlight w:val="none"/>
                <w:lang w:val="en-US" w:eastAsia="zh-CN"/>
              </w:rPr>
              <w:t>多的</w:t>
            </w:r>
            <w:r>
              <w:rPr>
                <w:rFonts w:hint="eastAsia" w:ascii="宋体" w:hAnsi="宋体" w:eastAsia="宋体" w:cs="宋体"/>
                <w:color w:val="000000"/>
                <w:szCs w:val="21"/>
                <w:highlight w:val="none"/>
              </w:rPr>
              <w:t>投标人优先</w:t>
            </w:r>
            <w:r>
              <w:rPr>
                <w:rFonts w:hint="eastAsia" w:ascii="宋体" w:hAnsi="宋体" w:eastAsia="宋体" w:cs="宋体"/>
                <w:bCs/>
                <w:color w:val="000000"/>
                <w:sz w:val="21"/>
                <w:szCs w:val="21"/>
                <w:highlight w:val="none"/>
              </w:rPr>
              <w:t>。</w:t>
            </w:r>
          </w:p>
        </w:tc>
      </w:tr>
      <w:tr w14:paraId="514FD61A">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49" w:type="dxa"/>
            <w:gridSpan w:val="4"/>
            <w:tcBorders>
              <w:tl2br w:val="nil"/>
              <w:tr2bl w:val="nil"/>
            </w:tcBorders>
            <w:vAlign w:val="center"/>
          </w:tcPr>
          <w:p w14:paraId="7A44E44A">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jc w:val="both"/>
              <w:textAlignment w:val="auto"/>
              <w:rPr>
                <w:rFonts w:hint="eastAsia" w:ascii="宋体" w:hAnsi="宋体" w:eastAsia="宋体" w:cs="宋体"/>
                <w:color w:val="000000"/>
                <w:spacing w:val="-1"/>
                <w:kern w:val="2"/>
                <w:sz w:val="21"/>
                <w:szCs w:val="21"/>
                <w:highlight w:val="none"/>
              </w:rPr>
            </w:pPr>
            <w:r>
              <w:rPr>
                <w:rFonts w:hint="eastAsia" w:ascii="宋体" w:hAnsi="宋体" w:eastAsia="宋体" w:cs="宋体"/>
                <w:b/>
                <w:color w:val="000000"/>
                <w:kern w:val="2"/>
                <w:sz w:val="21"/>
                <w:szCs w:val="21"/>
                <w:highlight w:val="none"/>
              </w:rPr>
              <w:t>第一个信封（商务及技术文件）评审标准</w:t>
            </w:r>
          </w:p>
        </w:tc>
      </w:tr>
      <w:tr w14:paraId="551DC156">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restart"/>
            <w:tcBorders>
              <w:tl2br w:val="nil"/>
              <w:tr2bl w:val="nil"/>
            </w:tcBorders>
            <w:vAlign w:val="center"/>
          </w:tcPr>
          <w:p w14:paraId="3D40CE06">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2.1.1</w:t>
            </w:r>
          </w:p>
        </w:tc>
        <w:tc>
          <w:tcPr>
            <w:tcW w:w="1181" w:type="dxa"/>
            <w:vMerge w:val="restart"/>
            <w:tcBorders>
              <w:tl2br w:val="nil"/>
              <w:tr2bl w:val="nil"/>
            </w:tcBorders>
            <w:vAlign w:val="center"/>
          </w:tcPr>
          <w:p w14:paraId="6C4E0DD6">
            <w:pPr>
              <w:keepNext w:val="0"/>
              <w:keepLines w:val="0"/>
              <w:pageBreakBefore w:val="0"/>
              <w:widowControl w:val="0"/>
              <w:kinsoku/>
              <w:wordWrap/>
              <w:overflowPunct/>
              <w:topLinePunct w:val="0"/>
              <w:autoSpaceDE w:val="0"/>
              <w:autoSpaceDN w:val="0"/>
              <w:bidi w:val="0"/>
              <w:adjustRightInd/>
              <w:snapToGrid w:val="0"/>
              <w:spacing w:line="320" w:lineRule="exact"/>
              <w:ind w:left="230" w:leftChars="10" w:right="60" w:hanging="209"/>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形式</w:t>
            </w:r>
            <w:r>
              <w:rPr>
                <w:rFonts w:hint="eastAsia" w:ascii="宋体" w:hAnsi="宋体" w:eastAsia="宋体" w:cs="宋体"/>
                <w:color w:val="000000"/>
                <w:spacing w:val="-2"/>
                <w:sz w:val="21"/>
                <w:szCs w:val="21"/>
                <w:highlight w:val="none"/>
              </w:rPr>
              <w:t>评</w:t>
            </w:r>
            <w:r>
              <w:rPr>
                <w:rFonts w:hint="eastAsia" w:ascii="宋体" w:hAnsi="宋体" w:eastAsia="宋体" w:cs="宋体"/>
                <w:color w:val="000000"/>
                <w:sz w:val="21"/>
                <w:szCs w:val="21"/>
                <w:highlight w:val="none"/>
              </w:rPr>
              <w:t>审标准</w:t>
            </w:r>
          </w:p>
        </w:tc>
        <w:tc>
          <w:tcPr>
            <w:tcW w:w="1996" w:type="dxa"/>
            <w:tcBorders>
              <w:tl2br w:val="nil"/>
              <w:tr2bl w:val="nil"/>
            </w:tcBorders>
            <w:vAlign w:val="center"/>
          </w:tcPr>
          <w:p w14:paraId="344CF8A0">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w:t>
            </w:r>
            <w:r>
              <w:rPr>
                <w:rFonts w:hint="eastAsia" w:ascii="宋体" w:hAnsi="宋体" w:eastAsia="宋体" w:cs="宋体"/>
                <w:color w:val="000000"/>
                <w:spacing w:val="-2"/>
                <w:sz w:val="21"/>
                <w:szCs w:val="21"/>
                <w:highlight w:val="none"/>
              </w:rPr>
              <w:t>人</w:t>
            </w:r>
            <w:r>
              <w:rPr>
                <w:rFonts w:hint="eastAsia" w:ascii="宋体" w:hAnsi="宋体" w:eastAsia="宋体" w:cs="宋体"/>
                <w:color w:val="000000"/>
                <w:sz w:val="21"/>
                <w:szCs w:val="21"/>
                <w:highlight w:val="none"/>
              </w:rPr>
              <w:t>名称</w:t>
            </w:r>
          </w:p>
        </w:tc>
        <w:tc>
          <w:tcPr>
            <w:tcW w:w="5526" w:type="dxa"/>
            <w:tcBorders>
              <w:tl2br w:val="nil"/>
              <w:tr2bl w:val="nil"/>
            </w:tcBorders>
            <w:vAlign w:val="center"/>
          </w:tcPr>
          <w:p w14:paraId="34432F68">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与营</w:t>
            </w:r>
            <w:r>
              <w:rPr>
                <w:rFonts w:hint="eastAsia" w:ascii="宋体" w:hAnsi="宋体" w:eastAsia="宋体" w:cs="宋体"/>
                <w:color w:val="000000"/>
                <w:spacing w:val="-2"/>
                <w:sz w:val="21"/>
                <w:szCs w:val="21"/>
                <w:highlight w:val="none"/>
              </w:rPr>
              <w:t>业</w:t>
            </w:r>
            <w:r>
              <w:rPr>
                <w:rFonts w:hint="eastAsia" w:ascii="宋体" w:hAnsi="宋体" w:eastAsia="宋体" w:cs="宋体"/>
                <w:color w:val="000000"/>
                <w:sz w:val="21"/>
                <w:szCs w:val="21"/>
                <w:highlight w:val="none"/>
              </w:rPr>
              <w:t>执</w:t>
            </w:r>
            <w:r>
              <w:rPr>
                <w:rFonts w:hint="eastAsia" w:ascii="宋体" w:hAnsi="宋体" w:eastAsia="宋体" w:cs="宋体"/>
                <w:color w:val="000000"/>
                <w:spacing w:val="-2"/>
                <w:sz w:val="21"/>
                <w:szCs w:val="21"/>
                <w:highlight w:val="none"/>
              </w:rPr>
              <w:t>照一</w:t>
            </w:r>
            <w:r>
              <w:rPr>
                <w:rFonts w:hint="eastAsia" w:ascii="宋体" w:hAnsi="宋体" w:eastAsia="宋体" w:cs="宋体"/>
                <w:color w:val="000000"/>
                <w:sz w:val="21"/>
                <w:szCs w:val="21"/>
                <w:highlight w:val="none"/>
              </w:rPr>
              <w:t>致</w:t>
            </w:r>
          </w:p>
        </w:tc>
      </w:tr>
      <w:tr w14:paraId="1C720A66">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6473C334">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7517A6E5">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996" w:type="dxa"/>
            <w:tcBorders>
              <w:tl2br w:val="nil"/>
              <w:tr2bl w:val="nil"/>
            </w:tcBorders>
            <w:vAlign w:val="center"/>
          </w:tcPr>
          <w:p w14:paraId="077CD56A">
            <w:pPr>
              <w:keepNext w:val="0"/>
              <w:keepLines w:val="0"/>
              <w:pageBreakBefore w:val="0"/>
              <w:widowControl w:val="0"/>
              <w:kinsoku/>
              <w:wordWrap/>
              <w:overflowPunct/>
              <w:topLinePunct w:val="0"/>
              <w:bidi w:val="0"/>
              <w:adjustRightInd/>
              <w:snapToGrid w:val="0"/>
              <w:spacing w:line="320" w:lineRule="exact"/>
              <w:ind w:left="21" w:leftChars="1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投标文件签字盖章</w:t>
            </w:r>
          </w:p>
        </w:tc>
        <w:tc>
          <w:tcPr>
            <w:tcW w:w="5526" w:type="dxa"/>
            <w:tcBorders>
              <w:tl2br w:val="nil"/>
              <w:tr2bl w:val="nil"/>
            </w:tcBorders>
            <w:vAlign w:val="center"/>
          </w:tcPr>
          <w:p w14:paraId="0F4C8BF7">
            <w:pPr>
              <w:keepNext w:val="0"/>
              <w:keepLines w:val="0"/>
              <w:pageBreakBefore w:val="0"/>
              <w:widowControl w:val="0"/>
              <w:kinsoku/>
              <w:wordWrap/>
              <w:overflowPunct/>
              <w:topLinePunct w:val="0"/>
              <w:bidi w:val="0"/>
              <w:adjustRightInd/>
              <w:snapToGrid w:val="0"/>
              <w:spacing w:line="320" w:lineRule="exact"/>
              <w:ind w:left="21" w:leftChars="1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1"/>
                <w:kern w:val="2"/>
                <w:sz w:val="21"/>
                <w:szCs w:val="21"/>
                <w:highlight w:val="none"/>
              </w:rPr>
              <w:t>第六章“投标文件格式”中要求盖单位章和（或）法定代表人或其委托代理人签字的地方，投标人均应使用CA 数字证书加盖投标人的单位电子印章和（或）法定代表人或其委托代理人的个人电子印章或电子签名章，无需手签。</w:t>
            </w:r>
          </w:p>
        </w:tc>
      </w:tr>
      <w:tr w14:paraId="280BB2E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3CD5E4F0">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78CD4374">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996" w:type="dxa"/>
            <w:tcBorders>
              <w:tl2br w:val="nil"/>
              <w:tr2bl w:val="nil"/>
            </w:tcBorders>
            <w:vAlign w:val="center"/>
          </w:tcPr>
          <w:p w14:paraId="23DD0112">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rPr>
              <w:t>投标</w:t>
            </w:r>
            <w:r>
              <w:rPr>
                <w:rFonts w:hint="eastAsia" w:ascii="宋体" w:hAnsi="宋体" w:eastAsia="宋体" w:cs="宋体"/>
                <w:color w:val="000000"/>
                <w:spacing w:val="-2"/>
                <w:sz w:val="21"/>
                <w:szCs w:val="21"/>
                <w:highlight w:val="none"/>
              </w:rPr>
              <w:t>文</w:t>
            </w:r>
            <w:r>
              <w:rPr>
                <w:rFonts w:hint="eastAsia" w:ascii="宋体" w:hAnsi="宋体" w:eastAsia="宋体" w:cs="宋体"/>
                <w:color w:val="000000"/>
                <w:sz w:val="21"/>
                <w:szCs w:val="21"/>
                <w:highlight w:val="none"/>
              </w:rPr>
              <w:t>件</w:t>
            </w:r>
            <w:r>
              <w:rPr>
                <w:rFonts w:hint="eastAsia" w:ascii="宋体" w:hAnsi="宋体" w:eastAsia="宋体" w:cs="宋体"/>
                <w:color w:val="000000"/>
                <w:spacing w:val="-2"/>
                <w:sz w:val="21"/>
                <w:szCs w:val="21"/>
                <w:highlight w:val="none"/>
              </w:rPr>
              <w:t>格</w:t>
            </w:r>
            <w:r>
              <w:rPr>
                <w:rFonts w:hint="eastAsia" w:ascii="宋体" w:hAnsi="宋体" w:eastAsia="宋体" w:cs="宋体"/>
                <w:color w:val="000000"/>
                <w:sz w:val="21"/>
                <w:szCs w:val="21"/>
                <w:highlight w:val="none"/>
              </w:rPr>
              <w:t>式</w:t>
            </w:r>
          </w:p>
        </w:tc>
        <w:tc>
          <w:tcPr>
            <w:tcW w:w="5526" w:type="dxa"/>
            <w:tcBorders>
              <w:tl2br w:val="nil"/>
              <w:tr2bl w:val="nil"/>
            </w:tcBorders>
            <w:vAlign w:val="center"/>
          </w:tcPr>
          <w:p w14:paraId="07D1425D">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both"/>
              <w:textAlignment w:val="auto"/>
              <w:rPr>
                <w:rFonts w:hint="eastAsia" w:ascii="宋体" w:hAnsi="宋体" w:eastAsia="宋体" w:cs="宋体"/>
                <w:color w:val="000000"/>
                <w:spacing w:val="-1"/>
                <w:kern w:val="2"/>
                <w:sz w:val="21"/>
                <w:szCs w:val="21"/>
                <w:highlight w:val="none"/>
              </w:rPr>
            </w:pPr>
            <w:r>
              <w:rPr>
                <w:rFonts w:hint="eastAsia" w:ascii="宋体" w:hAnsi="宋体" w:eastAsia="宋体" w:cs="宋体"/>
                <w:color w:val="000000"/>
                <w:kern w:val="2"/>
                <w:sz w:val="21"/>
                <w:szCs w:val="21"/>
                <w:highlight w:val="none"/>
              </w:rPr>
              <w:t>符合第六章“投标文件格式”的规定，组成齐全完整。</w:t>
            </w:r>
          </w:p>
        </w:tc>
      </w:tr>
      <w:tr w14:paraId="1F8CD9D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0A13EE88">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0D409082">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996" w:type="dxa"/>
            <w:tcBorders>
              <w:tl2br w:val="nil"/>
              <w:tr2bl w:val="nil"/>
            </w:tcBorders>
            <w:vAlign w:val="center"/>
          </w:tcPr>
          <w:p w14:paraId="52AF8213">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制造商授权书（投标人为代理商适用）</w:t>
            </w:r>
          </w:p>
        </w:tc>
        <w:tc>
          <w:tcPr>
            <w:tcW w:w="5526" w:type="dxa"/>
            <w:tcBorders>
              <w:tl2br w:val="nil"/>
              <w:tr2bl w:val="nil"/>
            </w:tcBorders>
            <w:vAlign w:val="center"/>
          </w:tcPr>
          <w:p w14:paraId="3DDF7D89">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提供制造商唯一授权书，符合招标文件要求</w:t>
            </w:r>
          </w:p>
        </w:tc>
      </w:tr>
      <w:tr w14:paraId="6D0B1C5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3A48E8F3">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02A64577">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996" w:type="dxa"/>
            <w:tcBorders>
              <w:tl2br w:val="nil"/>
              <w:tr2bl w:val="nil"/>
            </w:tcBorders>
            <w:vAlign w:val="center"/>
          </w:tcPr>
          <w:p w14:paraId="5A4D016E">
            <w:pPr>
              <w:keepNext w:val="0"/>
              <w:keepLines w:val="0"/>
              <w:pageBreakBefore w:val="0"/>
              <w:widowControl w:val="0"/>
              <w:kinsoku/>
              <w:wordWrap/>
              <w:overflowPunct/>
              <w:topLinePunct w:val="0"/>
              <w:bidi w:val="0"/>
              <w:adjustRightInd/>
              <w:snapToGrid w:val="0"/>
              <w:spacing w:line="320" w:lineRule="exact"/>
              <w:ind w:left="21" w:leftChars="1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联合体投标人</w:t>
            </w:r>
          </w:p>
        </w:tc>
        <w:tc>
          <w:tcPr>
            <w:tcW w:w="5526" w:type="dxa"/>
            <w:tcBorders>
              <w:tl2br w:val="nil"/>
              <w:tr2bl w:val="nil"/>
            </w:tcBorders>
            <w:vAlign w:val="center"/>
          </w:tcPr>
          <w:p w14:paraId="0F7EB597">
            <w:pPr>
              <w:keepNext w:val="0"/>
              <w:keepLines w:val="0"/>
              <w:pageBreakBefore w:val="0"/>
              <w:widowControl w:val="0"/>
              <w:kinsoku/>
              <w:wordWrap/>
              <w:overflowPunct/>
              <w:topLinePunct w:val="0"/>
              <w:bidi w:val="0"/>
              <w:adjustRightInd/>
              <w:snapToGrid w:val="0"/>
              <w:spacing w:line="320" w:lineRule="exact"/>
              <w:ind w:left="21" w:leftChars="1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未以联合体形式投标</w:t>
            </w:r>
          </w:p>
        </w:tc>
      </w:tr>
      <w:tr w14:paraId="75B0A03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4B02AAF2">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24EB7649">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996" w:type="dxa"/>
            <w:tcBorders>
              <w:tl2br w:val="nil"/>
              <w:tr2bl w:val="nil"/>
            </w:tcBorders>
            <w:vAlign w:val="center"/>
          </w:tcPr>
          <w:p w14:paraId="25564C57">
            <w:pPr>
              <w:keepNext w:val="0"/>
              <w:keepLines w:val="0"/>
              <w:pageBreakBefore w:val="0"/>
              <w:widowControl w:val="0"/>
              <w:kinsoku/>
              <w:wordWrap/>
              <w:overflowPunct/>
              <w:topLinePunct w:val="0"/>
              <w:bidi w:val="0"/>
              <w:adjustRightInd/>
              <w:snapToGrid w:val="0"/>
              <w:spacing w:line="320" w:lineRule="exact"/>
              <w:ind w:left="21" w:leftChars="1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备选投标方案</w:t>
            </w:r>
          </w:p>
        </w:tc>
        <w:tc>
          <w:tcPr>
            <w:tcW w:w="5526" w:type="dxa"/>
            <w:tcBorders>
              <w:tl2br w:val="nil"/>
              <w:tr2bl w:val="nil"/>
            </w:tcBorders>
            <w:vAlign w:val="center"/>
          </w:tcPr>
          <w:p w14:paraId="0154C554">
            <w:pPr>
              <w:keepNext w:val="0"/>
              <w:keepLines w:val="0"/>
              <w:pageBreakBefore w:val="0"/>
              <w:widowControl w:val="0"/>
              <w:kinsoku/>
              <w:wordWrap/>
              <w:overflowPunct/>
              <w:topLinePunct w:val="0"/>
              <w:bidi w:val="0"/>
              <w:adjustRightInd/>
              <w:snapToGrid w:val="0"/>
              <w:spacing w:line="320" w:lineRule="exact"/>
              <w:ind w:left="21" w:leftChars="1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未提交备选投标方案</w:t>
            </w:r>
          </w:p>
        </w:tc>
      </w:tr>
      <w:tr w14:paraId="1958DCF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946" w:type="dxa"/>
            <w:vMerge w:val="continue"/>
            <w:tcBorders>
              <w:tl2br w:val="nil"/>
              <w:tr2bl w:val="nil"/>
            </w:tcBorders>
            <w:vAlign w:val="center"/>
          </w:tcPr>
          <w:p w14:paraId="4917D469">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4089"/>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2B790B6B">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4089"/>
              <w:jc w:val="center"/>
              <w:textAlignment w:val="auto"/>
              <w:rPr>
                <w:rFonts w:hint="eastAsia" w:ascii="宋体" w:hAnsi="宋体" w:eastAsia="宋体" w:cs="宋体"/>
                <w:color w:val="000000"/>
                <w:sz w:val="21"/>
                <w:szCs w:val="21"/>
                <w:highlight w:val="none"/>
              </w:rPr>
            </w:pPr>
          </w:p>
        </w:tc>
        <w:tc>
          <w:tcPr>
            <w:tcW w:w="1996" w:type="dxa"/>
            <w:tcBorders>
              <w:bottom w:val="single" w:color="auto" w:sz="4" w:space="0"/>
              <w:tl2br w:val="nil"/>
              <w:tr2bl w:val="nil"/>
            </w:tcBorders>
            <w:vAlign w:val="center"/>
          </w:tcPr>
          <w:p w14:paraId="3A325366">
            <w:pPr>
              <w:keepNext w:val="0"/>
              <w:keepLines w:val="0"/>
              <w:pageBreakBefore w:val="0"/>
              <w:widowControl w:val="0"/>
              <w:kinsoku/>
              <w:wordWrap/>
              <w:overflowPunct/>
              <w:topLinePunct w:val="0"/>
              <w:autoSpaceDE w:val="0"/>
              <w:bidi w:val="0"/>
              <w:adjustRightInd/>
              <w:snapToGrid w:val="0"/>
              <w:spacing w:line="320" w:lineRule="exact"/>
              <w:ind w:left="21" w:leftChars="1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分包</w:t>
            </w:r>
          </w:p>
        </w:tc>
        <w:tc>
          <w:tcPr>
            <w:tcW w:w="5526" w:type="dxa"/>
            <w:tcBorders>
              <w:bottom w:val="single" w:color="auto" w:sz="4" w:space="0"/>
              <w:tl2br w:val="nil"/>
              <w:tr2bl w:val="nil"/>
            </w:tcBorders>
            <w:vAlign w:val="center"/>
          </w:tcPr>
          <w:p w14:paraId="7CEC56B9">
            <w:pPr>
              <w:keepNext w:val="0"/>
              <w:keepLines w:val="0"/>
              <w:pageBreakBefore w:val="0"/>
              <w:widowControl w:val="0"/>
              <w:kinsoku/>
              <w:wordWrap/>
              <w:overflowPunct/>
              <w:topLinePunct w:val="0"/>
              <w:autoSpaceDE w:val="0"/>
              <w:bidi w:val="0"/>
              <w:adjustRightInd/>
              <w:snapToGrid w:val="0"/>
              <w:spacing w:line="320" w:lineRule="exact"/>
              <w:ind w:left="21" w:leftChars="1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投标人未对本项目提出分包计划</w:t>
            </w:r>
          </w:p>
        </w:tc>
      </w:tr>
      <w:tr w14:paraId="12660556">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946" w:type="dxa"/>
            <w:vMerge w:val="continue"/>
            <w:tcBorders>
              <w:tl2br w:val="nil"/>
              <w:tr2bl w:val="nil"/>
            </w:tcBorders>
            <w:vAlign w:val="center"/>
          </w:tcPr>
          <w:p w14:paraId="24EB327A">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4089"/>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432F0BF2">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4089"/>
              <w:jc w:val="center"/>
              <w:textAlignment w:val="auto"/>
              <w:rPr>
                <w:rFonts w:hint="eastAsia" w:ascii="宋体" w:hAnsi="宋体" w:eastAsia="宋体" w:cs="宋体"/>
                <w:color w:val="000000"/>
                <w:sz w:val="21"/>
                <w:szCs w:val="21"/>
                <w:highlight w:val="none"/>
              </w:rPr>
            </w:pPr>
          </w:p>
        </w:tc>
        <w:tc>
          <w:tcPr>
            <w:tcW w:w="1996" w:type="dxa"/>
            <w:tcBorders>
              <w:top w:val="single" w:color="auto" w:sz="4" w:space="0"/>
              <w:tl2br w:val="nil"/>
              <w:tr2bl w:val="nil"/>
            </w:tcBorders>
            <w:vAlign w:val="center"/>
          </w:tcPr>
          <w:p w14:paraId="0F85A3B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rPr>
              <w:t>投标人其他异常投标情形</w:t>
            </w:r>
          </w:p>
        </w:tc>
        <w:tc>
          <w:tcPr>
            <w:tcW w:w="5526" w:type="dxa"/>
            <w:tcBorders>
              <w:top w:val="single" w:color="auto" w:sz="4" w:space="0"/>
              <w:tl2br w:val="nil"/>
              <w:tr2bl w:val="nil"/>
            </w:tcBorders>
            <w:vAlign w:val="center"/>
          </w:tcPr>
          <w:p w14:paraId="7B01C9FA">
            <w:pPr>
              <w:keepNext w:val="0"/>
              <w:keepLines w:val="0"/>
              <w:pageBreakBefore w:val="0"/>
              <w:widowControl w:val="0"/>
              <w:kinsoku/>
              <w:wordWrap/>
              <w:overflowPunct/>
              <w:topLinePunct w:val="0"/>
              <w:autoSpaceDE/>
              <w:autoSpaceDN/>
              <w:bidi w:val="0"/>
              <w:snapToGrid w:val="0"/>
              <w:spacing w:line="320" w:lineRule="exact"/>
              <w:textAlignment w:val="auto"/>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1.投标人不存在投标人须知前附表4.4（1）、（3）情形。</w:t>
            </w:r>
          </w:p>
          <w:p w14:paraId="7C262D8C">
            <w:pPr>
              <w:keepNext w:val="0"/>
              <w:keepLines w:val="0"/>
              <w:pageBreakBefore w:val="0"/>
              <w:widowControl w:val="0"/>
              <w:kinsoku/>
              <w:wordWrap/>
              <w:overflowPunct/>
              <w:topLinePunct w:val="0"/>
              <w:autoSpaceDE/>
              <w:autoSpaceDN/>
              <w:bidi w:val="0"/>
              <w:snapToGrid w:val="0"/>
              <w:spacing w:line="320" w:lineRule="exact"/>
              <w:textAlignment w:val="auto"/>
              <w:rPr>
                <w:rFonts w:hint="eastAsia" w:ascii="宋体" w:hAnsi="宋体" w:eastAsia="宋体" w:cs="宋体"/>
                <w:color w:val="000000"/>
                <w:kern w:val="2"/>
                <w:sz w:val="21"/>
                <w:szCs w:val="21"/>
                <w:highlight w:val="none"/>
              </w:rPr>
            </w:pPr>
            <w:r>
              <w:rPr>
                <w:rFonts w:hint="eastAsia" w:ascii="Times New Roman" w:hAnsi="Times New Roman" w:eastAsia="宋体" w:cs="Times New Roman"/>
                <w:color w:val="000000"/>
                <w:szCs w:val="21"/>
                <w:highlight w:val="none"/>
                <w:lang w:val="en-US" w:eastAsia="zh-CN"/>
              </w:rPr>
              <w:t>2.</w:t>
            </w:r>
            <w:r>
              <w:rPr>
                <w:rFonts w:hint="eastAsia" w:ascii="Times New Roman" w:hAnsi="Times New Roman" w:eastAsia="宋体" w:cs="Times New Roman"/>
                <w:color w:val="000000"/>
                <w:szCs w:val="21"/>
                <w:highlight w:val="none"/>
              </w:rPr>
              <w:t>投标人不存在因投标人须知前附表4.4(2)项规定的情形被评标委员会认定为串通投标、弄虚作假情形等违法行为。</w:t>
            </w:r>
          </w:p>
        </w:tc>
      </w:tr>
      <w:tr w14:paraId="547D0BD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restart"/>
            <w:tcBorders>
              <w:tl2br w:val="nil"/>
              <w:tr2bl w:val="nil"/>
            </w:tcBorders>
            <w:vAlign w:val="center"/>
          </w:tcPr>
          <w:p w14:paraId="3B640B72">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2.1.2</w:t>
            </w:r>
          </w:p>
        </w:tc>
        <w:tc>
          <w:tcPr>
            <w:tcW w:w="1181" w:type="dxa"/>
            <w:vMerge w:val="restart"/>
            <w:tcBorders>
              <w:tl2br w:val="nil"/>
              <w:tr2bl w:val="nil"/>
            </w:tcBorders>
            <w:vAlign w:val="center"/>
          </w:tcPr>
          <w:p w14:paraId="0E22DE35">
            <w:pPr>
              <w:keepNext w:val="0"/>
              <w:keepLines w:val="0"/>
              <w:pageBreakBefore w:val="0"/>
              <w:widowControl w:val="0"/>
              <w:kinsoku/>
              <w:wordWrap/>
              <w:overflowPunct/>
              <w:topLinePunct w:val="0"/>
              <w:autoSpaceDE w:val="0"/>
              <w:autoSpaceDN w:val="0"/>
              <w:bidi w:val="0"/>
              <w:adjustRightInd/>
              <w:snapToGrid w:val="0"/>
              <w:spacing w:line="320" w:lineRule="exact"/>
              <w:ind w:left="230" w:leftChars="10" w:right="60" w:hanging="209"/>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资格</w:t>
            </w:r>
            <w:r>
              <w:rPr>
                <w:rFonts w:hint="eastAsia" w:ascii="宋体" w:hAnsi="宋体" w:eastAsia="宋体" w:cs="宋体"/>
                <w:color w:val="000000"/>
                <w:spacing w:val="-2"/>
                <w:sz w:val="21"/>
                <w:szCs w:val="21"/>
                <w:highlight w:val="none"/>
              </w:rPr>
              <w:t>评</w:t>
            </w:r>
            <w:r>
              <w:rPr>
                <w:rFonts w:hint="eastAsia" w:ascii="宋体" w:hAnsi="宋体" w:eastAsia="宋体" w:cs="宋体"/>
                <w:color w:val="000000"/>
                <w:sz w:val="21"/>
                <w:szCs w:val="21"/>
                <w:highlight w:val="none"/>
              </w:rPr>
              <w:t>审标准</w:t>
            </w:r>
          </w:p>
        </w:tc>
        <w:tc>
          <w:tcPr>
            <w:tcW w:w="1996" w:type="dxa"/>
            <w:tcBorders>
              <w:tl2br w:val="nil"/>
              <w:tr2bl w:val="nil"/>
            </w:tcBorders>
            <w:shd w:val="clear" w:color="auto" w:fill="auto"/>
            <w:vAlign w:val="center"/>
          </w:tcPr>
          <w:p w14:paraId="73A97B2A">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jc w:val="center"/>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rPr>
              <w:t>资质要求</w:t>
            </w:r>
          </w:p>
        </w:tc>
        <w:tc>
          <w:tcPr>
            <w:tcW w:w="5526" w:type="dxa"/>
            <w:tcBorders>
              <w:tl2br w:val="nil"/>
              <w:tr2bl w:val="nil"/>
            </w:tcBorders>
            <w:shd w:val="clear" w:color="auto" w:fill="auto"/>
            <w:vAlign w:val="center"/>
          </w:tcPr>
          <w:p w14:paraId="092CF0EE">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6" w:rightChars="0"/>
              <w:jc w:val="both"/>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符合</w:t>
            </w:r>
            <w:r>
              <w:rPr>
                <w:rFonts w:hint="eastAsia" w:ascii="宋体" w:hAnsi="宋体" w:eastAsia="宋体" w:cs="宋体"/>
                <w:color w:val="000000"/>
                <w:spacing w:val="-2"/>
                <w:sz w:val="21"/>
                <w:szCs w:val="21"/>
                <w:highlight w:val="none"/>
              </w:rPr>
              <w:t>第</w:t>
            </w:r>
            <w:r>
              <w:rPr>
                <w:rFonts w:hint="eastAsia" w:ascii="宋体" w:hAnsi="宋体" w:eastAsia="宋体" w:cs="宋体"/>
                <w:color w:val="000000"/>
                <w:sz w:val="21"/>
                <w:szCs w:val="21"/>
                <w:highlight w:val="none"/>
              </w:rPr>
              <w:t>二</w:t>
            </w:r>
            <w:r>
              <w:rPr>
                <w:rFonts w:hint="eastAsia" w:ascii="宋体" w:hAnsi="宋体" w:eastAsia="宋体" w:cs="宋体"/>
                <w:color w:val="000000"/>
                <w:spacing w:val="-2"/>
                <w:sz w:val="21"/>
                <w:szCs w:val="21"/>
                <w:highlight w:val="none"/>
              </w:rPr>
              <w:t>章</w:t>
            </w:r>
            <w:r>
              <w:rPr>
                <w:rFonts w:hint="eastAsia" w:ascii="宋体" w:hAnsi="宋体" w:eastAsia="宋体" w:cs="宋体"/>
                <w:color w:val="000000"/>
                <w:sz w:val="21"/>
                <w:szCs w:val="21"/>
                <w:highlight w:val="none"/>
              </w:rPr>
              <w:t>“</w:t>
            </w:r>
            <w:r>
              <w:rPr>
                <w:rFonts w:hint="eastAsia" w:ascii="宋体" w:hAnsi="宋体" w:eastAsia="宋体" w:cs="宋体"/>
                <w:color w:val="000000"/>
                <w:spacing w:val="-2"/>
                <w:sz w:val="21"/>
                <w:szCs w:val="21"/>
                <w:highlight w:val="none"/>
              </w:rPr>
              <w:t>投</w:t>
            </w:r>
            <w:r>
              <w:rPr>
                <w:rFonts w:hint="eastAsia" w:ascii="宋体" w:hAnsi="宋体" w:eastAsia="宋体" w:cs="宋体"/>
                <w:color w:val="000000"/>
                <w:sz w:val="21"/>
                <w:szCs w:val="21"/>
                <w:highlight w:val="none"/>
              </w:rPr>
              <w:t>标</w:t>
            </w:r>
            <w:r>
              <w:rPr>
                <w:rFonts w:hint="eastAsia" w:ascii="宋体" w:hAnsi="宋体" w:eastAsia="宋体" w:cs="宋体"/>
                <w:color w:val="000000"/>
                <w:spacing w:val="-2"/>
                <w:sz w:val="21"/>
                <w:szCs w:val="21"/>
                <w:highlight w:val="none"/>
              </w:rPr>
              <w:t>人</w:t>
            </w:r>
            <w:r>
              <w:rPr>
                <w:rFonts w:hint="eastAsia" w:ascii="宋体" w:hAnsi="宋体" w:eastAsia="宋体" w:cs="宋体"/>
                <w:color w:val="000000"/>
                <w:sz w:val="21"/>
                <w:szCs w:val="21"/>
                <w:highlight w:val="none"/>
              </w:rPr>
              <w:t>须知</w:t>
            </w:r>
            <w:r>
              <w:rPr>
                <w:rFonts w:hint="eastAsia" w:ascii="宋体" w:hAnsi="宋体" w:eastAsia="宋体" w:cs="宋体"/>
                <w:color w:val="000000"/>
                <w:spacing w:val="-3"/>
                <w:sz w:val="21"/>
                <w:szCs w:val="21"/>
                <w:highlight w:val="none"/>
              </w:rPr>
              <w:t>”</w:t>
            </w:r>
            <w:r>
              <w:rPr>
                <w:rFonts w:hint="eastAsia" w:ascii="宋体" w:hAnsi="宋体" w:eastAsia="宋体" w:cs="宋体"/>
                <w:color w:val="000000"/>
                <w:sz w:val="21"/>
                <w:szCs w:val="21"/>
                <w:highlight w:val="none"/>
              </w:rPr>
              <w:t>第</w:t>
            </w:r>
            <w:r>
              <w:rPr>
                <w:rFonts w:hint="eastAsia" w:ascii="宋体" w:hAnsi="宋体" w:eastAsia="宋体" w:cs="宋体"/>
                <w:color w:val="000000"/>
                <w:spacing w:val="-9"/>
                <w:sz w:val="21"/>
                <w:szCs w:val="21"/>
                <w:highlight w:val="none"/>
              </w:rPr>
              <w:t xml:space="preserve"> </w:t>
            </w:r>
            <w:r>
              <w:rPr>
                <w:rFonts w:hint="eastAsia" w:ascii="宋体" w:hAnsi="宋体" w:eastAsia="宋体" w:cs="宋体"/>
                <w:color w:val="000000"/>
                <w:sz w:val="21"/>
                <w:szCs w:val="21"/>
                <w:highlight w:val="none"/>
              </w:rPr>
              <w:t>1.4</w:t>
            </w:r>
            <w:r>
              <w:rPr>
                <w:rFonts w:hint="eastAsia" w:ascii="宋体" w:hAnsi="宋体" w:eastAsia="宋体" w:cs="宋体"/>
                <w:color w:val="000000"/>
                <w:spacing w:val="-2"/>
                <w:sz w:val="21"/>
                <w:szCs w:val="21"/>
                <w:highlight w:val="none"/>
              </w:rPr>
              <w:t>.</w:t>
            </w:r>
            <w:r>
              <w:rPr>
                <w:rFonts w:hint="eastAsia" w:ascii="宋体" w:hAnsi="宋体" w:eastAsia="宋体" w:cs="宋体"/>
                <w:color w:val="000000"/>
                <w:sz w:val="21"/>
                <w:szCs w:val="21"/>
                <w:highlight w:val="none"/>
              </w:rPr>
              <w:t xml:space="preserve">1 </w:t>
            </w:r>
            <w:r>
              <w:rPr>
                <w:rFonts w:hint="eastAsia" w:ascii="宋体" w:hAnsi="宋体" w:eastAsia="宋体" w:cs="宋体"/>
                <w:color w:val="000000"/>
                <w:spacing w:val="-2"/>
                <w:sz w:val="21"/>
                <w:szCs w:val="21"/>
                <w:highlight w:val="none"/>
              </w:rPr>
              <w:t>项</w:t>
            </w:r>
            <w:r>
              <w:rPr>
                <w:rFonts w:hint="eastAsia" w:ascii="宋体" w:hAnsi="宋体" w:eastAsia="宋体" w:cs="宋体"/>
                <w:color w:val="000000"/>
                <w:sz w:val="21"/>
                <w:szCs w:val="21"/>
                <w:highlight w:val="none"/>
              </w:rPr>
              <w:t>规定</w:t>
            </w:r>
          </w:p>
        </w:tc>
      </w:tr>
      <w:tr w14:paraId="00C5EEB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20E813F1">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both"/>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5C52AE3D">
            <w:pPr>
              <w:keepNext w:val="0"/>
              <w:keepLines w:val="0"/>
              <w:pageBreakBefore w:val="0"/>
              <w:widowControl w:val="0"/>
              <w:kinsoku/>
              <w:wordWrap/>
              <w:overflowPunct/>
              <w:topLinePunct w:val="0"/>
              <w:autoSpaceDE w:val="0"/>
              <w:autoSpaceDN w:val="0"/>
              <w:bidi w:val="0"/>
              <w:adjustRightInd/>
              <w:snapToGrid w:val="0"/>
              <w:spacing w:line="320" w:lineRule="exact"/>
              <w:ind w:left="230" w:leftChars="10" w:right="60" w:hanging="209"/>
              <w:jc w:val="both"/>
              <w:textAlignment w:val="auto"/>
              <w:rPr>
                <w:rFonts w:hint="eastAsia" w:ascii="宋体" w:hAnsi="宋体" w:eastAsia="宋体" w:cs="宋体"/>
                <w:color w:val="000000"/>
                <w:sz w:val="21"/>
                <w:szCs w:val="21"/>
                <w:highlight w:val="none"/>
              </w:rPr>
            </w:pPr>
          </w:p>
        </w:tc>
        <w:tc>
          <w:tcPr>
            <w:tcW w:w="1996" w:type="dxa"/>
            <w:tcBorders>
              <w:tl2br w:val="nil"/>
              <w:tr2bl w:val="nil"/>
            </w:tcBorders>
            <w:shd w:val="clear" w:color="auto" w:fill="auto"/>
            <w:vAlign w:val="center"/>
          </w:tcPr>
          <w:p w14:paraId="2F5D739A">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财务要求</w:t>
            </w:r>
          </w:p>
        </w:tc>
        <w:tc>
          <w:tcPr>
            <w:tcW w:w="5526" w:type="dxa"/>
            <w:tcBorders>
              <w:tl2br w:val="nil"/>
              <w:tr2bl w:val="nil"/>
            </w:tcBorders>
            <w:shd w:val="clear" w:color="auto" w:fill="auto"/>
            <w:vAlign w:val="center"/>
          </w:tcPr>
          <w:p w14:paraId="3391EA5F">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right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pacing w:val="-2"/>
                <w:sz w:val="21"/>
                <w:szCs w:val="21"/>
                <w:highlight w:val="none"/>
              </w:rPr>
              <w:t>第</w:t>
            </w:r>
            <w:r>
              <w:rPr>
                <w:rFonts w:hint="eastAsia" w:ascii="宋体" w:hAnsi="宋体" w:eastAsia="宋体" w:cs="宋体"/>
                <w:color w:val="000000"/>
                <w:sz w:val="21"/>
                <w:szCs w:val="21"/>
                <w:highlight w:val="none"/>
              </w:rPr>
              <w:t>二</w:t>
            </w:r>
            <w:r>
              <w:rPr>
                <w:rFonts w:hint="eastAsia" w:ascii="宋体" w:hAnsi="宋体" w:eastAsia="宋体" w:cs="宋体"/>
                <w:color w:val="000000"/>
                <w:spacing w:val="-2"/>
                <w:sz w:val="21"/>
                <w:szCs w:val="21"/>
                <w:highlight w:val="none"/>
              </w:rPr>
              <w:t>章</w:t>
            </w:r>
            <w:r>
              <w:rPr>
                <w:rFonts w:hint="eastAsia" w:ascii="宋体" w:hAnsi="宋体" w:eastAsia="宋体" w:cs="宋体"/>
                <w:color w:val="000000"/>
                <w:sz w:val="21"/>
                <w:szCs w:val="21"/>
                <w:highlight w:val="none"/>
              </w:rPr>
              <w:t>“</w:t>
            </w:r>
            <w:r>
              <w:rPr>
                <w:rFonts w:hint="eastAsia" w:ascii="宋体" w:hAnsi="宋体" w:eastAsia="宋体" w:cs="宋体"/>
                <w:color w:val="000000"/>
                <w:spacing w:val="-2"/>
                <w:sz w:val="21"/>
                <w:szCs w:val="21"/>
                <w:highlight w:val="none"/>
              </w:rPr>
              <w:t>投</w:t>
            </w:r>
            <w:r>
              <w:rPr>
                <w:rFonts w:hint="eastAsia" w:ascii="宋体" w:hAnsi="宋体" w:eastAsia="宋体" w:cs="宋体"/>
                <w:color w:val="000000"/>
                <w:sz w:val="21"/>
                <w:szCs w:val="21"/>
                <w:highlight w:val="none"/>
              </w:rPr>
              <w:t>标</w:t>
            </w:r>
            <w:r>
              <w:rPr>
                <w:rFonts w:hint="eastAsia" w:ascii="宋体" w:hAnsi="宋体" w:eastAsia="宋体" w:cs="宋体"/>
                <w:color w:val="000000"/>
                <w:spacing w:val="-2"/>
                <w:sz w:val="21"/>
                <w:szCs w:val="21"/>
                <w:highlight w:val="none"/>
              </w:rPr>
              <w:t>人</w:t>
            </w:r>
            <w:r>
              <w:rPr>
                <w:rFonts w:hint="eastAsia" w:ascii="宋体" w:hAnsi="宋体" w:eastAsia="宋体" w:cs="宋体"/>
                <w:color w:val="000000"/>
                <w:sz w:val="21"/>
                <w:szCs w:val="21"/>
                <w:highlight w:val="none"/>
              </w:rPr>
              <w:t>须知</w:t>
            </w:r>
            <w:r>
              <w:rPr>
                <w:rFonts w:hint="eastAsia" w:ascii="宋体" w:hAnsi="宋体" w:eastAsia="宋体" w:cs="宋体"/>
                <w:color w:val="000000"/>
                <w:spacing w:val="-3"/>
                <w:sz w:val="21"/>
                <w:szCs w:val="21"/>
                <w:highlight w:val="none"/>
              </w:rPr>
              <w:t>”</w:t>
            </w:r>
            <w:r>
              <w:rPr>
                <w:rFonts w:hint="eastAsia" w:ascii="宋体" w:hAnsi="宋体" w:eastAsia="宋体" w:cs="宋体"/>
                <w:color w:val="000000"/>
                <w:sz w:val="21"/>
                <w:szCs w:val="21"/>
                <w:highlight w:val="none"/>
              </w:rPr>
              <w:t>第</w:t>
            </w:r>
            <w:r>
              <w:rPr>
                <w:rFonts w:hint="eastAsia" w:ascii="宋体" w:hAnsi="宋体" w:eastAsia="宋体" w:cs="宋体"/>
                <w:color w:val="000000"/>
                <w:spacing w:val="-9"/>
                <w:sz w:val="21"/>
                <w:szCs w:val="21"/>
                <w:highlight w:val="none"/>
              </w:rPr>
              <w:t xml:space="preserve"> </w:t>
            </w:r>
            <w:r>
              <w:rPr>
                <w:rFonts w:hint="eastAsia" w:ascii="宋体" w:hAnsi="宋体" w:eastAsia="宋体" w:cs="宋体"/>
                <w:color w:val="000000"/>
                <w:sz w:val="21"/>
                <w:szCs w:val="21"/>
                <w:highlight w:val="none"/>
              </w:rPr>
              <w:t>1.4</w:t>
            </w:r>
            <w:r>
              <w:rPr>
                <w:rFonts w:hint="eastAsia" w:ascii="宋体" w:hAnsi="宋体" w:eastAsia="宋体" w:cs="宋体"/>
                <w:color w:val="000000"/>
                <w:spacing w:val="-2"/>
                <w:sz w:val="21"/>
                <w:szCs w:val="21"/>
                <w:highlight w:val="none"/>
              </w:rPr>
              <w:t>.</w:t>
            </w:r>
            <w:r>
              <w:rPr>
                <w:rFonts w:hint="eastAsia" w:ascii="宋体" w:hAnsi="宋体" w:eastAsia="宋体" w:cs="宋体"/>
                <w:color w:val="000000"/>
                <w:sz w:val="21"/>
                <w:szCs w:val="21"/>
                <w:highlight w:val="none"/>
              </w:rPr>
              <w:t xml:space="preserve">1 </w:t>
            </w:r>
            <w:r>
              <w:rPr>
                <w:rFonts w:hint="eastAsia" w:ascii="宋体" w:hAnsi="宋体" w:eastAsia="宋体" w:cs="宋体"/>
                <w:color w:val="000000"/>
                <w:spacing w:val="-2"/>
                <w:sz w:val="21"/>
                <w:szCs w:val="21"/>
                <w:highlight w:val="none"/>
              </w:rPr>
              <w:t>项</w:t>
            </w:r>
            <w:r>
              <w:rPr>
                <w:rFonts w:hint="eastAsia" w:ascii="宋体" w:hAnsi="宋体" w:eastAsia="宋体" w:cs="宋体"/>
                <w:color w:val="000000"/>
                <w:sz w:val="21"/>
                <w:szCs w:val="21"/>
                <w:highlight w:val="none"/>
              </w:rPr>
              <w:t>规定</w:t>
            </w:r>
          </w:p>
        </w:tc>
      </w:tr>
      <w:tr w14:paraId="1DA4F06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0EB19897">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both"/>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1047A825">
            <w:pPr>
              <w:keepNext w:val="0"/>
              <w:keepLines w:val="0"/>
              <w:pageBreakBefore w:val="0"/>
              <w:widowControl w:val="0"/>
              <w:kinsoku/>
              <w:wordWrap/>
              <w:overflowPunct/>
              <w:topLinePunct w:val="0"/>
              <w:autoSpaceDE w:val="0"/>
              <w:autoSpaceDN w:val="0"/>
              <w:bidi w:val="0"/>
              <w:adjustRightInd/>
              <w:snapToGrid w:val="0"/>
              <w:spacing w:line="320" w:lineRule="exact"/>
              <w:ind w:left="230" w:leftChars="10" w:right="60" w:hanging="209"/>
              <w:jc w:val="both"/>
              <w:textAlignment w:val="auto"/>
              <w:rPr>
                <w:rFonts w:hint="eastAsia" w:ascii="宋体" w:hAnsi="宋体" w:eastAsia="宋体" w:cs="宋体"/>
                <w:color w:val="000000"/>
                <w:sz w:val="21"/>
                <w:szCs w:val="21"/>
                <w:highlight w:val="none"/>
              </w:rPr>
            </w:pPr>
          </w:p>
        </w:tc>
        <w:tc>
          <w:tcPr>
            <w:tcW w:w="1996" w:type="dxa"/>
            <w:tcBorders>
              <w:tl2br w:val="nil"/>
              <w:tr2bl w:val="nil"/>
            </w:tcBorders>
            <w:shd w:val="clear" w:color="auto" w:fill="auto"/>
            <w:vAlign w:val="center"/>
          </w:tcPr>
          <w:p w14:paraId="2C54BD1A">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业绩</w:t>
            </w:r>
            <w:r>
              <w:rPr>
                <w:rFonts w:hint="eastAsia" w:ascii="宋体" w:hAnsi="宋体" w:eastAsia="宋体" w:cs="宋体"/>
                <w:color w:val="000000"/>
                <w:spacing w:val="-2"/>
                <w:sz w:val="21"/>
                <w:szCs w:val="21"/>
                <w:highlight w:val="none"/>
              </w:rPr>
              <w:t>要</w:t>
            </w:r>
            <w:r>
              <w:rPr>
                <w:rFonts w:hint="eastAsia" w:ascii="宋体" w:hAnsi="宋体" w:eastAsia="宋体" w:cs="宋体"/>
                <w:color w:val="000000"/>
                <w:sz w:val="21"/>
                <w:szCs w:val="21"/>
                <w:highlight w:val="none"/>
              </w:rPr>
              <w:t>求</w:t>
            </w:r>
          </w:p>
        </w:tc>
        <w:tc>
          <w:tcPr>
            <w:tcW w:w="5526" w:type="dxa"/>
            <w:tcBorders>
              <w:tl2br w:val="nil"/>
              <w:tr2bl w:val="nil"/>
            </w:tcBorders>
            <w:shd w:val="clear" w:color="auto" w:fill="auto"/>
            <w:vAlign w:val="center"/>
          </w:tcPr>
          <w:p w14:paraId="048B7367">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rightChars="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符合</w:t>
            </w:r>
            <w:r>
              <w:rPr>
                <w:rFonts w:hint="eastAsia" w:ascii="宋体" w:hAnsi="宋体" w:eastAsia="宋体" w:cs="宋体"/>
                <w:color w:val="000000"/>
                <w:spacing w:val="-2"/>
                <w:sz w:val="21"/>
                <w:szCs w:val="21"/>
                <w:highlight w:val="none"/>
              </w:rPr>
              <w:t>第</w:t>
            </w:r>
            <w:r>
              <w:rPr>
                <w:rFonts w:hint="eastAsia" w:ascii="宋体" w:hAnsi="宋体" w:eastAsia="宋体" w:cs="宋体"/>
                <w:color w:val="000000"/>
                <w:sz w:val="21"/>
                <w:szCs w:val="21"/>
                <w:highlight w:val="none"/>
              </w:rPr>
              <w:t>二</w:t>
            </w:r>
            <w:r>
              <w:rPr>
                <w:rFonts w:hint="eastAsia" w:ascii="宋体" w:hAnsi="宋体" w:eastAsia="宋体" w:cs="宋体"/>
                <w:color w:val="000000"/>
                <w:spacing w:val="-2"/>
                <w:sz w:val="21"/>
                <w:szCs w:val="21"/>
                <w:highlight w:val="none"/>
              </w:rPr>
              <w:t>章</w:t>
            </w:r>
            <w:r>
              <w:rPr>
                <w:rFonts w:hint="eastAsia" w:ascii="宋体" w:hAnsi="宋体" w:eastAsia="宋体" w:cs="宋体"/>
                <w:color w:val="000000"/>
                <w:sz w:val="21"/>
                <w:szCs w:val="21"/>
                <w:highlight w:val="none"/>
              </w:rPr>
              <w:t>“</w:t>
            </w:r>
            <w:r>
              <w:rPr>
                <w:rFonts w:hint="eastAsia" w:ascii="宋体" w:hAnsi="宋体" w:eastAsia="宋体" w:cs="宋体"/>
                <w:color w:val="000000"/>
                <w:spacing w:val="-2"/>
                <w:sz w:val="21"/>
                <w:szCs w:val="21"/>
                <w:highlight w:val="none"/>
              </w:rPr>
              <w:t>投</w:t>
            </w:r>
            <w:r>
              <w:rPr>
                <w:rFonts w:hint="eastAsia" w:ascii="宋体" w:hAnsi="宋体" w:eastAsia="宋体" w:cs="宋体"/>
                <w:color w:val="000000"/>
                <w:sz w:val="21"/>
                <w:szCs w:val="21"/>
                <w:highlight w:val="none"/>
              </w:rPr>
              <w:t>标</w:t>
            </w:r>
            <w:r>
              <w:rPr>
                <w:rFonts w:hint="eastAsia" w:ascii="宋体" w:hAnsi="宋体" w:eastAsia="宋体" w:cs="宋体"/>
                <w:color w:val="000000"/>
                <w:spacing w:val="-2"/>
                <w:sz w:val="21"/>
                <w:szCs w:val="21"/>
                <w:highlight w:val="none"/>
              </w:rPr>
              <w:t>人</w:t>
            </w:r>
            <w:r>
              <w:rPr>
                <w:rFonts w:hint="eastAsia" w:ascii="宋体" w:hAnsi="宋体" w:eastAsia="宋体" w:cs="宋体"/>
                <w:color w:val="000000"/>
                <w:sz w:val="21"/>
                <w:szCs w:val="21"/>
                <w:highlight w:val="none"/>
              </w:rPr>
              <w:t>须知</w:t>
            </w:r>
            <w:r>
              <w:rPr>
                <w:rFonts w:hint="eastAsia" w:ascii="宋体" w:hAnsi="宋体" w:eastAsia="宋体" w:cs="宋体"/>
                <w:color w:val="000000"/>
                <w:spacing w:val="-3"/>
                <w:sz w:val="21"/>
                <w:szCs w:val="21"/>
                <w:highlight w:val="none"/>
              </w:rPr>
              <w:t>”</w:t>
            </w:r>
            <w:r>
              <w:rPr>
                <w:rFonts w:hint="eastAsia" w:ascii="宋体" w:hAnsi="宋体" w:eastAsia="宋体" w:cs="宋体"/>
                <w:color w:val="000000"/>
                <w:sz w:val="21"/>
                <w:szCs w:val="21"/>
                <w:highlight w:val="none"/>
              </w:rPr>
              <w:t>第</w:t>
            </w:r>
            <w:r>
              <w:rPr>
                <w:rFonts w:hint="eastAsia" w:ascii="宋体" w:hAnsi="宋体" w:eastAsia="宋体" w:cs="宋体"/>
                <w:color w:val="000000"/>
                <w:spacing w:val="-9"/>
                <w:sz w:val="21"/>
                <w:szCs w:val="21"/>
                <w:highlight w:val="none"/>
              </w:rPr>
              <w:t xml:space="preserve"> </w:t>
            </w:r>
            <w:r>
              <w:rPr>
                <w:rFonts w:hint="eastAsia" w:ascii="宋体" w:hAnsi="宋体" w:eastAsia="宋体" w:cs="宋体"/>
                <w:color w:val="000000"/>
                <w:sz w:val="21"/>
                <w:szCs w:val="21"/>
                <w:highlight w:val="none"/>
              </w:rPr>
              <w:t>1.4</w:t>
            </w:r>
            <w:r>
              <w:rPr>
                <w:rFonts w:hint="eastAsia" w:ascii="宋体" w:hAnsi="宋体" w:eastAsia="宋体" w:cs="宋体"/>
                <w:color w:val="000000"/>
                <w:spacing w:val="-2"/>
                <w:sz w:val="21"/>
                <w:szCs w:val="21"/>
                <w:highlight w:val="none"/>
              </w:rPr>
              <w:t>.</w:t>
            </w:r>
            <w:r>
              <w:rPr>
                <w:rFonts w:hint="eastAsia" w:ascii="宋体" w:hAnsi="宋体" w:eastAsia="宋体" w:cs="宋体"/>
                <w:color w:val="000000"/>
                <w:sz w:val="21"/>
                <w:szCs w:val="21"/>
                <w:highlight w:val="none"/>
              </w:rPr>
              <w:t xml:space="preserve">1 </w:t>
            </w:r>
            <w:r>
              <w:rPr>
                <w:rFonts w:hint="eastAsia" w:ascii="宋体" w:hAnsi="宋体" w:eastAsia="宋体" w:cs="宋体"/>
                <w:color w:val="000000"/>
                <w:spacing w:val="-2"/>
                <w:sz w:val="21"/>
                <w:szCs w:val="21"/>
                <w:highlight w:val="none"/>
              </w:rPr>
              <w:t>项</w:t>
            </w:r>
            <w:r>
              <w:rPr>
                <w:rFonts w:hint="eastAsia" w:ascii="宋体" w:hAnsi="宋体" w:eastAsia="宋体" w:cs="宋体"/>
                <w:color w:val="000000"/>
                <w:sz w:val="21"/>
                <w:szCs w:val="21"/>
                <w:highlight w:val="none"/>
              </w:rPr>
              <w:t>规定</w:t>
            </w:r>
          </w:p>
        </w:tc>
      </w:tr>
      <w:tr w14:paraId="334E810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1704C86A">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030DF87A">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996" w:type="dxa"/>
            <w:tcBorders>
              <w:tl2br w:val="nil"/>
              <w:tr2bl w:val="nil"/>
            </w:tcBorders>
            <w:shd w:val="clear" w:color="auto" w:fill="auto"/>
            <w:vAlign w:val="center"/>
          </w:tcPr>
          <w:p w14:paraId="35ED0D2A">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信誉要求</w:t>
            </w:r>
          </w:p>
        </w:tc>
        <w:tc>
          <w:tcPr>
            <w:tcW w:w="5526" w:type="dxa"/>
            <w:tcBorders>
              <w:tl2br w:val="nil"/>
              <w:tr2bl w:val="nil"/>
            </w:tcBorders>
            <w:shd w:val="clear" w:color="auto" w:fill="auto"/>
            <w:vAlign w:val="center"/>
          </w:tcPr>
          <w:p w14:paraId="19BAF2D4">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rightChars="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符合</w:t>
            </w:r>
            <w:r>
              <w:rPr>
                <w:rFonts w:hint="eastAsia" w:ascii="宋体" w:hAnsi="宋体" w:eastAsia="宋体" w:cs="宋体"/>
                <w:color w:val="000000"/>
                <w:spacing w:val="-2"/>
                <w:sz w:val="21"/>
                <w:szCs w:val="21"/>
                <w:highlight w:val="none"/>
              </w:rPr>
              <w:t>第</w:t>
            </w:r>
            <w:r>
              <w:rPr>
                <w:rFonts w:hint="eastAsia" w:ascii="宋体" w:hAnsi="宋体" w:eastAsia="宋体" w:cs="宋体"/>
                <w:color w:val="000000"/>
                <w:sz w:val="21"/>
                <w:szCs w:val="21"/>
                <w:highlight w:val="none"/>
              </w:rPr>
              <w:t>二</w:t>
            </w:r>
            <w:r>
              <w:rPr>
                <w:rFonts w:hint="eastAsia" w:ascii="宋体" w:hAnsi="宋体" w:eastAsia="宋体" w:cs="宋体"/>
                <w:color w:val="000000"/>
                <w:spacing w:val="-2"/>
                <w:sz w:val="21"/>
                <w:szCs w:val="21"/>
                <w:highlight w:val="none"/>
              </w:rPr>
              <w:t>章</w:t>
            </w:r>
            <w:r>
              <w:rPr>
                <w:rFonts w:hint="eastAsia" w:ascii="宋体" w:hAnsi="宋体" w:eastAsia="宋体" w:cs="宋体"/>
                <w:color w:val="000000"/>
                <w:sz w:val="21"/>
                <w:szCs w:val="21"/>
                <w:highlight w:val="none"/>
              </w:rPr>
              <w:t>“</w:t>
            </w:r>
            <w:r>
              <w:rPr>
                <w:rFonts w:hint="eastAsia" w:ascii="宋体" w:hAnsi="宋体" w:eastAsia="宋体" w:cs="宋体"/>
                <w:color w:val="000000"/>
                <w:spacing w:val="-2"/>
                <w:sz w:val="21"/>
                <w:szCs w:val="21"/>
                <w:highlight w:val="none"/>
              </w:rPr>
              <w:t>投</w:t>
            </w:r>
            <w:r>
              <w:rPr>
                <w:rFonts w:hint="eastAsia" w:ascii="宋体" w:hAnsi="宋体" w:eastAsia="宋体" w:cs="宋体"/>
                <w:color w:val="000000"/>
                <w:sz w:val="21"/>
                <w:szCs w:val="21"/>
                <w:highlight w:val="none"/>
              </w:rPr>
              <w:t>标</w:t>
            </w:r>
            <w:r>
              <w:rPr>
                <w:rFonts w:hint="eastAsia" w:ascii="宋体" w:hAnsi="宋体" w:eastAsia="宋体" w:cs="宋体"/>
                <w:color w:val="000000"/>
                <w:spacing w:val="-2"/>
                <w:sz w:val="21"/>
                <w:szCs w:val="21"/>
                <w:highlight w:val="none"/>
              </w:rPr>
              <w:t>人</w:t>
            </w:r>
            <w:r>
              <w:rPr>
                <w:rFonts w:hint="eastAsia" w:ascii="宋体" w:hAnsi="宋体" w:eastAsia="宋体" w:cs="宋体"/>
                <w:color w:val="000000"/>
                <w:sz w:val="21"/>
                <w:szCs w:val="21"/>
                <w:highlight w:val="none"/>
              </w:rPr>
              <w:t>须知</w:t>
            </w:r>
            <w:r>
              <w:rPr>
                <w:rFonts w:hint="eastAsia" w:ascii="宋体" w:hAnsi="宋体" w:eastAsia="宋体" w:cs="宋体"/>
                <w:color w:val="000000"/>
                <w:spacing w:val="-3"/>
                <w:sz w:val="21"/>
                <w:szCs w:val="21"/>
                <w:highlight w:val="none"/>
              </w:rPr>
              <w:t>”</w:t>
            </w:r>
            <w:r>
              <w:rPr>
                <w:rFonts w:hint="eastAsia" w:ascii="宋体" w:hAnsi="宋体" w:eastAsia="宋体" w:cs="宋体"/>
                <w:color w:val="000000"/>
                <w:sz w:val="21"/>
                <w:szCs w:val="21"/>
                <w:highlight w:val="none"/>
              </w:rPr>
              <w:t>第</w:t>
            </w:r>
            <w:r>
              <w:rPr>
                <w:rFonts w:hint="eastAsia" w:ascii="宋体" w:hAnsi="宋体" w:eastAsia="宋体" w:cs="宋体"/>
                <w:color w:val="000000"/>
                <w:spacing w:val="-9"/>
                <w:sz w:val="21"/>
                <w:szCs w:val="21"/>
                <w:highlight w:val="none"/>
              </w:rPr>
              <w:t xml:space="preserve"> </w:t>
            </w:r>
            <w:r>
              <w:rPr>
                <w:rFonts w:hint="eastAsia" w:ascii="宋体" w:hAnsi="宋体" w:eastAsia="宋体" w:cs="宋体"/>
                <w:color w:val="000000"/>
                <w:sz w:val="21"/>
                <w:szCs w:val="21"/>
                <w:highlight w:val="none"/>
              </w:rPr>
              <w:t>1.4</w:t>
            </w:r>
            <w:r>
              <w:rPr>
                <w:rFonts w:hint="eastAsia" w:ascii="宋体" w:hAnsi="宋体" w:eastAsia="宋体" w:cs="宋体"/>
                <w:color w:val="000000"/>
                <w:spacing w:val="-2"/>
                <w:sz w:val="21"/>
                <w:szCs w:val="21"/>
                <w:highlight w:val="none"/>
              </w:rPr>
              <w:t>.</w:t>
            </w:r>
            <w:r>
              <w:rPr>
                <w:rFonts w:hint="eastAsia" w:ascii="宋体" w:hAnsi="宋体" w:eastAsia="宋体" w:cs="宋体"/>
                <w:color w:val="000000"/>
                <w:sz w:val="21"/>
                <w:szCs w:val="21"/>
                <w:highlight w:val="none"/>
              </w:rPr>
              <w:t xml:space="preserve">1 </w:t>
            </w:r>
            <w:r>
              <w:rPr>
                <w:rFonts w:hint="eastAsia" w:ascii="宋体" w:hAnsi="宋体" w:eastAsia="宋体" w:cs="宋体"/>
                <w:color w:val="000000"/>
                <w:spacing w:val="-2"/>
                <w:sz w:val="21"/>
                <w:szCs w:val="21"/>
                <w:highlight w:val="none"/>
              </w:rPr>
              <w:t>项</w:t>
            </w:r>
            <w:r>
              <w:rPr>
                <w:rFonts w:hint="eastAsia" w:ascii="宋体" w:hAnsi="宋体" w:eastAsia="宋体" w:cs="宋体"/>
                <w:color w:val="000000"/>
                <w:sz w:val="21"/>
                <w:szCs w:val="21"/>
                <w:highlight w:val="none"/>
              </w:rPr>
              <w:t>规定</w:t>
            </w:r>
          </w:p>
        </w:tc>
      </w:tr>
      <w:tr w14:paraId="1BBABF1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7FB3F295">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4CA782EB">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996" w:type="dxa"/>
            <w:tcBorders>
              <w:tl2br w:val="nil"/>
              <w:tr2bl w:val="nil"/>
            </w:tcBorders>
            <w:shd w:val="clear" w:color="auto" w:fill="auto"/>
            <w:vAlign w:val="center"/>
          </w:tcPr>
          <w:p w14:paraId="0005740E">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不存</w:t>
            </w:r>
            <w:r>
              <w:rPr>
                <w:rFonts w:hint="eastAsia" w:ascii="宋体" w:hAnsi="宋体" w:eastAsia="宋体" w:cs="宋体"/>
                <w:color w:val="000000"/>
                <w:spacing w:val="-2"/>
                <w:sz w:val="21"/>
                <w:szCs w:val="21"/>
                <w:highlight w:val="none"/>
              </w:rPr>
              <w:t>在</w:t>
            </w:r>
            <w:r>
              <w:rPr>
                <w:rFonts w:hint="eastAsia" w:ascii="宋体" w:hAnsi="宋体" w:eastAsia="宋体" w:cs="宋体"/>
                <w:color w:val="000000"/>
                <w:sz w:val="21"/>
                <w:szCs w:val="21"/>
                <w:highlight w:val="none"/>
              </w:rPr>
              <w:t>禁</w:t>
            </w:r>
            <w:r>
              <w:rPr>
                <w:rFonts w:hint="eastAsia" w:ascii="宋体" w:hAnsi="宋体" w:eastAsia="宋体" w:cs="宋体"/>
                <w:color w:val="000000"/>
                <w:spacing w:val="-2"/>
                <w:sz w:val="21"/>
                <w:szCs w:val="21"/>
                <w:highlight w:val="none"/>
              </w:rPr>
              <w:t>止</w:t>
            </w:r>
            <w:r>
              <w:rPr>
                <w:rFonts w:hint="eastAsia" w:ascii="宋体" w:hAnsi="宋体" w:eastAsia="宋体" w:cs="宋体"/>
                <w:color w:val="000000"/>
                <w:sz w:val="21"/>
                <w:szCs w:val="21"/>
                <w:highlight w:val="none"/>
              </w:rPr>
              <w:t>投</w:t>
            </w:r>
            <w:r>
              <w:rPr>
                <w:rFonts w:hint="eastAsia" w:ascii="宋体" w:hAnsi="宋体" w:eastAsia="宋体" w:cs="宋体"/>
                <w:color w:val="000000"/>
                <w:spacing w:val="-2"/>
                <w:sz w:val="21"/>
                <w:szCs w:val="21"/>
                <w:highlight w:val="none"/>
              </w:rPr>
              <w:t>标</w:t>
            </w:r>
            <w:r>
              <w:rPr>
                <w:rFonts w:hint="eastAsia" w:ascii="宋体" w:hAnsi="宋体" w:eastAsia="宋体" w:cs="宋体"/>
                <w:color w:val="000000"/>
                <w:sz w:val="21"/>
                <w:szCs w:val="21"/>
                <w:highlight w:val="none"/>
              </w:rPr>
              <w:t>的</w:t>
            </w:r>
            <w:r>
              <w:rPr>
                <w:rFonts w:hint="eastAsia" w:ascii="宋体" w:hAnsi="宋体" w:eastAsia="宋体" w:cs="宋体"/>
                <w:color w:val="000000"/>
                <w:spacing w:val="-2"/>
                <w:sz w:val="21"/>
                <w:szCs w:val="21"/>
                <w:highlight w:val="none"/>
              </w:rPr>
              <w:t>情</w:t>
            </w:r>
            <w:r>
              <w:rPr>
                <w:rFonts w:hint="eastAsia" w:ascii="宋体" w:hAnsi="宋体" w:eastAsia="宋体" w:cs="宋体"/>
                <w:color w:val="000000"/>
                <w:sz w:val="21"/>
                <w:szCs w:val="21"/>
                <w:highlight w:val="none"/>
              </w:rPr>
              <w:t>形</w:t>
            </w:r>
          </w:p>
        </w:tc>
        <w:tc>
          <w:tcPr>
            <w:tcW w:w="5526" w:type="dxa"/>
            <w:tcBorders>
              <w:tl2br w:val="nil"/>
              <w:tr2bl w:val="nil"/>
            </w:tcBorders>
            <w:shd w:val="clear" w:color="auto" w:fill="auto"/>
            <w:vAlign w:val="center"/>
          </w:tcPr>
          <w:p w14:paraId="55F5026F">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6" w:rightChars="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不存</w:t>
            </w:r>
            <w:r>
              <w:rPr>
                <w:rFonts w:hint="eastAsia" w:ascii="宋体" w:hAnsi="宋体" w:eastAsia="宋体" w:cs="宋体"/>
                <w:color w:val="000000"/>
                <w:spacing w:val="-2"/>
                <w:sz w:val="21"/>
                <w:szCs w:val="21"/>
                <w:highlight w:val="none"/>
              </w:rPr>
              <w:t>在</w:t>
            </w:r>
            <w:r>
              <w:rPr>
                <w:rFonts w:hint="eastAsia" w:ascii="宋体" w:hAnsi="宋体" w:eastAsia="宋体" w:cs="宋体"/>
                <w:color w:val="000000"/>
                <w:sz w:val="21"/>
                <w:szCs w:val="21"/>
                <w:highlight w:val="none"/>
              </w:rPr>
              <w:t>第</w:t>
            </w:r>
            <w:r>
              <w:rPr>
                <w:rFonts w:hint="eastAsia" w:ascii="宋体" w:hAnsi="宋体" w:eastAsia="宋体" w:cs="宋体"/>
                <w:color w:val="000000"/>
                <w:spacing w:val="-2"/>
                <w:sz w:val="21"/>
                <w:szCs w:val="21"/>
                <w:highlight w:val="none"/>
              </w:rPr>
              <w:t>二</w:t>
            </w:r>
            <w:r>
              <w:rPr>
                <w:rFonts w:hint="eastAsia" w:ascii="宋体" w:hAnsi="宋体" w:eastAsia="宋体" w:cs="宋体"/>
                <w:color w:val="000000"/>
                <w:sz w:val="21"/>
                <w:szCs w:val="21"/>
                <w:highlight w:val="none"/>
              </w:rPr>
              <w:t>章</w:t>
            </w:r>
            <w:r>
              <w:rPr>
                <w:rFonts w:hint="eastAsia" w:ascii="宋体" w:hAnsi="宋体" w:eastAsia="宋体" w:cs="宋体"/>
                <w:color w:val="000000"/>
                <w:spacing w:val="-3"/>
                <w:sz w:val="21"/>
                <w:szCs w:val="21"/>
                <w:highlight w:val="none"/>
              </w:rPr>
              <w:t>“</w:t>
            </w:r>
            <w:r>
              <w:rPr>
                <w:rFonts w:hint="eastAsia" w:ascii="宋体" w:hAnsi="宋体" w:eastAsia="宋体" w:cs="宋体"/>
                <w:color w:val="000000"/>
                <w:sz w:val="21"/>
                <w:szCs w:val="21"/>
                <w:highlight w:val="none"/>
              </w:rPr>
              <w:t>投</w:t>
            </w:r>
            <w:r>
              <w:rPr>
                <w:rFonts w:hint="eastAsia" w:ascii="宋体" w:hAnsi="宋体" w:eastAsia="宋体" w:cs="宋体"/>
                <w:color w:val="000000"/>
                <w:spacing w:val="-2"/>
                <w:sz w:val="21"/>
                <w:szCs w:val="21"/>
                <w:highlight w:val="none"/>
              </w:rPr>
              <w:t>标</w:t>
            </w:r>
            <w:r>
              <w:rPr>
                <w:rFonts w:hint="eastAsia" w:ascii="宋体" w:hAnsi="宋体" w:eastAsia="宋体" w:cs="宋体"/>
                <w:color w:val="000000"/>
                <w:sz w:val="21"/>
                <w:szCs w:val="21"/>
                <w:highlight w:val="none"/>
              </w:rPr>
              <w:t>人</w:t>
            </w:r>
            <w:r>
              <w:rPr>
                <w:rFonts w:hint="eastAsia" w:ascii="宋体" w:hAnsi="宋体" w:eastAsia="宋体" w:cs="宋体"/>
                <w:color w:val="000000"/>
                <w:spacing w:val="-2"/>
                <w:sz w:val="21"/>
                <w:szCs w:val="21"/>
                <w:highlight w:val="none"/>
              </w:rPr>
              <w:t>须</w:t>
            </w:r>
            <w:r>
              <w:rPr>
                <w:rFonts w:hint="eastAsia" w:ascii="宋体" w:hAnsi="宋体" w:eastAsia="宋体" w:cs="宋体"/>
                <w:color w:val="000000"/>
                <w:spacing w:val="-3"/>
                <w:sz w:val="21"/>
                <w:szCs w:val="21"/>
                <w:highlight w:val="none"/>
              </w:rPr>
              <w:t>知</w:t>
            </w:r>
            <w:r>
              <w:rPr>
                <w:rFonts w:hint="eastAsia" w:ascii="宋体" w:hAnsi="宋体" w:eastAsia="宋体" w:cs="宋体"/>
                <w:color w:val="000000"/>
                <w:sz w:val="21"/>
                <w:szCs w:val="21"/>
                <w:highlight w:val="none"/>
              </w:rPr>
              <w:t>”第1.4.3项</w:t>
            </w:r>
            <w:r>
              <w:rPr>
                <w:rFonts w:hint="eastAsia" w:ascii="宋体" w:hAnsi="宋体" w:eastAsia="宋体" w:cs="宋体"/>
                <w:color w:val="000000"/>
                <w:spacing w:val="-2"/>
                <w:sz w:val="21"/>
                <w:szCs w:val="21"/>
                <w:highlight w:val="none"/>
              </w:rPr>
              <w:t>规</w:t>
            </w:r>
            <w:r>
              <w:rPr>
                <w:rFonts w:hint="eastAsia" w:ascii="宋体" w:hAnsi="宋体" w:eastAsia="宋体" w:cs="宋体"/>
                <w:color w:val="000000"/>
                <w:sz w:val="21"/>
                <w:szCs w:val="21"/>
                <w:highlight w:val="none"/>
              </w:rPr>
              <w:t>定</w:t>
            </w:r>
            <w:r>
              <w:rPr>
                <w:rFonts w:hint="eastAsia" w:ascii="宋体" w:hAnsi="宋体" w:eastAsia="宋体" w:cs="宋体"/>
                <w:color w:val="000000"/>
                <w:spacing w:val="-2"/>
                <w:sz w:val="21"/>
                <w:szCs w:val="21"/>
                <w:highlight w:val="none"/>
              </w:rPr>
              <w:t>的</w:t>
            </w:r>
            <w:r>
              <w:rPr>
                <w:rFonts w:hint="eastAsia" w:ascii="宋体" w:hAnsi="宋体" w:eastAsia="宋体" w:cs="宋体"/>
                <w:color w:val="000000"/>
                <w:sz w:val="21"/>
                <w:szCs w:val="21"/>
                <w:highlight w:val="none"/>
              </w:rPr>
              <w:t>任何一种</w:t>
            </w:r>
            <w:r>
              <w:rPr>
                <w:rFonts w:hint="eastAsia" w:ascii="宋体" w:hAnsi="宋体" w:eastAsia="宋体" w:cs="宋体"/>
                <w:color w:val="000000"/>
                <w:spacing w:val="-2"/>
                <w:sz w:val="21"/>
                <w:szCs w:val="21"/>
                <w:highlight w:val="none"/>
              </w:rPr>
              <w:t>情</w:t>
            </w:r>
            <w:r>
              <w:rPr>
                <w:rFonts w:hint="eastAsia" w:ascii="宋体" w:hAnsi="宋体" w:eastAsia="宋体" w:cs="宋体"/>
                <w:color w:val="000000"/>
                <w:sz w:val="21"/>
                <w:szCs w:val="21"/>
                <w:highlight w:val="none"/>
              </w:rPr>
              <w:t>形</w:t>
            </w:r>
          </w:p>
        </w:tc>
      </w:tr>
      <w:tr w14:paraId="58B2E2F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946" w:type="dxa"/>
            <w:vMerge w:val="restart"/>
            <w:tcBorders>
              <w:tl2br w:val="nil"/>
              <w:tr2bl w:val="nil"/>
            </w:tcBorders>
            <w:vAlign w:val="center"/>
          </w:tcPr>
          <w:p w14:paraId="43BAC725">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2.1.3</w:t>
            </w:r>
          </w:p>
        </w:tc>
        <w:tc>
          <w:tcPr>
            <w:tcW w:w="1181" w:type="dxa"/>
            <w:vMerge w:val="restart"/>
            <w:tcBorders>
              <w:tl2br w:val="nil"/>
              <w:tr2bl w:val="nil"/>
            </w:tcBorders>
            <w:vAlign w:val="center"/>
          </w:tcPr>
          <w:p w14:paraId="41EF9682">
            <w:pPr>
              <w:keepNext w:val="0"/>
              <w:keepLines w:val="0"/>
              <w:pageBreakBefore w:val="0"/>
              <w:widowControl w:val="0"/>
              <w:kinsoku/>
              <w:wordWrap/>
              <w:overflowPunct/>
              <w:topLinePunct w:val="0"/>
              <w:autoSpaceDE w:val="0"/>
              <w:autoSpaceDN w:val="0"/>
              <w:bidi w:val="0"/>
              <w:adjustRightInd/>
              <w:snapToGrid w:val="0"/>
              <w:spacing w:line="320" w:lineRule="exact"/>
              <w:ind w:left="124" w:leftChars="10" w:right="60" w:hanging="103"/>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w:t>
            </w:r>
            <w:r>
              <w:rPr>
                <w:rFonts w:hint="eastAsia" w:ascii="宋体" w:hAnsi="宋体" w:eastAsia="宋体" w:cs="宋体"/>
                <w:color w:val="000000"/>
                <w:spacing w:val="-2"/>
                <w:sz w:val="21"/>
                <w:szCs w:val="21"/>
                <w:highlight w:val="none"/>
              </w:rPr>
              <w:t>性</w:t>
            </w:r>
            <w:r>
              <w:rPr>
                <w:rFonts w:hint="eastAsia" w:ascii="宋体" w:hAnsi="宋体" w:eastAsia="宋体" w:cs="宋体"/>
                <w:color w:val="000000"/>
                <w:sz w:val="21"/>
                <w:szCs w:val="21"/>
                <w:highlight w:val="none"/>
              </w:rPr>
              <w:t>评审标准</w:t>
            </w:r>
          </w:p>
        </w:tc>
        <w:tc>
          <w:tcPr>
            <w:tcW w:w="1996" w:type="dxa"/>
            <w:tcBorders>
              <w:tl2br w:val="nil"/>
              <w:tr2bl w:val="nil"/>
            </w:tcBorders>
            <w:vAlign w:val="center"/>
          </w:tcPr>
          <w:p w14:paraId="0684556A">
            <w:pPr>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w:t>
            </w:r>
            <w:r>
              <w:rPr>
                <w:rFonts w:hint="eastAsia" w:ascii="宋体" w:hAnsi="宋体" w:eastAsia="宋体" w:cs="宋体"/>
                <w:color w:val="000000"/>
                <w:spacing w:val="-2"/>
                <w:sz w:val="21"/>
                <w:szCs w:val="21"/>
                <w:highlight w:val="none"/>
              </w:rPr>
              <w:t>内</w:t>
            </w:r>
            <w:r>
              <w:rPr>
                <w:rFonts w:hint="eastAsia" w:ascii="宋体" w:hAnsi="宋体" w:eastAsia="宋体" w:cs="宋体"/>
                <w:color w:val="000000"/>
                <w:sz w:val="21"/>
                <w:szCs w:val="21"/>
                <w:highlight w:val="none"/>
              </w:rPr>
              <w:t>容</w:t>
            </w:r>
          </w:p>
        </w:tc>
        <w:tc>
          <w:tcPr>
            <w:tcW w:w="5526" w:type="dxa"/>
            <w:tcBorders>
              <w:tl2br w:val="nil"/>
              <w:tr2bl w:val="nil"/>
            </w:tcBorders>
            <w:vAlign w:val="center"/>
          </w:tcPr>
          <w:p w14:paraId="1F39F4C2">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pacing w:val="-2"/>
                <w:sz w:val="21"/>
                <w:szCs w:val="21"/>
                <w:highlight w:val="none"/>
              </w:rPr>
              <w:t>第</w:t>
            </w:r>
            <w:r>
              <w:rPr>
                <w:rFonts w:hint="eastAsia" w:ascii="宋体" w:hAnsi="宋体" w:eastAsia="宋体" w:cs="宋体"/>
                <w:color w:val="000000"/>
                <w:sz w:val="21"/>
                <w:szCs w:val="21"/>
                <w:highlight w:val="none"/>
              </w:rPr>
              <w:t>二</w:t>
            </w:r>
            <w:r>
              <w:rPr>
                <w:rFonts w:hint="eastAsia" w:ascii="宋体" w:hAnsi="宋体" w:eastAsia="宋体" w:cs="宋体"/>
                <w:color w:val="000000"/>
                <w:spacing w:val="-2"/>
                <w:sz w:val="21"/>
                <w:szCs w:val="21"/>
                <w:highlight w:val="none"/>
              </w:rPr>
              <w:t>章</w:t>
            </w:r>
            <w:r>
              <w:rPr>
                <w:rFonts w:hint="eastAsia" w:ascii="宋体" w:hAnsi="宋体" w:eastAsia="宋体" w:cs="宋体"/>
                <w:color w:val="000000"/>
                <w:sz w:val="21"/>
                <w:szCs w:val="21"/>
                <w:highlight w:val="none"/>
              </w:rPr>
              <w:t>“</w:t>
            </w:r>
            <w:r>
              <w:rPr>
                <w:rFonts w:hint="eastAsia" w:ascii="宋体" w:hAnsi="宋体" w:eastAsia="宋体" w:cs="宋体"/>
                <w:color w:val="000000"/>
                <w:spacing w:val="-2"/>
                <w:sz w:val="21"/>
                <w:szCs w:val="21"/>
                <w:highlight w:val="none"/>
              </w:rPr>
              <w:t>投</w:t>
            </w:r>
            <w:r>
              <w:rPr>
                <w:rFonts w:hint="eastAsia" w:ascii="宋体" w:hAnsi="宋体" w:eastAsia="宋体" w:cs="宋体"/>
                <w:color w:val="000000"/>
                <w:sz w:val="21"/>
                <w:szCs w:val="21"/>
                <w:highlight w:val="none"/>
              </w:rPr>
              <w:t>标</w:t>
            </w:r>
            <w:r>
              <w:rPr>
                <w:rFonts w:hint="eastAsia" w:ascii="宋体" w:hAnsi="宋体" w:eastAsia="宋体" w:cs="宋体"/>
                <w:color w:val="000000"/>
                <w:spacing w:val="-2"/>
                <w:sz w:val="21"/>
                <w:szCs w:val="21"/>
                <w:highlight w:val="none"/>
              </w:rPr>
              <w:t>人</w:t>
            </w:r>
            <w:r>
              <w:rPr>
                <w:rFonts w:hint="eastAsia" w:ascii="宋体" w:hAnsi="宋体" w:eastAsia="宋体" w:cs="宋体"/>
                <w:color w:val="000000"/>
                <w:sz w:val="21"/>
                <w:szCs w:val="21"/>
                <w:highlight w:val="none"/>
              </w:rPr>
              <w:t>须知</w:t>
            </w:r>
            <w:r>
              <w:rPr>
                <w:rFonts w:hint="eastAsia" w:ascii="宋体" w:hAnsi="宋体" w:eastAsia="宋体" w:cs="宋体"/>
                <w:color w:val="000000"/>
                <w:spacing w:val="-3"/>
                <w:sz w:val="21"/>
                <w:szCs w:val="21"/>
                <w:highlight w:val="none"/>
              </w:rPr>
              <w:t>”</w:t>
            </w:r>
            <w:r>
              <w:rPr>
                <w:rFonts w:hint="eastAsia" w:ascii="宋体" w:hAnsi="宋体" w:eastAsia="宋体" w:cs="宋体"/>
                <w:color w:val="000000"/>
                <w:sz w:val="21"/>
                <w:szCs w:val="21"/>
                <w:highlight w:val="none"/>
              </w:rPr>
              <w:t>第</w:t>
            </w:r>
            <w:r>
              <w:rPr>
                <w:rFonts w:hint="eastAsia" w:ascii="宋体" w:hAnsi="宋体" w:eastAsia="宋体" w:cs="宋体"/>
                <w:color w:val="000000"/>
                <w:spacing w:val="-9"/>
                <w:sz w:val="21"/>
                <w:szCs w:val="21"/>
                <w:highlight w:val="none"/>
              </w:rPr>
              <w:t xml:space="preserve"> </w:t>
            </w:r>
            <w:r>
              <w:rPr>
                <w:rFonts w:hint="eastAsia" w:ascii="宋体" w:hAnsi="宋体" w:eastAsia="宋体" w:cs="宋体"/>
                <w:color w:val="000000"/>
                <w:sz w:val="21"/>
                <w:szCs w:val="21"/>
                <w:highlight w:val="none"/>
              </w:rPr>
              <w:t>1.3</w:t>
            </w:r>
            <w:r>
              <w:rPr>
                <w:rFonts w:hint="eastAsia" w:ascii="宋体" w:hAnsi="宋体" w:eastAsia="宋体" w:cs="宋体"/>
                <w:color w:val="000000"/>
                <w:spacing w:val="-2"/>
                <w:sz w:val="21"/>
                <w:szCs w:val="21"/>
                <w:highlight w:val="none"/>
              </w:rPr>
              <w:t>.</w:t>
            </w:r>
            <w:r>
              <w:rPr>
                <w:rFonts w:hint="eastAsia" w:ascii="宋体" w:hAnsi="宋体" w:eastAsia="宋体" w:cs="宋体"/>
                <w:color w:val="000000"/>
                <w:sz w:val="21"/>
                <w:szCs w:val="21"/>
                <w:highlight w:val="none"/>
              </w:rPr>
              <w:t xml:space="preserve">1 </w:t>
            </w:r>
            <w:r>
              <w:rPr>
                <w:rFonts w:hint="eastAsia" w:ascii="宋体" w:hAnsi="宋体" w:eastAsia="宋体" w:cs="宋体"/>
                <w:color w:val="000000"/>
                <w:spacing w:val="-2"/>
                <w:sz w:val="21"/>
                <w:szCs w:val="21"/>
                <w:highlight w:val="none"/>
              </w:rPr>
              <w:t>项</w:t>
            </w:r>
            <w:r>
              <w:rPr>
                <w:rFonts w:hint="eastAsia" w:ascii="宋体" w:hAnsi="宋体" w:eastAsia="宋体" w:cs="宋体"/>
                <w:color w:val="000000"/>
                <w:sz w:val="21"/>
                <w:szCs w:val="21"/>
                <w:highlight w:val="none"/>
              </w:rPr>
              <w:t>规定</w:t>
            </w:r>
          </w:p>
        </w:tc>
      </w:tr>
      <w:tr w14:paraId="6385ED0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2C321F8B">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41848C62">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996" w:type="dxa"/>
            <w:tcBorders>
              <w:tl2br w:val="nil"/>
              <w:tr2bl w:val="nil"/>
            </w:tcBorders>
            <w:vAlign w:val="center"/>
          </w:tcPr>
          <w:p w14:paraId="40E9313F">
            <w:pPr>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交货期</w:t>
            </w:r>
          </w:p>
        </w:tc>
        <w:tc>
          <w:tcPr>
            <w:tcW w:w="5526" w:type="dxa"/>
            <w:tcBorders>
              <w:tl2br w:val="nil"/>
              <w:tr2bl w:val="nil"/>
            </w:tcBorders>
            <w:vAlign w:val="center"/>
          </w:tcPr>
          <w:p w14:paraId="59E8FEE8">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pacing w:val="-2"/>
                <w:sz w:val="21"/>
                <w:szCs w:val="21"/>
                <w:highlight w:val="none"/>
              </w:rPr>
              <w:t>第</w:t>
            </w:r>
            <w:r>
              <w:rPr>
                <w:rFonts w:hint="eastAsia" w:ascii="宋体" w:hAnsi="宋体" w:eastAsia="宋体" w:cs="宋体"/>
                <w:color w:val="000000"/>
                <w:sz w:val="21"/>
                <w:szCs w:val="21"/>
                <w:highlight w:val="none"/>
              </w:rPr>
              <w:t>二</w:t>
            </w:r>
            <w:r>
              <w:rPr>
                <w:rFonts w:hint="eastAsia" w:ascii="宋体" w:hAnsi="宋体" w:eastAsia="宋体" w:cs="宋体"/>
                <w:color w:val="000000"/>
                <w:spacing w:val="-2"/>
                <w:sz w:val="21"/>
                <w:szCs w:val="21"/>
                <w:highlight w:val="none"/>
              </w:rPr>
              <w:t>章</w:t>
            </w:r>
            <w:r>
              <w:rPr>
                <w:rFonts w:hint="eastAsia" w:ascii="宋体" w:hAnsi="宋体" w:eastAsia="宋体" w:cs="宋体"/>
                <w:color w:val="000000"/>
                <w:sz w:val="21"/>
                <w:szCs w:val="21"/>
                <w:highlight w:val="none"/>
              </w:rPr>
              <w:t>“</w:t>
            </w:r>
            <w:r>
              <w:rPr>
                <w:rFonts w:hint="eastAsia" w:ascii="宋体" w:hAnsi="宋体" w:eastAsia="宋体" w:cs="宋体"/>
                <w:color w:val="000000"/>
                <w:spacing w:val="-2"/>
                <w:sz w:val="21"/>
                <w:szCs w:val="21"/>
                <w:highlight w:val="none"/>
              </w:rPr>
              <w:t>投</w:t>
            </w:r>
            <w:r>
              <w:rPr>
                <w:rFonts w:hint="eastAsia" w:ascii="宋体" w:hAnsi="宋体" w:eastAsia="宋体" w:cs="宋体"/>
                <w:color w:val="000000"/>
                <w:sz w:val="21"/>
                <w:szCs w:val="21"/>
                <w:highlight w:val="none"/>
              </w:rPr>
              <w:t>标</w:t>
            </w:r>
            <w:r>
              <w:rPr>
                <w:rFonts w:hint="eastAsia" w:ascii="宋体" w:hAnsi="宋体" w:eastAsia="宋体" w:cs="宋体"/>
                <w:color w:val="000000"/>
                <w:spacing w:val="-2"/>
                <w:sz w:val="21"/>
                <w:szCs w:val="21"/>
                <w:highlight w:val="none"/>
              </w:rPr>
              <w:t>人</w:t>
            </w:r>
            <w:r>
              <w:rPr>
                <w:rFonts w:hint="eastAsia" w:ascii="宋体" w:hAnsi="宋体" w:eastAsia="宋体" w:cs="宋体"/>
                <w:color w:val="000000"/>
                <w:sz w:val="21"/>
                <w:szCs w:val="21"/>
                <w:highlight w:val="none"/>
              </w:rPr>
              <w:t>须知</w:t>
            </w:r>
            <w:r>
              <w:rPr>
                <w:rFonts w:hint="eastAsia" w:ascii="宋体" w:hAnsi="宋体" w:eastAsia="宋体" w:cs="宋体"/>
                <w:color w:val="000000"/>
                <w:spacing w:val="-3"/>
                <w:sz w:val="21"/>
                <w:szCs w:val="21"/>
                <w:highlight w:val="none"/>
              </w:rPr>
              <w:t>”</w:t>
            </w:r>
            <w:r>
              <w:rPr>
                <w:rFonts w:hint="eastAsia" w:ascii="宋体" w:hAnsi="宋体" w:eastAsia="宋体" w:cs="宋体"/>
                <w:color w:val="000000"/>
                <w:sz w:val="21"/>
                <w:szCs w:val="21"/>
                <w:highlight w:val="none"/>
              </w:rPr>
              <w:t>第</w:t>
            </w:r>
            <w:r>
              <w:rPr>
                <w:rFonts w:hint="eastAsia" w:ascii="宋体" w:hAnsi="宋体" w:eastAsia="宋体" w:cs="宋体"/>
                <w:color w:val="000000"/>
                <w:spacing w:val="-9"/>
                <w:sz w:val="21"/>
                <w:szCs w:val="21"/>
                <w:highlight w:val="none"/>
              </w:rPr>
              <w:t xml:space="preserve"> </w:t>
            </w:r>
            <w:r>
              <w:rPr>
                <w:rFonts w:hint="eastAsia" w:ascii="宋体" w:hAnsi="宋体" w:eastAsia="宋体" w:cs="宋体"/>
                <w:color w:val="000000"/>
                <w:sz w:val="21"/>
                <w:szCs w:val="21"/>
                <w:highlight w:val="none"/>
              </w:rPr>
              <w:t>1.3</w:t>
            </w:r>
            <w:r>
              <w:rPr>
                <w:rFonts w:hint="eastAsia" w:ascii="宋体" w:hAnsi="宋体" w:eastAsia="宋体" w:cs="宋体"/>
                <w:color w:val="000000"/>
                <w:spacing w:val="-2"/>
                <w:sz w:val="21"/>
                <w:szCs w:val="21"/>
                <w:highlight w:val="none"/>
              </w:rPr>
              <w:t>.</w:t>
            </w:r>
            <w:r>
              <w:rPr>
                <w:rFonts w:hint="eastAsia" w:ascii="宋体" w:hAnsi="宋体" w:eastAsia="宋体" w:cs="宋体"/>
                <w:color w:val="000000"/>
                <w:sz w:val="21"/>
                <w:szCs w:val="21"/>
                <w:highlight w:val="none"/>
              </w:rPr>
              <w:t xml:space="preserve">2 </w:t>
            </w:r>
            <w:r>
              <w:rPr>
                <w:rFonts w:hint="eastAsia" w:ascii="宋体" w:hAnsi="宋体" w:eastAsia="宋体" w:cs="宋体"/>
                <w:color w:val="000000"/>
                <w:spacing w:val="-2"/>
                <w:sz w:val="21"/>
                <w:szCs w:val="21"/>
                <w:highlight w:val="none"/>
              </w:rPr>
              <w:t>项</w:t>
            </w:r>
            <w:r>
              <w:rPr>
                <w:rFonts w:hint="eastAsia" w:ascii="宋体" w:hAnsi="宋体" w:eastAsia="宋体" w:cs="宋体"/>
                <w:color w:val="000000"/>
                <w:sz w:val="21"/>
                <w:szCs w:val="21"/>
                <w:highlight w:val="none"/>
              </w:rPr>
              <w:t>规定</w:t>
            </w:r>
          </w:p>
        </w:tc>
      </w:tr>
      <w:tr w14:paraId="212A5BD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58C89A09">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13A99C33">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996" w:type="dxa"/>
            <w:tcBorders>
              <w:tl2br w:val="nil"/>
              <w:tr2bl w:val="nil"/>
            </w:tcBorders>
            <w:vAlign w:val="center"/>
          </w:tcPr>
          <w:p w14:paraId="63BECAD9">
            <w:pPr>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交货</w:t>
            </w:r>
            <w:r>
              <w:rPr>
                <w:rFonts w:hint="eastAsia" w:ascii="宋体" w:hAnsi="宋体" w:eastAsia="宋体" w:cs="宋体"/>
                <w:color w:val="000000"/>
                <w:spacing w:val="-2"/>
                <w:sz w:val="21"/>
                <w:szCs w:val="21"/>
                <w:highlight w:val="none"/>
              </w:rPr>
              <w:t>地</w:t>
            </w:r>
            <w:r>
              <w:rPr>
                <w:rFonts w:hint="eastAsia" w:ascii="宋体" w:hAnsi="宋体" w:eastAsia="宋体" w:cs="宋体"/>
                <w:color w:val="000000"/>
                <w:sz w:val="21"/>
                <w:szCs w:val="21"/>
                <w:highlight w:val="none"/>
              </w:rPr>
              <w:t>点</w:t>
            </w:r>
          </w:p>
        </w:tc>
        <w:tc>
          <w:tcPr>
            <w:tcW w:w="5526" w:type="dxa"/>
            <w:tcBorders>
              <w:tl2br w:val="nil"/>
              <w:tr2bl w:val="nil"/>
            </w:tcBorders>
            <w:vAlign w:val="center"/>
          </w:tcPr>
          <w:p w14:paraId="72030D06">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pacing w:val="-2"/>
                <w:sz w:val="21"/>
                <w:szCs w:val="21"/>
                <w:highlight w:val="none"/>
              </w:rPr>
              <w:t>第</w:t>
            </w:r>
            <w:r>
              <w:rPr>
                <w:rFonts w:hint="eastAsia" w:ascii="宋体" w:hAnsi="宋体" w:eastAsia="宋体" w:cs="宋体"/>
                <w:color w:val="000000"/>
                <w:sz w:val="21"/>
                <w:szCs w:val="21"/>
                <w:highlight w:val="none"/>
              </w:rPr>
              <w:t>二</w:t>
            </w:r>
            <w:r>
              <w:rPr>
                <w:rFonts w:hint="eastAsia" w:ascii="宋体" w:hAnsi="宋体" w:eastAsia="宋体" w:cs="宋体"/>
                <w:color w:val="000000"/>
                <w:spacing w:val="-2"/>
                <w:sz w:val="21"/>
                <w:szCs w:val="21"/>
                <w:highlight w:val="none"/>
              </w:rPr>
              <w:t>章</w:t>
            </w:r>
            <w:r>
              <w:rPr>
                <w:rFonts w:hint="eastAsia" w:ascii="宋体" w:hAnsi="宋体" w:eastAsia="宋体" w:cs="宋体"/>
                <w:color w:val="000000"/>
                <w:sz w:val="21"/>
                <w:szCs w:val="21"/>
                <w:highlight w:val="none"/>
              </w:rPr>
              <w:t>“</w:t>
            </w:r>
            <w:r>
              <w:rPr>
                <w:rFonts w:hint="eastAsia" w:ascii="宋体" w:hAnsi="宋体" w:eastAsia="宋体" w:cs="宋体"/>
                <w:color w:val="000000"/>
                <w:spacing w:val="-2"/>
                <w:sz w:val="21"/>
                <w:szCs w:val="21"/>
                <w:highlight w:val="none"/>
              </w:rPr>
              <w:t>投</w:t>
            </w:r>
            <w:r>
              <w:rPr>
                <w:rFonts w:hint="eastAsia" w:ascii="宋体" w:hAnsi="宋体" w:eastAsia="宋体" w:cs="宋体"/>
                <w:color w:val="000000"/>
                <w:sz w:val="21"/>
                <w:szCs w:val="21"/>
                <w:highlight w:val="none"/>
              </w:rPr>
              <w:t>标</w:t>
            </w:r>
            <w:r>
              <w:rPr>
                <w:rFonts w:hint="eastAsia" w:ascii="宋体" w:hAnsi="宋体" w:eastAsia="宋体" w:cs="宋体"/>
                <w:color w:val="000000"/>
                <w:spacing w:val="-2"/>
                <w:sz w:val="21"/>
                <w:szCs w:val="21"/>
                <w:highlight w:val="none"/>
              </w:rPr>
              <w:t>人</w:t>
            </w:r>
            <w:r>
              <w:rPr>
                <w:rFonts w:hint="eastAsia" w:ascii="宋体" w:hAnsi="宋体" w:eastAsia="宋体" w:cs="宋体"/>
                <w:color w:val="000000"/>
                <w:sz w:val="21"/>
                <w:szCs w:val="21"/>
                <w:highlight w:val="none"/>
              </w:rPr>
              <w:t>须知</w:t>
            </w:r>
            <w:r>
              <w:rPr>
                <w:rFonts w:hint="eastAsia" w:ascii="宋体" w:hAnsi="宋体" w:eastAsia="宋体" w:cs="宋体"/>
                <w:color w:val="000000"/>
                <w:spacing w:val="-3"/>
                <w:sz w:val="21"/>
                <w:szCs w:val="21"/>
                <w:highlight w:val="none"/>
              </w:rPr>
              <w:t>”</w:t>
            </w:r>
            <w:r>
              <w:rPr>
                <w:rFonts w:hint="eastAsia" w:ascii="宋体" w:hAnsi="宋体" w:eastAsia="宋体" w:cs="宋体"/>
                <w:color w:val="000000"/>
                <w:sz w:val="21"/>
                <w:szCs w:val="21"/>
                <w:highlight w:val="none"/>
              </w:rPr>
              <w:t>第</w:t>
            </w:r>
            <w:r>
              <w:rPr>
                <w:rFonts w:hint="eastAsia" w:ascii="宋体" w:hAnsi="宋体" w:eastAsia="宋体" w:cs="宋体"/>
                <w:color w:val="000000"/>
                <w:spacing w:val="-9"/>
                <w:sz w:val="21"/>
                <w:szCs w:val="21"/>
                <w:highlight w:val="none"/>
              </w:rPr>
              <w:t xml:space="preserve"> </w:t>
            </w:r>
            <w:r>
              <w:rPr>
                <w:rFonts w:hint="eastAsia" w:ascii="宋体" w:hAnsi="宋体" w:eastAsia="宋体" w:cs="宋体"/>
                <w:color w:val="000000"/>
                <w:sz w:val="21"/>
                <w:szCs w:val="21"/>
                <w:highlight w:val="none"/>
              </w:rPr>
              <w:t>1.3</w:t>
            </w:r>
            <w:r>
              <w:rPr>
                <w:rFonts w:hint="eastAsia" w:ascii="宋体" w:hAnsi="宋体" w:eastAsia="宋体" w:cs="宋体"/>
                <w:color w:val="000000"/>
                <w:spacing w:val="-2"/>
                <w:sz w:val="21"/>
                <w:szCs w:val="21"/>
                <w:highlight w:val="none"/>
              </w:rPr>
              <w:t>.</w:t>
            </w:r>
            <w:r>
              <w:rPr>
                <w:rFonts w:hint="eastAsia" w:ascii="宋体" w:hAnsi="宋体" w:eastAsia="宋体" w:cs="宋体"/>
                <w:color w:val="000000"/>
                <w:sz w:val="21"/>
                <w:szCs w:val="21"/>
                <w:highlight w:val="none"/>
              </w:rPr>
              <w:t xml:space="preserve">3 </w:t>
            </w:r>
            <w:r>
              <w:rPr>
                <w:rFonts w:hint="eastAsia" w:ascii="宋体" w:hAnsi="宋体" w:eastAsia="宋体" w:cs="宋体"/>
                <w:color w:val="000000"/>
                <w:spacing w:val="-2"/>
                <w:sz w:val="21"/>
                <w:szCs w:val="21"/>
                <w:highlight w:val="none"/>
              </w:rPr>
              <w:t>项</w:t>
            </w:r>
            <w:r>
              <w:rPr>
                <w:rFonts w:hint="eastAsia" w:ascii="宋体" w:hAnsi="宋体" w:eastAsia="宋体" w:cs="宋体"/>
                <w:color w:val="000000"/>
                <w:sz w:val="21"/>
                <w:szCs w:val="21"/>
                <w:highlight w:val="none"/>
              </w:rPr>
              <w:t>规定</w:t>
            </w:r>
          </w:p>
        </w:tc>
      </w:tr>
      <w:tr w14:paraId="322586D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18CF0402">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2F4E0627">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996" w:type="dxa"/>
            <w:tcBorders>
              <w:tl2br w:val="nil"/>
              <w:tr2bl w:val="nil"/>
            </w:tcBorders>
            <w:vAlign w:val="center"/>
          </w:tcPr>
          <w:p w14:paraId="0E309147">
            <w:pPr>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质量</w:t>
            </w:r>
            <w:r>
              <w:rPr>
                <w:rFonts w:hint="eastAsia" w:ascii="宋体" w:hAnsi="宋体" w:eastAsia="宋体" w:cs="宋体"/>
                <w:color w:val="000000"/>
                <w:spacing w:val="-2"/>
                <w:sz w:val="21"/>
                <w:szCs w:val="21"/>
                <w:highlight w:val="none"/>
              </w:rPr>
              <w:t>要求</w:t>
            </w:r>
          </w:p>
        </w:tc>
        <w:tc>
          <w:tcPr>
            <w:tcW w:w="5526" w:type="dxa"/>
            <w:tcBorders>
              <w:tl2br w:val="nil"/>
              <w:tr2bl w:val="nil"/>
            </w:tcBorders>
            <w:vAlign w:val="center"/>
          </w:tcPr>
          <w:p w14:paraId="0BCEBCFC">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pacing w:val="-2"/>
                <w:sz w:val="21"/>
                <w:szCs w:val="21"/>
                <w:highlight w:val="none"/>
              </w:rPr>
              <w:t>第</w:t>
            </w:r>
            <w:r>
              <w:rPr>
                <w:rFonts w:hint="eastAsia" w:ascii="宋体" w:hAnsi="宋体" w:eastAsia="宋体" w:cs="宋体"/>
                <w:color w:val="000000"/>
                <w:sz w:val="21"/>
                <w:szCs w:val="21"/>
                <w:highlight w:val="none"/>
              </w:rPr>
              <w:t>二</w:t>
            </w:r>
            <w:r>
              <w:rPr>
                <w:rFonts w:hint="eastAsia" w:ascii="宋体" w:hAnsi="宋体" w:eastAsia="宋体" w:cs="宋体"/>
                <w:color w:val="000000"/>
                <w:spacing w:val="-2"/>
                <w:sz w:val="21"/>
                <w:szCs w:val="21"/>
                <w:highlight w:val="none"/>
              </w:rPr>
              <w:t>章</w:t>
            </w:r>
            <w:r>
              <w:rPr>
                <w:rFonts w:hint="eastAsia" w:ascii="宋体" w:hAnsi="宋体" w:eastAsia="宋体" w:cs="宋体"/>
                <w:color w:val="000000"/>
                <w:sz w:val="21"/>
                <w:szCs w:val="21"/>
                <w:highlight w:val="none"/>
              </w:rPr>
              <w:t>“</w:t>
            </w:r>
            <w:r>
              <w:rPr>
                <w:rFonts w:hint="eastAsia" w:ascii="宋体" w:hAnsi="宋体" w:eastAsia="宋体" w:cs="宋体"/>
                <w:color w:val="000000"/>
                <w:spacing w:val="-2"/>
                <w:sz w:val="21"/>
                <w:szCs w:val="21"/>
                <w:highlight w:val="none"/>
              </w:rPr>
              <w:t>投</w:t>
            </w:r>
            <w:r>
              <w:rPr>
                <w:rFonts w:hint="eastAsia" w:ascii="宋体" w:hAnsi="宋体" w:eastAsia="宋体" w:cs="宋体"/>
                <w:color w:val="000000"/>
                <w:sz w:val="21"/>
                <w:szCs w:val="21"/>
                <w:highlight w:val="none"/>
              </w:rPr>
              <w:t>标</w:t>
            </w:r>
            <w:r>
              <w:rPr>
                <w:rFonts w:hint="eastAsia" w:ascii="宋体" w:hAnsi="宋体" w:eastAsia="宋体" w:cs="宋体"/>
                <w:color w:val="000000"/>
                <w:spacing w:val="-2"/>
                <w:sz w:val="21"/>
                <w:szCs w:val="21"/>
                <w:highlight w:val="none"/>
              </w:rPr>
              <w:t>人</w:t>
            </w:r>
            <w:r>
              <w:rPr>
                <w:rFonts w:hint="eastAsia" w:ascii="宋体" w:hAnsi="宋体" w:eastAsia="宋体" w:cs="宋体"/>
                <w:color w:val="000000"/>
                <w:sz w:val="21"/>
                <w:szCs w:val="21"/>
                <w:highlight w:val="none"/>
              </w:rPr>
              <w:t>须知</w:t>
            </w:r>
            <w:r>
              <w:rPr>
                <w:rFonts w:hint="eastAsia" w:ascii="宋体" w:hAnsi="宋体" w:eastAsia="宋体" w:cs="宋体"/>
                <w:color w:val="000000"/>
                <w:spacing w:val="-3"/>
                <w:sz w:val="21"/>
                <w:szCs w:val="21"/>
                <w:highlight w:val="none"/>
              </w:rPr>
              <w:t>”</w:t>
            </w:r>
            <w:r>
              <w:rPr>
                <w:rFonts w:hint="eastAsia" w:ascii="宋体" w:hAnsi="宋体" w:eastAsia="宋体" w:cs="宋体"/>
                <w:color w:val="000000"/>
                <w:sz w:val="21"/>
                <w:szCs w:val="21"/>
                <w:highlight w:val="none"/>
              </w:rPr>
              <w:t>第</w:t>
            </w:r>
            <w:r>
              <w:rPr>
                <w:rFonts w:hint="eastAsia" w:ascii="宋体" w:hAnsi="宋体" w:eastAsia="宋体" w:cs="宋体"/>
                <w:color w:val="000000"/>
                <w:spacing w:val="-9"/>
                <w:sz w:val="21"/>
                <w:szCs w:val="21"/>
                <w:highlight w:val="none"/>
              </w:rPr>
              <w:t xml:space="preserve"> </w:t>
            </w:r>
            <w:r>
              <w:rPr>
                <w:rFonts w:hint="eastAsia" w:ascii="宋体" w:hAnsi="宋体" w:eastAsia="宋体" w:cs="宋体"/>
                <w:color w:val="000000"/>
                <w:sz w:val="21"/>
                <w:szCs w:val="21"/>
                <w:highlight w:val="none"/>
              </w:rPr>
              <w:t>1.3</w:t>
            </w:r>
            <w:r>
              <w:rPr>
                <w:rFonts w:hint="eastAsia" w:ascii="宋体" w:hAnsi="宋体" w:eastAsia="宋体" w:cs="宋体"/>
                <w:color w:val="000000"/>
                <w:spacing w:val="-2"/>
                <w:sz w:val="21"/>
                <w:szCs w:val="21"/>
                <w:highlight w:val="none"/>
              </w:rPr>
              <w:t>.</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pacing w:val="-2"/>
                <w:sz w:val="21"/>
                <w:szCs w:val="21"/>
                <w:highlight w:val="none"/>
              </w:rPr>
              <w:t>项</w:t>
            </w:r>
            <w:r>
              <w:rPr>
                <w:rFonts w:hint="eastAsia" w:ascii="宋体" w:hAnsi="宋体" w:eastAsia="宋体" w:cs="宋体"/>
                <w:color w:val="000000"/>
                <w:sz w:val="21"/>
                <w:szCs w:val="21"/>
                <w:highlight w:val="none"/>
              </w:rPr>
              <w:t>规定</w:t>
            </w:r>
          </w:p>
        </w:tc>
      </w:tr>
      <w:tr w14:paraId="6CDA3EEA">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03E83F9B">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352788B4">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996" w:type="dxa"/>
            <w:tcBorders>
              <w:tl2br w:val="nil"/>
              <w:tr2bl w:val="nil"/>
            </w:tcBorders>
            <w:vAlign w:val="center"/>
          </w:tcPr>
          <w:p w14:paraId="0CD1DBB3">
            <w:pPr>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安全目标</w:t>
            </w:r>
          </w:p>
        </w:tc>
        <w:tc>
          <w:tcPr>
            <w:tcW w:w="5526" w:type="dxa"/>
            <w:tcBorders>
              <w:tl2br w:val="nil"/>
              <w:tr2bl w:val="nil"/>
            </w:tcBorders>
            <w:vAlign w:val="center"/>
          </w:tcPr>
          <w:p w14:paraId="1EAD3607">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pacing w:val="-2"/>
                <w:sz w:val="21"/>
                <w:szCs w:val="21"/>
                <w:highlight w:val="none"/>
              </w:rPr>
              <w:t>第</w:t>
            </w:r>
            <w:r>
              <w:rPr>
                <w:rFonts w:hint="eastAsia" w:ascii="宋体" w:hAnsi="宋体" w:eastAsia="宋体" w:cs="宋体"/>
                <w:color w:val="000000"/>
                <w:sz w:val="21"/>
                <w:szCs w:val="21"/>
                <w:highlight w:val="none"/>
              </w:rPr>
              <w:t>二</w:t>
            </w:r>
            <w:r>
              <w:rPr>
                <w:rFonts w:hint="eastAsia" w:ascii="宋体" w:hAnsi="宋体" w:eastAsia="宋体" w:cs="宋体"/>
                <w:color w:val="000000"/>
                <w:spacing w:val="-2"/>
                <w:sz w:val="21"/>
                <w:szCs w:val="21"/>
                <w:highlight w:val="none"/>
              </w:rPr>
              <w:t>章</w:t>
            </w:r>
            <w:r>
              <w:rPr>
                <w:rFonts w:hint="eastAsia" w:ascii="宋体" w:hAnsi="宋体" w:eastAsia="宋体" w:cs="宋体"/>
                <w:color w:val="000000"/>
                <w:sz w:val="21"/>
                <w:szCs w:val="21"/>
                <w:highlight w:val="none"/>
              </w:rPr>
              <w:t>“</w:t>
            </w:r>
            <w:r>
              <w:rPr>
                <w:rFonts w:hint="eastAsia" w:ascii="宋体" w:hAnsi="宋体" w:eastAsia="宋体" w:cs="宋体"/>
                <w:color w:val="000000"/>
                <w:spacing w:val="-2"/>
                <w:sz w:val="21"/>
                <w:szCs w:val="21"/>
                <w:highlight w:val="none"/>
              </w:rPr>
              <w:t>投</w:t>
            </w:r>
            <w:r>
              <w:rPr>
                <w:rFonts w:hint="eastAsia" w:ascii="宋体" w:hAnsi="宋体" w:eastAsia="宋体" w:cs="宋体"/>
                <w:color w:val="000000"/>
                <w:sz w:val="21"/>
                <w:szCs w:val="21"/>
                <w:highlight w:val="none"/>
              </w:rPr>
              <w:t>标</w:t>
            </w:r>
            <w:r>
              <w:rPr>
                <w:rFonts w:hint="eastAsia" w:ascii="宋体" w:hAnsi="宋体" w:eastAsia="宋体" w:cs="宋体"/>
                <w:color w:val="000000"/>
                <w:spacing w:val="-2"/>
                <w:sz w:val="21"/>
                <w:szCs w:val="21"/>
                <w:highlight w:val="none"/>
              </w:rPr>
              <w:t>人</w:t>
            </w:r>
            <w:r>
              <w:rPr>
                <w:rFonts w:hint="eastAsia" w:ascii="宋体" w:hAnsi="宋体" w:eastAsia="宋体" w:cs="宋体"/>
                <w:color w:val="000000"/>
                <w:sz w:val="21"/>
                <w:szCs w:val="21"/>
                <w:highlight w:val="none"/>
              </w:rPr>
              <w:t>须知</w:t>
            </w:r>
            <w:r>
              <w:rPr>
                <w:rFonts w:hint="eastAsia" w:ascii="宋体" w:hAnsi="宋体" w:eastAsia="宋体" w:cs="宋体"/>
                <w:color w:val="000000"/>
                <w:spacing w:val="-3"/>
                <w:sz w:val="21"/>
                <w:szCs w:val="21"/>
                <w:highlight w:val="none"/>
              </w:rPr>
              <w:t>”</w:t>
            </w:r>
            <w:r>
              <w:rPr>
                <w:rFonts w:hint="eastAsia" w:ascii="宋体" w:hAnsi="宋体" w:eastAsia="宋体" w:cs="宋体"/>
                <w:color w:val="000000"/>
                <w:sz w:val="21"/>
                <w:szCs w:val="21"/>
                <w:highlight w:val="none"/>
              </w:rPr>
              <w:t>第</w:t>
            </w:r>
            <w:r>
              <w:rPr>
                <w:rFonts w:hint="eastAsia" w:ascii="宋体" w:hAnsi="宋体" w:eastAsia="宋体" w:cs="宋体"/>
                <w:color w:val="000000"/>
                <w:spacing w:val="-9"/>
                <w:sz w:val="21"/>
                <w:szCs w:val="21"/>
                <w:highlight w:val="none"/>
              </w:rPr>
              <w:t xml:space="preserve"> </w:t>
            </w:r>
            <w:r>
              <w:rPr>
                <w:rFonts w:hint="eastAsia" w:ascii="宋体" w:hAnsi="宋体" w:eastAsia="宋体" w:cs="宋体"/>
                <w:color w:val="000000"/>
                <w:sz w:val="21"/>
                <w:szCs w:val="21"/>
                <w:highlight w:val="none"/>
              </w:rPr>
              <w:t>1.3</w:t>
            </w:r>
            <w:r>
              <w:rPr>
                <w:rFonts w:hint="eastAsia" w:ascii="宋体" w:hAnsi="宋体" w:eastAsia="宋体" w:cs="宋体"/>
                <w:color w:val="000000"/>
                <w:spacing w:val="-2"/>
                <w:sz w:val="21"/>
                <w:szCs w:val="21"/>
                <w:highlight w:val="none"/>
              </w:rPr>
              <w:t>.</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pacing w:val="-2"/>
                <w:sz w:val="21"/>
                <w:szCs w:val="21"/>
                <w:highlight w:val="none"/>
              </w:rPr>
              <w:t>项</w:t>
            </w:r>
            <w:r>
              <w:rPr>
                <w:rFonts w:hint="eastAsia" w:ascii="宋体" w:hAnsi="宋体" w:eastAsia="宋体" w:cs="宋体"/>
                <w:color w:val="000000"/>
                <w:sz w:val="21"/>
                <w:szCs w:val="21"/>
                <w:highlight w:val="none"/>
              </w:rPr>
              <w:t>规定</w:t>
            </w:r>
          </w:p>
        </w:tc>
      </w:tr>
      <w:tr w14:paraId="49287E0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4556AAA4">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052BF3EC">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996" w:type="dxa"/>
            <w:tcBorders>
              <w:tl2br w:val="nil"/>
              <w:tr2bl w:val="nil"/>
            </w:tcBorders>
            <w:vAlign w:val="center"/>
          </w:tcPr>
          <w:p w14:paraId="48C039C3">
            <w:pPr>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w:t>
            </w:r>
            <w:r>
              <w:rPr>
                <w:rFonts w:hint="eastAsia" w:ascii="宋体" w:hAnsi="宋体" w:eastAsia="宋体" w:cs="宋体"/>
                <w:color w:val="000000"/>
                <w:spacing w:val="-2"/>
                <w:sz w:val="21"/>
                <w:szCs w:val="21"/>
                <w:highlight w:val="none"/>
              </w:rPr>
              <w:t>有</w:t>
            </w:r>
            <w:r>
              <w:rPr>
                <w:rFonts w:hint="eastAsia" w:ascii="宋体" w:hAnsi="宋体" w:eastAsia="宋体" w:cs="宋体"/>
                <w:color w:val="000000"/>
                <w:sz w:val="21"/>
                <w:szCs w:val="21"/>
                <w:highlight w:val="none"/>
              </w:rPr>
              <w:t>效期</w:t>
            </w:r>
          </w:p>
        </w:tc>
        <w:tc>
          <w:tcPr>
            <w:tcW w:w="5526" w:type="dxa"/>
            <w:tcBorders>
              <w:tl2br w:val="nil"/>
              <w:tr2bl w:val="nil"/>
            </w:tcBorders>
            <w:vAlign w:val="center"/>
          </w:tcPr>
          <w:p w14:paraId="009EE3DE">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pacing w:val="-2"/>
                <w:sz w:val="21"/>
                <w:szCs w:val="21"/>
                <w:highlight w:val="none"/>
              </w:rPr>
              <w:t>第</w:t>
            </w:r>
            <w:r>
              <w:rPr>
                <w:rFonts w:hint="eastAsia" w:ascii="宋体" w:hAnsi="宋体" w:eastAsia="宋体" w:cs="宋体"/>
                <w:color w:val="000000"/>
                <w:sz w:val="21"/>
                <w:szCs w:val="21"/>
                <w:highlight w:val="none"/>
              </w:rPr>
              <w:t>二</w:t>
            </w:r>
            <w:r>
              <w:rPr>
                <w:rFonts w:hint="eastAsia" w:ascii="宋体" w:hAnsi="宋体" w:eastAsia="宋体" w:cs="宋体"/>
                <w:color w:val="000000"/>
                <w:spacing w:val="-2"/>
                <w:sz w:val="21"/>
                <w:szCs w:val="21"/>
                <w:highlight w:val="none"/>
              </w:rPr>
              <w:t>章</w:t>
            </w:r>
            <w:r>
              <w:rPr>
                <w:rFonts w:hint="eastAsia" w:ascii="宋体" w:hAnsi="宋体" w:eastAsia="宋体" w:cs="宋体"/>
                <w:color w:val="000000"/>
                <w:sz w:val="21"/>
                <w:szCs w:val="21"/>
                <w:highlight w:val="none"/>
              </w:rPr>
              <w:t>“</w:t>
            </w:r>
            <w:r>
              <w:rPr>
                <w:rFonts w:hint="eastAsia" w:ascii="宋体" w:hAnsi="宋体" w:eastAsia="宋体" w:cs="宋体"/>
                <w:color w:val="000000"/>
                <w:spacing w:val="-2"/>
                <w:sz w:val="21"/>
                <w:szCs w:val="21"/>
                <w:highlight w:val="none"/>
              </w:rPr>
              <w:t>投</w:t>
            </w:r>
            <w:r>
              <w:rPr>
                <w:rFonts w:hint="eastAsia" w:ascii="宋体" w:hAnsi="宋体" w:eastAsia="宋体" w:cs="宋体"/>
                <w:color w:val="000000"/>
                <w:sz w:val="21"/>
                <w:szCs w:val="21"/>
                <w:highlight w:val="none"/>
              </w:rPr>
              <w:t>标</w:t>
            </w:r>
            <w:r>
              <w:rPr>
                <w:rFonts w:hint="eastAsia" w:ascii="宋体" w:hAnsi="宋体" w:eastAsia="宋体" w:cs="宋体"/>
                <w:color w:val="000000"/>
                <w:spacing w:val="-2"/>
                <w:sz w:val="21"/>
                <w:szCs w:val="21"/>
                <w:highlight w:val="none"/>
              </w:rPr>
              <w:t>人</w:t>
            </w:r>
            <w:r>
              <w:rPr>
                <w:rFonts w:hint="eastAsia" w:ascii="宋体" w:hAnsi="宋体" w:eastAsia="宋体" w:cs="宋体"/>
                <w:color w:val="000000"/>
                <w:sz w:val="21"/>
                <w:szCs w:val="21"/>
                <w:highlight w:val="none"/>
              </w:rPr>
              <w:t>须知</w:t>
            </w:r>
            <w:r>
              <w:rPr>
                <w:rFonts w:hint="eastAsia" w:ascii="宋体" w:hAnsi="宋体" w:eastAsia="宋体" w:cs="宋体"/>
                <w:color w:val="000000"/>
                <w:spacing w:val="-3"/>
                <w:sz w:val="21"/>
                <w:szCs w:val="21"/>
                <w:highlight w:val="none"/>
              </w:rPr>
              <w:t>”</w:t>
            </w:r>
            <w:r>
              <w:rPr>
                <w:rFonts w:hint="eastAsia" w:ascii="宋体" w:hAnsi="宋体" w:eastAsia="宋体" w:cs="宋体"/>
                <w:color w:val="000000"/>
                <w:sz w:val="21"/>
                <w:szCs w:val="21"/>
                <w:highlight w:val="none"/>
              </w:rPr>
              <w:t>第</w:t>
            </w:r>
            <w:r>
              <w:rPr>
                <w:rFonts w:hint="eastAsia" w:ascii="宋体" w:hAnsi="宋体" w:eastAsia="宋体" w:cs="宋体"/>
                <w:color w:val="000000"/>
                <w:spacing w:val="-9"/>
                <w:sz w:val="21"/>
                <w:szCs w:val="21"/>
                <w:highlight w:val="none"/>
              </w:rPr>
              <w:t xml:space="preserve"> </w:t>
            </w:r>
            <w:r>
              <w:rPr>
                <w:rFonts w:hint="eastAsia" w:ascii="宋体" w:hAnsi="宋体" w:eastAsia="宋体" w:cs="宋体"/>
                <w:color w:val="000000"/>
                <w:sz w:val="21"/>
                <w:szCs w:val="21"/>
                <w:highlight w:val="none"/>
              </w:rPr>
              <w:t>3.3</w:t>
            </w:r>
            <w:r>
              <w:rPr>
                <w:rFonts w:hint="eastAsia" w:ascii="宋体" w:hAnsi="宋体" w:eastAsia="宋体" w:cs="宋体"/>
                <w:color w:val="000000"/>
                <w:spacing w:val="-2"/>
                <w:sz w:val="21"/>
                <w:szCs w:val="21"/>
                <w:highlight w:val="none"/>
              </w:rPr>
              <w:t>.</w:t>
            </w:r>
            <w:r>
              <w:rPr>
                <w:rFonts w:hint="eastAsia" w:ascii="宋体" w:hAnsi="宋体" w:eastAsia="宋体" w:cs="宋体"/>
                <w:color w:val="000000"/>
                <w:sz w:val="21"/>
                <w:szCs w:val="21"/>
                <w:highlight w:val="none"/>
              </w:rPr>
              <w:t xml:space="preserve">1 </w:t>
            </w:r>
            <w:r>
              <w:rPr>
                <w:rFonts w:hint="eastAsia" w:ascii="宋体" w:hAnsi="宋体" w:eastAsia="宋体" w:cs="宋体"/>
                <w:color w:val="000000"/>
                <w:spacing w:val="-2"/>
                <w:sz w:val="21"/>
                <w:szCs w:val="21"/>
                <w:highlight w:val="none"/>
              </w:rPr>
              <w:t>项</w:t>
            </w:r>
            <w:r>
              <w:rPr>
                <w:rFonts w:hint="eastAsia" w:ascii="宋体" w:hAnsi="宋体" w:eastAsia="宋体" w:cs="宋体"/>
                <w:color w:val="000000"/>
                <w:sz w:val="21"/>
                <w:szCs w:val="21"/>
                <w:highlight w:val="none"/>
              </w:rPr>
              <w:t>规定</w:t>
            </w:r>
          </w:p>
        </w:tc>
      </w:tr>
      <w:tr w14:paraId="1EC5FE7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1D93EA3C">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1B76E9BA">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996" w:type="dxa"/>
            <w:tcBorders>
              <w:tl2br w:val="nil"/>
              <w:tr2bl w:val="nil"/>
            </w:tcBorders>
            <w:vAlign w:val="center"/>
          </w:tcPr>
          <w:p w14:paraId="7AA07FB5">
            <w:pPr>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w:t>
            </w:r>
            <w:r>
              <w:rPr>
                <w:rFonts w:hint="eastAsia" w:ascii="宋体" w:hAnsi="宋体" w:eastAsia="宋体" w:cs="宋体"/>
                <w:color w:val="000000"/>
                <w:spacing w:val="-2"/>
                <w:sz w:val="21"/>
                <w:szCs w:val="21"/>
                <w:highlight w:val="none"/>
              </w:rPr>
              <w:t>保</w:t>
            </w:r>
            <w:r>
              <w:rPr>
                <w:rFonts w:hint="eastAsia" w:ascii="宋体" w:hAnsi="宋体" w:eastAsia="宋体" w:cs="宋体"/>
                <w:color w:val="000000"/>
                <w:sz w:val="21"/>
                <w:szCs w:val="21"/>
                <w:highlight w:val="none"/>
              </w:rPr>
              <w:t>证金</w:t>
            </w:r>
          </w:p>
        </w:tc>
        <w:tc>
          <w:tcPr>
            <w:tcW w:w="5526" w:type="dxa"/>
            <w:tcBorders>
              <w:tl2br w:val="nil"/>
              <w:tr2bl w:val="nil"/>
            </w:tcBorders>
            <w:vAlign w:val="center"/>
          </w:tcPr>
          <w:p w14:paraId="1D922856">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pacing w:val="-2"/>
                <w:sz w:val="21"/>
                <w:szCs w:val="21"/>
                <w:highlight w:val="none"/>
              </w:rPr>
              <w:t>第</w:t>
            </w:r>
            <w:r>
              <w:rPr>
                <w:rFonts w:hint="eastAsia" w:ascii="宋体" w:hAnsi="宋体" w:eastAsia="宋体" w:cs="宋体"/>
                <w:color w:val="000000"/>
                <w:sz w:val="21"/>
                <w:szCs w:val="21"/>
                <w:highlight w:val="none"/>
              </w:rPr>
              <w:t>二</w:t>
            </w:r>
            <w:r>
              <w:rPr>
                <w:rFonts w:hint="eastAsia" w:ascii="宋体" w:hAnsi="宋体" w:eastAsia="宋体" w:cs="宋体"/>
                <w:color w:val="000000"/>
                <w:spacing w:val="-2"/>
                <w:sz w:val="21"/>
                <w:szCs w:val="21"/>
                <w:highlight w:val="none"/>
              </w:rPr>
              <w:t>章</w:t>
            </w:r>
            <w:r>
              <w:rPr>
                <w:rFonts w:hint="eastAsia" w:ascii="宋体" w:hAnsi="宋体" w:eastAsia="宋体" w:cs="宋体"/>
                <w:color w:val="000000"/>
                <w:sz w:val="21"/>
                <w:szCs w:val="21"/>
                <w:highlight w:val="none"/>
              </w:rPr>
              <w:t>“</w:t>
            </w:r>
            <w:r>
              <w:rPr>
                <w:rFonts w:hint="eastAsia" w:ascii="宋体" w:hAnsi="宋体" w:eastAsia="宋体" w:cs="宋体"/>
                <w:color w:val="000000"/>
                <w:spacing w:val="-2"/>
                <w:sz w:val="21"/>
                <w:szCs w:val="21"/>
                <w:highlight w:val="none"/>
              </w:rPr>
              <w:t>投</w:t>
            </w:r>
            <w:r>
              <w:rPr>
                <w:rFonts w:hint="eastAsia" w:ascii="宋体" w:hAnsi="宋体" w:eastAsia="宋体" w:cs="宋体"/>
                <w:color w:val="000000"/>
                <w:sz w:val="21"/>
                <w:szCs w:val="21"/>
                <w:highlight w:val="none"/>
              </w:rPr>
              <w:t>标</w:t>
            </w:r>
            <w:r>
              <w:rPr>
                <w:rFonts w:hint="eastAsia" w:ascii="宋体" w:hAnsi="宋体" w:eastAsia="宋体" w:cs="宋体"/>
                <w:color w:val="000000"/>
                <w:spacing w:val="-2"/>
                <w:sz w:val="21"/>
                <w:szCs w:val="21"/>
                <w:highlight w:val="none"/>
              </w:rPr>
              <w:t>人</w:t>
            </w:r>
            <w:r>
              <w:rPr>
                <w:rFonts w:hint="eastAsia" w:ascii="宋体" w:hAnsi="宋体" w:eastAsia="宋体" w:cs="宋体"/>
                <w:color w:val="000000"/>
                <w:sz w:val="21"/>
                <w:szCs w:val="21"/>
                <w:highlight w:val="none"/>
              </w:rPr>
              <w:t>须知</w:t>
            </w:r>
            <w:r>
              <w:rPr>
                <w:rFonts w:hint="eastAsia" w:ascii="宋体" w:hAnsi="宋体" w:eastAsia="宋体" w:cs="宋体"/>
                <w:color w:val="000000"/>
                <w:spacing w:val="-3"/>
                <w:sz w:val="21"/>
                <w:szCs w:val="21"/>
                <w:highlight w:val="none"/>
              </w:rPr>
              <w:t>”</w:t>
            </w:r>
            <w:r>
              <w:rPr>
                <w:rFonts w:hint="eastAsia" w:ascii="宋体" w:hAnsi="宋体" w:eastAsia="宋体" w:cs="宋体"/>
                <w:color w:val="000000"/>
                <w:sz w:val="21"/>
                <w:szCs w:val="21"/>
                <w:highlight w:val="none"/>
              </w:rPr>
              <w:t>第</w:t>
            </w:r>
            <w:r>
              <w:rPr>
                <w:rFonts w:hint="eastAsia" w:ascii="宋体" w:hAnsi="宋体" w:eastAsia="宋体" w:cs="宋体"/>
                <w:color w:val="000000"/>
                <w:spacing w:val="-9"/>
                <w:sz w:val="21"/>
                <w:szCs w:val="21"/>
                <w:highlight w:val="none"/>
              </w:rPr>
              <w:t xml:space="preserve"> </w:t>
            </w:r>
            <w:r>
              <w:rPr>
                <w:rFonts w:hint="eastAsia" w:ascii="宋体" w:hAnsi="宋体" w:eastAsia="宋体" w:cs="宋体"/>
                <w:color w:val="000000"/>
                <w:sz w:val="21"/>
                <w:szCs w:val="21"/>
                <w:highlight w:val="none"/>
              </w:rPr>
              <w:t>3.4</w:t>
            </w:r>
            <w:r>
              <w:rPr>
                <w:rFonts w:hint="eastAsia" w:ascii="宋体" w:hAnsi="宋体" w:eastAsia="宋体" w:cs="宋体"/>
                <w:color w:val="000000"/>
                <w:spacing w:val="-2"/>
                <w:sz w:val="21"/>
                <w:szCs w:val="21"/>
                <w:highlight w:val="none"/>
              </w:rPr>
              <w:t>.</w:t>
            </w:r>
            <w:r>
              <w:rPr>
                <w:rFonts w:hint="eastAsia" w:ascii="宋体" w:hAnsi="宋体" w:eastAsia="宋体" w:cs="宋体"/>
                <w:color w:val="000000"/>
                <w:sz w:val="21"/>
                <w:szCs w:val="21"/>
                <w:highlight w:val="none"/>
              </w:rPr>
              <w:t xml:space="preserve">1 </w:t>
            </w:r>
            <w:r>
              <w:rPr>
                <w:rFonts w:hint="eastAsia" w:ascii="宋体" w:hAnsi="宋体" w:eastAsia="宋体" w:cs="宋体"/>
                <w:color w:val="000000"/>
                <w:spacing w:val="-2"/>
                <w:sz w:val="21"/>
                <w:szCs w:val="21"/>
                <w:highlight w:val="none"/>
              </w:rPr>
              <w:t>项</w:t>
            </w:r>
            <w:r>
              <w:rPr>
                <w:rFonts w:hint="eastAsia" w:ascii="宋体" w:hAnsi="宋体" w:eastAsia="宋体" w:cs="宋体"/>
                <w:color w:val="000000"/>
                <w:sz w:val="21"/>
                <w:szCs w:val="21"/>
                <w:highlight w:val="none"/>
              </w:rPr>
              <w:t>规定</w:t>
            </w:r>
          </w:p>
        </w:tc>
      </w:tr>
      <w:tr w14:paraId="1AC4853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7AC0E13E">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2D370A36">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996" w:type="dxa"/>
            <w:tcBorders>
              <w:tl2br w:val="nil"/>
              <w:tr2bl w:val="nil"/>
            </w:tcBorders>
            <w:vAlign w:val="center"/>
          </w:tcPr>
          <w:p w14:paraId="66E1141D">
            <w:pPr>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权利</w:t>
            </w:r>
            <w:r>
              <w:rPr>
                <w:rFonts w:hint="eastAsia" w:ascii="宋体" w:hAnsi="宋体" w:eastAsia="宋体" w:cs="宋体"/>
                <w:color w:val="000000"/>
                <w:spacing w:val="-2"/>
                <w:sz w:val="21"/>
                <w:szCs w:val="21"/>
                <w:highlight w:val="none"/>
              </w:rPr>
              <w:t>义</w:t>
            </w:r>
            <w:r>
              <w:rPr>
                <w:rFonts w:hint="eastAsia" w:ascii="宋体" w:hAnsi="宋体" w:eastAsia="宋体" w:cs="宋体"/>
                <w:color w:val="000000"/>
                <w:sz w:val="21"/>
                <w:szCs w:val="21"/>
                <w:highlight w:val="none"/>
              </w:rPr>
              <w:t>务</w:t>
            </w:r>
          </w:p>
        </w:tc>
        <w:tc>
          <w:tcPr>
            <w:tcW w:w="5526" w:type="dxa"/>
            <w:tcBorders>
              <w:tl2br w:val="nil"/>
              <w:tr2bl w:val="nil"/>
            </w:tcBorders>
            <w:vAlign w:val="center"/>
          </w:tcPr>
          <w:p w14:paraId="7C12DB1C">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pacing w:val="-2"/>
                <w:sz w:val="21"/>
                <w:szCs w:val="21"/>
                <w:highlight w:val="none"/>
              </w:rPr>
              <w:t>第</w:t>
            </w:r>
            <w:r>
              <w:rPr>
                <w:rFonts w:hint="eastAsia" w:ascii="宋体" w:hAnsi="宋体" w:eastAsia="宋体" w:cs="宋体"/>
                <w:color w:val="000000"/>
                <w:sz w:val="21"/>
                <w:szCs w:val="21"/>
                <w:highlight w:val="none"/>
              </w:rPr>
              <w:t>二</w:t>
            </w:r>
            <w:r>
              <w:rPr>
                <w:rFonts w:hint="eastAsia" w:ascii="宋体" w:hAnsi="宋体" w:eastAsia="宋体" w:cs="宋体"/>
                <w:color w:val="000000"/>
                <w:spacing w:val="-2"/>
                <w:sz w:val="21"/>
                <w:szCs w:val="21"/>
                <w:highlight w:val="none"/>
              </w:rPr>
              <w:t>章</w:t>
            </w:r>
            <w:r>
              <w:rPr>
                <w:rFonts w:hint="eastAsia" w:ascii="宋体" w:hAnsi="宋体" w:eastAsia="宋体" w:cs="宋体"/>
                <w:color w:val="000000"/>
                <w:sz w:val="21"/>
                <w:szCs w:val="21"/>
                <w:highlight w:val="none"/>
              </w:rPr>
              <w:t>“</w:t>
            </w:r>
            <w:r>
              <w:rPr>
                <w:rFonts w:hint="eastAsia" w:ascii="宋体" w:hAnsi="宋体" w:eastAsia="宋体" w:cs="宋体"/>
                <w:color w:val="000000"/>
                <w:spacing w:val="-2"/>
                <w:sz w:val="21"/>
                <w:szCs w:val="21"/>
                <w:highlight w:val="none"/>
              </w:rPr>
              <w:t>投</w:t>
            </w:r>
            <w:r>
              <w:rPr>
                <w:rFonts w:hint="eastAsia" w:ascii="宋体" w:hAnsi="宋体" w:eastAsia="宋体" w:cs="宋体"/>
                <w:color w:val="000000"/>
                <w:sz w:val="21"/>
                <w:szCs w:val="21"/>
                <w:highlight w:val="none"/>
              </w:rPr>
              <w:t>标</w:t>
            </w:r>
            <w:r>
              <w:rPr>
                <w:rFonts w:hint="eastAsia" w:ascii="宋体" w:hAnsi="宋体" w:eastAsia="宋体" w:cs="宋体"/>
                <w:color w:val="000000"/>
                <w:spacing w:val="-2"/>
                <w:sz w:val="21"/>
                <w:szCs w:val="21"/>
                <w:highlight w:val="none"/>
              </w:rPr>
              <w:t>人</w:t>
            </w:r>
            <w:r>
              <w:rPr>
                <w:rFonts w:hint="eastAsia" w:ascii="宋体" w:hAnsi="宋体" w:eastAsia="宋体" w:cs="宋体"/>
                <w:color w:val="000000"/>
                <w:sz w:val="21"/>
                <w:szCs w:val="21"/>
                <w:highlight w:val="none"/>
              </w:rPr>
              <w:t>须知</w:t>
            </w:r>
            <w:r>
              <w:rPr>
                <w:rFonts w:hint="eastAsia" w:ascii="宋体" w:hAnsi="宋体" w:eastAsia="宋体" w:cs="宋体"/>
                <w:color w:val="000000"/>
                <w:spacing w:val="-3"/>
                <w:sz w:val="21"/>
                <w:szCs w:val="21"/>
                <w:highlight w:val="none"/>
              </w:rPr>
              <w:t>”</w:t>
            </w:r>
            <w:r>
              <w:rPr>
                <w:rFonts w:hint="eastAsia" w:ascii="宋体" w:hAnsi="宋体" w:eastAsia="宋体" w:cs="宋体"/>
                <w:color w:val="000000"/>
                <w:sz w:val="21"/>
                <w:szCs w:val="21"/>
                <w:highlight w:val="none"/>
              </w:rPr>
              <w:t>第1</w:t>
            </w:r>
            <w:r>
              <w:rPr>
                <w:rFonts w:hint="eastAsia" w:ascii="宋体" w:hAnsi="宋体" w:eastAsia="宋体" w:cs="宋体"/>
                <w:color w:val="000000"/>
                <w:spacing w:val="-2"/>
                <w:sz w:val="21"/>
                <w:szCs w:val="21"/>
                <w:highlight w:val="none"/>
              </w:rPr>
              <w:t>.</w:t>
            </w:r>
            <w:r>
              <w:rPr>
                <w:rFonts w:hint="eastAsia" w:ascii="宋体" w:hAnsi="宋体" w:eastAsia="宋体" w:cs="宋体"/>
                <w:color w:val="000000"/>
                <w:spacing w:val="-7"/>
                <w:sz w:val="21"/>
                <w:szCs w:val="21"/>
                <w:highlight w:val="none"/>
              </w:rPr>
              <w:t>1</w:t>
            </w:r>
            <w:r>
              <w:rPr>
                <w:rFonts w:hint="eastAsia" w:ascii="宋体" w:hAnsi="宋体" w:eastAsia="宋体" w:cs="宋体"/>
                <w:color w:val="000000"/>
                <w:sz w:val="21"/>
                <w:szCs w:val="21"/>
                <w:highlight w:val="none"/>
              </w:rPr>
              <w:t>1</w:t>
            </w:r>
            <w:r>
              <w:rPr>
                <w:rFonts w:hint="eastAsia" w:ascii="宋体" w:hAnsi="宋体" w:eastAsia="宋体" w:cs="宋体"/>
                <w:color w:val="000000"/>
                <w:spacing w:val="-2"/>
                <w:sz w:val="21"/>
                <w:szCs w:val="21"/>
                <w:highlight w:val="none"/>
              </w:rPr>
              <w:t>.</w:t>
            </w:r>
            <w:r>
              <w:rPr>
                <w:rFonts w:hint="eastAsia" w:ascii="宋体" w:hAnsi="宋体" w:eastAsia="宋体" w:cs="宋体"/>
                <w:color w:val="000000"/>
                <w:sz w:val="21"/>
                <w:szCs w:val="21"/>
                <w:highlight w:val="none"/>
              </w:rPr>
              <w:t>1</w:t>
            </w:r>
            <w:r>
              <w:rPr>
                <w:rFonts w:hint="eastAsia" w:ascii="宋体" w:hAnsi="宋体" w:eastAsia="宋体" w:cs="宋体"/>
                <w:color w:val="000000"/>
                <w:spacing w:val="-2"/>
                <w:sz w:val="21"/>
                <w:szCs w:val="21"/>
                <w:highlight w:val="none"/>
              </w:rPr>
              <w:t>项</w:t>
            </w:r>
            <w:r>
              <w:rPr>
                <w:rFonts w:hint="eastAsia" w:ascii="宋体" w:hAnsi="宋体" w:eastAsia="宋体" w:cs="宋体"/>
                <w:color w:val="000000"/>
                <w:sz w:val="21"/>
                <w:szCs w:val="21"/>
                <w:highlight w:val="none"/>
              </w:rPr>
              <w:t>规</w:t>
            </w:r>
            <w:r>
              <w:rPr>
                <w:rFonts w:hint="eastAsia" w:ascii="宋体" w:hAnsi="宋体" w:eastAsia="宋体" w:cs="宋体"/>
                <w:color w:val="000000"/>
                <w:spacing w:val="-2"/>
                <w:sz w:val="21"/>
                <w:szCs w:val="21"/>
                <w:highlight w:val="none"/>
              </w:rPr>
              <w:t>定</w:t>
            </w:r>
          </w:p>
        </w:tc>
      </w:tr>
      <w:tr w14:paraId="1DC825D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1A97CFDB">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0699E9C8">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996" w:type="dxa"/>
            <w:tcBorders>
              <w:tl2br w:val="nil"/>
              <w:tr2bl w:val="nil"/>
            </w:tcBorders>
            <w:vAlign w:val="center"/>
          </w:tcPr>
          <w:p w14:paraId="4FAA9822">
            <w:pPr>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投标材料</w:t>
            </w:r>
            <w:r>
              <w:rPr>
                <w:rFonts w:hint="eastAsia" w:ascii="宋体" w:hAnsi="宋体" w:eastAsia="宋体" w:cs="宋体"/>
                <w:color w:val="000000"/>
                <w:spacing w:val="-2"/>
                <w:sz w:val="21"/>
                <w:szCs w:val="21"/>
                <w:highlight w:val="none"/>
              </w:rPr>
              <w:t>及</w:t>
            </w:r>
            <w:r>
              <w:rPr>
                <w:rFonts w:hint="eastAsia" w:ascii="宋体" w:hAnsi="宋体" w:eastAsia="宋体" w:cs="宋体"/>
                <w:color w:val="000000"/>
                <w:sz w:val="21"/>
                <w:szCs w:val="21"/>
                <w:highlight w:val="none"/>
                <w:lang w:val="en-US" w:eastAsia="zh-CN"/>
              </w:rPr>
              <w:t>相关</w:t>
            </w:r>
            <w:r>
              <w:rPr>
                <w:rFonts w:hint="eastAsia" w:ascii="宋体" w:hAnsi="宋体" w:eastAsia="宋体" w:cs="宋体"/>
                <w:color w:val="000000"/>
                <w:sz w:val="21"/>
                <w:szCs w:val="21"/>
                <w:highlight w:val="none"/>
              </w:rPr>
              <w:t>服务</w:t>
            </w:r>
          </w:p>
        </w:tc>
        <w:tc>
          <w:tcPr>
            <w:tcW w:w="5526" w:type="dxa"/>
            <w:tcBorders>
              <w:tl2br w:val="nil"/>
              <w:tr2bl w:val="nil"/>
            </w:tcBorders>
            <w:vAlign w:val="center"/>
          </w:tcPr>
          <w:p w14:paraId="0D23724D">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pacing w:val="-2"/>
                <w:sz w:val="21"/>
                <w:szCs w:val="21"/>
                <w:highlight w:val="none"/>
              </w:rPr>
              <w:t>第</w:t>
            </w:r>
            <w:r>
              <w:rPr>
                <w:rFonts w:hint="eastAsia" w:ascii="宋体" w:hAnsi="宋体" w:eastAsia="宋体" w:cs="宋体"/>
                <w:color w:val="000000"/>
                <w:sz w:val="21"/>
                <w:szCs w:val="21"/>
                <w:highlight w:val="none"/>
              </w:rPr>
              <w:t>五</w:t>
            </w:r>
            <w:r>
              <w:rPr>
                <w:rFonts w:hint="eastAsia" w:ascii="宋体" w:hAnsi="宋体" w:eastAsia="宋体" w:cs="宋体"/>
                <w:color w:val="000000"/>
                <w:spacing w:val="-2"/>
                <w:sz w:val="21"/>
                <w:szCs w:val="21"/>
                <w:highlight w:val="none"/>
              </w:rPr>
              <w:t>章</w:t>
            </w:r>
            <w:r>
              <w:rPr>
                <w:rFonts w:hint="eastAsia" w:ascii="宋体" w:hAnsi="宋体" w:eastAsia="宋体" w:cs="宋体"/>
                <w:color w:val="000000"/>
                <w:sz w:val="21"/>
                <w:szCs w:val="21"/>
                <w:highlight w:val="none"/>
              </w:rPr>
              <w:t>“</w:t>
            </w:r>
            <w:r>
              <w:rPr>
                <w:rFonts w:hint="eastAsia" w:ascii="宋体" w:hAnsi="宋体" w:eastAsia="宋体" w:cs="宋体"/>
                <w:color w:val="000000"/>
                <w:spacing w:val="-2"/>
                <w:sz w:val="21"/>
                <w:szCs w:val="21"/>
                <w:highlight w:val="none"/>
              </w:rPr>
              <w:t>供</w:t>
            </w:r>
            <w:r>
              <w:rPr>
                <w:rFonts w:hint="eastAsia" w:ascii="宋体" w:hAnsi="宋体" w:eastAsia="宋体" w:cs="宋体"/>
                <w:color w:val="000000"/>
                <w:sz w:val="21"/>
                <w:szCs w:val="21"/>
                <w:highlight w:val="none"/>
              </w:rPr>
              <w:t>货</w:t>
            </w:r>
            <w:r>
              <w:rPr>
                <w:rFonts w:hint="eastAsia" w:ascii="宋体" w:hAnsi="宋体" w:eastAsia="宋体" w:cs="宋体"/>
                <w:color w:val="000000"/>
                <w:spacing w:val="-2"/>
                <w:sz w:val="21"/>
                <w:szCs w:val="21"/>
                <w:highlight w:val="none"/>
              </w:rPr>
              <w:t>要</w:t>
            </w:r>
            <w:r>
              <w:rPr>
                <w:rFonts w:hint="eastAsia" w:ascii="宋体" w:hAnsi="宋体" w:eastAsia="宋体" w:cs="宋体"/>
                <w:color w:val="000000"/>
                <w:sz w:val="21"/>
                <w:szCs w:val="21"/>
                <w:highlight w:val="none"/>
              </w:rPr>
              <w:t>求”</w:t>
            </w:r>
            <w:r>
              <w:rPr>
                <w:rFonts w:hint="eastAsia" w:ascii="宋体" w:hAnsi="宋体" w:eastAsia="宋体" w:cs="宋体"/>
                <w:color w:val="000000"/>
                <w:spacing w:val="-2"/>
                <w:sz w:val="21"/>
                <w:szCs w:val="21"/>
                <w:highlight w:val="none"/>
              </w:rPr>
              <w:t>中</w:t>
            </w:r>
            <w:r>
              <w:rPr>
                <w:rFonts w:hint="eastAsia" w:ascii="宋体" w:hAnsi="宋体" w:eastAsia="宋体" w:cs="宋体"/>
                <w:color w:val="000000"/>
                <w:sz w:val="21"/>
                <w:szCs w:val="21"/>
                <w:highlight w:val="none"/>
              </w:rPr>
              <w:t>的</w:t>
            </w:r>
            <w:r>
              <w:rPr>
                <w:rFonts w:hint="eastAsia" w:ascii="宋体" w:hAnsi="宋体" w:eastAsia="宋体" w:cs="宋体"/>
                <w:color w:val="000000"/>
                <w:sz w:val="21"/>
                <w:szCs w:val="21"/>
                <w:highlight w:val="none"/>
                <w:lang w:val="en-US" w:eastAsia="zh-CN"/>
              </w:rPr>
              <w:t>实质性要求和条件</w:t>
            </w:r>
            <w:r>
              <w:rPr>
                <w:rFonts w:hint="eastAsia" w:ascii="宋体" w:hAnsi="宋体" w:eastAsia="宋体" w:cs="宋体"/>
                <w:color w:val="000000"/>
                <w:sz w:val="21"/>
                <w:szCs w:val="21"/>
                <w:highlight w:val="none"/>
              </w:rPr>
              <w:t>规定</w:t>
            </w:r>
          </w:p>
        </w:tc>
      </w:tr>
      <w:tr w14:paraId="31384D0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46" w:type="dxa"/>
            <w:vMerge w:val="continue"/>
            <w:tcBorders>
              <w:tl2br w:val="nil"/>
              <w:tr2bl w:val="nil"/>
            </w:tcBorders>
            <w:vAlign w:val="center"/>
          </w:tcPr>
          <w:p w14:paraId="7D88D2EE">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51BD2759">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center"/>
              <w:textAlignment w:val="auto"/>
              <w:rPr>
                <w:rFonts w:hint="eastAsia" w:ascii="宋体" w:hAnsi="宋体" w:eastAsia="宋体" w:cs="宋体"/>
                <w:color w:val="000000"/>
                <w:sz w:val="21"/>
                <w:szCs w:val="21"/>
                <w:highlight w:val="none"/>
              </w:rPr>
            </w:pPr>
          </w:p>
        </w:tc>
        <w:tc>
          <w:tcPr>
            <w:tcW w:w="1996" w:type="dxa"/>
            <w:tcBorders>
              <w:tl2br w:val="nil"/>
              <w:tr2bl w:val="nil"/>
            </w:tcBorders>
            <w:vAlign w:val="center"/>
          </w:tcPr>
          <w:p w14:paraId="344B2219">
            <w:pPr>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w:t>
            </w:r>
            <w:r>
              <w:rPr>
                <w:rFonts w:hint="eastAsia" w:ascii="宋体" w:hAnsi="宋体" w:eastAsia="宋体" w:cs="宋体"/>
                <w:color w:val="000000"/>
                <w:spacing w:val="-2"/>
                <w:sz w:val="21"/>
                <w:szCs w:val="21"/>
                <w:highlight w:val="none"/>
              </w:rPr>
              <w:t>支</w:t>
            </w:r>
            <w:r>
              <w:rPr>
                <w:rFonts w:hint="eastAsia" w:ascii="宋体" w:hAnsi="宋体" w:eastAsia="宋体" w:cs="宋体"/>
                <w:color w:val="000000"/>
                <w:sz w:val="21"/>
                <w:szCs w:val="21"/>
                <w:highlight w:val="none"/>
              </w:rPr>
              <w:t>持</w:t>
            </w:r>
            <w:r>
              <w:rPr>
                <w:rFonts w:hint="eastAsia" w:ascii="宋体" w:hAnsi="宋体" w:eastAsia="宋体" w:cs="宋体"/>
                <w:color w:val="000000"/>
                <w:spacing w:val="-2"/>
                <w:sz w:val="21"/>
                <w:szCs w:val="21"/>
                <w:highlight w:val="none"/>
              </w:rPr>
              <w:t>资</w:t>
            </w:r>
            <w:r>
              <w:rPr>
                <w:rFonts w:hint="eastAsia" w:ascii="宋体" w:hAnsi="宋体" w:eastAsia="宋体" w:cs="宋体"/>
                <w:color w:val="000000"/>
                <w:sz w:val="21"/>
                <w:szCs w:val="21"/>
                <w:highlight w:val="none"/>
              </w:rPr>
              <w:t>料</w:t>
            </w:r>
          </w:p>
        </w:tc>
        <w:tc>
          <w:tcPr>
            <w:tcW w:w="5526" w:type="dxa"/>
            <w:tcBorders>
              <w:tl2br w:val="nil"/>
              <w:tr2bl w:val="nil"/>
            </w:tcBorders>
            <w:vAlign w:val="center"/>
          </w:tcPr>
          <w:p w14:paraId="4345AAFD">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pacing w:val="-2"/>
                <w:sz w:val="21"/>
                <w:szCs w:val="21"/>
                <w:highlight w:val="none"/>
              </w:rPr>
              <w:t>第</w:t>
            </w:r>
            <w:r>
              <w:rPr>
                <w:rFonts w:hint="eastAsia" w:ascii="宋体" w:hAnsi="宋体" w:eastAsia="宋体" w:cs="宋体"/>
                <w:color w:val="000000"/>
                <w:sz w:val="21"/>
                <w:szCs w:val="21"/>
                <w:highlight w:val="none"/>
              </w:rPr>
              <w:t>二</w:t>
            </w:r>
            <w:r>
              <w:rPr>
                <w:rFonts w:hint="eastAsia" w:ascii="宋体" w:hAnsi="宋体" w:eastAsia="宋体" w:cs="宋体"/>
                <w:color w:val="000000"/>
                <w:spacing w:val="-2"/>
                <w:sz w:val="21"/>
                <w:szCs w:val="21"/>
                <w:highlight w:val="none"/>
              </w:rPr>
              <w:t>章</w:t>
            </w:r>
            <w:r>
              <w:rPr>
                <w:rFonts w:hint="eastAsia" w:ascii="宋体" w:hAnsi="宋体" w:eastAsia="宋体" w:cs="宋体"/>
                <w:color w:val="000000"/>
                <w:sz w:val="21"/>
                <w:szCs w:val="21"/>
                <w:highlight w:val="none"/>
              </w:rPr>
              <w:t>“</w:t>
            </w:r>
            <w:r>
              <w:rPr>
                <w:rFonts w:hint="eastAsia" w:ascii="宋体" w:hAnsi="宋体" w:eastAsia="宋体" w:cs="宋体"/>
                <w:color w:val="000000"/>
                <w:spacing w:val="-2"/>
                <w:sz w:val="21"/>
                <w:szCs w:val="21"/>
                <w:highlight w:val="none"/>
              </w:rPr>
              <w:t>投</w:t>
            </w:r>
            <w:r>
              <w:rPr>
                <w:rFonts w:hint="eastAsia" w:ascii="宋体" w:hAnsi="宋体" w:eastAsia="宋体" w:cs="宋体"/>
                <w:color w:val="000000"/>
                <w:sz w:val="21"/>
                <w:szCs w:val="21"/>
                <w:highlight w:val="none"/>
              </w:rPr>
              <w:t>标</w:t>
            </w:r>
            <w:r>
              <w:rPr>
                <w:rFonts w:hint="eastAsia" w:ascii="宋体" w:hAnsi="宋体" w:eastAsia="宋体" w:cs="宋体"/>
                <w:color w:val="000000"/>
                <w:spacing w:val="-2"/>
                <w:sz w:val="21"/>
                <w:szCs w:val="21"/>
                <w:highlight w:val="none"/>
              </w:rPr>
              <w:t>人</w:t>
            </w:r>
            <w:r>
              <w:rPr>
                <w:rFonts w:hint="eastAsia" w:ascii="宋体" w:hAnsi="宋体" w:eastAsia="宋体" w:cs="宋体"/>
                <w:color w:val="000000"/>
                <w:sz w:val="21"/>
                <w:szCs w:val="21"/>
                <w:highlight w:val="none"/>
              </w:rPr>
              <w:t>须知</w:t>
            </w:r>
            <w:r>
              <w:rPr>
                <w:rFonts w:hint="eastAsia" w:ascii="宋体" w:hAnsi="宋体" w:eastAsia="宋体" w:cs="宋体"/>
                <w:color w:val="000000"/>
                <w:spacing w:val="-3"/>
                <w:sz w:val="21"/>
                <w:szCs w:val="21"/>
                <w:highlight w:val="none"/>
              </w:rPr>
              <w:t>”</w:t>
            </w:r>
            <w:r>
              <w:rPr>
                <w:rFonts w:hint="eastAsia" w:ascii="宋体" w:hAnsi="宋体" w:eastAsia="宋体" w:cs="宋体"/>
                <w:color w:val="000000"/>
                <w:sz w:val="21"/>
                <w:szCs w:val="21"/>
                <w:highlight w:val="none"/>
              </w:rPr>
              <w:t>第</w:t>
            </w:r>
            <w:r>
              <w:rPr>
                <w:rFonts w:hint="eastAsia" w:ascii="宋体" w:hAnsi="宋体" w:eastAsia="宋体" w:cs="宋体"/>
                <w:color w:val="000000"/>
                <w:spacing w:val="-9"/>
                <w:sz w:val="21"/>
                <w:szCs w:val="21"/>
                <w:highlight w:val="none"/>
              </w:rPr>
              <w:t xml:space="preserve"> </w:t>
            </w:r>
            <w:r>
              <w:rPr>
                <w:rFonts w:hint="eastAsia" w:ascii="宋体" w:hAnsi="宋体" w:eastAsia="宋体" w:cs="宋体"/>
                <w:color w:val="000000"/>
                <w:sz w:val="21"/>
                <w:szCs w:val="21"/>
                <w:highlight w:val="none"/>
              </w:rPr>
              <w:t>1.</w:t>
            </w:r>
            <w:r>
              <w:rPr>
                <w:rFonts w:hint="eastAsia" w:ascii="宋体" w:hAnsi="宋体" w:eastAsia="宋体" w:cs="宋体"/>
                <w:color w:val="000000"/>
                <w:spacing w:val="-10"/>
                <w:sz w:val="21"/>
                <w:szCs w:val="21"/>
                <w:highlight w:val="none"/>
              </w:rPr>
              <w:t>1</w:t>
            </w:r>
            <w:r>
              <w:rPr>
                <w:rFonts w:hint="eastAsia" w:ascii="宋体" w:hAnsi="宋体" w:eastAsia="宋体" w:cs="宋体"/>
                <w:color w:val="000000"/>
                <w:sz w:val="21"/>
                <w:szCs w:val="21"/>
                <w:highlight w:val="none"/>
              </w:rPr>
              <w:t>1.3</w:t>
            </w:r>
            <w:r>
              <w:rPr>
                <w:rFonts w:hint="eastAsia" w:ascii="宋体" w:hAnsi="宋体" w:eastAsia="宋体" w:cs="宋体"/>
                <w:color w:val="000000"/>
                <w:spacing w:val="-2"/>
                <w:sz w:val="21"/>
                <w:szCs w:val="21"/>
                <w:highlight w:val="none"/>
              </w:rPr>
              <w:t xml:space="preserve"> </w:t>
            </w:r>
            <w:r>
              <w:rPr>
                <w:rFonts w:hint="eastAsia" w:ascii="宋体" w:hAnsi="宋体" w:eastAsia="宋体" w:cs="宋体"/>
                <w:color w:val="000000"/>
                <w:sz w:val="21"/>
                <w:szCs w:val="21"/>
                <w:highlight w:val="none"/>
              </w:rPr>
              <w:t>项</w:t>
            </w:r>
            <w:r>
              <w:rPr>
                <w:rFonts w:hint="eastAsia" w:ascii="宋体" w:hAnsi="宋体" w:eastAsia="宋体" w:cs="宋体"/>
                <w:color w:val="000000"/>
                <w:spacing w:val="-2"/>
                <w:sz w:val="21"/>
                <w:szCs w:val="21"/>
                <w:highlight w:val="none"/>
              </w:rPr>
              <w:t>规</w:t>
            </w:r>
            <w:r>
              <w:rPr>
                <w:rFonts w:hint="eastAsia" w:ascii="宋体" w:hAnsi="宋体" w:eastAsia="宋体" w:cs="宋体"/>
                <w:color w:val="000000"/>
                <w:sz w:val="21"/>
                <w:szCs w:val="21"/>
                <w:highlight w:val="none"/>
              </w:rPr>
              <w:t>定</w:t>
            </w:r>
          </w:p>
        </w:tc>
      </w:tr>
      <w:tr w14:paraId="26DFEAC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9649" w:type="dxa"/>
            <w:gridSpan w:val="4"/>
            <w:tcBorders>
              <w:tl2br w:val="nil"/>
              <w:tr2bl w:val="nil"/>
            </w:tcBorders>
            <w:vAlign w:val="center"/>
          </w:tcPr>
          <w:p w14:paraId="2BA5A95A">
            <w:pPr>
              <w:keepNext w:val="0"/>
              <w:keepLines w:val="0"/>
              <w:pageBreakBefore w:val="0"/>
              <w:widowControl w:val="0"/>
              <w:tabs>
                <w:tab w:val="left" w:pos="2221"/>
              </w:tabs>
              <w:kinsoku/>
              <w:wordWrap/>
              <w:overflowPunct/>
              <w:topLinePunct w:val="0"/>
              <w:autoSpaceDE w:val="0"/>
              <w:autoSpaceDN w:val="0"/>
              <w:bidi w:val="0"/>
              <w:adjustRightInd/>
              <w:snapToGrid w:val="0"/>
              <w:spacing w:line="320" w:lineRule="exact"/>
              <w:ind w:left="21" w:leftChars="10" w:right="-20"/>
              <w:jc w:val="left"/>
              <w:textAlignment w:val="auto"/>
              <w:rPr>
                <w:rFonts w:hint="eastAsia" w:ascii="宋体" w:hAnsi="宋体" w:eastAsia="宋体" w:cs="宋体"/>
                <w:b/>
                <w:bCs/>
                <w:color w:val="000000"/>
                <w:spacing w:val="-4"/>
                <w:sz w:val="21"/>
                <w:szCs w:val="21"/>
                <w:highlight w:val="none"/>
                <w:lang w:val="en-US" w:eastAsia="zh-CN"/>
              </w:rPr>
            </w:pPr>
            <w:r>
              <w:rPr>
                <w:rFonts w:hint="eastAsia" w:ascii="宋体" w:hAnsi="宋体" w:eastAsia="宋体" w:cs="宋体"/>
                <w:b/>
                <w:bCs/>
                <w:color w:val="000000"/>
                <w:spacing w:val="-4"/>
                <w:sz w:val="21"/>
                <w:szCs w:val="21"/>
                <w:highlight w:val="none"/>
              </w:rPr>
              <w:t>第一个信封暗标部分评审标准</w:t>
            </w:r>
            <w:r>
              <w:rPr>
                <w:rFonts w:hint="eastAsia" w:ascii="宋体" w:hAnsi="宋体" w:eastAsia="宋体" w:cs="宋体"/>
                <w:b/>
                <w:bCs/>
                <w:color w:val="000000"/>
                <w:spacing w:val="-4"/>
                <w:sz w:val="21"/>
                <w:szCs w:val="21"/>
                <w:highlight w:val="none"/>
                <w:lang w:val="en-US" w:eastAsia="zh-CN"/>
              </w:rPr>
              <w:t>:</w:t>
            </w:r>
          </w:p>
          <w:p w14:paraId="3C9E64D1">
            <w:pPr>
              <w:widowControl w:val="0"/>
              <w:numPr>
                <w:ilvl w:val="0"/>
                <w:numId w:val="0"/>
              </w:numPr>
              <w:ind w:left="100"/>
              <w:jc w:val="left"/>
              <w:rPr>
                <w:rFonts w:hint="default"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 xml:space="preserve">(1)暗标部分编制符合招标文件第二章“投标人须知前附表”第10.3款的规定。 </w:t>
            </w:r>
          </w:p>
        </w:tc>
      </w:tr>
      <w:tr w14:paraId="6D94188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49" w:type="dxa"/>
            <w:gridSpan w:val="4"/>
            <w:tcBorders>
              <w:tl2br w:val="nil"/>
              <w:tr2bl w:val="nil"/>
            </w:tcBorders>
            <w:vAlign w:val="center"/>
          </w:tcPr>
          <w:p w14:paraId="295D6E13">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jc w:val="both"/>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kern w:val="2"/>
                <w:sz w:val="21"/>
                <w:szCs w:val="21"/>
                <w:highlight w:val="none"/>
              </w:rPr>
              <w:t>第二个信封（报价文件）评审标准</w:t>
            </w:r>
          </w:p>
        </w:tc>
      </w:tr>
      <w:tr w14:paraId="71E415F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946" w:type="dxa"/>
            <w:vMerge w:val="restart"/>
            <w:tcBorders>
              <w:tl2br w:val="nil"/>
              <w:tr2bl w:val="nil"/>
            </w:tcBorders>
            <w:vAlign w:val="center"/>
          </w:tcPr>
          <w:p w14:paraId="78159B02">
            <w:pPr>
              <w:keepNext w:val="0"/>
              <w:keepLines w:val="0"/>
              <w:pageBreakBefore w:val="0"/>
              <w:widowControl w:val="0"/>
              <w:kinsoku/>
              <w:wordWrap/>
              <w:overflowPunct/>
              <w:topLinePunct w:val="0"/>
              <w:autoSpaceDE w:val="0"/>
              <w:bidi w:val="0"/>
              <w:adjustRightInd/>
              <w:snapToGrid w:val="0"/>
              <w:spacing w:line="320" w:lineRule="exact"/>
              <w:ind w:left="21" w:leftChars="10"/>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2.1.1</w:t>
            </w:r>
          </w:p>
          <w:p w14:paraId="2D0230F2">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firstLine="210" w:firstLineChars="1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2.1.3</w:t>
            </w:r>
          </w:p>
        </w:tc>
        <w:tc>
          <w:tcPr>
            <w:tcW w:w="1181" w:type="dxa"/>
            <w:vMerge w:val="restart"/>
            <w:tcBorders>
              <w:tl2br w:val="nil"/>
              <w:tr2bl w:val="nil"/>
            </w:tcBorders>
            <w:vAlign w:val="center"/>
          </w:tcPr>
          <w:p w14:paraId="38857C4F">
            <w:pPr>
              <w:keepNext w:val="0"/>
              <w:keepLines w:val="0"/>
              <w:pageBreakBefore w:val="0"/>
              <w:widowControl w:val="0"/>
              <w:kinsoku/>
              <w:wordWrap/>
              <w:overflowPunct/>
              <w:topLinePunct w:val="0"/>
              <w:autoSpaceDE w:val="0"/>
              <w:bidi w:val="0"/>
              <w:adjustRightInd/>
              <w:snapToGrid w:val="0"/>
              <w:spacing w:line="320" w:lineRule="exact"/>
              <w:ind w:left="21" w:leftChars="1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形式评审与响应性评审标准</w:t>
            </w:r>
          </w:p>
        </w:tc>
        <w:tc>
          <w:tcPr>
            <w:tcW w:w="1996" w:type="dxa"/>
            <w:tcBorders>
              <w:tl2br w:val="nil"/>
              <w:tr2bl w:val="nil"/>
            </w:tcBorders>
            <w:vAlign w:val="center"/>
          </w:tcPr>
          <w:p w14:paraId="7FC7D9A5">
            <w:pPr>
              <w:keepNext w:val="0"/>
              <w:keepLines w:val="0"/>
              <w:pageBreakBefore w:val="0"/>
              <w:widowControl w:val="0"/>
              <w:kinsoku/>
              <w:wordWrap/>
              <w:overflowPunct/>
              <w:topLinePunct w:val="0"/>
              <w:bidi w:val="0"/>
              <w:adjustRightInd/>
              <w:snapToGrid w:val="0"/>
              <w:spacing w:line="320" w:lineRule="exact"/>
              <w:ind w:left="21" w:leftChars="1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投标人名称</w:t>
            </w:r>
          </w:p>
        </w:tc>
        <w:tc>
          <w:tcPr>
            <w:tcW w:w="5526" w:type="dxa"/>
            <w:tcBorders>
              <w:tl2br w:val="nil"/>
              <w:tr2bl w:val="nil"/>
            </w:tcBorders>
            <w:vAlign w:val="center"/>
          </w:tcPr>
          <w:p w14:paraId="4D4B0913">
            <w:pPr>
              <w:keepNext w:val="0"/>
              <w:keepLines w:val="0"/>
              <w:pageBreakBefore w:val="0"/>
              <w:widowControl w:val="0"/>
              <w:kinsoku/>
              <w:wordWrap/>
              <w:overflowPunct/>
              <w:topLinePunct w:val="0"/>
              <w:bidi w:val="0"/>
              <w:adjustRightInd/>
              <w:snapToGrid w:val="0"/>
              <w:spacing w:line="320" w:lineRule="exact"/>
              <w:ind w:left="21" w:leftChars="1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与营业执照一致</w:t>
            </w:r>
          </w:p>
        </w:tc>
      </w:tr>
      <w:tr w14:paraId="0258510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trPr>
        <w:tc>
          <w:tcPr>
            <w:tcW w:w="946" w:type="dxa"/>
            <w:vMerge w:val="continue"/>
            <w:tcBorders>
              <w:tl2br w:val="nil"/>
              <w:tr2bl w:val="nil"/>
            </w:tcBorders>
            <w:vAlign w:val="center"/>
          </w:tcPr>
          <w:p w14:paraId="6A4BBE8E">
            <w:pPr>
              <w:keepNext w:val="0"/>
              <w:keepLines w:val="0"/>
              <w:pageBreakBefore w:val="0"/>
              <w:widowControl w:val="0"/>
              <w:kinsoku/>
              <w:wordWrap/>
              <w:overflowPunct/>
              <w:topLinePunct w:val="0"/>
              <w:autoSpaceDE w:val="0"/>
              <w:bidi w:val="0"/>
              <w:adjustRightInd/>
              <w:snapToGrid w:val="0"/>
              <w:spacing w:line="320" w:lineRule="exact"/>
              <w:ind w:left="21" w:leftChars="1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2BC6E483">
            <w:pPr>
              <w:keepNext w:val="0"/>
              <w:keepLines w:val="0"/>
              <w:pageBreakBefore w:val="0"/>
              <w:widowControl w:val="0"/>
              <w:kinsoku/>
              <w:wordWrap/>
              <w:overflowPunct/>
              <w:topLinePunct w:val="0"/>
              <w:autoSpaceDE w:val="0"/>
              <w:bidi w:val="0"/>
              <w:adjustRightInd/>
              <w:snapToGrid w:val="0"/>
              <w:spacing w:line="320" w:lineRule="exact"/>
              <w:ind w:left="21" w:leftChars="10"/>
              <w:jc w:val="center"/>
              <w:textAlignment w:val="auto"/>
              <w:rPr>
                <w:rFonts w:hint="eastAsia" w:ascii="宋体" w:hAnsi="宋体" w:eastAsia="宋体" w:cs="宋体"/>
                <w:color w:val="000000"/>
                <w:sz w:val="21"/>
                <w:szCs w:val="21"/>
                <w:highlight w:val="none"/>
              </w:rPr>
            </w:pPr>
          </w:p>
        </w:tc>
        <w:tc>
          <w:tcPr>
            <w:tcW w:w="1996" w:type="dxa"/>
            <w:tcBorders>
              <w:tl2br w:val="nil"/>
              <w:tr2bl w:val="nil"/>
            </w:tcBorders>
            <w:vAlign w:val="center"/>
          </w:tcPr>
          <w:p w14:paraId="46D31500">
            <w:pPr>
              <w:keepNext w:val="0"/>
              <w:keepLines w:val="0"/>
              <w:pageBreakBefore w:val="0"/>
              <w:widowControl w:val="0"/>
              <w:kinsoku/>
              <w:wordWrap/>
              <w:overflowPunct/>
              <w:topLinePunct w:val="0"/>
              <w:bidi w:val="0"/>
              <w:adjustRightInd/>
              <w:snapToGrid w:val="0"/>
              <w:spacing w:line="320" w:lineRule="exact"/>
              <w:ind w:left="21" w:leftChars="1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报价文件签字盖章</w:t>
            </w:r>
          </w:p>
        </w:tc>
        <w:tc>
          <w:tcPr>
            <w:tcW w:w="5526" w:type="dxa"/>
            <w:tcBorders>
              <w:tl2br w:val="nil"/>
              <w:tr2bl w:val="nil"/>
            </w:tcBorders>
            <w:vAlign w:val="center"/>
          </w:tcPr>
          <w:p w14:paraId="06954BA5">
            <w:pPr>
              <w:keepNext w:val="0"/>
              <w:keepLines w:val="0"/>
              <w:pageBreakBefore w:val="0"/>
              <w:widowControl w:val="0"/>
              <w:kinsoku/>
              <w:wordWrap/>
              <w:overflowPunct/>
              <w:topLinePunct w:val="0"/>
              <w:bidi w:val="0"/>
              <w:adjustRightInd/>
              <w:snapToGrid w:val="0"/>
              <w:spacing w:line="320" w:lineRule="exact"/>
              <w:ind w:left="21" w:leftChars="1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1"/>
                <w:kern w:val="2"/>
                <w:sz w:val="21"/>
                <w:szCs w:val="21"/>
                <w:highlight w:val="none"/>
              </w:rPr>
              <w:t>要求盖单位章和（或）法定代表人或其委托代理人签字的地方，投标人均应使用CA 数字证书加盖投标人的单位电子印章和（或）法定代表人或其委托代理人的个人电子印章或电子签名章，无需手签。</w:t>
            </w:r>
          </w:p>
        </w:tc>
      </w:tr>
      <w:tr w14:paraId="5D1B3F7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946" w:type="dxa"/>
            <w:vMerge w:val="continue"/>
            <w:tcBorders>
              <w:tl2br w:val="nil"/>
              <w:tr2bl w:val="nil"/>
            </w:tcBorders>
            <w:vAlign w:val="center"/>
          </w:tcPr>
          <w:p w14:paraId="4F38C131">
            <w:pPr>
              <w:keepNext w:val="0"/>
              <w:keepLines w:val="0"/>
              <w:pageBreakBefore w:val="0"/>
              <w:widowControl w:val="0"/>
              <w:kinsoku/>
              <w:wordWrap/>
              <w:overflowPunct/>
              <w:topLinePunct w:val="0"/>
              <w:autoSpaceDE w:val="0"/>
              <w:bidi w:val="0"/>
              <w:adjustRightInd/>
              <w:snapToGrid w:val="0"/>
              <w:spacing w:line="320" w:lineRule="exact"/>
              <w:ind w:left="21" w:leftChars="1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7E4040F9">
            <w:pPr>
              <w:keepNext w:val="0"/>
              <w:keepLines w:val="0"/>
              <w:pageBreakBefore w:val="0"/>
              <w:widowControl w:val="0"/>
              <w:kinsoku/>
              <w:wordWrap/>
              <w:overflowPunct/>
              <w:topLinePunct w:val="0"/>
              <w:autoSpaceDE w:val="0"/>
              <w:bidi w:val="0"/>
              <w:adjustRightInd/>
              <w:snapToGrid w:val="0"/>
              <w:spacing w:line="320" w:lineRule="exact"/>
              <w:ind w:left="21" w:leftChars="10"/>
              <w:jc w:val="center"/>
              <w:textAlignment w:val="auto"/>
              <w:rPr>
                <w:rFonts w:hint="eastAsia" w:ascii="宋体" w:hAnsi="宋体" w:eastAsia="宋体" w:cs="宋体"/>
                <w:color w:val="000000"/>
                <w:sz w:val="21"/>
                <w:szCs w:val="21"/>
                <w:highlight w:val="none"/>
              </w:rPr>
            </w:pPr>
          </w:p>
        </w:tc>
        <w:tc>
          <w:tcPr>
            <w:tcW w:w="1996" w:type="dxa"/>
            <w:tcBorders>
              <w:tl2br w:val="nil"/>
              <w:tr2bl w:val="nil"/>
            </w:tcBorders>
            <w:vAlign w:val="center"/>
          </w:tcPr>
          <w:p w14:paraId="1482D7A8">
            <w:pPr>
              <w:keepNext w:val="0"/>
              <w:keepLines w:val="0"/>
              <w:pageBreakBefore w:val="0"/>
              <w:widowControl w:val="0"/>
              <w:kinsoku/>
              <w:wordWrap/>
              <w:overflowPunct/>
              <w:topLinePunct w:val="0"/>
              <w:bidi w:val="0"/>
              <w:adjustRightInd/>
              <w:snapToGrid w:val="0"/>
              <w:spacing w:line="320" w:lineRule="exact"/>
              <w:ind w:left="21" w:leftChars="1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投标文件格式</w:t>
            </w:r>
          </w:p>
        </w:tc>
        <w:tc>
          <w:tcPr>
            <w:tcW w:w="5526" w:type="dxa"/>
            <w:tcBorders>
              <w:tl2br w:val="nil"/>
              <w:tr2bl w:val="nil"/>
            </w:tcBorders>
            <w:vAlign w:val="center"/>
          </w:tcPr>
          <w:p w14:paraId="45F52BEE">
            <w:pPr>
              <w:keepNext w:val="0"/>
              <w:keepLines w:val="0"/>
              <w:pageBreakBefore w:val="0"/>
              <w:widowControl w:val="0"/>
              <w:kinsoku/>
              <w:wordWrap/>
              <w:overflowPunct/>
              <w:topLinePunct w:val="0"/>
              <w:bidi w:val="0"/>
              <w:adjustRightInd/>
              <w:snapToGrid w:val="0"/>
              <w:spacing w:line="320" w:lineRule="exact"/>
              <w:ind w:left="21" w:leftChars="1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符合第六章“投标文件格式”的规定，组成齐全完整。</w:t>
            </w:r>
          </w:p>
        </w:tc>
      </w:tr>
      <w:tr w14:paraId="738F401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946" w:type="dxa"/>
            <w:vMerge w:val="continue"/>
            <w:tcBorders>
              <w:tl2br w:val="nil"/>
              <w:tr2bl w:val="nil"/>
            </w:tcBorders>
            <w:vAlign w:val="center"/>
          </w:tcPr>
          <w:p w14:paraId="05323DC4">
            <w:pPr>
              <w:keepNext w:val="0"/>
              <w:keepLines w:val="0"/>
              <w:pageBreakBefore w:val="0"/>
              <w:widowControl w:val="0"/>
              <w:kinsoku/>
              <w:wordWrap/>
              <w:overflowPunct/>
              <w:topLinePunct w:val="0"/>
              <w:autoSpaceDE w:val="0"/>
              <w:bidi w:val="0"/>
              <w:adjustRightInd/>
              <w:snapToGrid w:val="0"/>
              <w:spacing w:line="320" w:lineRule="exact"/>
              <w:ind w:left="21" w:leftChars="1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3741848E">
            <w:pPr>
              <w:keepNext w:val="0"/>
              <w:keepLines w:val="0"/>
              <w:pageBreakBefore w:val="0"/>
              <w:widowControl w:val="0"/>
              <w:kinsoku/>
              <w:wordWrap/>
              <w:overflowPunct/>
              <w:topLinePunct w:val="0"/>
              <w:autoSpaceDE w:val="0"/>
              <w:bidi w:val="0"/>
              <w:adjustRightInd/>
              <w:snapToGrid w:val="0"/>
              <w:spacing w:line="320" w:lineRule="exact"/>
              <w:ind w:left="21" w:leftChars="10"/>
              <w:jc w:val="center"/>
              <w:textAlignment w:val="auto"/>
              <w:rPr>
                <w:rFonts w:hint="eastAsia" w:ascii="宋体" w:hAnsi="宋体" w:eastAsia="宋体" w:cs="宋体"/>
                <w:color w:val="000000"/>
                <w:sz w:val="21"/>
                <w:szCs w:val="21"/>
                <w:highlight w:val="none"/>
              </w:rPr>
            </w:pPr>
          </w:p>
        </w:tc>
        <w:tc>
          <w:tcPr>
            <w:tcW w:w="1996" w:type="dxa"/>
            <w:tcBorders>
              <w:bottom w:val="single" w:color="auto" w:sz="4" w:space="0"/>
              <w:tl2br w:val="nil"/>
              <w:tr2bl w:val="nil"/>
            </w:tcBorders>
            <w:vAlign w:val="center"/>
          </w:tcPr>
          <w:p w14:paraId="0AC64DE9">
            <w:pPr>
              <w:keepNext w:val="0"/>
              <w:keepLines w:val="0"/>
              <w:pageBreakBefore w:val="0"/>
              <w:widowControl w:val="0"/>
              <w:kinsoku/>
              <w:wordWrap/>
              <w:overflowPunct/>
              <w:topLinePunct w:val="0"/>
              <w:bidi w:val="0"/>
              <w:adjustRightInd/>
              <w:snapToGrid w:val="0"/>
              <w:spacing w:line="320" w:lineRule="exact"/>
              <w:ind w:left="21" w:leftChars="1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投标报价</w:t>
            </w:r>
          </w:p>
        </w:tc>
        <w:tc>
          <w:tcPr>
            <w:tcW w:w="5526" w:type="dxa"/>
            <w:tcBorders>
              <w:bottom w:val="single" w:color="auto" w:sz="4" w:space="0"/>
              <w:tl2br w:val="nil"/>
              <w:tr2bl w:val="nil"/>
            </w:tcBorders>
            <w:vAlign w:val="center"/>
          </w:tcPr>
          <w:p w14:paraId="49C8F5FF">
            <w:pPr>
              <w:keepNext w:val="0"/>
              <w:keepLines w:val="0"/>
              <w:pageBreakBefore w:val="0"/>
              <w:widowControl w:val="0"/>
              <w:kinsoku/>
              <w:wordWrap/>
              <w:overflowPunct/>
              <w:topLinePunct w:val="0"/>
              <w:bidi w:val="0"/>
              <w:adjustRightInd/>
              <w:snapToGrid w:val="0"/>
              <w:spacing w:line="320" w:lineRule="exact"/>
              <w:ind w:left="21" w:leftChars="1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符合第二章“投标人须知”第 3.2 款规定。</w:t>
            </w:r>
          </w:p>
        </w:tc>
      </w:tr>
      <w:tr w14:paraId="77C1123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946" w:type="dxa"/>
            <w:vMerge w:val="continue"/>
            <w:tcBorders>
              <w:tl2br w:val="nil"/>
              <w:tr2bl w:val="nil"/>
            </w:tcBorders>
            <w:vAlign w:val="center"/>
          </w:tcPr>
          <w:p w14:paraId="21BD40BC">
            <w:pPr>
              <w:keepNext w:val="0"/>
              <w:keepLines w:val="0"/>
              <w:pageBreakBefore w:val="0"/>
              <w:widowControl w:val="0"/>
              <w:kinsoku/>
              <w:wordWrap/>
              <w:overflowPunct/>
              <w:topLinePunct w:val="0"/>
              <w:autoSpaceDE w:val="0"/>
              <w:bidi w:val="0"/>
              <w:adjustRightInd/>
              <w:snapToGrid w:val="0"/>
              <w:spacing w:line="320" w:lineRule="exact"/>
              <w:ind w:left="21" w:leftChars="1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5D8EA981">
            <w:pPr>
              <w:keepNext w:val="0"/>
              <w:keepLines w:val="0"/>
              <w:pageBreakBefore w:val="0"/>
              <w:widowControl w:val="0"/>
              <w:kinsoku/>
              <w:wordWrap/>
              <w:overflowPunct/>
              <w:topLinePunct w:val="0"/>
              <w:autoSpaceDE w:val="0"/>
              <w:bidi w:val="0"/>
              <w:adjustRightInd/>
              <w:snapToGrid w:val="0"/>
              <w:spacing w:line="320" w:lineRule="exact"/>
              <w:ind w:left="21" w:leftChars="10"/>
              <w:jc w:val="center"/>
              <w:textAlignment w:val="auto"/>
              <w:rPr>
                <w:rFonts w:hint="eastAsia" w:ascii="宋体" w:hAnsi="宋体" w:eastAsia="宋体" w:cs="宋体"/>
                <w:color w:val="000000"/>
                <w:sz w:val="21"/>
                <w:szCs w:val="21"/>
                <w:highlight w:val="none"/>
              </w:rPr>
            </w:pPr>
          </w:p>
        </w:tc>
        <w:tc>
          <w:tcPr>
            <w:tcW w:w="1996" w:type="dxa"/>
            <w:tcBorders>
              <w:top w:val="single" w:color="auto" w:sz="4" w:space="0"/>
              <w:tl2br w:val="nil"/>
              <w:tr2bl w:val="nil"/>
            </w:tcBorders>
            <w:vAlign w:val="center"/>
          </w:tcPr>
          <w:p w14:paraId="699A695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宋体" w:cs="Times New Roman"/>
                <w:color w:val="000000"/>
                <w:szCs w:val="21"/>
                <w:highlight w:val="none"/>
                <w:lang w:val="en-US" w:eastAsia="zh-CN"/>
              </w:rPr>
            </w:pPr>
            <w:r>
              <w:rPr>
                <w:rFonts w:hint="eastAsia" w:ascii="宋体" w:hAnsi="宋体" w:eastAsia="宋体" w:cs="宋体"/>
                <w:color w:val="000000"/>
                <w:sz w:val="21"/>
                <w:szCs w:val="21"/>
                <w:highlight w:val="none"/>
              </w:rPr>
              <w:t>投标人其他异常投标情形</w:t>
            </w:r>
          </w:p>
        </w:tc>
        <w:tc>
          <w:tcPr>
            <w:tcW w:w="5526" w:type="dxa"/>
            <w:tcBorders>
              <w:top w:val="single" w:color="auto" w:sz="4" w:space="0"/>
              <w:tl2br w:val="nil"/>
              <w:tr2bl w:val="nil"/>
            </w:tcBorders>
            <w:vAlign w:val="center"/>
          </w:tcPr>
          <w:p w14:paraId="1E07D31B">
            <w:pPr>
              <w:keepNext w:val="0"/>
              <w:keepLines w:val="0"/>
              <w:pageBreakBefore w:val="0"/>
              <w:widowControl w:val="0"/>
              <w:kinsoku/>
              <w:wordWrap/>
              <w:overflowPunct/>
              <w:topLinePunct w:val="0"/>
              <w:autoSpaceDE/>
              <w:autoSpaceDN/>
              <w:bidi w:val="0"/>
              <w:snapToGrid w:val="0"/>
              <w:spacing w:line="320" w:lineRule="exact"/>
              <w:textAlignment w:val="auto"/>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1.投标人不存在投标人须知前附表4.4（1）、（3）情形。</w:t>
            </w:r>
          </w:p>
          <w:p w14:paraId="08BF29BD">
            <w:pPr>
              <w:keepNext w:val="0"/>
              <w:keepLines w:val="0"/>
              <w:pageBreakBefore w:val="0"/>
              <w:widowControl w:val="0"/>
              <w:kinsoku/>
              <w:wordWrap/>
              <w:overflowPunct/>
              <w:topLinePunct w:val="0"/>
              <w:autoSpaceDE/>
              <w:autoSpaceDN/>
              <w:bidi w:val="0"/>
              <w:snapToGrid w:val="0"/>
              <w:spacing w:line="320" w:lineRule="exact"/>
              <w:textAlignment w:val="auto"/>
              <w:rPr>
                <w:rFonts w:hint="eastAsia" w:ascii="Times New Roman" w:hAnsi="Times New Roman" w:eastAsia="宋体" w:cs="Times New Roman"/>
                <w:color w:val="000000"/>
                <w:szCs w:val="22"/>
                <w:highlight w:val="none"/>
                <w:lang w:val="en-US" w:eastAsia="zh-CN"/>
              </w:rPr>
            </w:pPr>
            <w:r>
              <w:rPr>
                <w:rFonts w:hint="eastAsia" w:ascii="Times New Roman" w:hAnsi="Times New Roman" w:eastAsia="宋体" w:cs="Times New Roman"/>
                <w:color w:val="000000"/>
                <w:szCs w:val="21"/>
                <w:highlight w:val="none"/>
                <w:lang w:val="en-US" w:eastAsia="zh-CN"/>
              </w:rPr>
              <w:t>2.</w:t>
            </w:r>
            <w:r>
              <w:rPr>
                <w:rFonts w:hint="eastAsia" w:ascii="Times New Roman" w:hAnsi="Times New Roman" w:eastAsia="宋体" w:cs="Times New Roman"/>
                <w:color w:val="000000"/>
                <w:szCs w:val="21"/>
                <w:highlight w:val="none"/>
              </w:rPr>
              <w:t>投标人不存在因投标人须知前附表4.4(2)项规定的情形被评标委员会认定为串通投标、弄虚作假情形等违法行为。</w:t>
            </w:r>
          </w:p>
        </w:tc>
      </w:tr>
      <w:tr w14:paraId="4492351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946" w:type="dxa"/>
            <w:vMerge w:val="continue"/>
            <w:tcBorders>
              <w:tl2br w:val="nil"/>
              <w:tr2bl w:val="nil"/>
            </w:tcBorders>
            <w:vAlign w:val="center"/>
          </w:tcPr>
          <w:p w14:paraId="3536573E">
            <w:pPr>
              <w:keepNext w:val="0"/>
              <w:keepLines w:val="0"/>
              <w:pageBreakBefore w:val="0"/>
              <w:widowControl w:val="0"/>
              <w:kinsoku/>
              <w:wordWrap/>
              <w:overflowPunct/>
              <w:topLinePunct w:val="0"/>
              <w:autoSpaceDE w:val="0"/>
              <w:bidi w:val="0"/>
              <w:adjustRightInd/>
              <w:snapToGrid w:val="0"/>
              <w:spacing w:line="320" w:lineRule="exact"/>
              <w:ind w:left="21" w:leftChars="10"/>
              <w:jc w:val="center"/>
              <w:textAlignment w:val="auto"/>
              <w:rPr>
                <w:rFonts w:hint="eastAsia" w:ascii="宋体" w:hAnsi="宋体" w:eastAsia="宋体" w:cs="宋体"/>
                <w:color w:val="000000"/>
                <w:sz w:val="21"/>
                <w:szCs w:val="21"/>
                <w:highlight w:val="none"/>
              </w:rPr>
            </w:pPr>
          </w:p>
        </w:tc>
        <w:tc>
          <w:tcPr>
            <w:tcW w:w="1181" w:type="dxa"/>
            <w:vMerge w:val="continue"/>
            <w:tcBorders>
              <w:tl2br w:val="nil"/>
              <w:tr2bl w:val="nil"/>
            </w:tcBorders>
            <w:vAlign w:val="center"/>
          </w:tcPr>
          <w:p w14:paraId="1F555CA1">
            <w:pPr>
              <w:keepNext w:val="0"/>
              <w:keepLines w:val="0"/>
              <w:pageBreakBefore w:val="0"/>
              <w:widowControl w:val="0"/>
              <w:kinsoku/>
              <w:wordWrap/>
              <w:overflowPunct/>
              <w:topLinePunct w:val="0"/>
              <w:autoSpaceDE w:val="0"/>
              <w:bidi w:val="0"/>
              <w:adjustRightInd/>
              <w:snapToGrid w:val="0"/>
              <w:spacing w:line="320" w:lineRule="exact"/>
              <w:ind w:left="21" w:leftChars="10"/>
              <w:jc w:val="center"/>
              <w:textAlignment w:val="auto"/>
              <w:rPr>
                <w:rFonts w:hint="eastAsia" w:ascii="宋体" w:hAnsi="宋体" w:eastAsia="宋体" w:cs="宋体"/>
                <w:color w:val="000000"/>
                <w:sz w:val="21"/>
                <w:szCs w:val="21"/>
                <w:highlight w:val="none"/>
              </w:rPr>
            </w:pPr>
          </w:p>
        </w:tc>
        <w:tc>
          <w:tcPr>
            <w:tcW w:w="1996" w:type="dxa"/>
            <w:tcBorders>
              <w:top w:val="single" w:color="auto" w:sz="4" w:space="0"/>
              <w:tl2br w:val="nil"/>
              <w:tr2bl w:val="nil"/>
            </w:tcBorders>
            <w:vAlign w:val="center"/>
          </w:tcPr>
          <w:p w14:paraId="3EECC9E8">
            <w:pPr>
              <w:adjustRightInd w:val="0"/>
              <w:snapToGrid w:val="0"/>
              <w:jc w:val="center"/>
              <w:rPr>
                <w:rFonts w:hint="eastAsia" w:ascii="宋体" w:hAnsi="宋体" w:eastAsia="宋体" w:cs="宋体"/>
                <w:color w:val="000000"/>
                <w:kern w:val="2"/>
                <w:sz w:val="21"/>
                <w:szCs w:val="21"/>
                <w:highlight w:val="none"/>
              </w:rPr>
            </w:pPr>
            <w:r>
              <w:rPr>
                <w:rFonts w:hint="eastAsia" w:ascii="Times New Roman" w:hAnsi="Times New Roman" w:eastAsia="宋体" w:cs="Times New Roman"/>
                <w:color w:val="000000"/>
                <w:szCs w:val="21"/>
                <w:highlight w:val="none"/>
                <w:lang w:val="en-US" w:eastAsia="zh-CN"/>
              </w:rPr>
              <w:t>其他情形</w:t>
            </w:r>
          </w:p>
        </w:tc>
        <w:tc>
          <w:tcPr>
            <w:tcW w:w="5526" w:type="dxa"/>
            <w:tcBorders>
              <w:top w:val="single" w:color="auto" w:sz="4" w:space="0"/>
              <w:tl2br w:val="nil"/>
              <w:tr2bl w:val="nil"/>
            </w:tcBorders>
            <w:vAlign w:val="center"/>
          </w:tcPr>
          <w:p w14:paraId="5FF64F7C">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kern w:val="2"/>
                <w:sz w:val="21"/>
                <w:szCs w:val="21"/>
                <w:highlight w:val="none"/>
              </w:rPr>
            </w:pPr>
            <w:r>
              <w:rPr>
                <w:rFonts w:hint="eastAsia" w:ascii="Times New Roman" w:hAnsi="Times New Roman" w:eastAsia="宋体" w:cs="Times New Roman"/>
                <w:color w:val="000000"/>
                <w:szCs w:val="22"/>
                <w:highlight w:val="none"/>
                <w:lang w:val="en-US" w:eastAsia="zh-CN"/>
              </w:rPr>
              <w:t>投标人不存在因投标人须知前附表3.2.5（2）项规定被评标委员会认定为低于成本或影响履约的异常低价竞标的情形</w:t>
            </w:r>
          </w:p>
        </w:tc>
      </w:tr>
    </w:tbl>
    <w:p w14:paraId="55ECB308">
      <w:pPr>
        <w:rPr>
          <w:rFonts w:hint="eastAsia" w:ascii="宋体" w:hAnsi="宋体" w:eastAsia="宋体" w:cs="宋体"/>
          <w:color w:val="000000"/>
          <w:spacing w:val="2"/>
          <w:sz w:val="24"/>
          <w:szCs w:val="24"/>
          <w:highlight w:val="none"/>
        </w:rPr>
      </w:pPr>
    </w:p>
    <w:tbl>
      <w:tblPr>
        <w:tblStyle w:val="4"/>
        <w:tblW w:w="96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0"/>
        <w:gridCol w:w="1209"/>
        <w:gridCol w:w="1947"/>
        <w:gridCol w:w="5565"/>
      </w:tblGrid>
      <w:tr w14:paraId="3DA44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60" w:type="dxa"/>
          </w:tcPr>
          <w:p w14:paraId="31EC9B2A">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000000"/>
                <w:sz w:val="21"/>
                <w:szCs w:val="21"/>
                <w:highlight w:val="none"/>
                <w:lang w:eastAsia="en-US"/>
              </w:rPr>
            </w:pPr>
            <w:r>
              <w:rPr>
                <w:rFonts w:hint="eastAsia" w:ascii="宋体" w:hAnsi="宋体" w:eastAsia="宋体" w:cs="宋体"/>
                <w:b/>
                <w:color w:val="000000"/>
                <w:sz w:val="21"/>
                <w:szCs w:val="21"/>
                <w:highlight w:val="none"/>
                <w:lang w:eastAsia="en-US"/>
              </w:rPr>
              <w:t>条款号</w:t>
            </w:r>
          </w:p>
        </w:tc>
        <w:tc>
          <w:tcPr>
            <w:tcW w:w="1209" w:type="dxa"/>
          </w:tcPr>
          <w:p w14:paraId="36723A69">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000000"/>
                <w:sz w:val="21"/>
                <w:szCs w:val="21"/>
                <w:highlight w:val="none"/>
                <w:lang w:eastAsia="en-US"/>
              </w:rPr>
            </w:pPr>
            <w:r>
              <w:rPr>
                <w:rFonts w:hint="eastAsia" w:ascii="宋体" w:hAnsi="宋体" w:eastAsia="宋体" w:cs="宋体"/>
                <w:b/>
                <w:color w:val="000000"/>
                <w:sz w:val="21"/>
                <w:szCs w:val="21"/>
                <w:highlight w:val="none"/>
                <w:lang w:eastAsia="en-US"/>
              </w:rPr>
              <w:t>条款内容</w:t>
            </w:r>
          </w:p>
        </w:tc>
        <w:tc>
          <w:tcPr>
            <w:tcW w:w="7512" w:type="dxa"/>
            <w:gridSpan w:val="2"/>
          </w:tcPr>
          <w:p w14:paraId="0CD254AF">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000000"/>
                <w:sz w:val="21"/>
                <w:szCs w:val="21"/>
                <w:highlight w:val="none"/>
                <w:lang w:eastAsia="en-US"/>
              </w:rPr>
            </w:pPr>
            <w:r>
              <w:rPr>
                <w:rFonts w:hint="eastAsia" w:ascii="宋体" w:hAnsi="宋体" w:eastAsia="宋体" w:cs="宋体"/>
                <w:b/>
                <w:color w:val="000000"/>
                <w:sz w:val="21"/>
                <w:szCs w:val="21"/>
                <w:highlight w:val="none"/>
                <w:lang w:eastAsia="en-US"/>
              </w:rPr>
              <w:t>编列内容</w:t>
            </w:r>
          </w:p>
        </w:tc>
      </w:tr>
      <w:tr w14:paraId="1EDEB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1" w:hRule="atLeast"/>
        </w:trPr>
        <w:tc>
          <w:tcPr>
            <w:tcW w:w="960" w:type="dxa"/>
          </w:tcPr>
          <w:p w14:paraId="54F9CF79">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000000"/>
                <w:sz w:val="21"/>
                <w:szCs w:val="21"/>
                <w:highlight w:val="none"/>
                <w:lang w:eastAsia="en-US"/>
              </w:rPr>
            </w:pPr>
          </w:p>
          <w:p w14:paraId="41D36E86">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000000"/>
                <w:sz w:val="21"/>
                <w:szCs w:val="21"/>
                <w:highlight w:val="none"/>
                <w:lang w:eastAsia="en-US"/>
              </w:rPr>
            </w:pPr>
          </w:p>
          <w:p w14:paraId="0C1445D5">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2.2.1</w:t>
            </w:r>
          </w:p>
        </w:tc>
        <w:tc>
          <w:tcPr>
            <w:tcW w:w="1209" w:type="dxa"/>
            <w:vAlign w:val="center"/>
          </w:tcPr>
          <w:p w14:paraId="3A1904E4">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分值构成</w:t>
            </w:r>
          </w:p>
          <w:p w14:paraId="6E1A1906">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(总分 100 分)</w:t>
            </w:r>
          </w:p>
        </w:tc>
        <w:tc>
          <w:tcPr>
            <w:tcW w:w="7512" w:type="dxa"/>
            <w:gridSpan w:val="2"/>
          </w:tcPr>
          <w:p w14:paraId="09AA126C">
            <w:pPr>
              <w:keepNext w:val="0"/>
              <w:keepLines w:val="0"/>
              <w:pageBreakBefore w:val="0"/>
              <w:widowControl w:val="0"/>
              <w:kinsoku w:val="0"/>
              <w:wordWrap/>
              <w:overflowPunct w:val="0"/>
              <w:topLinePunct w:val="0"/>
              <w:autoSpaceDE/>
              <w:autoSpaceDN/>
              <w:bidi w:val="0"/>
              <w:adjustRightInd/>
              <w:snapToGrid/>
              <w:spacing w:line="320" w:lineRule="exact"/>
              <w:ind w:left="21" w:leftChars="10" w:right="0" w:rightChars="0" w:firstLine="0"/>
              <w:jc w:val="left"/>
              <w:textAlignment w:val="auto"/>
              <w:rPr>
                <w:rFonts w:hint="eastAsia" w:ascii="宋体" w:hAnsi="宋体" w:eastAsia="宋体" w:cs="宋体"/>
                <w:color w:val="000000"/>
                <w:kern w:val="21"/>
                <w:sz w:val="21"/>
                <w:szCs w:val="21"/>
                <w:highlight w:val="none"/>
              </w:rPr>
            </w:pPr>
            <w:r>
              <w:rPr>
                <w:rFonts w:hint="eastAsia" w:ascii="宋体" w:hAnsi="宋体" w:eastAsia="宋体" w:cs="宋体"/>
                <w:b/>
                <w:color w:val="000000"/>
                <w:kern w:val="21"/>
                <w:sz w:val="21"/>
                <w:szCs w:val="21"/>
                <w:highlight w:val="none"/>
              </w:rPr>
              <w:t>第一个信封（</w:t>
            </w:r>
            <w:r>
              <w:rPr>
                <w:rFonts w:hint="eastAsia" w:ascii="宋体" w:hAnsi="宋体" w:eastAsia="宋体" w:cs="宋体"/>
                <w:b/>
                <w:color w:val="000000"/>
                <w:kern w:val="21"/>
                <w:sz w:val="21"/>
                <w:szCs w:val="21"/>
                <w:highlight w:val="none"/>
                <w:lang w:val="en-US" w:eastAsia="zh-CN"/>
              </w:rPr>
              <w:t>5</w:t>
            </w:r>
            <w:r>
              <w:rPr>
                <w:rFonts w:hint="eastAsia" w:ascii="宋体" w:hAnsi="宋体" w:eastAsia="宋体" w:cs="宋体"/>
                <w:b/>
                <w:color w:val="000000"/>
                <w:kern w:val="21"/>
                <w:sz w:val="21"/>
                <w:szCs w:val="21"/>
                <w:highlight w:val="none"/>
              </w:rPr>
              <w:t>0）：</w:t>
            </w:r>
          </w:p>
          <w:p w14:paraId="78324AC5">
            <w:pPr>
              <w:keepNext w:val="0"/>
              <w:keepLines w:val="0"/>
              <w:pageBreakBefore w:val="0"/>
              <w:widowControl w:val="0"/>
              <w:kinsoku w:val="0"/>
              <w:wordWrap/>
              <w:overflowPunct w:val="0"/>
              <w:topLinePunct w:val="0"/>
              <w:autoSpaceDE/>
              <w:autoSpaceDN/>
              <w:bidi w:val="0"/>
              <w:adjustRightInd/>
              <w:snapToGrid/>
              <w:spacing w:line="320" w:lineRule="exact"/>
              <w:ind w:left="21" w:leftChars="10" w:right="0" w:rightChars="0" w:firstLine="0"/>
              <w:jc w:val="left"/>
              <w:textAlignment w:val="auto"/>
              <w:rPr>
                <w:rFonts w:hint="eastAsia" w:ascii="宋体" w:hAnsi="宋体" w:eastAsia="宋体" w:cs="宋体"/>
                <w:color w:val="000000"/>
                <w:kern w:val="21"/>
                <w:sz w:val="21"/>
                <w:szCs w:val="21"/>
                <w:highlight w:val="none"/>
              </w:rPr>
            </w:pPr>
            <w:r>
              <w:rPr>
                <w:rFonts w:hint="eastAsia" w:ascii="宋体" w:hAnsi="宋体" w:eastAsia="宋体" w:cs="宋体"/>
                <w:color w:val="000000"/>
                <w:kern w:val="21"/>
                <w:sz w:val="21"/>
                <w:szCs w:val="21"/>
                <w:highlight w:val="none"/>
                <w:lang w:val="en-US" w:eastAsia="zh-CN"/>
              </w:rPr>
              <w:t>商务部分</w:t>
            </w:r>
            <w:r>
              <w:rPr>
                <w:rFonts w:hint="eastAsia" w:ascii="宋体" w:hAnsi="宋体" w:eastAsia="宋体" w:cs="宋体"/>
                <w:color w:val="000000"/>
                <w:kern w:val="21"/>
                <w:sz w:val="21"/>
                <w:szCs w:val="21"/>
                <w:highlight w:val="none"/>
              </w:rPr>
              <w:t>：</w:t>
            </w:r>
            <w:r>
              <w:rPr>
                <w:rFonts w:ascii="宋体" w:hAnsi="宋体" w:eastAsia="宋体" w:cs="宋体"/>
                <w:color w:val="000000"/>
                <w:kern w:val="21"/>
                <w:sz w:val="21"/>
                <w:szCs w:val="21"/>
                <w:highlight w:val="none"/>
                <w:u w:val="single"/>
              </w:rPr>
              <w:t xml:space="preserve"> </w:t>
            </w:r>
            <w:r>
              <w:rPr>
                <w:rFonts w:hint="default" w:ascii="宋体" w:hAnsi="宋体" w:eastAsia="宋体" w:cs="宋体"/>
                <w:color w:val="000000"/>
                <w:kern w:val="21"/>
                <w:sz w:val="21"/>
                <w:szCs w:val="21"/>
                <w:highlight w:val="none"/>
                <w:u w:val="single"/>
                <w:lang w:val="en-US" w:eastAsia="zh-CN"/>
              </w:rPr>
              <w:t>2</w:t>
            </w:r>
            <w:r>
              <w:rPr>
                <w:rFonts w:hint="eastAsia" w:ascii="宋体" w:hAnsi="宋体" w:eastAsia="宋体" w:cs="宋体"/>
                <w:color w:val="000000"/>
                <w:kern w:val="21"/>
                <w:sz w:val="21"/>
                <w:szCs w:val="21"/>
                <w:highlight w:val="none"/>
                <w:u w:val="single"/>
                <w:lang w:val="en-US" w:eastAsia="zh-CN"/>
              </w:rPr>
              <w:t>0</w:t>
            </w:r>
            <w:r>
              <w:rPr>
                <w:rFonts w:ascii="宋体" w:hAnsi="宋体" w:eastAsia="宋体" w:cs="宋体"/>
                <w:color w:val="000000"/>
                <w:kern w:val="21"/>
                <w:sz w:val="21"/>
                <w:szCs w:val="21"/>
                <w:highlight w:val="none"/>
                <w:u w:val="single"/>
              </w:rPr>
              <w:t xml:space="preserve"> </w:t>
            </w:r>
            <w:r>
              <w:rPr>
                <w:rFonts w:hint="eastAsia" w:ascii="宋体" w:hAnsi="宋体" w:eastAsia="宋体" w:cs="宋体"/>
                <w:color w:val="000000"/>
                <w:kern w:val="21"/>
                <w:sz w:val="21"/>
                <w:szCs w:val="21"/>
                <w:highlight w:val="none"/>
              </w:rPr>
              <w:t>分</w:t>
            </w:r>
          </w:p>
          <w:p w14:paraId="689CA261">
            <w:pPr>
              <w:keepNext w:val="0"/>
              <w:keepLines w:val="0"/>
              <w:pageBreakBefore w:val="0"/>
              <w:widowControl w:val="0"/>
              <w:kinsoku w:val="0"/>
              <w:wordWrap/>
              <w:overflowPunct w:val="0"/>
              <w:topLinePunct w:val="0"/>
              <w:autoSpaceDE/>
              <w:autoSpaceDN/>
              <w:bidi w:val="0"/>
              <w:adjustRightInd/>
              <w:snapToGrid/>
              <w:spacing w:line="320" w:lineRule="exact"/>
              <w:ind w:left="21" w:leftChars="10" w:right="0" w:rightChars="0" w:firstLine="0"/>
              <w:jc w:val="left"/>
              <w:textAlignment w:val="auto"/>
              <w:rPr>
                <w:rFonts w:hint="eastAsia" w:ascii="宋体" w:hAnsi="宋体" w:eastAsia="宋体" w:cs="宋体"/>
                <w:color w:val="000000"/>
                <w:kern w:val="21"/>
                <w:sz w:val="21"/>
                <w:szCs w:val="21"/>
                <w:highlight w:val="none"/>
              </w:rPr>
            </w:pPr>
            <w:r>
              <w:rPr>
                <w:rFonts w:hint="eastAsia" w:ascii="宋体" w:hAnsi="宋体" w:eastAsia="宋体" w:cs="宋体"/>
                <w:color w:val="000000"/>
                <w:kern w:val="21"/>
                <w:sz w:val="21"/>
                <w:szCs w:val="21"/>
                <w:highlight w:val="none"/>
                <w:lang w:val="en-US" w:eastAsia="zh-CN"/>
              </w:rPr>
              <w:t>技术部分</w:t>
            </w:r>
            <w:r>
              <w:rPr>
                <w:rFonts w:hint="eastAsia" w:ascii="宋体" w:hAnsi="宋体" w:eastAsia="宋体" w:cs="宋体"/>
                <w:color w:val="000000"/>
                <w:kern w:val="21"/>
                <w:sz w:val="21"/>
                <w:szCs w:val="21"/>
                <w:highlight w:val="none"/>
              </w:rPr>
              <w:t>：</w:t>
            </w:r>
            <w:r>
              <w:rPr>
                <w:rFonts w:ascii="宋体" w:hAnsi="宋体" w:eastAsia="宋体" w:cs="宋体"/>
                <w:color w:val="000000"/>
                <w:kern w:val="21"/>
                <w:sz w:val="21"/>
                <w:szCs w:val="21"/>
                <w:highlight w:val="none"/>
                <w:u w:val="single"/>
              </w:rPr>
              <w:t xml:space="preserve"> </w:t>
            </w:r>
            <w:r>
              <w:rPr>
                <w:rFonts w:hint="eastAsia" w:ascii="宋体" w:hAnsi="宋体" w:eastAsia="宋体" w:cs="宋体"/>
                <w:color w:val="000000"/>
                <w:kern w:val="21"/>
                <w:sz w:val="21"/>
                <w:szCs w:val="21"/>
                <w:highlight w:val="none"/>
                <w:u w:val="single"/>
                <w:lang w:val="en-US" w:eastAsia="zh-CN"/>
              </w:rPr>
              <w:t>30</w:t>
            </w:r>
            <w:r>
              <w:rPr>
                <w:rFonts w:ascii="宋体" w:hAnsi="宋体" w:eastAsia="宋体" w:cs="宋体"/>
                <w:color w:val="000000"/>
                <w:kern w:val="21"/>
                <w:sz w:val="21"/>
                <w:szCs w:val="21"/>
                <w:highlight w:val="none"/>
                <w:u w:val="single"/>
              </w:rPr>
              <w:t xml:space="preserve"> </w:t>
            </w:r>
            <w:r>
              <w:rPr>
                <w:rFonts w:hint="eastAsia" w:ascii="宋体" w:hAnsi="宋体" w:eastAsia="宋体" w:cs="宋体"/>
                <w:color w:val="000000"/>
                <w:kern w:val="21"/>
                <w:sz w:val="21"/>
                <w:szCs w:val="21"/>
                <w:highlight w:val="none"/>
              </w:rPr>
              <w:t>分</w:t>
            </w:r>
          </w:p>
          <w:p w14:paraId="7217CC26">
            <w:pPr>
              <w:keepNext w:val="0"/>
              <w:keepLines w:val="0"/>
              <w:pageBreakBefore w:val="0"/>
              <w:widowControl w:val="0"/>
              <w:kinsoku w:val="0"/>
              <w:wordWrap/>
              <w:overflowPunct w:val="0"/>
              <w:topLinePunct w:val="0"/>
              <w:autoSpaceDE/>
              <w:autoSpaceDN/>
              <w:bidi w:val="0"/>
              <w:adjustRightInd/>
              <w:snapToGrid/>
              <w:spacing w:line="320" w:lineRule="exact"/>
              <w:ind w:left="21" w:leftChars="10" w:right="0" w:rightChars="0" w:firstLine="0"/>
              <w:jc w:val="left"/>
              <w:textAlignment w:val="auto"/>
              <w:rPr>
                <w:rFonts w:hint="eastAsia" w:ascii="宋体" w:hAnsi="宋体" w:eastAsia="宋体" w:cs="宋体"/>
                <w:color w:val="000000"/>
                <w:kern w:val="21"/>
                <w:sz w:val="21"/>
                <w:szCs w:val="21"/>
                <w:highlight w:val="none"/>
              </w:rPr>
            </w:pPr>
            <w:r>
              <w:rPr>
                <w:rFonts w:hint="eastAsia" w:ascii="宋体" w:hAnsi="宋体" w:eastAsia="宋体" w:cs="宋体"/>
                <w:b/>
                <w:color w:val="000000"/>
                <w:kern w:val="21"/>
                <w:sz w:val="21"/>
                <w:szCs w:val="21"/>
                <w:highlight w:val="none"/>
              </w:rPr>
              <w:t>第二个信封（</w:t>
            </w:r>
            <w:r>
              <w:rPr>
                <w:rFonts w:hint="eastAsia" w:ascii="宋体" w:hAnsi="宋体" w:eastAsia="宋体" w:cs="宋体"/>
                <w:b/>
                <w:color w:val="000000"/>
                <w:kern w:val="21"/>
                <w:sz w:val="21"/>
                <w:szCs w:val="21"/>
                <w:highlight w:val="none"/>
                <w:lang w:val="en-US" w:eastAsia="zh-CN"/>
              </w:rPr>
              <w:t>5</w:t>
            </w:r>
            <w:r>
              <w:rPr>
                <w:rFonts w:ascii="宋体" w:hAnsi="宋体" w:eastAsia="宋体" w:cs="宋体"/>
                <w:b/>
                <w:color w:val="000000"/>
                <w:kern w:val="21"/>
                <w:sz w:val="21"/>
                <w:szCs w:val="21"/>
                <w:highlight w:val="none"/>
              </w:rPr>
              <w:t>0）：</w:t>
            </w:r>
          </w:p>
          <w:p w14:paraId="366DA37A">
            <w:pPr>
              <w:keepNext w:val="0"/>
              <w:keepLines w:val="0"/>
              <w:pageBreakBefore w:val="0"/>
              <w:widowControl w:val="0"/>
              <w:tabs>
                <w:tab w:val="left" w:pos="2314"/>
              </w:tabs>
              <w:kinsoku w:val="0"/>
              <w:wordWrap/>
              <w:overflowPunct w:val="0"/>
              <w:topLinePunct w:val="0"/>
              <w:autoSpaceDE/>
              <w:autoSpaceDN/>
              <w:bidi w:val="0"/>
              <w:adjustRightInd/>
              <w:snapToGrid/>
              <w:spacing w:line="320" w:lineRule="exact"/>
              <w:ind w:left="21" w:leftChars="10" w:right="0" w:rightChars="0" w:firstLine="0"/>
              <w:jc w:val="left"/>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kern w:val="21"/>
                <w:sz w:val="21"/>
                <w:szCs w:val="21"/>
                <w:highlight w:val="none"/>
              </w:rPr>
              <w:t>评</w:t>
            </w:r>
            <w:r>
              <w:rPr>
                <w:rFonts w:hint="eastAsia" w:ascii="宋体" w:hAnsi="宋体" w:eastAsia="宋体" w:cs="宋体"/>
                <w:color w:val="000000"/>
                <w:kern w:val="21"/>
                <w:sz w:val="21"/>
                <w:szCs w:val="21"/>
                <w:highlight w:val="none"/>
                <w:lang w:eastAsia="en-US"/>
              </w:rPr>
              <w:t>标价：</w:t>
            </w:r>
            <w:r>
              <w:rPr>
                <w:rFonts w:ascii="宋体" w:hAnsi="宋体" w:eastAsia="宋体" w:cs="宋体"/>
                <w:color w:val="000000"/>
                <w:kern w:val="21"/>
                <w:sz w:val="21"/>
                <w:szCs w:val="21"/>
                <w:highlight w:val="none"/>
                <w:u w:val="single"/>
                <w:lang w:eastAsia="en-US"/>
              </w:rPr>
              <w:t xml:space="preserve">  </w:t>
            </w:r>
            <w:r>
              <w:rPr>
                <w:rFonts w:hint="eastAsia" w:ascii="宋体" w:hAnsi="宋体" w:eastAsia="宋体" w:cs="宋体"/>
                <w:color w:val="000000"/>
                <w:kern w:val="21"/>
                <w:sz w:val="21"/>
                <w:szCs w:val="21"/>
                <w:highlight w:val="none"/>
                <w:u w:val="single"/>
                <w:lang w:val="en-US" w:eastAsia="zh-CN"/>
              </w:rPr>
              <w:t>5</w:t>
            </w:r>
            <w:r>
              <w:rPr>
                <w:rFonts w:ascii="宋体" w:hAnsi="宋体" w:eastAsia="宋体" w:cs="宋体"/>
                <w:color w:val="000000"/>
                <w:kern w:val="21"/>
                <w:sz w:val="21"/>
                <w:szCs w:val="21"/>
                <w:highlight w:val="none"/>
                <w:u w:val="single"/>
              </w:rPr>
              <w:t>0</w:t>
            </w:r>
            <w:r>
              <w:rPr>
                <w:rFonts w:ascii="宋体" w:hAnsi="宋体" w:eastAsia="宋体" w:cs="宋体"/>
                <w:color w:val="000000"/>
                <w:kern w:val="21"/>
                <w:sz w:val="21"/>
                <w:szCs w:val="21"/>
                <w:highlight w:val="none"/>
                <w:u w:val="single"/>
                <w:lang w:eastAsia="en-US"/>
              </w:rPr>
              <w:t xml:space="preserve"> </w:t>
            </w:r>
            <w:r>
              <w:rPr>
                <w:rFonts w:hint="eastAsia" w:ascii="宋体" w:hAnsi="宋体" w:eastAsia="宋体" w:cs="宋体"/>
                <w:color w:val="000000"/>
                <w:kern w:val="21"/>
                <w:sz w:val="21"/>
                <w:szCs w:val="21"/>
                <w:highlight w:val="none"/>
                <w:lang w:eastAsia="en-US"/>
              </w:rPr>
              <w:t>分</w:t>
            </w:r>
          </w:p>
        </w:tc>
      </w:tr>
      <w:tr w14:paraId="7F759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60" w:type="dxa"/>
            <w:vAlign w:val="center"/>
          </w:tcPr>
          <w:p w14:paraId="724DFA95">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2.2.2</w:t>
            </w:r>
          </w:p>
        </w:tc>
        <w:tc>
          <w:tcPr>
            <w:tcW w:w="1209" w:type="dxa"/>
            <w:vAlign w:val="center"/>
          </w:tcPr>
          <w:p w14:paraId="6C5258F7">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评标基准价计算方法</w:t>
            </w:r>
          </w:p>
        </w:tc>
        <w:tc>
          <w:tcPr>
            <w:tcW w:w="7512" w:type="dxa"/>
            <w:gridSpan w:val="2"/>
          </w:tcPr>
          <w:p w14:paraId="1F6165A7">
            <w:pPr>
              <w:keepNext w:val="0"/>
              <w:keepLines w:val="0"/>
              <w:pageBreakBefore w:val="0"/>
              <w:widowControl w:val="0"/>
              <w:kinsoku/>
              <w:wordWrap/>
              <w:overflowPunct/>
              <w:topLinePunct w:val="0"/>
              <w:autoSpaceDE/>
              <w:autoSpaceDN/>
              <w:bidi w:val="0"/>
              <w:adjustRightInd/>
              <w:snapToGrid w:val="0"/>
              <w:spacing w:line="320" w:lineRule="exact"/>
              <w:ind w:left="21" w:leftChars="10" w:right="0" w:rightChars="0"/>
              <w:jc w:val="both"/>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评标基准价的计算：</w:t>
            </w:r>
          </w:p>
          <w:p w14:paraId="3FBB505B">
            <w:pPr>
              <w:keepNext w:val="0"/>
              <w:keepLines w:val="0"/>
              <w:pageBreakBefore w:val="0"/>
              <w:widowControl w:val="0"/>
              <w:kinsoku/>
              <w:wordWrap/>
              <w:overflowPunct/>
              <w:topLinePunct w:val="0"/>
              <w:autoSpaceDE/>
              <w:autoSpaceDN/>
              <w:bidi w:val="0"/>
              <w:adjustRightInd/>
              <w:snapToGrid w:val="0"/>
              <w:spacing w:line="320" w:lineRule="exact"/>
              <w:ind w:left="21" w:leftChars="10" w:right="0" w:rightChars="0" w:firstLine="420" w:firstLineChars="200"/>
              <w:jc w:val="both"/>
              <w:textAlignment w:val="auto"/>
              <w:rPr>
                <w:rFonts w:hint="eastAsia" w:ascii="宋体" w:hAnsi="宋体" w:eastAsia="宋体" w:cs="宋体"/>
                <w:color w:val="000000"/>
                <w:szCs w:val="21"/>
                <w:highlight w:val="none"/>
              </w:rPr>
            </w:pPr>
            <w:r>
              <w:rPr>
                <w:rFonts w:hint="eastAsia" w:ascii="宋体" w:hAnsi="宋体" w:eastAsia="宋体" w:cs="宋体"/>
                <w:color w:val="000000"/>
                <w:szCs w:val="22"/>
                <w:highlight w:val="none"/>
              </w:rPr>
              <w:t>在第二个信封开标现场，招标人将按照第一信封开标现场抽取的评标基准价的计算方法当场计算并宣布评标基准价</w:t>
            </w:r>
            <w:r>
              <w:rPr>
                <w:rFonts w:hint="eastAsia" w:ascii="宋体" w:hAnsi="宋体" w:eastAsia="宋体" w:cs="宋体"/>
                <w:color w:val="000000"/>
                <w:kern w:val="2"/>
                <w:sz w:val="21"/>
                <w:szCs w:val="21"/>
                <w:highlight w:val="none"/>
              </w:rPr>
              <w:t>。</w:t>
            </w:r>
          </w:p>
          <w:p w14:paraId="3AF91E2D">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（1）评标价的确定：评标价＝投标函文字报价</w:t>
            </w:r>
          </w:p>
          <w:p w14:paraId="701757BF">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（2）评标价平均值的计算：</w:t>
            </w:r>
          </w:p>
          <w:p w14:paraId="3924C012">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除按第二章“投标人须知”第5.2.4项规定开标现场被宣布为不进入评标基准价计算的投标报价之外，所有投标人的评标价去掉一个最高值和一个最低值后作算术平均（如果参与评标价平均值计算的有效投标人少于5家时，则计算评标价平均值时不去掉最高值和最低值），将该平均值作为评标价平均值。</w:t>
            </w:r>
          </w:p>
          <w:p w14:paraId="080F4D98">
            <w:pPr>
              <w:keepNext w:val="0"/>
              <w:keepLines w:val="0"/>
              <w:pageBreakBefore w:val="0"/>
              <w:widowControl w:val="0"/>
              <w:kinsoku/>
              <w:wordWrap/>
              <w:overflowPunct/>
              <w:topLinePunct w:val="0"/>
              <w:autoSpaceDE/>
              <w:autoSpaceDN/>
              <w:bidi w:val="0"/>
              <w:adjustRightInd/>
              <w:snapToGrid w:val="0"/>
              <w:spacing w:line="320" w:lineRule="exact"/>
              <w:ind w:right="113" w:firstLine="426" w:firstLineChars="203"/>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(3)评标基准价的确定：</w:t>
            </w:r>
          </w:p>
          <w:p w14:paraId="1CD7A042">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rPr>
              <w:t>采取随机抽取的方式从下列方法中确定评标基准价的计算方法：</w:t>
            </w:r>
          </w:p>
          <w:p w14:paraId="34352CEB">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方法一：</w:t>
            </w:r>
            <w:r>
              <w:rPr>
                <w:rFonts w:hint="eastAsia" w:ascii="宋体" w:hAnsi="宋体" w:eastAsia="宋体" w:cs="宋体"/>
                <w:color w:val="000000"/>
                <w:szCs w:val="21"/>
                <w:highlight w:val="none"/>
              </w:rPr>
              <w:t>评标价平均值直接作为评标基准价P。</w:t>
            </w:r>
          </w:p>
          <w:p w14:paraId="11A9710C">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方法</w:t>
            </w:r>
            <w:r>
              <w:rPr>
                <w:rFonts w:hint="eastAsia" w:ascii="宋体" w:hAnsi="宋体" w:eastAsia="宋体" w:cs="宋体"/>
                <w:color w:val="000000"/>
                <w:szCs w:val="21"/>
                <w:highlight w:val="none"/>
              </w:rPr>
              <w:t>二</w:t>
            </w:r>
            <w:r>
              <w:rPr>
                <w:rFonts w:hint="eastAsia" w:ascii="宋体" w:hAnsi="宋体" w:eastAsia="宋体" w:cs="宋体"/>
                <w:color w:val="000000"/>
                <w:szCs w:val="21"/>
                <w:highlight w:val="none"/>
                <w:lang w:val="zh-CN"/>
              </w:rPr>
              <w:t>：评标价平均值乘以评标基准价系数K，作为评标基准价 P。招标人设置评标基准价系数K（取</w:t>
            </w:r>
            <w:r>
              <w:rPr>
                <w:rFonts w:hint="eastAsia" w:ascii="宋体" w:hAnsi="宋体" w:eastAsia="宋体" w:cs="宋体"/>
                <w:color w:val="000000"/>
                <w:szCs w:val="21"/>
                <w:highlight w:val="none"/>
                <w:lang w:val="en-US" w:eastAsia="zh-CN"/>
              </w:rPr>
              <w:t>0.975、</w:t>
            </w:r>
            <w:r>
              <w:rPr>
                <w:rFonts w:hint="eastAsia" w:ascii="宋体" w:hAnsi="宋体" w:eastAsia="宋体" w:cs="宋体"/>
                <w:color w:val="000000"/>
                <w:szCs w:val="21"/>
                <w:highlight w:val="none"/>
                <w:lang w:val="zh-CN"/>
              </w:rPr>
              <w:t>0.98、0.985、0.99、0.995共5个数值）。在开标现场随机抽取确定。</w:t>
            </w:r>
          </w:p>
          <w:p w14:paraId="52D28F77">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zh-CN"/>
              </w:rPr>
              <w:t>方法三：评标价平均值与</w:t>
            </w:r>
            <w:r>
              <w:rPr>
                <w:rFonts w:hint="eastAsia" w:ascii="宋体" w:hAnsi="宋体" w:eastAsia="宋体" w:cs="宋体"/>
                <w:color w:val="000000"/>
                <w:szCs w:val="21"/>
                <w:highlight w:val="none"/>
                <w:lang w:val="en-US" w:eastAsia="zh-CN"/>
              </w:rPr>
              <w:t>评标价</w:t>
            </w:r>
            <w:r>
              <w:rPr>
                <w:rFonts w:hint="eastAsia" w:ascii="宋体" w:hAnsi="宋体" w:eastAsia="宋体" w:cs="宋体"/>
                <w:color w:val="000000"/>
                <w:szCs w:val="21"/>
                <w:highlight w:val="none"/>
                <w:lang w:val="zh-CN"/>
              </w:rPr>
              <w:t>中位数的平均值作为评标基准价。中位数：</w:t>
            </w:r>
            <w:r>
              <w:rPr>
                <w:rFonts w:hint="eastAsia" w:ascii="宋体" w:hAnsi="宋体" w:eastAsia="宋体" w:cs="宋体"/>
                <w:color w:val="000000"/>
                <w:szCs w:val="22"/>
                <w:highlight w:val="none"/>
              </w:rPr>
              <w:t>除按第二章“投标人须知”第5.2.4项规定开标现场被宣布为不进入评标基准价计算的投标报价之外</w:t>
            </w:r>
            <w:r>
              <w:rPr>
                <w:rFonts w:hint="eastAsia" w:ascii="宋体" w:hAnsi="宋体" w:eastAsia="宋体" w:cs="宋体"/>
                <w:color w:val="000000"/>
                <w:szCs w:val="21"/>
                <w:highlight w:val="none"/>
                <w:lang w:val="zh-CN"/>
              </w:rPr>
              <w:t>所有评标价按高低排序后找出正中间的一个作为中位数。如果评标价有偶数个，取最中间的两个数值的平均值作为中位数（平均值均保留2位小数）。</w:t>
            </w:r>
          </w:p>
          <w:p w14:paraId="534653DB">
            <w:pPr>
              <w:keepNext w:val="0"/>
              <w:keepLines w:val="0"/>
              <w:pageBreakBefore w:val="0"/>
              <w:widowControl w:val="0"/>
              <w:kinsoku/>
              <w:wordWrap/>
              <w:overflowPunct/>
              <w:topLinePunct w:val="0"/>
              <w:autoSpaceDE/>
              <w:autoSpaceDN/>
              <w:bidi w:val="0"/>
              <w:adjustRightInd/>
              <w:snapToGrid w:val="0"/>
              <w:spacing w:line="320" w:lineRule="exact"/>
              <w:ind w:right="113" w:firstLine="426" w:firstLineChars="203"/>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评标基准价保留小数点后两位，小数点后第三位四舍五入。</w:t>
            </w:r>
          </w:p>
          <w:p w14:paraId="6E3D9B3B">
            <w:pPr>
              <w:keepNext w:val="0"/>
              <w:keepLines w:val="0"/>
              <w:pageBreakBefore w:val="0"/>
              <w:widowControl w:val="0"/>
              <w:kinsoku/>
              <w:wordWrap/>
              <w:overflowPunct/>
              <w:topLinePunct w:val="0"/>
              <w:autoSpaceDE/>
              <w:autoSpaceDN/>
              <w:bidi w:val="0"/>
              <w:adjustRightInd/>
              <w:snapToGrid w:val="0"/>
              <w:spacing w:line="320" w:lineRule="exact"/>
              <w:ind w:left="21" w:leftChars="10" w:right="0" w:rightChars="0" w:firstLine="420" w:firstLineChars="200"/>
              <w:jc w:val="both"/>
              <w:textAlignment w:val="auto"/>
              <w:rPr>
                <w:rFonts w:hint="eastAsia" w:ascii="宋体" w:hAnsi="宋体" w:eastAsia="宋体" w:cs="宋体"/>
                <w:color w:val="000000"/>
                <w:szCs w:val="22"/>
                <w:highlight w:val="none"/>
              </w:rPr>
            </w:pPr>
            <w:r>
              <w:rPr>
                <w:rFonts w:hint="eastAsia" w:ascii="宋体" w:hAnsi="宋体" w:eastAsia="宋体" w:cs="宋体"/>
                <w:color w:val="000000"/>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r>
              <w:rPr>
                <w:rFonts w:hint="eastAsia" w:ascii="宋体" w:hAnsi="宋体" w:eastAsia="宋体" w:cs="宋体"/>
                <w:color w:val="000000"/>
                <w:szCs w:val="22"/>
                <w:highlight w:val="none"/>
              </w:rPr>
              <w:t>。</w:t>
            </w:r>
          </w:p>
        </w:tc>
      </w:tr>
      <w:tr w14:paraId="416F5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960" w:type="dxa"/>
          </w:tcPr>
          <w:p w14:paraId="567083FF">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000000"/>
                <w:sz w:val="21"/>
                <w:szCs w:val="21"/>
                <w:highlight w:val="none"/>
              </w:rPr>
            </w:pPr>
          </w:p>
          <w:p w14:paraId="3E75B0FF">
            <w:pPr>
              <w:keepNext w:val="0"/>
              <w:keepLines w:val="0"/>
              <w:pageBreakBefore w:val="0"/>
              <w:widowControl w:val="0"/>
              <w:kinsoku/>
              <w:wordWrap/>
              <w:overflowPunct/>
              <w:topLinePunct w:val="0"/>
              <w:bidi w:val="0"/>
              <w:adjustRightInd/>
              <w:snapToGrid/>
              <w:spacing w:line="320" w:lineRule="exact"/>
              <w:ind w:left="0" w:right="0" w:rightChars="0" w:firstLine="210" w:firstLineChars="100"/>
              <w:jc w:val="both"/>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2.2.3</w:t>
            </w:r>
          </w:p>
        </w:tc>
        <w:tc>
          <w:tcPr>
            <w:tcW w:w="1209" w:type="dxa"/>
          </w:tcPr>
          <w:p w14:paraId="6C2BDA52">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投标报价的偏差率计算公式</w:t>
            </w:r>
          </w:p>
        </w:tc>
        <w:tc>
          <w:tcPr>
            <w:tcW w:w="7512" w:type="dxa"/>
            <w:gridSpan w:val="2"/>
            <w:vAlign w:val="center"/>
          </w:tcPr>
          <w:p w14:paraId="003379D7">
            <w:pPr>
              <w:adjustRightInd w:val="0"/>
              <w:snapToGrid w:val="0"/>
              <w:spacing w:line="300" w:lineRule="auto"/>
              <w:rPr>
                <w:rFonts w:hint="eastAsia" w:ascii="宋体" w:hAnsi="宋体" w:eastAsia="宋体" w:cs="宋体"/>
                <w:color w:val="000000"/>
                <w:sz w:val="21"/>
                <w:szCs w:val="21"/>
                <w:highlight w:val="none"/>
                <w:lang w:eastAsia="zh-CN"/>
              </w:rPr>
            </w:pPr>
            <w:r>
              <w:rPr>
                <w:rFonts w:hint="eastAsia" w:ascii="宋体" w:hAnsi="宋体" w:eastAsia="宋体" w:cs="Times New Roman"/>
                <w:color w:val="000000"/>
                <w:szCs w:val="22"/>
                <w:highlight w:val="none"/>
              </w:rPr>
              <w:t>偏差率</w:t>
            </w:r>
            <w:r>
              <w:rPr>
                <w:rFonts w:ascii="宋体" w:hAnsi="宋体" w:eastAsia="宋体" w:cs="Times New Roman"/>
                <w:color w:val="000000"/>
                <w:szCs w:val="22"/>
                <w:highlight w:val="none"/>
              </w:rPr>
              <w:t>=100%×（投标人评标价-评标基准价）/评标基准价</w:t>
            </w:r>
          </w:p>
        </w:tc>
      </w:tr>
      <w:tr w14:paraId="6264E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960" w:type="dxa"/>
            <w:vAlign w:val="center"/>
          </w:tcPr>
          <w:p w14:paraId="0FDE8751">
            <w:pPr>
              <w:keepNext w:val="0"/>
              <w:keepLines w:val="0"/>
              <w:pageBreakBefore w:val="0"/>
              <w:widowControl w:val="0"/>
              <w:kinsoku/>
              <w:wordWrap/>
              <w:overflowPunct/>
              <w:topLinePunct w:val="0"/>
              <w:bidi w:val="0"/>
              <w:adjustRightInd/>
              <w:snapToGrid/>
              <w:spacing w:line="320" w:lineRule="exact"/>
              <w:ind w:left="0" w:right="0" w:rightChars="0" w:firstLine="210" w:firstLineChars="100"/>
              <w:jc w:val="both"/>
              <w:textAlignment w:val="auto"/>
              <w:rPr>
                <w:rFonts w:hint="eastAsia" w:ascii="宋体" w:hAnsi="宋体" w:eastAsia="宋体" w:cs="宋体"/>
                <w:color w:val="000000"/>
                <w:sz w:val="21"/>
                <w:szCs w:val="21"/>
                <w:highlight w:val="none"/>
                <w:lang w:eastAsia="en-US"/>
              </w:rPr>
            </w:pPr>
            <w:r>
              <w:rPr>
                <w:rFonts w:hint="eastAsia" w:ascii="宋体" w:hAnsi="宋体" w:eastAsia="宋体" w:cs="宋体"/>
                <w:snapToGrid w:val="0"/>
                <w:color w:val="000000"/>
                <w:kern w:val="0"/>
                <w:sz w:val="21"/>
                <w:szCs w:val="21"/>
                <w:highlight w:val="none"/>
              </w:rPr>
              <w:t>3.</w:t>
            </w:r>
            <w:r>
              <w:rPr>
                <w:rFonts w:hint="eastAsia" w:ascii="宋体" w:hAnsi="宋体" w:eastAsia="宋体" w:cs="宋体"/>
                <w:snapToGrid w:val="0"/>
                <w:color w:val="000000"/>
                <w:kern w:val="0"/>
                <w:sz w:val="21"/>
                <w:szCs w:val="21"/>
                <w:highlight w:val="none"/>
                <w:lang w:val="en-US" w:eastAsia="zh-CN"/>
              </w:rPr>
              <w:t>2.4</w:t>
            </w:r>
          </w:p>
        </w:tc>
        <w:tc>
          <w:tcPr>
            <w:tcW w:w="8721" w:type="dxa"/>
            <w:gridSpan w:val="3"/>
            <w:vAlign w:val="center"/>
          </w:tcPr>
          <w:p w14:paraId="676E195C">
            <w:pPr>
              <w:keepNext w:val="0"/>
              <w:keepLines w:val="0"/>
              <w:pageBreakBefore w:val="0"/>
              <w:widowControl w:val="0"/>
              <w:kinsoku/>
              <w:wordWrap/>
              <w:overflowPunct/>
              <w:topLinePunct w:val="0"/>
              <w:bidi w:val="0"/>
              <w:adjustRightInd/>
              <w:snapToGrid/>
              <w:spacing w:line="320" w:lineRule="exact"/>
              <w:ind w:left="0" w:right="0" w:rightChars="0"/>
              <w:jc w:val="left"/>
              <w:textAlignment w:val="auto"/>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本款修改为：</w:t>
            </w:r>
          </w:p>
          <w:p w14:paraId="32EBAFA4">
            <w:pPr>
              <w:keepNext w:val="0"/>
              <w:keepLines w:val="0"/>
              <w:pageBreakBefore w:val="0"/>
              <w:widowControl w:val="0"/>
              <w:kinsoku/>
              <w:wordWrap/>
              <w:overflowPunct/>
              <w:topLinePunct w:val="0"/>
              <w:bidi w:val="0"/>
              <w:adjustRightInd/>
              <w:snapToGrid/>
              <w:spacing w:line="320" w:lineRule="exact"/>
              <w:ind w:left="0" w:right="0" w:rightChars="0"/>
              <w:jc w:val="left"/>
              <w:textAlignment w:val="auto"/>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存在投标人须知前附表3.2.</w:t>
            </w:r>
            <w:r>
              <w:rPr>
                <w:rFonts w:hint="eastAsia" w:ascii="宋体" w:hAnsi="宋体" w:eastAsia="宋体" w:cs="Times New Roman"/>
                <w:color w:val="000000"/>
                <w:sz w:val="21"/>
                <w:szCs w:val="21"/>
                <w:highlight w:val="none"/>
                <w:lang w:val="en-US" w:eastAsia="zh-CN"/>
              </w:rPr>
              <w:t>5（2）</w:t>
            </w:r>
            <w:r>
              <w:rPr>
                <w:rFonts w:hint="eastAsia" w:ascii="宋体" w:hAnsi="宋体" w:eastAsia="宋体" w:cs="Times New Roman"/>
                <w:color w:val="000000"/>
                <w:sz w:val="21"/>
                <w:szCs w:val="21"/>
                <w:highlight w:val="none"/>
              </w:rPr>
              <w:t>项情形的应当要求该投标人</w:t>
            </w:r>
            <w:r>
              <w:rPr>
                <w:rFonts w:hint="eastAsia" w:ascii="宋体" w:hAnsi="宋体" w:eastAsia="宋体" w:cs="Times New Roman"/>
                <w:color w:val="000000"/>
                <w:sz w:val="21"/>
                <w:szCs w:val="21"/>
                <w:highlight w:val="none"/>
                <w:lang w:val="en-US" w:eastAsia="zh-CN"/>
              </w:rPr>
              <w:t>可在规定时间内</w:t>
            </w:r>
            <w:r>
              <w:rPr>
                <w:rFonts w:hint="eastAsia" w:ascii="宋体" w:hAnsi="宋体" w:eastAsia="宋体" w:cs="Times New Roman"/>
                <w:color w:val="000000"/>
                <w:sz w:val="21"/>
                <w:szCs w:val="21"/>
                <w:highlight w:val="none"/>
              </w:rPr>
              <w:t>作出书面说明并提供相应的证明材料。投标人不能合理说明或者不能提供相应证明材料的，评标委员会应当认定该投标人以低于成本或影响履约的异常低价竞标，否决其投标。</w:t>
            </w:r>
          </w:p>
        </w:tc>
      </w:tr>
      <w:tr w14:paraId="333CA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169" w:type="dxa"/>
            <w:gridSpan w:val="2"/>
            <w:vAlign w:val="center"/>
          </w:tcPr>
          <w:p w14:paraId="2E52F50C">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000000"/>
                <w:sz w:val="21"/>
                <w:szCs w:val="21"/>
                <w:highlight w:val="none"/>
                <w:lang w:eastAsia="en-US"/>
              </w:rPr>
            </w:pPr>
            <w:r>
              <w:rPr>
                <w:rFonts w:hint="eastAsia" w:ascii="宋体" w:hAnsi="宋体" w:eastAsia="宋体" w:cs="宋体"/>
                <w:b/>
                <w:color w:val="000000"/>
                <w:sz w:val="21"/>
                <w:szCs w:val="21"/>
                <w:highlight w:val="none"/>
                <w:lang w:eastAsia="en-US"/>
              </w:rPr>
              <w:t>条款号</w:t>
            </w:r>
          </w:p>
        </w:tc>
        <w:tc>
          <w:tcPr>
            <w:tcW w:w="1947" w:type="dxa"/>
            <w:tcBorders>
              <w:right w:val="single" w:color="auto" w:sz="4" w:space="0"/>
            </w:tcBorders>
            <w:vAlign w:val="center"/>
          </w:tcPr>
          <w:p w14:paraId="7943C0F5">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000000"/>
                <w:sz w:val="21"/>
                <w:szCs w:val="21"/>
                <w:highlight w:val="none"/>
                <w:lang w:eastAsia="en-US"/>
              </w:rPr>
            </w:pPr>
            <w:r>
              <w:rPr>
                <w:rFonts w:hint="eastAsia" w:ascii="宋体" w:hAnsi="宋体" w:eastAsia="宋体" w:cs="宋体"/>
                <w:b/>
                <w:color w:val="000000"/>
                <w:sz w:val="21"/>
                <w:szCs w:val="21"/>
                <w:highlight w:val="none"/>
                <w:lang w:eastAsia="en-US"/>
              </w:rPr>
              <w:t>评分因素（偏差率）</w:t>
            </w:r>
          </w:p>
        </w:tc>
        <w:tc>
          <w:tcPr>
            <w:tcW w:w="5565" w:type="dxa"/>
            <w:tcBorders>
              <w:left w:val="single" w:color="auto" w:sz="4" w:space="0"/>
            </w:tcBorders>
            <w:vAlign w:val="center"/>
          </w:tcPr>
          <w:p w14:paraId="158AF107">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000000"/>
                <w:sz w:val="21"/>
                <w:szCs w:val="21"/>
                <w:highlight w:val="none"/>
                <w:lang w:eastAsia="en-US"/>
              </w:rPr>
            </w:pPr>
            <w:r>
              <w:rPr>
                <w:rFonts w:hint="eastAsia" w:ascii="宋体" w:hAnsi="宋体" w:eastAsia="宋体" w:cs="宋体"/>
                <w:b/>
                <w:color w:val="000000"/>
                <w:sz w:val="21"/>
                <w:szCs w:val="21"/>
                <w:highlight w:val="none"/>
                <w:lang w:eastAsia="en-US"/>
              </w:rPr>
              <w:t>评分标准</w:t>
            </w:r>
          </w:p>
        </w:tc>
      </w:tr>
      <w:tr w14:paraId="0BEF3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960" w:type="dxa"/>
            <w:vAlign w:val="center"/>
          </w:tcPr>
          <w:p w14:paraId="1694ABC7">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2.2.4</w:t>
            </w:r>
          </w:p>
          <w:p w14:paraId="4ABDFCA2">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（1）</w:t>
            </w:r>
          </w:p>
        </w:tc>
        <w:tc>
          <w:tcPr>
            <w:tcW w:w="1209" w:type="dxa"/>
            <w:vAlign w:val="center"/>
          </w:tcPr>
          <w:p w14:paraId="713830DD">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商务部分</w:t>
            </w:r>
            <w:r>
              <w:rPr>
                <w:rFonts w:hint="eastAsia" w:ascii="宋体" w:hAnsi="宋体" w:eastAsia="宋体" w:cs="宋体"/>
                <w:color w:val="000000"/>
                <w:sz w:val="21"/>
                <w:szCs w:val="21"/>
                <w:highlight w:val="none"/>
                <w:lang w:eastAsia="en-US"/>
              </w:rPr>
              <w:t>评分标准</w:t>
            </w:r>
            <w:r>
              <w:rPr>
                <w:rFonts w:hint="default"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0分</w:t>
            </w:r>
          </w:p>
        </w:tc>
        <w:tc>
          <w:tcPr>
            <w:tcW w:w="1947" w:type="dxa"/>
            <w:tcBorders>
              <w:right w:val="single" w:color="auto" w:sz="4" w:space="0"/>
            </w:tcBorders>
            <w:vAlign w:val="center"/>
          </w:tcPr>
          <w:p w14:paraId="5E749A96">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业绩</w:t>
            </w:r>
          </w:p>
          <w:p w14:paraId="23542B51">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i/>
                <w:color w:val="000000"/>
                <w:kern w:val="2"/>
                <w:sz w:val="21"/>
                <w:szCs w:val="21"/>
                <w:highlight w:val="none"/>
                <w:lang w:eastAsia="zh-CN"/>
              </w:rPr>
            </w:pPr>
            <w:r>
              <w:rPr>
                <w:rFonts w:hint="eastAsia" w:ascii="宋体" w:hAnsi="宋体" w:eastAsia="宋体" w:cs="宋体"/>
                <w:color w:val="000000"/>
                <w:kern w:val="2"/>
                <w:sz w:val="21"/>
                <w:szCs w:val="21"/>
                <w:highlight w:val="none"/>
                <w:lang w:val="en-US" w:eastAsia="zh-CN"/>
              </w:rPr>
              <w:t>（</w:t>
            </w:r>
            <w:r>
              <w:rPr>
                <w:rFonts w:hint="default" w:ascii="宋体" w:hAnsi="宋体" w:eastAsia="宋体" w:cs="宋体"/>
                <w:color w:val="000000"/>
                <w:kern w:val="2"/>
                <w:sz w:val="21"/>
                <w:szCs w:val="21"/>
                <w:highlight w:val="none"/>
                <w:lang w:val="en-US" w:eastAsia="zh-CN"/>
              </w:rPr>
              <w:t>2</w:t>
            </w:r>
            <w:r>
              <w:rPr>
                <w:rFonts w:hint="eastAsia" w:ascii="宋体" w:hAnsi="宋体" w:eastAsia="宋体" w:cs="宋体"/>
                <w:color w:val="000000"/>
                <w:kern w:val="2"/>
                <w:sz w:val="21"/>
                <w:szCs w:val="21"/>
                <w:highlight w:val="none"/>
                <w:lang w:val="en-US" w:eastAsia="zh-CN"/>
              </w:rPr>
              <w:t>0</w:t>
            </w:r>
            <w:r>
              <w:rPr>
                <w:rFonts w:hint="eastAsia" w:ascii="宋体" w:hAnsi="宋体" w:eastAsia="宋体" w:cs="宋体"/>
                <w:color w:val="000000"/>
                <w:kern w:val="2"/>
                <w:sz w:val="21"/>
                <w:szCs w:val="21"/>
                <w:highlight w:val="none"/>
              </w:rPr>
              <w:t>分</w:t>
            </w:r>
            <w:r>
              <w:rPr>
                <w:rFonts w:hint="eastAsia" w:ascii="宋体" w:hAnsi="宋体" w:eastAsia="宋体" w:cs="宋体"/>
                <w:color w:val="000000"/>
                <w:kern w:val="2"/>
                <w:sz w:val="21"/>
                <w:szCs w:val="21"/>
                <w:highlight w:val="none"/>
                <w:lang w:eastAsia="zh-CN"/>
              </w:rPr>
              <w:t>）</w:t>
            </w:r>
          </w:p>
        </w:tc>
        <w:tc>
          <w:tcPr>
            <w:tcW w:w="5565" w:type="dxa"/>
            <w:tcBorders>
              <w:left w:val="single" w:color="auto" w:sz="4" w:space="0"/>
            </w:tcBorders>
            <w:vAlign w:val="center"/>
          </w:tcPr>
          <w:p w14:paraId="5CF4A13B">
            <w:pPr>
              <w:keepNext w:val="0"/>
              <w:keepLines w:val="0"/>
              <w:pageBreakBefore w:val="0"/>
              <w:widowControl w:val="0"/>
              <w:kinsoku/>
              <w:wordWrap/>
              <w:overflowPunct w:val="0"/>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000000"/>
                <w:kern w:val="21"/>
                <w:sz w:val="21"/>
                <w:szCs w:val="21"/>
                <w:highlight w:val="none"/>
              </w:rPr>
            </w:pPr>
            <w:r>
              <w:rPr>
                <w:rFonts w:ascii="宋体" w:hAnsi="宋体" w:eastAsia="宋体" w:cs="宋体"/>
                <w:color w:val="000000"/>
                <w:kern w:val="21"/>
                <w:sz w:val="21"/>
                <w:szCs w:val="21"/>
                <w:highlight w:val="none"/>
              </w:rPr>
              <w:t>1</w:t>
            </w:r>
            <w:r>
              <w:rPr>
                <w:rFonts w:hint="eastAsia" w:ascii="宋体" w:hAnsi="宋体" w:eastAsia="宋体" w:cs="宋体"/>
                <w:color w:val="000000"/>
                <w:kern w:val="21"/>
                <w:sz w:val="21"/>
                <w:szCs w:val="21"/>
                <w:highlight w:val="none"/>
                <w:lang w:val="en-US" w:eastAsia="zh-CN"/>
              </w:rPr>
              <w:t>.</w:t>
            </w:r>
            <w:r>
              <w:rPr>
                <w:rFonts w:ascii="宋体" w:hAnsi="宋体" w:eastAsia="宋体" w:cs="宋体"/>
                <w:color w:val="000000"/>
                <w:kern w:val="21"/>
                <w:sz w:val="21"/>
                <w:szCs w:val="21"/>
                <w:highlight w:val="none"/>
              </w:rPr>
              <w:t>满足资格审查最低条件（业绩最低要求）的，得</w:t>
            </w:r>
            <w:r>
              <w:rPr>
                <w:rFonts w:hint="eastAsia" w:ascii="宋体" w:hAnsi="宋体" w:eastAsia="宋体" w:cs="宋体"/>
                <w:color w:val="000000"/>
                <w:kern w:val="21"/>
                <w:sz w:val="21"/>
                <w:szCs w:val="21"/>
                <w:highlight w:val="none"/>
                <w:lang w:val="en-US" w:eastAsia="zh-CN"/>
              </w:rPr>
              <w:t>12</w:t>
            </w:r>
            <w:r>
              <w:rPr>
                <w:rFonts w:hint="eastAsia" w:ascii="宋体" w:hAnsi="宋体" w:eastAsia="宋体" w:cs="宋体"/>
                <w:color w:val="000000"/>
                <w:kern w:val="21"/>
                <w:sz w:val="21"/>
                <w:szCs w:val="21"/>
                <w:highlight w:val="none"/>
              </w:rPr>
              <w:t>分；</w:t>
            </w:r>
          </w:p>
          <w:p w14:paraId="0E787A97">
            <w:pPr>
              <w:keepNext w:val="0"/>
              <w:keepLines w:val="0"/>
              <w:pageBreakBefore w:val="0"/>
              <w:widowControl w:val="0"/>
              <w:kinsoku/>
              <w:wordWrap/>
              <w:overflowPunct w:val="0"/>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000000"/>
                <w:kern w:val="21"/>
                <w:sz w:val="21"/>
                <w:szCs w:val="21"/>
                <w:highlight w:val="none"/>
              </w:rPr>
            </w:pPr>
            <w:r>
              <w:rPr>
                <w:rFonts w:ascii="宋体" w:hAnsi="宋体" w:eastAsia="宋体" w:cs="宋体"/>
                <w:color w:val="000000"/>
                <w:kern w:val="21"/>
                <w:sz w:val="21"/>
                <w:szCs w:val="21"/>
                <w:highlight w:val="none"/>
              </w:rPr>
              <w:t>2</w:t>
            </w:r>
            <w:r>
              <w:rPr>
                <w:rFonts w:hint="eastAsia" w:ascii="宋体" w:hAnsi="宋体" w:eastAsia="宋体" w:cs="宋体"/>
                <w:color w:val="000000"/>
                <w:kern w:val="21"/>
                <w:sz w:val="21"/>
                <w:szCs w:val="21"/>
                <w:highlight w:val="none"/>
                <w:lang w:eastAsia="zh-CN"/>
              </w:rPr>
              <w:t>.</w:t>
            </w:r>
            <w:r>
              <w:rPr>
                <w:rFonts w:hint="eastAsia" w:ascii="宋体" w:hAnsi="宋体" w:eastAsia="宋体" w:cs="宋体"/>
                <w:b w:val="0"/>
                <w:bCs w:val="0"/>
                <w:color w:val="000000"/>
                <w:sz w:val="21"/>
                <w:szCs w:val="21"/>
                <w:highlight w:val="none"/>
                <w:shd w:val="clear" w:color="auto" w:fill="FFFFFF"/>
              </w:rPr>
              <w:t>近</w:t>
            </w:r>
            <w:r>
              <w:rPr>
                <w:rFonts w:hint="eastAsia" w:ascii="宋体" w:hAnsi="宋体" w:eastAsia="宋体" w:cs="宋体"/>
                <w:b w:val="0"/>
                <w:bCs w:val="0"/>
                <w:color w:val="000000"/>
                <w:sz w:val="21"/>
                <w:szCs w:val="21"/>
                <w:highlight w:val="none"/>
                <w:shd w:val="clear" w:color="auto" w:fill="FFFFFF"/>
                <w:lang w:val="en-US" w:eastAsia="zh-CN"/>
              </w:rPr>
              <w:t>3</w:t>
            </w:r>
            <w:r>
              <w:rPr>
                <w:rFonts w:hint="eastAsia" w:ascii="宋体" w:hAnsi="宋体" w:eastAsia="宋体" w:cs="宋体"/>
                <w:b w:val="0"/>
                <w:bCs w:val="0"/>
                <w:color w:val="000000"/>
                <w:sz w:val="21"/>
                <w:szCs w:val="21"/>
                <w:highlight w:val="none"/>
                <w:shd w:val="clear" w:color="auto" w:fill="FFFFFF"/>
              </w:rPr>
              <w:t>年（202</w:t>
            </w:r>
            <w:r>
              <w:rPr>
                <w:rFonts w:hint="eastAsia" w:ascii="宋体" w:hAnsi="宋体" w:eastAsia="宋体" w:cs="宋体"/>
                <w:b w:val="0"/>
                <w:bCs w:val="0"/>
                <w:color w:val="000000"/>
                <w:sz w:val="21"/>
                <w:szCs w:val="21"/>
                <w:highlight w:val="none"/>
                <w:shd w:val="clear" w:color="auto" w:fill="FFFFFF"/>
                <w:lang w:val="en-US" w:eastAsia="zh-CN"/>
              </w:rPr>
              <w:t>3</w:t>
            </w:r>
            <w:r>
              <w:rPr>
                <w:rFonts w:hint="eastAsia" w:ascii="宋体" w:hAnsi="宋体" w:eastAsia="宋体" w:cs="宋体"/>
                <w:b w:val="0"/>
                <w:bCs w:val="0"/>
                <w:color w:val="000000"/>
                <w:sz w:val="21"/>
                <w:szCs w:val="21"/>
                <w:highlight w:val="none"/>
                <w:shd w:val="clear" w:color="auto" w:fill="FFFFFF"/>
              </w:rPr>
              <w:t>年</w:t>
            </w:r>
            <w:r>
              <w:rPr>
                <w:rFonts w:hint="eastAsia" w:ascii="宋体" w:hAnsi="宋体" w:eastAsia="宋体" w:cs="宋体"/>
                <w:b w:val="0"/>
                <w:bCs w:val="0"/>
                <w:color w:val="000000"/>
                <w:sz w:val="21"/>
                <w:szCs w:val="21"/>
                <w:highlight w:val="none"/>
                <w:shd w:val="clear" w:color="auto" w:fill="FFFFFF"/>
                <w:lang w:val="en-US" w:eastAsia="zh-CN"/>
              </w:rPr>
              <w:t>6月</w:t>
            </w:r>
            <w:r>
              <w:rPr>
                <w:rFonts w:hint="eastAsia" w:ascii="宋体" w:hAnsi="宋体" w:eastAsia="宋体" w:cs="宋体"/>
                <w:b w:val="0"/>
                <w:bCs w:val="0"/>
                <w:color w:val="000000"/>
                <w:sz w:val="21"/>
                <w:szCs w:val="21"/>
                <w:highlight w:val="none"/>
                <w:shd w:val="clear" w:color="auto" w:fill="FFFFFF"/>
              </w:rPr>
              <w:t>1日至今，以合同签订时间为准）</w:t>
            </w:r>
            <w:r>
              <w:rPr>
                <w:rFonts w:hint="eastAsia" w:ascii="宋体" w:hAnsi="宋体" w:eastAsia="宋体" w:cs="宋体"/>
                <w:b w:val="0"/>
                <w:bCs w:val="0"/>
                <w:color w:val="000000"/>
                <w:sz w:val="21"/>
                <w:szCs w:val="21"/>
                <w:highlight w:val="none"/>
                <w:shd w:val="clear" w:color="auto" w:fill="FFFFFF"/>
                <w:lang w:eastAsia="zh-CN"/>
              </w:rPr>
              <w:t>，</w:t>
            </w:r>
            <w:r>
              <w:rPr>
                <w:rFonts w:hint="eastAsia" w:ascii="宋体" w:hAnsi="宋体" w:eastAsia="宋体" w:cs="宋体"/>
                <w:b w:val="0"/>
                <w:bCs w:val="0"/>
                <w:color w:val="000000"/>
                <w:sz w:val="21"/>
                <w:szCs w:val="21"/>
                <w:highlight w:val="none"/>
                <w:shd w:val="clear" w:color="auto" w:fill="FFFFFF"/>
                <w:lang w:val="en-US" w:eastAsia="zh-CN"/>
              </w:rPr>
              <w:t>每</w:t>
            </w:r>
            <w:r>
              <w:rPr>
                <w:rFonts w:hint="eastAsia" w:ascii="宋体" w:hAnsi="宋体" w:eastAsia="宋体" w:cs="宋体"/>
                <w:b w:val="0"/>
                <w:bCs w:val="0"/>
                <w:color w:val="000000"/>
                <w:sz w:val="21"/>
                <w:szCs w:val="21"/>
                <w:highlight w:val="none"/>
                <w:shd w:val="clear" w:color="auto" w:fill="FFFFFF"/>
              </w:rPr>
              <w:t>累计</w:t>
            </w:r>
            <w:r>
              <w:rPr>
                <w:rFonts w:hint="eastAsia" w:ascii="宋体" w:hAnsi="宋体" w:eastAsia="宋体" w:cs="宋体"/>
                <w:b w:val="0"/>
                <w:bCs w:val="0"/>
                <w:color w:val="000000"/>
                <w:sz w:val="21"/>
                <w:szCs w:val="21"/>
                <w:highlight w:val="none"/>
                <w:shd w:val="clear" w:color="auto" w:fill="FFFFFF"/>
                <w:lang w:val="en-US" w:eastAsia="zh-CN"/>
              </w:rPr>
              <w:t>增加4.5万吨</w:t>
            </w:r>
            <w:r>
              <w:rPr>
                <w:rFonts w:hint="eastAsia" w:ascii="宋体" w:hAnsi="宋体" w:eastAsia="宋体" w:cs="宋体"/>
                <w:b w:val="0"/>
                <w:bCs/>
                <w:color w:val="000000"/>
                <w:kern w:val="0"/>
                <w:sz w:val="21"/>
                <w:szCs w:val="21"/>
                <w:highlight w:val="none"/>
                <w:shd w:val="clear" w:color="auto" w:fill="FFFFFF"/>
                <w:lang w:val="en-US" w:eastAsia="zh-CN" w:bidi="ar-SA"/>
              </w:rPr>
              <w:t>沥青供货业绩</w:t>
            </w:r>
            <w:r>
              <w:rPr>
                <w:rFonts w:hint="eastAsia" w:ascii="宋体" w:hAnsi="宋体" w:eastAsia="宋体" w:cs="宋体"/>
                <w:color w:val="000000"/>
                <w:kern w:val="21"/>
                <w:sz w:val="21"/>
                <w:szCs w:val="21"/>
                <w:highlight w:val="none"/>
                <w:lang w:val="en-US" w:eastAsia="zh-CN"/>
              </w:rPr>
              <w:t>加4分，最多加8分</w:t>
            </w:r>
            <w:r>
              <w:rPr>
                <w:rFonts w:hint="eastAsia" w:ascii="宋体" w:hAnsi="宋体" w:eastAsia="宋体" w:cs="宋体"/>
                <w:color w:val="000000"/>
                <w:kern w:val="21"/>
                <w:sz w:val="21"/>
                <w:szCs w:val="21"/>
                <w:highlight w:val="none"/>
              </w:rPr>
              <w:t>。</w:t>
            </w:r>
          </w:p>
        </w:tc>
      </w:tr>
      <w:tr w14:paraId="61DA8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60" w:type="dxa"/>
            <w:vMerge w:val="restart"/>
            <w:vAlign w:val="center"/>
          </w:tcPr>
          <w:p w14:paraId="0B0C3359">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2.2.4</w:t>
            </w:r>
          </w:p>
          <w:p w14:paraId="377A208E">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（2）</w:t>
            </w:r>
          </w:p>
        </w:tc>
        <w:tc>
          <w:tcPr>
            <w:tcW w:w="1209" w:type="dxa"/>
            <w:vMerge w:val="restart"/>
            <w:vAlign w:val="center"/>
          </w:tcPr>
          <w:p w14:paraId="1C554469">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技术部分</w:t>
            </w:r>
            <w:r>
              <w:rPr>
                <w:rFonts w:hint="eastAsia" w:ascii="宋体" w:hAnsi="宋体" w:eastAsia="宋体" w:cs="宋体"/>
                <w:color w:val="000000"/>
                <w:sz w:val="21"/>
                <w:szCs w:val="21"/>
                <w:highlight w:val="none"/>
                <w:lang w:eastAsia="en-US"/>
              </w:rPr>
              <w:t>评分标准</w:t>
            </w:r>
            <w:r>
              <w:rPr>
                <w:rFonts w:hint="eastAsia" w:ascii="宋体" w:hAnsi="宋体" w:eastAsia="宋体" w:cs="宋体"/>
                <w:color w:val="000000"/>
                <w:sz w:val="21"/>
                <w:szCs w:val="21"/>
                <w:highlight w:val="none"/>
                <w:lang w:val="en-US" w:eastAsia="zh-CN"/>
              </w:rPr>
              <w:t>30分</w:t>
            </w:r>
          </w:p>
        </w:tc>
        <w:tc>
          <w:tcPr>
            <w:tcW w:w="1947" w:type="dxa"/>
            <w:vMerge w:val="restart"/>
            <w:tcBorders>
              <w:right w:val="single" w:color="auto" w:sz="4" w:space="0"/>
            </w:tcBorders>
            <w:vAlign w:val="center"/>
          </w:tcPr>
          <w:p w14:paraId="362D7A55">
            <w:pPr>
              <w:widowControl w:val="0"/>
              <w:snapToGrid w:val="0"/>
              <w:spacing w:line="320" w:lineRule="exac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en-US" w:bidi="ar-SA"/>
              </w:rPr>
              <w:t>对投标材料整体评价</w:t>
            </w:r>
            <w:r>
              <w:rPr>
                <w:rFonts w:hint="eastAsia" w:ascii="宋体" w:hAnsi="宋体" w:eastAsia="宋体" w:cs="宋体"/>
                <w:color w:val="000000"/>
                <w:kern w:val="0"/>
                <w:sz w:val="21"/>
                <w:szCs w:val="21"/>
                <w:highlight w:val="none"/>
                <w:lang w:val="en-US" w:eastAsia="zh-CN" w:bidi="ar-SA"/>
              </w:rPr>
              <w:t>（</w:t>
            </w:r>
            <w:r>
              <w:rPr>
                <w:rFonts w:hint="eastAsia" w:ascii="宋体" w:hAnsi="宋体" w:eastAsia="宋体" w:cs="宋体"/>
                <w:color w:val="000000"/>
                <w:kern w:val="0"/>
                <w:sz w:val="21"/>
                <w:szCs w:val="21"/>
                <w:highlight w:val="none"/>
                <w:lang w:val="en-US" w:eastAsia="en-US" w:bidi="ar-SA"/>
              </w:rPr>
              <w:t>10分</w:t>
            </w:r>
            <w:r>
              <w:rPr>
                <w:rFonts w:hint="eastAsia" w:ascii="宋体" w:hAnsi="宋体" w:eastAsia="宋体" w:cs="宋体"/>
                <w:color w:val="000000"/>
                <w:kern w:val="0"/>
                <w:sz w:val="21"/>
                <w:szCs w:val="21"/>
                <w:highlight w:val="none"/>
                <w:lang w:val="en-US" w:eastAsia="zh-CN" w:bidi="ar-SA"/>
              </w:rPr>
              <w:t>）</w:t>
            </w:r>
          </w:p>
        </w:tc>
        <w:tc>
          <w:tcPr>
            <w:tcW w:w="5565" w:type="dxa"/>
            <w:tcBorders>
              <w:left w:val="single" w:color="auto" w:sz="4" w:space="0"/>
              <w:bottom w:val="single" w:color="auto" w:sz="4" w:space="0"/>
            </w:tcBorders>
            <w:vAlign w:val="center"/>
          </w:tcPr>
          <w:p w14:paraId="64D5071F">
            <w:pPr>
              <w:keepNext w:val="0"/>
              <w:keepLines w:val="0"/>
              <w:widowControl/>
              <w:suppressLineNumbers w:val="0"/>
              <w:jc w:val="both"/>
              <w:textAlignment w:val="center"/>
              <w:rPr>
                <w:rFonts w:hint="eastAsia" w:ascii="宋体" w:hAnsi="宋体" w:eastAsia="宋体" w:cs="宋体"/>
                <w:i/>
                <w:color w:val="000000"/>
                <w:kern w:val="21"/>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满足招标文件要求，整体评价优越，得8～10分</w:t>
            </w:r>
          </w:p>
        </w:tc>
      </w:tr>
      <w:tr w14:paraId="649BA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960" w:type="dxa"/>
            <w:vMerge w:val="continue"/>
            <w:vAlign w:val="center"/>
          </w:tcPr>
          <w:p w14:paraId="3FDF846A">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eastAsia="en-US"/>
              </w:rPr>
            </w:pPr>
          </w:p>
        </w:tc>
        <w:tc>
          <w:tcPr>
            <w:tcW w:w="1209" w:type="dxa"/>
            <w:vMerge w:val="continue"/>
            <w:vAlign w:val="center"/>
          </w:tcPr>
          <w:p w14:paraId="52F73A6C">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val="en-US" w:eastAsia="zh-CN"/>
              </w:rPr>
            </w:pPr>
          </w:p>
        </w:tc>
        <w:tc>
          <w:tcPr>
            <w:tcW w:w="1947" w:type="dxa"/>
            <w:vMerge w:val="continue"/>
            <w:tcBorders>
              <w:right w:val="single" w:color="auto" w:sz="4" w:space="0"/>
            </w:tcBorders>
            <w:vAlign w:val="center"/>
          </w:tcPr>
          <w:p w14:paraId="58684C10">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eastAsia="en-US"/>
              </w:rPr>
            </w:pPr>
          </w:p>
        </w:tc>
        <w:tc>
          <w:tcPr>
            <w:tcW w:w="5565" w:type="dxa"/>
            <w:tcBorders>
              <w:top w:val="single" w:color="auto" w:sz="4" w:space="0"/>
              <w:left w:val="single" w:color="auto" w:sz="4" w:space="0"/>
              <w:bottom w:val="single" w:color="auto" w:sz="4" w:space="0"/>
            </w:tcBorders>
            <w:vAlign w:val="center"/>
          </w:tcPr>
          <w:p w14:paraId="34E6A13C">
            <w:pPr>
              <w:keepNext w:val="0"/>
              <w:keepLines w:val="0"/>
              <w:widowControl/>
              <w:suppressLineNumbers w:val="0"/>
              <w:jc w:val="both"/>
              <w:textAlignment w:val="top"/>
              <w:rPr>
                <w:rFonts w:hint="eastAsia" w:ascii="宋体" w:hAnsi="宋体" w:eastAsia="宋体" w:cs="宋体"/>
                <w:i/>
                <w:color w:val="000000"/>
                <w:kern w:val="21"/>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满足招标文件要求，整体评价较优越，得6～8分</w:t>
            </w:r>
          </w:p>
        </w:tc>
      </w:tr>
      <w:tr w14:paraId="5EF40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960" w:type="dxa"/>
            <w:vMerge w:val="continue"/>
            <w:vAlign w:val="center"/>
          </w:tcPr>
          <w:p w14:paraId="42E09EE9">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eastAsia="en-US"/>
              </w:rPr>
            </w:pPr>
          </w:p>
        </w:tc>
        <w:tc>
          <w:tcPr>
            <w:tcW w:w="1209" w:type="dxa"/>
            <w:vMerge w:val="continue"/>
            <w:vAlign w:val="center"/>
          </w:tcPr>
          <w:p w14:paraId="27AE1D96">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val="en-US" w:eastAsia="zh-CN"/>
              </w:rPr>
            </w:pPr>
          </w:p>
        </w:tc>
        <w:tc>
          <w:tcPr>
            <w:tcW w:w="1947" w:type="dxa"/>
            <w:vMerge w:val="continue"/>
            <w:tcBorders>
              <w:right w:val="single" w:color="auto" w:sz="4" w:space="0"/>
            </w:tcBorders>
            <w:vAlign w:val="center"/>
          </w:tcPr>
          <w:p w14:paraId="7729C551">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eastAsia="en-US"/>
              </w:rPr>
            </w:pPr>
          </w:p>
        </w:tc>
        <w:tc>
          <w:tcPr>
            <w:tcW w:w="5565" w:type="dxa"/>
            <w:tcBorders>
              <w:top w:val="single" w:color="auto" w:sz="4" w:space="0"/>
              <w:left w:val="single" w:color="auto" w:sz="4" w:space="0"/>
            </w:tcBorders>
            <w:vAlign w:val="center"/>
          </w:tcPr>
          <w:p w14:paraId="060B238F">
            <w:pPr>
              <w:keepNext w:val="0"/>
              <w:keepLines w:val="0"/>
              <w:widowControl/>
              <w:suppressLineNumbers w:val="0"/>
              <w:jc w:val="both"/>
              <w:textAlignment w:val="top"/>
              <w:rPr>
                <w:rFonts w:hint="eastAsia" w:ascii="宋体" w:hAnsi="宋体" w:eastAsia="宋体" w:cs="宋体"/>
                <w:i/>
                <w:color w:val="000000"/>
                <w:kern w:val="21"/>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满足招标文件要求，整体评价一般，得6分</w:t>
            </w:r>
          </w:p>
        </w:tc>
      </w:tr>
      <w:tr w14:paraId="7C8A7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960" w:type="dxa"/>
            <w:vMerge w:val="continue"/>
            <w:tcBorders>
              <w:top w:val="nil"/>
            </w:tcBorders>
          </w:tcPr>
          <w:p w14:paraId="59AC8BD7">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000000"/>
                <w:kern w:val="2"/>
                <w:sz w:val="21"/>
                <w:szCs w:val="21"/>
                <w:highlight w:val="none"/>
              </w:rPr>
            </w:pPr>
          </w:p>
        </w:tc>
        <w:tc>
          <w:tcPr>
            <w:tcW w:w="1209" w:type="dxa"/>
            <w:vMerge w:val="continue"/>
            <w:tcBorders>
              <w:top w:val="nil"/>
            </w:tcBorders>
          </w:tcPr>
          <w:p w14:paraId="54216883">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000000"/>
                <w:kern w:val="2"/>
                <w:sz w:val="21"/>
                <w:szCs w:val="21"/>
                <w:highlight w:val="none"/>
              </w:rPr>
            </w:pPr>
          </w:p>
        </w:tc>
        <w:tc>
          <w:tcPr>
            <w:tcW w:w="1947" w:type="dxa"/>
            <w:vMerge w:val="restart"/>
            <w:vAlign w:val="center"/>
          </w:tcPr>
          <w:p w14:paraId="4D8B7E72">
            <w:pPr>
              <w:widowControl w:val="0"/>
              <w:snapToGrid w:val="0"/>
              <w:spacing w:line="320" w:lineRule="exact"/>
              <w:jc w:val="center"/>
              <w:rPr>
                <w:rFonts w:hint="eastAsia" w:ascii="宋体" w:hAnsi="宋体" w:eastAsia="宋体" w:cs="宋体"/>
                <w:color w:val="000000"/>
                <w:kern w:val="21"/>
                <w:sz w:val="21"/>
                <w:szCs w:val="21"/>
                <w:highlight w:val="none"/>
                <w:lang w:val="en-US" w:eastAsia="en-US" w:bidi="ar-SA"/>
              </w:rPr>
            </w:pPr>
            <w:r>
              <w:rPr>
                <w:rFonts w:hint="eastAsia" w:ascii="宋体" w:hAnsi="宋体" w:eastAsia="宋体" w:cs="Times New Roman"/>
                <w:color w:val="000000"/>
                <w:kern w:val="0"/>
                <w:sz w:val="21"/>
                <w:szCs w:val="21"/>
                <w:highlight w:val="none"/>
                <w:lang w:val="en-US" w:eastAsia="en-US" w:bidi="ar-SA"/>
              </w:rPr>
              <w:t>投标材料质量标准的响应程度</w:t>
            </w:r>
            <w:r>
              <w:rPr>
                <w:rFonts w:hint="eastAsia" w:ascii="宋体" w:hAnsi="宋体" w:eastAsia="宋体" w:cs="宋体"/>
                <w:color w:val="000000"/>
                <w:kern w:val="0"/>
                <w:sz w:val="21"/>
                <w:szCs w:val="21"/>
                <w:highlight w:val="none"/>
                <w:lang w:val="en-US" w:eastAsia="zh-CN" w:bidi="ar-SA"/>
              </w:rPr>
              <w:t>（1</w:t>
            </w:r>
            <w:r>
              <w:rPr>
                <w:rFonts w:hint="eastAsia" w:ascii="宋体" w:hAnsi="宋体" w:eastAsia="宋体" w:cs="宋体"/>
                <w:color w:val="000000"/>
                <w:kern w:val="0"/>
                <w:sz w:val="21"/>
                <w:szCs w:val="21"/>
                <w:highlight w:val="none"/>
                <w:lang w:val="en-US" w:eastAsia="en-US" w:bidi="ar-SA"/>
              </w:rPr>
              <w:t>0分</w:t>
            </w:r>
            <w:r>
              <w:rPr>
                <w:rFonts w:hint="eastAsia" w:ascii="宋体" w:hAnsi="宋体" w:eastAsia="宋体" w:cs="宋体"/>
                <w:color w:val="000000"/>
                <w:kern w:val="0"/>
                <w:sz w:val="21"/>
                <w:szCs w:val="21"/>
                <w:highlight w:val="none"/>
                <w:lang w:val="en-US" w:eastAsia="zh-CN" w:bidi="ar-SA"/>
              </w:rPr>
              <w:t>）</w:t>
            </w:r>
          </w:p>
        </w:tc>
        <w:tc>
          <w:tcPr>
            <w:tcW w:w="5565" w:type="dxa"/>
            <w:tcBorders>
              <w:bottom w:val="single" w:color="auto" w:sz="4" w:space="0"/>
            </w:tcBorders>
            <w:vAlign w:val="center"/>
          </w:tcPr>
          <w:p w14:paraId="46C4E31D">
            <w:pPr>
              <w:keepNext w:val="0"/>
              <w:keepLines w:val="0"/>
              <w:widowControl/>
              <w:suppressLineNumbers w:val="0"/>
              <w:jc w:val="both"/>
              <w:textAlignment w:val="center"/>
              <w:rPr>
                <w:rFonts w:hint="eastAsia" w:ascii="宋体" w:hAnsi="宋体" w:eastAsia="宋体" w:cs="宋体"/>
                <w:color w:val="000000"/>
                <w:kern w:val="21"/>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满足招标文件质量标准，性能高，质量好，得8～10分</w:t>
            </w:r>
          </w:p>
        </w:tc>
      </w:tr>
      <w:tr w14:paraId="1E401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60" w:type="dxa"/>
            <w:vMerge w:val="continue"/>
            <w:tcBorders>
              <w:top w:val="nil"/>
            </w:tcBorders>
          </w:tcPr>
          <w:p w14:paraId="76AC6A84">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000000"/>
                <w:kern w:val="2"/>
                <w:sz w:val="21"/>
                <w:szCs w:val="21"/>
                <w:highlight w:val="none"/>
              </w:rPr>
            </w:pPr>
          </w:p>
        </w:tc>
        <w:tc>
          <w:tcPr>
            <w:tcW w:w="1209" w:type="dxa"/>
            <w:vMerge w:val="continue"/>
            <w:tcBorders>
              <w:top w:val="nil"/>
            </w:tcBorders>
          </w:tcPr>
          <w:p w14:paraId="0923233B">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000000"/>
                <w:kern w:val="2"/>
                <w:sz w:val="21"/>
                <w:szCs w:val="21"/>
                <w:highlight w:val="none"/>
              </w:rPr>
            </w:pPr>
          </w:p>
        </w:tc>
        <w:tc>
          <w:tcPr>
            <w:tcW w:w="1947" w:type="dxa"/>
            <w:vMerge w:val="continue"/>
            <w:vAlign w:val="center"/>
          </w:tcPr>
          <w:p w14:paraId="1F599D19">
            <w:pPr>
              <w:tabs>
                <w:tab w:val="left" w:pos="1914"/>
              </w:tabs>
              <w:spacing w:before="38"/>
              <w:ind w:right="-23" w:rightChars="0"/>
              <w:jc w:val="center"/>
              <w:rPr>
                <w:rFonts w:hint="eastAsia" w:ascii="宋体" w:hAnsi="宋体" w:eastAsia="宋体" w:cs="宋体"/>
                <w:color w:val="000000"/>
                <w:kern w:val="21"/>
                <w:sz w:val="21"/>
                <w:szCs w:val="21"/>
                <w:highlight w:val="none"/>
                <w:lang w:eastAsia="en-US"/>
              </w:rPr>
            </w:pPr>
          </w:p>
        </w:tc>
        <w:tc>
          <w:tcPr>
            <w:tcW w:w="5565" w:type="dxa"/>
            <w:tcBorders>
              <w:top w:val="single" w:color="auto" w:sz="4" w:space="0"/>
              <w:bottom w:val="single" w:color="auto" w:sz="4" w:space="0"/>
            </w:tcBorders>
            <w:vAlign w:val="center"/>
          </w:tcPr>
          <w:p w14:paraId="0980604E">
            <w:pPr>
              <w:keepNext w:val="0"/>
              <w:keepLines w:val="0"/>
              <w:widowControl/>
              <w:suppressLineNumbers w:val="0"/>
              <w:jc w:val="both"/>
              <w:textAlignment w:val="top"/>
              <w:rPr>
                <w:rFonts w:hint="eastAsia" w:ascii="宋体" w:hAnsi="宋体" w:eastAsia="宋体" w:cs="宋体"/>
                <w:color w:val="000000"/>
                <w:kern w:val="21"/>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满足招标文件质量标准，性能较高，质量较好，得6～8分</w:t>
            </w:r>
          </w:p>
        </w:tc>
      </w:tr>
      <w:tr w14:paraId="446E3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960" w:type="dxa"/>
            <w:vMerge w:val="continue"/>
            <w:tcBorders>
              <w:top w:val="nil"/>
            </w:tcBorders>
          </w:tcPr>
          <w:p w14:paraId="78BD070E">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000000"/>
                <w:kern w:val="2"/>
                <w:sz w:val="21"/>
                <w:szCs w:val="21"/>
                <w:highlight w:val="none"/>
              </w:rPr>
            </w:pPr>
          </w:p>
        </w:tc>
        <w:tc>
          <w:tcPr>
            <w:tcW w:w="1209" w:type="dxa"/>
            <w:vMerge w:val="continue"/>
            <w:tcBorders>
              <w:top w:val="nil"/>
            </w:tcBorders>
          </w:tcPr>
          <w:p w14:paraId="3425B8B7">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000000"/>
                <w:kern w:val="2"/>
                <w:sz w:val="21"/>
                <w:szCs w:val="21"/>
                <w:highlight w:val="none"/>
              </w:rPr>
            </w:pPr>
          </w:p>
        </w:tc>
        <w:tc>
          <w:tcPr>
            <w:tcW w:w="1947" w:type="dxa"/>
            <w:vMerge w:val="continue"/>
            <w:vAlign w:val="center"/>
          </w:tcPr>
          <w:p w14:paraId="13B517F1">
            <w:pPr>
              <w:tabs>
                <w:tab w:val="left" w:pos="1914"/>
              </w:tabs>
              <w:spacing w:before="38"/>
              <w:ind w:right="-23" w:rightChars="0"/>
              <w:jc w:val="center"/>
              <w:rPr>
                <w:rFonts w:hint="eastAsia" w:ascii="宋体" w:hAnsi="宋体" w:eastAsia="宋体" w:cs="宋体"/>
                <w:color w:val="000000"/>
                <w:kern w:val="21"/>
                <w:sz w:val="21"/>
                <w:szCs w:val="21"/>
                <w:highlight w:val="none"/>
                <w:lang w:eastAsia="en-US"/>
              </w:rPr>
            </w:pPr>
          </w:p>
        </w:tc>
        <w:tc>
          <w:tcPr>
            <w:tcW w:w="5565" w:type="dxa"/>
            <w:tcBorders>
              <w:top w:val="single" w:color="auto" w:sz="4" w:space="0"/>
            </w:tcBorders>
            <w:vAlign w:val="center"/>
          </w:tcPr>
          <w:p w14:paraId="04593CB1">
            <w:pPr>
              <w:keepNext w:val="0"/>
              <w:keepLines w:val="0"/>
              <w:widowControl/>
              <w:suppressLineNumbers w:val="0"/>
              <w:jc w:val="both"/>
              <w:textAlignment w:val="center"/>
              <w:rPr>
                <w:rFonts w:hint="eastAsia" w:ascii="宋体" w:hAnsi="宋体" w:eastAsia="宋体" w:cs="宋体"/>
                <w:color w:val="000000"/>
                <w:kern w:val="21"/>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满足招标文件质量标准，性能一般，质量一般，得6分</w:t>
            </w:r>
          </w:p>
        </w:tc>
      </w:tr>
      <w:tr w14:paraId="17BDF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60" w:type="dxa"/>
            <w:vMerge w:val="continue"/>
            <w:tcBorders>
              <w:top w:val="nil"/>
            </w:tcBorders>
          </w:tcPr>
          <w:p w14:paraId="76FAEABF">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000000"/>
                <w:kern w:val="2"/>
                <w:sz w:val="21"/>
                <w:szCs w:val="21"/>
                <w:highlight w:val="none"/>
              </w:rPr>
            </w:pPr>
          </w:p>
        </w:tc>
        <w:tc>
          <w:tcPr>
            <w:tcW w:w="1209" w:type="dxa"/>
            <w:vMerge w:val="continue"/>
            <w:tcBorders>
              <w:top w:val="nil"/>
            </w:tcBorders>
          </w:tcPr>
          <w:p w14:paraId="69DC9661">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000000"/>
                <w:kern w:val="2"/>
                <w:sz w:val="21"/>
                <w:szCs w:val="21"/>
                <w:highlight w:val="none"/>
              </w:rPr>
            </w:pPr>
          </w:p>
        </w:tc>
        <w:tc>
          <w:tcPr>
            <w:tcW w:w="1947" w:type="dxa"/>
            <w:vMerge w:val="restart"/>
            <w:vAlign w:val="center"/>
          </w:tcPr>
          <w:p w14:paraId="09451C6B">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pacing w:val="4"/>
                <w:kern w:val="2"/>
                <w:sz w:val="21"/>
                <w:szCs w:val="21"/>
                <w:highlight w:val="none"/>
                <w:lang w:val="en-US" w:eastAsia="en-US" w:bidi="ar-SA"/>
              </w:rPr>
            </w:pPr>
            <w:r>
              <w:rPr>
                <w:rFonts w:hint="eastAsia" w:ascii="宋体" w:hAnsi="宋体" w:eastAsia="宋体" w:cs="宋体"/>
                <w:spacing w:val="9"/>
                <w:kern w:val="2"/>
                <w:sz w:val="21"/>
                <w:szCs w:val="21"/>
                <w:highlight w:val="none"/>
                <w:lang w:val="en-US" w:eastAsia="en-US" w:bidi="ar-SA"/>
              </w:rPr>
              <w:t>对投标人供货服务及</w:t>
            </w:r>
            <w:r>
              <w:rPr>
                <w:rFonts w:hint="eastAsia" w:ascii="宋体" w:hAnsi="宋体" w:eastAsia="宋体" w:cs="宋体"/>
                <w:spacing w:val="4"/>
                <w:kern w:val="2"/>
                <w:sz w:val="21"/>
                <w:szCs w:val="21"/>
                <w:highlight w:val="none"/>
                <w:lang w:val="en-US" w:eastAsia="en-US" w:bidi="ar-SA"/>
              </w:rPr>
              <w:t>保障措施的评价</w:t>
            </w:r>
          </w:p>
          <w:p w14:paraId="1AAE76BE">
            <w:pPr>
              <w:widowControl w:val="0"/>
              <w:snapToGrid w:val="0"/>
              <w:spacing w:line="320" w:lineRule="exact"/>
              <w:jc w:val="center"/>
              <w:rPr>
                <w:rFonts w:hint="default" w:ascii="宋体" w:hAnsi="宋体" w:eastAsia="宋体" w:cs="宋体"/>
                <w:color w:val="000000"/>
                <w:kern w:val="0"/>
                <w:sz w:val="21"/>
                <w:szCs w:val="21"/>
                <w:highlight w:val="none"/>
                <w:lang w:val="en-US" w:eastAsia="en-US" w:bidi="ar-SA"/>
              </w:rPr>
            </w:pPr>
            <w:r>
              <w:rPr>
                <w:rFonts w:hint="eastAsia" w:ascii="宋体" w:hAnsi="宋体" w:eastAsia="宋体" w:cs="宋体"/>
                <w:color w:val="000000"/>
                <w:kern w:val="0"/>
                <w:sz w:val="21"/>
                <w:szCs w:val="21"/>
                <w:highlight w:val="none"/>
                <w:lang w:val="en-US" w:eastAsia="zh-CN" w:bidi="ar-SA"/>
              </w:rPr>
              <w:t>（1</w:t>
            </w:r>
            <w:r>
              <w:rPr>
                <w:rFonts w:hint="eastAsia" w:ascii="宋体" w:hAnsi="宋体" w:eastAsia="宋体" w:cs="宋体"/>
                <w:color w:val="000000"/>
                <w:kern w:val="0"/>
                <w:sz w:val="21"/>
                <w:szCs w:val="21"/>
                <w:highlight w:val="none"/>
                <w:lang w:val="en-US" w:eastAsia="en-US" w:bidi="ar-SA"/>
              </w:rPr>
              <w:t>0分</w:t>
            </w:r>
            <w:r>
              <w:rPr>
                <w:rFonts w:hint="eastAsia" w:ascii="宋体" w:hAnsi="宋体" w:eastAsia="宋体" w:cs="宋体"/>
                <w:color w:val="000000"/>
                <w:kern w:val="0"/>
                <w:sz w:val="21"/>
                <w:szCs w:val="21"/>
                <w:highlight w:val="none"/>
                <w:lang w:val="en-US" w:eastAsia="zh-CN" w:bidi="ar-SA"/>
              </w:rPr>
              <w:t>）（暗标）</w:t>
            </w:r>
          </w:p>
        </w:tc>
        <w:tc>
          <w:tcPr>
            <w:tcW w:w="5565" w:type="dxa"/>
            <w:tcBorders>
              <w:bottom w:val="single" w:color="auto" w:sz="4" w:space="0"/>
            </w:tcBorders>
            <w:vAlign w:val="center"/>
          </w:tcPr>
          <w:p w14:paraId="69DB7B48">
            <w:pPr>
              <w:keepNext w:val="0"/>
              <w:keepLines w:val="0"/>
              <w:widowControl/>
              <w:suppressLineNumbers w:val="0"/>
              <w:jc w:val="both"/>
              <w:textAlignment w:val="center"/>
              <w:rPr>
                <w:rFonts w:hint="eastAsia" w:ascii="宋体" w:hAnsi="宋体" w:eastAsia="宋体" w:cs="宋体"/>
                <w:color w:val="000000"/>
                <w:kern w:val="21"/>
                <w:sz w:val="21"/>
                <w:szCs w:val="21"/>
                <w:highlight w:val="none"/>
                <w:lang w:eastAsia="zh-CN"/>
              </w:rPr>
            </w:pPr>
            <w:r>
              <w:rPr>
                <w:rFonts w:hint="eastAsia" w:ascii="宋体" w:hAnsi="宋体" w:eastAsia="宋体" w:cs="宋体"/>
                <w:spacing w:val="7"/>
                <w:sz w:val="21"/>
                <w:szCs w:val="21"/>
                <w:highlight w:val="none"/>
              </w:rPr>
              <w:t>供货服务承诺及保障措施优秀，得</w:t>
            </w:r>
            <w:r>
              <w:rPr>
                <w:rFonts w:hint="eastAsia" w:ascii="宋体" w:hAnsi="宋体" w:eastAsia="宋体" w:cs="宋体"/>
                <w:spacing w:val="7"/>
                <w:sz w:val="21"/>
                <w:szCs w:val="21"/>
                <w:highlight w:val="none"/>
                <w:lang w:val="en-US" w:eastAsia="zh-CN"/>
              </w:rPr>
              <w:t>8</w:t>
            </w:r>
            <w:r>
              <w:rPr>
                <w:rFonts w:hint="eastAsia" w:ascii="宋体" w:hAnsi="宋体" w:eastAsia="宋体" w:cs="宋体"/>
                <w:spacing w:val="7"/>
                <w:sz w:val="21"/>
                <w:szCs w:val="21"/>
                <w:highlight w:val="none"/>
              </w:rPr>
              <w:t>～</w:t>
            </w:r>
            <w:r>
              <w:rPr>
                <w:rFonts w:hint="eastAsia" w:ascii="宋体" w:hAnsi="宋体" w:eastAsia="宋体" w:cs="宋体"/>
                <w:spacing w:val="7"/>
                <w:sz w:val="21"/>
                <w:szCs w:val="21"/>
                <w:highlight w:val="none"/>
                <w:lang w:val="en-US" w:eastAsia="zh-CN"/>
              </w:rPr>
              <w:t>10</w:t>
            </w:r>
            <w:r>
              <w:rPr>
                <w:rFonts w:hint="eastAsia" w:ascii="宋体" w:hAnsi="宋体" w:eastAsia="宋体" w:cs="宋体"/>
                <w:spacing w:val="7"/>
                <w:sz w:val="21"/>
                <w:szCs w:val="21"/>
                <w:highlight w:val="none"/>
              </w:rPr>
              <w:t>分</w:t>
            </w:r>
            <w:r>
              <w:rPr>
                <w:rFonts w:hint="eastAsia" w:ascii="宋体" w:hAnsi="宋体" w:eastAsia="宋体" w:cs="宋体"/>
                <w:spacing w:val="7"/>
                <w:sz w:val="21"/>
                <w:szCs w:val="21"/>
                <w:highlight w:val="none"/>
                <w:lang w:eastAsia="zh-CN"/>
              </w:rPr>
              <w:t>；</w:t>
            </w:r>
          </w:p>
        </w:tc>
      </w:tr>
      <w:tr w14:paraId="4990D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960" w:type="dxa"/>
            <w:vMerge w:val="continue"/>
          </w:tcPr>
          <w:p w14:paraId="7AFF9BC5">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000000"/>
                <w:kern w:val="2"/>
                <w:sz w:val="21"/>
                <w:szCs w:val="21"/>
                <w:highlight w:val="none"/>
              </w:rPr>
            </w:pPr>
          </w:p>
        </w:tc>
        <w:tc>
          <w:tcPr>
            <w:tcW w:w="1209" w:type="dxa"/>
            <w:vMerge w:val="continue"/>
          </w:tcPr>
          <w:p w14:paraId="23A36B04">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000000"/>
                <w:kern w:val="2"/>
                <w:sz w:val="21"/>
                <w:szCs w:val="21"/>
                <w:highlight w:val="none"/>
              </w:rPr>
            </w:pPr>
          </w:p>
        </w:tc>
        <w:tc>
          <w:tcPr>
            <w:tcW w:w="1947" w:type="dxa"/>
            <w:vMerge w:val="continue"/>
            <w:vAlign w:val="center"/>
          </w:tcPr>
          <w:p w14:paraId="2596AF47">
            <w:pPr>
              <w:widowControl w:val="0"/>
              <w:spacing w:line="400" w:lineRule="exact"/>
              <w:jc w:val="center"/>
              <w:rPr>
                <w:rFonts w:hint="eastAsia" w:ascii="宋体" w:hAnsi="宋体" w:eastAsia="宋体" w:cs="宋体"/>
                <w:color w:val="000000"/>
                <w:kern w:val="0"/>
                <w:sz w:val="21"/>
                <w:szCs w:val="21"/>
                <w:highlight w:val="none"/>
                <w:lang w:val="en-US" w:eastAsia="en-US" w:bidi="ar-SA"/>
              </w:rPr>
            </w:pPr>
          </w:p>
        </w:tc>
        <w:tc>
          <w:tcPr>
            <w:tcW w:w="5565" w:type="dxa"/>
            <w:tcBorders>
              <w:top w:val="single" w:color="auto" w:sz="4" w:space="0"/>
              <w:bottom w:val="single" w:color="auto" w:sz="4" w:space="0"/>
            </w:tcBorders>
            <w:vAlign w:val="center"/>
          </w:tcPr>
          <w:p w14:paraId="2967998C">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color w:val="000000"/>
                <w:kern w:val="21"/>
                <w:sz w:val="21"/>
                <w:szCs w:val="21"/>
                <w:highlight w:val="none"/>
                <w:lang w:val="en-US" w:eastAsia="zh-CN" w:bidi="ar-SA"/>
              </w:rPr>
            </w:pPr>
            <w:r>
              <w:rPr>
                <w:rFonts w:hint="eastAsia" w:ascii="宋体" w:hAnsi="宋体" w:eastAsia="宋体" w:cs="宋体"/>
                <w:spacing w:val="7"/>
                <w:kern w:val="2"/>
                <w:sz w:val="21"/>
                <w:szCs w:val="21"/>
                <w:highlight w:val="none"/>
                <w:lang w:val="en-US" w:eastAsia="en-US" w:bidi="ar-SA"/>
              </w:rPr>
              <w:t>供货服务承诺及保障措施良好，得</w:t>
            </w:r>
            <w:r>
              <w:rPr>
                <w:rFonts w:hint="eastAsia" w:ascii="宋体" w:hAnsi="宋体" w:eastAsia="宋体" w:cs="宋体"/>
                <w:spacing w:val="7"/>
                <w:kern w:val="2"/>
                <w:sz w:val="21"/>
                <w:szCs w:val="21"/>
                <w:highlight w:val="none"/>
                <w:lang w:val="en-US" w:eastAsia="zh-CN" w:bidi="ar-SA"/>
              </w:rPr>
              <w:t>6</w:t>
            </w:r>
            <w:r>
              <w:rPr>
                <w:rFonts w:hint="eastAsia" w:ascii="宋体" w:hAnsi="宋体" w:eastAsia="宋体" w:cs="宋体"/>
                <w:spacing w:val="7"/>
                <w:kern w:val="2"/>
                <w:sz w:val="21"/>
                <w:szCs w:val="21"/>
                <w:highlight w:val="none"/>
                <w:lang w:val="en-US" w:eastAsia="en-US" w:bidi="ar-SA"/>
              </w:rPr>
              <w:t>～</w:t>
            </w:r>
            <w:r>
              <w:rPr>
                <w:rFonts w:hint="eastAsia" w:ascii="宋体" w:hAnsi="宋体" w:eastAsia="宋体" w:cs="宋体"/>
                <w:spacing w:val="7"/>
                <w:kern w:val="2"/>
                <w:sz w:val="21"/>
                <w:szCs w:val="21"/>
                <w:highlight w:val="none"/>
                <w:lang w:val="en-US" w:eastAsia="zh-CN" w:bidi="ar-SA"/>
              </w:rPr>
              <w:t>8</w:t>
            </w:r>
            <w:r>
              <w:rPr>
                <w:rFonts w:hint="eastAsia" w:ascii="宋体" w:hAnsi="宋体" w:eastAsia="宋体" w:cs="宋体"/>
                <w:spacing w:val="7"/>
                <w:kern w:val="2"/>
                <w:sz w:val="21"/>
                <w:szCs w:val="21"/>
                <w:highlight w:val="none"/>
                <w:lang w:val="en-US" w:eastAsia="en-US" w:bidi="ar-SA"/>
              </w:rPr>
              <w:t>分</w:t>
            </w:r>
            <w:r>
              <w:rPr>
                <w:rFonts w:hint="eastAsia" w:ascii="宋体" w:hAnsi="宋体" w:eastAsia="宋体" w:cs="宋体"/>
                <w:spacing w:val="7"/>
                <w:kern w:val="2"/>
                <w:sz w:val="21"/>
                <w:szCs w:val="21"/>
                <w:highlight w:val="none"/>
                <w:lang w:val="en-US" w:eastAsia="zh-CN" w:bidi="ar-SA"/>
              </w:rPr>
              <w:t>；</w:t>
            </w:r>
          </w:p>
        </w:tc>
      </w:tr>
      <w:tr w14:paraId="6234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960" w:type="dxa"/>
            <w:vMerge w:val="continue"/>
          </w:tcPr>
          <w:p w14:paraId="498BB80C">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000000"/>
                <w:kern w:val="2"/>
                <w:sz w:val="21"/>
                <w:szCs w:val="21"/>
                <w:highlight w:val="none"/>
              </w:rPr>
            </w:pPr>
          </w:p>
        </w:tc>
        <w:tc>
          <w:tcPr>
            <w:tcW w:w="1209" w:type="dxa"/>
            <w:vMerge w:val="continue"/>
          </w:tcPr>
          <w:p w14:paraId="52E5AE42">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000000"/>
                <w:kern w:val="2"/>
                <w:sz w:val="21"/>
                <w:szCs w:val="21"/>
                <w:highlight w:val="none"/>
              </w:rPr>
            </w:pPr>
          </w:p>
        </w:tc>
        <w:tc>
          <w:tcPr>
            <w:tcW w:w="1947" w:type="dxa"/>
            <w:vMerge w:val="continue"/>
            <w:vAlign w:val="center"/>
          </w:tcPr>
          <w:p w14:paraId="68DBA063">
            <w:pPr>
              <w:widowControl w:val="0"/>
              <w:spacing w:line="400" w:lineRule="exact"/>
              <w:jc w:val="center"/>
              <w:rPr>
                <w:rFonts w:hint="eastAsia" w:ascii="宋体" w:hAnsi="宋体" w:eastAsia="宋体" w:cs="宋体"/>
                <w:color w:val="000000"/>
                <w:kern w:val="0"/>
                <w:sz w:val="21"/>
                <w:szCs w:val="21"/>
                <w:highlight w:val="none"/>
                <w:lang w:val="en-US" w:eastAsia="en-US" w:bidi="ar-SA"/>
              </w:rPr>
            </w:pPr>
          </w:p>
        </w:tc>
        <w:tc>
          <w:tcPr>
            <w:tcW w:w="5565" w:type="dxa"/>
            <w:tcBorders>
              <w:top w:val="single" w:color="auto" w:sz="4" w:space="0"/>
            </w:tcBorders>
            <w:vAlign w:val="center"/>
          </w:tcPr>
          <w:p w14:paraId="63624CE0">
            <w:pPr>
              <w:keepNext w:val="0"/>
              <w:keepLines w:val="0"/>
              <w:widowControl/>
              <w:suppressLineNumbers w:val="0"/>
              <w:jc w:val="both"/>
              <w:textAlignment w:val="top"/>
              <w:rPr>
                <w:rFonts w:hint="eastAsia" w:ascii="宋体" w:hAnsi="宋体" w:eastAsia="宋体" w:cs="宋体"/>
                <w:color w:val="000000"/>
                <w:kern w:val="21"/>
                <w:sz w:val="21"/>
                <w:szCs w:val="21"/>
                <w:highlight w:val="none"/>
                <w:lang w:eastAsia="zh-CN"/>
              </w:rPr>
            </w:pPr>
            <w:r>
              <w:rPr>
                <w:rFonts w:hint="eastAsia" w:ascii="宋体" w:hAnsi="宋体" w:eastAsia="宋体" w:cs="宋体"/>
                <w:spacing w:val="7"/>
                <w:sz w:val="21"/>
                <w:szCs w:val="21"/>
                <w:highlight w:val="none"/>
              </w:rPr>
              <w:t>供货服务承诺及保障措施一般，得</w:t>
            </w:r>
            <w:r>
              <w:rPr>
                <w:rFonts w:hint="eastAsia" w:ascii="宋体" w:hAnsi="宋体" w:eastAsia="宋体" w:cs="宋体"/>
                <w:spacing w:val="7"/>
                <w:sz w:val="21"/>
                <w:szCs w:val="21"/>
                <w:highlight w:val="none"/>
                <w:lang w:val="en-US" w:eastAsia="zh-CN"/>
              </w:rPr>
              <w:t>6</w:t>
            </w:r>
            <w:r>
              <w:rPr>
                <w:rFonts w:hint="eastAsia" w:ascii="宋体" w:hAnsi="宋体" w:eastAsia="宋体" w:cs="宋体"/>
                <w:spacing w:val="7"/>
                <w:sz w:val="21"/>
                <w:szCs w:val="21"/>
                <w:highlight w:val="none"/>
              </w:rPr>
              <w:t>分</w:t>
            </w:r>
            <w:r>
              <w:rPr>
                <w:rFonts w:hint="eastAsia" w:ascii="宋体" w:hAnsi="宋体" w:eastAsia="宋体" w:cs="宋体"/>
                <w:spacing w:val="7"/>
                <w:sz w:val="21"/>
                <w:szCs w:val="21"/>
                <w:highlight w:val="none"/>
                <w:lang w:eastAsia="zh-CN"/>
              </w:rPr>
              <w:t>。</w:t>
            </w:r>
          </w:p>
        </w:tc>
      </w:tr>
      <w:tr w14:paraId="2AC4A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9" w:hRule="atLeast"/>
        </w:trPr>
        <w:tc>
          <w:tcPr>
            <w:tcW w:w="960" w:type="dxa"/>
            <w:vAlign w:val="center"/>
          </w:tcPr>
          <w:p w14:paraId="01BC74E8">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2.2.4</w:t>
            </w:r>
          </w:p>
          <w:p w14:paraId="764F01B5">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en-US"/>
              </w:rPr>
              <w:t>）</w:t>
            </w:r>
          </w:p>
        </w:tc>
        <w:tc>
          <w:tcPr>
            <w:tcW w:w="1209" w:type="dxa"/>
            <w:vAlign w:val="center"/>
          </w:tcPr>
          <w:p w14:paraId="137226A7">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rPr>
              <w:t>评</w:t>
            </w:r>
            <w:r>
              <w:rPr>
                <w:rFonts w:hint="eastAsia" w:ascii="宋体" w:hAnsi="宋体" w:eastAsia="宋体" w:cs="宋体"/>
                <w:color w:val="000000"/>
                <w:sz w:val="21"/>
                <w:szCs w:val="21"/>
                <w:highlight w:val="none"/>
                <w:lang w:eastAsia="en-US"/>
              </w:rPr>
              <w:t>标价</w:t>
            </w:r>
          </w:p>
          <w:p w14:paraId="6B5DCDD3">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000000"/>
                <w:sz w:val="21"/>
                <w:szCs w:val="21"/>
                <w:highlight w:val="none"/>
                <w:lang w:eastAsia="en-US"/>
              </w:rPr>
            </w:pPr>
            <w:r>
              <w:rPr>
                <w:rFonts w:hint="eastAsia" w:ascii="宋体" w:hAnsi="宋体" w:eastAsia="宋体" w:cs="宋体"/>
                <w:color w:val="000000"/>
                <w:sz w:val="21"/>
                <w:szCs w:val="21"/>
                <w:highlight w:val="none"/>
                <w:lang w:eastAsia="en-US"/>
              </w:rPr>
              <w:t>评分标准</w:t>
            </w:r>
          </w:p>
          <w:p w14:paraId="06CB5410">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50分</w:t>
            </w:r>
          </w:p>
        </w:tc>
        <w:tc>
          <w:tcPr>
            <w:tcW w:w="1947" w:type="dxa"/>
            <w:vAlign w:val="center"/>
          </w:tcPr>
          <w:p w14:paraId="4538CFE9">
            <w:pPr>
              <w:autoSpaceDE w:val="0"/>
              <w:autoSpaceDN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0</w:t>
            </w:r>
            <w:r>
              <w:rPr>
                <w:rFonts w:hint="eastAsia" w:ascii="宋体" w:hAnsi="宋体" w:eastAsia="宋体" w:cs="宋体"/>
                <w:color w:val="000000"/>
                <w:szCs w:val="21"/>
                <w:highlight w:val="none"/>
                <w:lang w:val="zh-CN"/>
              </w:rPr>
              <w:t>分</w:t>
            </w:r>
          </w:p>
        </w:tc>
        <w:tc>
          <w:tcPr>
            <w:tcW w:w="5565" w:type="dxa"/>
            <w:tcBorders>
              <w:top w:val="single" w:color="auto" w:sz="4" w:space="0"/>
              <w:bottom w:val="single" w:color="auto" w:sz="4" w:space="0"/>
            </w:tcBorders>
            <w:vAlign w:val="center"/>
          </w:tcPr>
          <w:p w14:paraId="4AF1C51B">
            <w:pPr>
              <w:snapToGrid w:val="0"/>
              <w:spacing w:line="32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评标价得分计算公式示例：</w:t>
            </w:r>
          </w:p>
          <w:p w14:paraId="6B05D38E">
            <w:pPr>
              <w:snapToGrid w:val="0"/>
              <w:spacing w:line="32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（1）如果投标人的评标价＞评标基准价，则评标价得分=F-</w:t>
            </w:r>
            <w:r>
              <w:rPr>
                <w:rFonts w:hint="eastAsia" w:ascii="宋体" w:hAnsi="宋体" w:eastAsia="宋体" w:cs="宋体"/>
                <w:color w:val="000000"/>
                <w:szCs w:val="21"/>
                <w:highlight w:val="none"/>
                <w:lang w:val="en-US" w:eastAsia="zh-CN"/>
              </w:rPr>
              <w:t>偏差率</w:t>
            </w:r>
            <w:r>
              <w:rPr>
                <w:rFonts w:hint="eastAsia" w:ascii="宋体" w:hAnsi="宋体" w:eastAsia="宋体" w:cs="宋体"/>
                <w:color w:val="000000"/>
                <w:szCs w:val="21"/>
                <w:highlight w:val="none"/>
              </w:rPr>
              <w:t>×100×E1；</w:t>
            </w:r>
          </w:p>
          <w:p w14:paraId="328D6F18">
            <w:pPr>
              <w:snapToGrid w:val="0"/>
              <w:spacing w:line="32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（2）如果投标人的评标价≤评标基准价，则评标价得分=F+</w:t>
            </w:r>
            <w:r>
              <w:rPr>
                <w:rFonts w:hint="eastAsia" w:ascii="宋体" w:hAnsi="宋体" w:eastAsia="宋体" w:cs="宋体"/>
                <w:color w:val="000000"/>
                <w:szCs w:val="21"/>
                <w:highlight w:val="none"/>
                <w:lang w:val="en-US" w:eastAsia="zh-CN"/>
              </w:rPr>
              <w:t>偏差率</w:t>
            </w:r>
            <w:r>
              <w:rPr>
                <w:rFonts w:hint="eastAsia" w:ascii="宋体" w:hAnsi="宋体" w:eastAsia="宋体" w:cs="宋体"/>
                <w:color w:val="000000"/>
                <w:szCs w:val="21"/>
                <w:highlight w:val="none"/>
              </w:rPr>
              <w:t>×100×E2。</w:t>
            </w:r>
          </w:p>
          <w:p w14:paraId="784598C1">
            <w:pPr>
              <w:snapToGrid w:val="0"/>
              <w:spacing w:line="32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其中，F=</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0；E1=0.</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；E2=0.</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；评标价最低得分为0分。</w:t>
            </w:r>
          </w:p>
          <w:p w14:paraId="2E375469">
            <w:pPr>
              <w:autoSpaceDE w:val="0"/>
              <w:autoSpaceDN w:val="0"/>
              <w:adjustRightInd w:val="0"/>
              <w:snapToGrid w:val="0"/>
              <w:spacing w:line="320" w:lineRule="exact"/>
              <w:rPr>
                <w:rFonts w:hint="eastAsia" w:ascii="宋体" w:hAnsi="宋体" w:eastAsia="宋体" w:cs="宋体"/>
                <w:color w:val="000000"/>
                <w:spacing w:val="-4"/>
                <w:kern w:val="21"/>
                <w:sz w:val="21"/>
                <w:szCs w:val="21"/>
                <w:highlight w:val="none"/>
              </w:rPr>
            </w:pPr>
            <w:r>
              <w:rPr>
                <w:rFonts w:hint="eastAsia" w:ascii="宋体" w:hAnsi="宋体" w:eastAsia="宋体" w:cs="宋体"/>
                <w:color w:val="000000"/>
                <w:szCs w:val="21"/>
                <w:highlight w:val="none"/>
              </w:rPr>
              <w:t>评标价得分保留两位小数，第三位四舍五入。</w:t>
            </w:r>
          </w:p>
        </w:tc>
      </w:tr>
      <w:tr w14:paraId="7819B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2" w:hRule="atLeast"/>
        </w:trPr>
        <w:tc>
          <w:tcPr>
            <w:tcW w:w="9681" w:type="dxa"/>
            <w:gridSpan w:val="4"/>
            <w:vAlign w:val="center"/>
          </w:tcPr>
          <w:p w14:paraId="7D8562D6">
            <w:pPr>
              <w:keepNext w:val="0"/>
              <w:keepLines w:val="0"/>
              <w:pageBreakBefore w:val="0"/>
              <w:widowControl w:val="0"/>
              <w:kinsoku/>
              <w:wordWrap/>
              <w:overflowPunct/>
              <w:topLinePunct w:val="0"/>
              <w:autoSpaceDE/>
              <w:autoSpaceDN/>
              <w:bidi w:val="0"/>
              <w:adjustRightInd/>
              <w:snapToGrid/>
              <w:spacing w:after="0" w:line="320" w:lineRule="exact"/>
              <w:ind w:left="21" w:leftChars="10" w:right="0" w:rightChars="0" w:firstLine="0" w:firstLineChars="0"/>
              <w:jc w:val="both"/>
              <w:textAlignment w:val="auto"/>
              <w:rPr>
                <w:rFonts w:hint="eastAsia" w:ascii="Times New Roman" w:hAnsi="Times New Roman" w:eastAsia="宋体" w:cs="Times New Roman"/>
                <w:color w:val="000000"/>
                <w:kern w:val="2"/>
                <w:sz w:val="21"/>
                <w:szCs w:val="24"/>
                <w:highlight w:val="none"/>
                <w:lang w:val="en-US" w:eastAsia="zh-CN" w:bidi="ar-SA"/>
              </w:rPr>
            </w:pPr>
            <w:r>
              <w:rPr>
                <w:rFonts w:hint="eastAsia" w:ascii="Times New Roman" w:hAnsi="Times New Roman" w:eastAsia="宋体" w:cs="Times New Roman"/>
                <w:color w:val="000000"/>
                <w:kern w:val="2"/>
                <w:sz w:val="21"/>
                <w:szCs w:val="24"/>
                <w:highlight w:val="none"/>
                <w:lang w:val="en-US" w:eastAsia="zh-CN" w:bidi="ar-SA"/>
              </w:rPr>
              <w:t>增加：</w:t>
            </w:r>
          </w:p>
          <w:p w14:paraId="1E80FAEA">
            <w:pPr>
              <w:keepNext w:val="0"/>
              <w:keepLines w:val="0"/>
              <w:pageBreakBefore w:val="0"/>
              <w:widowControl w:val="0"/>
              <w:kinsoku/>
              <w:wordWrap/>
              <w:overflowPunct/>
              <w:topLinePunct w:val="0"/>
              <w:autoSpaceDE/>
              <w:autoSpaceDN/>
              <w:bidi w:val="0"/>
              <w:adjustRightInd/>
              <w:snapToGrid/>
              <w:spacing w:after="0" w:line="320" w:lineRule="exact"/>
              <w:ind w:left="21" w:leftChars="10" w:right="0" w:rightChars="0" w:firstLine="0" w:firstLineChars="0"/>
              <w:jc w:val="both"/>
              <w:textAlignment w:val="auto"/>
              <w:rPr>
                <w:rFonts w:hint="eastAsia" w:ascii="宋体" w:hAnsi="宋体" w:eastAsia="宋体" w:cs="宋体"/>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4"/>
                <w:highlight w:val="none"/>
                <w:lang w:val="en-US" w:eastAsia="zh-CN" w:bidi="ar-SA"/>
              </w:rPr>
              <w:t>一、信息查询，</w:t>
            </w:r>
            <w:r>
              <w:rPr>
                <w:rFonts w:hint="eastAsia" w:ascii="宋体" w:hAnsi="宋体" w:eastAsia="宋体" w:cs="宋体"/>
                <w:color w:val="000000"/>
                <w:kern w:val="2"/>
                <w:sz w:val="21"/>
                <w:szCs w:val="21"/>
                <w:highlight w:val="none"/>
                <w:lang w:val="en-US" w:eastAsia="zh-CN" w:bidi="ar-SA"/>
              </w:rPr>
              <w:t>在评标过程中，评标委员会应对以下信息进行查询：</w:t>
            </w:r>
          </w:p>
          <w:p w14:paraId="456437AC">
            <w:pPr>
              <w:keepNext w:val="0"/>
              <w:keepLines w:val="0"/>
              <w:pageBreakBefore w:val="0"/>
              <w:kinsoku/>
              <w:wordWrap/>
              <w:overflowPunct/>
              <w:topLinePunct w:val="0"/>
              <w:autoSpaceDE/>
              <w:autoSpaceDN/>
              <w:bidi w:val="0"/>
              <w:adjustRightInd/>
              <w:snapToGrid/>
              <w:spacing w:line="320" w:lineRule="exact"/>
              <w:ind w:left="21" w:leftChars="10" w:right="0" w:rightChars="0" w:firstLine="327" w:firstLineChars="156"/>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投标人信用情况网页截图内容与在“国家企业信用信息公示系统”中严重违法失信名单（黑名单）信息（不含分公司）或在“信用中国”网站“中</w:t>
            </w:r>
            <w:r>
              <w:rPr>
                <w:rFonts w:hint="eastAsia" w:ascii="宋体" w:hAnsi="宋体" w:eastAsia="宋体" w:cs="宋体"/>
                <w:color w:val="000000"/>
                <w:sz w:val="21"/>
                <w:szCs w:val="21"/>
                <w:highlight w:val="none"/>
                <w:lang w:eastAsia="zh-CN"/>
              </w:rPr>
              <w:t>经营（活动）异常名录</w:t>
            </w:r>
            <w:r>
              <w:rPr>
                <w:rFonts w:hint="eastAsia" w:ascii="宋体" w:hAnsi="宋体" w:eastAsia="宋体" w:cs="宋体"/>
                <w:color w:val="000000"/>
                <w:sz w:val="21"/>
                <w:szCs w:val="21"/>
                <w:highlight w:val="none"/>
              </w:rPr>
              <w:t>、重大税收违法失信主体、</w:t>
            </w:r>
            <w:r>
              <w:rPr>
                <w:rFonts w:hint="eastAsia" w:ascii="宋体" w:hAnsi="宋体" w:eastAsia="宋体" w:cs="宋体"/>
                <w:color w:val="000000"/>
                <w:sz w:val="21"/>
                <w:szCs w:val="21"/>
                <w:highlight w:val="none"/>
                <w:lang w:eastAsia="zh-CN"/>
              </w:rPr>
              <w:t>政府采购严重违法失信行为记录名单和安全生产严重失信主体名单</w:t>
            </w:r>
            <w:r>
              <w:rPr>
                <w:rFonts w:hint="eastAsia" w:ascii="宋体" w:hAnsi="宋体" w:eastAsia="宋体" w:cs="宋体"/>
                <w:color w:val="000000"/>
                <w:sz w:val="21"/>
                <w:szCs w:val="21"/>
                <w:highlight w:val="none"/>
              </w:rPr>
              <w:t>（均不含分公司）</w:t>
            </w:r>
            <w:r>
              <w:rPr>
                <w:rFonts w:hint="eastAsia" w:ascii="宋体" w:hAnsi="宋体" w:eastAsia="宋体" w:cs="Times New Roman"/>
                <w:sz w:val="21"/>
                <w:szCs w:val="21"/>
                <w:highlight w:val="none"/>
                <w:lang w:eastAsia="zh-CN"/>
              </w:rPr>
              <w:t>或“中国执行信息公开网”中失信被执行人（不含分公司）的</w:t>
            </w:r>
            <w:r>
              <w:rPr>
                <w:rFonts w:hint="eastAsia" w:ascii="宋体" w:hAnsi="宋体" w:eastAsia="宋体" w:cs="宋体"/>
                <w:color w:val="000000"/>
                <w:sz w:val="21"/>
                <w:szCs w:val="21"/>
                <w:highlight w:val="none"/>
              </w:rPr>
              <w:t>复核结果一致。</w:t>
            </w:r>
          </w:p>
          <w:p w14:paraId="17275CC1">
            <w:pPr>
              <w:keepNext w:val="0"/>
              <w:keepLines w:val="0"/>
              <w:pageBreakBefore w:val="0"/>
              <w:kinsoku/>
              <w:wordWrap/>
              <w:overflowPunct/>
              <w:topLinePunct w:val="0"/>
              <w:autoSpaceDE/>
              <w:autoSpaceDN/>
              <w:bidi w:val="0"/>
              <w:adjustRightInd/>
              <w:snapToGrid/>
              <w:spacing w:line="320" w:lineRule="exact"/>
              <w:ind w:left="21" w:leftChars="10" w:right="0" w:rightChars="0" w:firstLine="327" w:firstLineChars="156"/>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如投标人未提供相关网页截图或所附截图与复核结果不一致导致不能满足资格评审要求的，评标委员会应否决其投标。</w:t>
            </w:r>
          </w:p>
          <w:p w14:paraId="72FB57EE">
            <w:pPr>
              <w:widowControl w:val="0"/>
              <w:numPr>
                <w:ilvl w:val="0"/>
                <w:numId w:val="2"/>
              </w:numPr>
              <w:ind w:left="10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en-US" w:bidi="ar-SA"/>
              </w:rPr>
              <w:t>投标人其他异常投标情形</w:t>
            </w:r>
            <w:r>
              <w:rPr>
                <w:rFonts w:hint="eastAsia" w:ascii="宋体" w:hAnsi="宋体" w:eastAsia="宋体" w:cs="宋体"/>
                <w:color w:val="000000"/>
                <w:kern w:val="0"/>
                <w:sz w:val="21"/>
                <w:szCs w:val="21"/>
                <w:highlight w:val="none"/>
                <w:lang w:val="en-US" w:eastAsia="zh-CN" w:bidi="ar-SA"/>
              </w:rPr>
              <w:t>：</w:t>
            </w:r>
          </w:p>
          <w:p w14:paraId="1A0D673B">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firstLine="420" w:firstLineChars="200"/>
              <w:jc w:val="both"/>
              <w:textAlignment w:val="auto"/>
              <w:rPr>
                <w:rFonts w:hint="eastAsia" w:ascii="Times New Roman" w:hAnsi="Times New Roman" w:eastAsia="宋体" w:cs="Times New Roman"/>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投标人存在投标人须知前附表4.4（2）情形的，评标委员会应当要求投标人</w:t>
            </w:r>
            <w:r>
              <w:rPr>
                <w:rFonts w:hint="eastAsia" w:ascii="宋体" w:hAnsi="宋体" w:eastAsia="宋体" w:cs="Times New Roman"/>
                <w:color w:val="000000"/>
                <w:kern w:val="2"/>
                <w:sz w:val="21"/>
                <w:szCs w:val="21"/>
                <w:highlight w:val="none"/>
                <w:lang w:val="en-US" w:eastAsia="zh-CN" w:bidi="ar-SA"/>
              </w:rPr>
              <w:t>作出书面说明并提供相应的证明材料</w:t>
            </w:r>
            <w:r>
              <w:rPr>
                <w:rFonts w:hint="eastAsia" w:ascii="宋体" w:hAnsi="宋体" w:eastAsia="宋体" w:cs="宋体"/>
                <w:color w:val="000000"/>
                <w:kern w:val="2"/>
                <w:sz w:val="21"/>
                <w:szCs w:val="22"/>
                <w:highlight w:val="none"/>
                <w:lang w:val="en-US" w:eastAsia="zh-CN" w:bidi="ar-SA"/>
              </w:rPr>
              <w:t>。评标委员会经核查确认属于投标文件异常一致或投标活动异常关联活动情形的，应否决其投标。</w:t>
            </w:r>
          </w:p>
        </w:tc>
      </w:tr>
    </w:tbl>
    <w:p w14:paraId="395EC025">
      <w:pPr>
        <w:adjustRightInd w:val="0"/>
        <w:spacing w:line="288"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注：1.评委打分保留一位小数，各评分因素得分应以评标委员会各成员的打分平均值确定，保留两位小数，第三位四舍五入。</w:t>
      </w:r>
    </w:p>
    <w:p w14:paraId="59D45F69">
      <w:r>
        <w:rPr>
          <w:rFonts w:hint="eastAsia" w:ascii="宋体" w:hAnsi="宋体" w:eastAsia="宋体" w:cs="宋体"/>
          <w:color w:val="000000"/>
          <w:szCs w:val="21"/>
          <w:highlight w:val="none"/>
        </w:rPr>
        <w:t>2.技术部分评分因素细分项缺项则该项得0分。</w:t>
      </w:r>
    </w:p>
    <w:sectPr>
      <w:headerReference r:id="rId3" w:type="default"/>
      <w:footerReference r:id="rId4"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028B5">
    <w:pPr>
      <w:autoSpaceDE w:val="0"/>
      <w:autoSpaceDN w:val="0"/>
      <w:adjustRightInd w:val="0"/>
      <w:spacing w:line="200" w:lineRule="exact"/>
      <w:jc w:val="left"/>
      <w:rPr>
        <w:rFonts w:ascii="Times New Roman" w:hAnsi="Times New Roman" w:eastAsia="宋体" w:cs="Times New Roman"/>
        <w:kern w:val="0"/>
        <w:sz w:val="20"/>
        <w:szCs w:val="20"/>
      </w:rPr>
    </w:pPr>
    <w:r>
      <w:rPr>
        <w:rFonts w:ascii="Times New Roman" w:hAnsi="Times New Roman" w:eastAsia="宋体" w:cs="Times New Roman"/>
        <w:sz w:val="20"/>
        <w:szCs w:val="22"/>
      </w:rPr>
      <mc:AlternateContent>
        <mc:Choice Requires="wps">
          <w:drawing>
            <wp:anchor distT="0" distB="0" distL="114300" distR="114300" simplePos="0" relativeHeight="251660288" behindDoc="0" locked="0" layoutInCell="1" allowOverlap="1">
              <wp:simplePos x="0" y="0"/>
              <wp:positionH relativeFrom="margin">
                <wp:posOffset>2852420</wp:posOffset>
              </wp:positionH>
              <wp:positionV relativeFrom="paragraph">
                <wp:posOffset>3810</wp:posOffset>
              </wp:positionV>
              <wp:extent cx="180975" cy="142875"/>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0975" cy="142875"/>
                      </a:xfrm>
                      <a:prstGeom prst="rect">
                        <a:avLst/>
                      </a:prstGeom>
                      <a:noFill/>
                      <a:ln>
                        <a:noFill/>
                      </a:ln>
                    </wps:spPr>
                    <wps:txbx>
                      <w:txbxContent>
                        <w:p w14:paraId="7A0F0C75">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23</w:t>
                          </w:r>
                          <w:r>
                            <w:rPr>
                              <w:rFonts w:ascii="Times New Roman" w:hAnsi="Times New Roman" w:eastAsia="宋体" w:cs="Times New Roman"/>
                              <w:kern w:val="0"/>
                              <w:sz w:val="18"/>
                              <w:szCs w:val="18"/>
                              <w:lang w:val="en-US" w:eastAsia="zh-CN" w:bidi="ar-SA"/>
                            </w:rPr>
                            <w:fldChar w:fldCharType="end"/>
                          </w:r>
                        </w:p>
                      </w:txbxContent>
                    </wps:txbx>
                    <wps:bodyPr wrap="square" lIns="0" tIns="0" rIns="0" bIns="0" upright="1">
                      <a:noAutofit/>
                    </wps:bodyPr>
                  </wps:wsp>
                </a:graphicData>
              </a:graphic>
            </wp:anchor>
          </w:drawing>
        </mc:Choice>
        <mc:Fallback>
          <w:pict>
            <v:shape id="文本框 15" o:spid="_x0000_s1026" o:spt="202" type="#_x0000_t202" style="position:absolute;left:0pt;margin-left:224.6pt;margin-top:0.3pt;height:11.25pt;width:14.25pt;mso-position-horizontal-relative:margin;z-index:251660288;mso-width-relative:page;mso-height-relative:page;" filled="f" stroked="f" coordsize="21600,21600" o:gfxdata="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dGbd61gAAAAcBAAAPAAAAAAAAAAEAIAAAACIAAABk&#10;cnMvZG93bnJldi54bWxQSwECFAAUAAAACACHTuJAr2S2oc8BAACaAwAADgAAAAAAAAABACAAAAAl&#10;AQAAZHJzL2Uyb0RvYy54bWxQSwUGAAAAAAYABgBZAQAAZgUAAAAA&#10;">
              <v:fill on="f" focussize="0,0"/>
              <v:stroke on="f"/>
              <v:imagedata o:title=""/>
              <o:lock v:ext="edit" aspectratio="f"/>
              <v:textbox inset="0mm,0mm,0mm,0mm">
                <w:txbxContent>
                  <w:p w14:paraId="7A0F0C75">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23</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822BF">
    <w:pPr>
      <w:spacing w:line="222" w:lineRule="auto"/>
      <w:jc w:val="center"/>
      <w:rPr>
        <w:rFonts w:ascii="仿宋" w:hAnsi="仿宋" w:eastAsia="宋体" w:cs="仿宋"/>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684530</wp:posOffset>
              </wp:positionV>
              <wp:extent cx="5796280" cy="9525"/>
              <wp:effectExtent l="0" t="0" r="0" b="0"/>
              <wp:wrapNone/>
              <wp:docPr id="2" name="任意多边形 5"/>
              <wp:cNvGraphicFramePr/>
              <a:graphic xmlns:a="http://schemas.openxmlformats.org/drawingml/2006/main">
                <a:graphicData uri="http://schemas.microsoft.com/office/word/2010/wordprocessingShape">
                  <wps:wsp>
                    <wps:cNvSpPr/>
                    <wps:spPr>
                      <a:xfrm>
                        <a:off x="0" y="0"/>
                        <a:ext cx="5796280" cy="9525"/>
                      </a:xfrm>
                      <a:custGeom>
                        <a:avLst/>
                        <a:gdLst/>
                        <a:ahLst/>
                        <a:cxnLst/>
                        <a:rect l="0" t="0" r="0" b="0"/>
                        <a:pathLst>
                          <a:path w="9127" h="15">
                            <a:moveTo>
                              <a:pt x="0" y="0"/>
                            </a:moveTo>
                            <a:lnTo>
                              <a:pt x="9127" y="0"/>
                            </a:lnTo>
                            <a:lnTo>
                              <a:pt x="9127" y="14"/>
                            </a:lnTo>
                            <a:lnTo>
                              <a:pt x="0" y="14"/>
                            </a:lnTo>
                            <a:lnTo>
                              <a:pt x="0" y="0"/>
                            </a:lnTo>
                            <a:close/>
                          </a:path>
                        </a:pathLst>
                      </a:custGeom>
                      <a:solidFill>
                        <a:srgbClr val="000000"/>
                      </a:solidFill>
                      <a:ln>
                        <a:noFill/>
                      </a:ln>
                    </wps:spPr>
                    <wps:bodyPr wrap="square" upright="1"/>
                  </wps:wsp>
                </a:graphicData>
              </a:graphic>
            </wp:anchor>
          </w:drawing>
        </mc:Choice>
        <mc:Fallback>
          <w:pict>
            <v:shape id="任意多边形 5" o:spid="_x0000_s1026" o:spt="100" style="position:absolute;left:0pt;margin-left:70.9pt;margin-top:53.9pt;height:0.75pt;width:456.4pt;mso-position-horizontal-relative:page;mso-position-vertical-relative:page;z-index:251659264;mso-width-relative:page;mso-height-relative:page;" fillcolor="#000000" filled="t" stroked="f" coordsize="9127,15" o:allowincell="f" o:gfxdata="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qV8vXAAAA&#10;DAEAAA8AAAAAAAAAAQAgAAAAIgAAAGRycy9kb3ducmV2LnhtbFBLAQIUABQAAAAIAIdO4kChyPHj&#10;HgIAAKoEAAAOAAAAAAAAAAEAIAAAACYBAABkcnMvZTJvRG9jLnhtbFBLBQYAAAAABgAGAFkBAAC2&#10;BQAAAAA=&#10;" path="m0,0l9127,0,9127,14,0,14,0,0xe">
              <v:fill on="t" focussize="0,0"/>
              <v:stroke on="f"/>
              <v:imagedata o:title=""/>
              <o:lock v:ext="edit" aspectratio="f"/>
            </v:shape>
          </w:pict>
        </mc:Fallback>
      </mc:AlternateContent>
    </w:r>
    <w:r>
      <w:rPr>
        <w:rFonts w:hint="eastAsia" w:ascii="Times New Roman" w:hAnsi="Times New Roman" w:eastAsia="宋体" w:cs="Times New Roman"/>
        <w:sz w:val="18"/>
        <w:szCs w:val="18"/>
      </w:rPr>
      <w:t>秦皇岛至沈阳高速公路北戴河新区至京秦高速段</w:t>
    </w:r>
    <w:r>
      <w:rPr>
        <w:rFonts w:hint="eastAsia" w:ascii="Times New Roman" w:hAnsi="Times New Roman" w:eastAsia="宋体" w:cs="Times New Roman"/>
        <w:sz w:val="18"/>
        <w:szCs w:val="18"/>
        <w:lang w:eastAsia="zh-CN"/>
      </w:rPr>
      <w:t>沥青类材料采购项目</w:t>
    </w:r>
    <w:r>
      <w:rPr>
        <w:rFonts w:hint="eastAsia" w:ascii="Times New Roman" w:hAnsi="Times New Roman" w:eastAsia="宋体" w:cs="Times New Roman"/>
        <w:sz w:val="18"/>
        <w:szCs w:val="18"/>
      </w:rPr>
      <w:t xml:space="preserve">    </w:t>
    </w:r>
    <w:r>
      <w:rPr>
        <w:rFonts w:hint="eastAsia"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33AEB"/>
    <w:multiLevelType w:val="singleLevel"/>
    <w:tmpl w:val="17733AEB"/>
    <w:lvl w:ilvl="0" w:tentative="0">
      <w:start w:val="2"/>
      <w:numFmt w:val="chineseCounting"/>
      <w:suff w:val="nothing"/>
      <w:lvlText w:val="%1、"/>
      <w:lvlJc w:val="left"/>
      <w:rPr>
        <w:rFonts w:hint="eastAsia"/>
      </w:rPr>
    </w:lvl>
  </w:abstractNum>
  <w:abstractNum w:abstractNumId="1">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33176"/>
    <w:rsid w:val="234E6301"/>
    <w:rsid w:val="2F8266AE"/>
    <w:rsid w:val="36BD312A"/>
    <w:rsid w:val="3FD319FA"/>
    <w:rsid w:val="54BF230B"/>
    <w:rsid w:val="5D6271AF"/>
    <w:rsid w:val="6131633F"/>
    <w:rsid w:val="61994753"/>
    <w:rsid w:val="74996BA2"/>
    <w:rsid w:val="7D3F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6929</Words>
  <Characters>7679</Characters>
  <Lines>0</Lines>
  <Paragraphs>0</Paragraphs>
  <TotalTime>6</TotalTime>
  <ScaleCrop>false</ScaleCrop>
  <LinksUpToDate>false</LinksUpToDate>
  <CharactersWithSpaces>7782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2026-06-22T09:38:36Z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