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57AB0">
      <w:pPr>
        <w:pStyle w:val="3"/>
        <w:snapToGrid w:val="0"/>
        <w:spacing w:before="120" w:beforeLines="50" w:after="120" w:afterLines="50" w:line="240" w:lineRule="auto"/>
        <w:rPr>
          <w:rFonts w:hint="default" w:ascii="Times New Roman" w:hAnsi="Times New Roman" w:cs="Times New Roman"/>
          <w:highlight w:val="none"/>
        </w:rPr>
      </w:pPr>
      <w:bookmarkStart w:id="0" w:name="_Toc169457199"/>
      <w:bookmarkStart w:id="1" w:name="_Toc146320977"/>
      <w:bookmarkStart w:id="2" w:name="_Toc141783236"/>
      <w:bookmarkStart w:id="3" w:name="_Toc146029310"/>
      <w:bookmarkStart w:id="4" w:name="OLE_LINK3"/>
      <w:bookmarkStart w:id="5" w:name="OLE_LINK1"/>
      <w:r>
        <w:rPr>
          <w:rFonts w:hint="default" w:ascii="Times New Roman" w:hAnsi="Times New Roman" w:cs="Times New Roman"/>
          <w:sz w:val="24"/>
          <w:szCs w:val="24"/>
          <w:highlight w:val="none"/>
        </w:rPr>
        <w:t>附件1：资格审查条件</w:t>
      </w:r>
      <w:bookmarkEnd w:id="0"/>
      <w:bookmarkEnd w:id="1"/>
      <w:bookmarkEnd w:id="2"/>
      <w:bookmarkEnd w:id="3"/>
    </w:p>
    <w:p w14:paraId="21FE3A09">
      <w:pPr>
        <w:ind w:firstLine="420"/>
        <w:jc w:val="center"/>
        <w:rPr>
          <w:rFonts w:hint="default" w:ascii="Times New Roman" w:hAnsi="Times New Roman" w:cs="Times New Roman"/>
          <w:highlight w:val="none"/>
        </w:rPr>
      </w:pPr>
    </w:p>
    <w:p w14:paraId="5C6B9C3E">
      <w:pPr>
        <w:ind w:firstLine="482"/>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附录1  资格审查条件（资质最低要求）</w:t>
      </w:r>
    </w:p>
    <w:p w14:paraId="08F584BC">
      <w:pPr>
        <w:ind w:firstLine="482"/>
        <w:jc w:val="center"/>
        <w:rPr>
          <w:rFonts w:hint="default" w:ascii="Times New Roman" w:hAnsi="Times New Roman" w:cs="Times New Roman"/>
          <w:b/>
          <w:sz w:val="24"/>
          <w:szCs w:val="24"/>
          <w:highlight w:val="none"/>
        </w:rPr>
      </w:pPr>
    </w:p>
    <w:tbl>
      <w:tblPr>
        <w:tblStyle w:val="5"/>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0BA6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449EA545">
            <w:pPr>
              <w:ind w:firstLine="42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资质等级要求</w:t>
            </w:r>
          </w:p>
        </w:tc>
      </w:tr>
      <w:tr w14:paraId="14B5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8642" w:type="dxa"/>
            <w:vAlign w:val="center"/>
          </w:tcPr>
          <w:p w14:paraId="6DD56957">
            <w:pPr>
              <w:snapToGrid w:val="0"/>
              <w:spacing w:line="440" w:lineRule="exact"/>
              <w:ind w:firstLine="420" w:firstLineChars="200"/>
              <w:rPr>
                <w:rFonts w:hint="eastAsia" w:ascii="Times New Roman" w:hAnsi="Times New Roman" w:eastAsia="宋体" w:cs="Times New Roman"/>
                <w:kern w:val="0"/>
                <w:szCs w:val="21"/>
                <w:highlight w:val="none"/>
                <w:lang w:eastAsia="zh-CN"/>
              </w:rPr>
            </w:pPr>
            <w:r>
              <w:rPr>
                <w:rFonts w:hint="default" w:ascii="Times New Roman" w:hAnsi="Times New Roman" w:cs="Times New Roman"/>
                <w:kern w:val="0"/>
                <w:szCs w:val="21"/>
                <w:highlight w:val="none"/>
              </w:rPr>
              <w:t>中华人民共和国境内的法人或其他组织，持有有效的营业执照</w:t>
            </w:r>
            <w:r>
              <w:rPr>
                <w:rFonts w:hint="eastAsia" w:ascii="Times New Roman" w:hAnsi="Times New Roman" w:cs="Times New Roman"/>
                <w:kern w:val="0"/>
                <w:szCs w:val="21"/>
                <w:highlight w:val="none"/>
                <w:lang w:eastAsia="zh-CN"/>
              </w:rPr>
              <w:t>。</w:t>
            </w:r>
          </w:p>
          <w:p w14:paraId="789AF82C">
            <w:pPr>
              <w:snapToGrid w:val="0"/>
              <w:spacing w:line="44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kern w:val="0"/>
                <w:szCs w:val="21"/>
                <w:highlight w:val="none"/>
              </w:rPr>
              <w:t>具备交通运输主管部门颁发的</w:t>
            </w:r>
            <w:r>
              <w:rPr>
                <w:rFonts w:hint="default" w:ascii="Times New Roman" w:hAnsi="Times New Roman" w:cs="Times New Roman"/>
                <w:szCs w:val="21"/>
                <w:highlight w:val="none"/>
              </w:rPr>
              <w:t>公路工程交通工程专项质量检测机构资质（或公路工程交通工程专项工程试验检测机构资质）。</w:t>
            </w:r>
          </w:p>
        </w:tc>
      </w:tr>
    </w:tbl>
    <w:p w14:paraId="28867941">
      <w:pPr>
        <w:ind w:firstLine="480"/>
        <w:rPr>
          <w:rFonts w:hint="default" w:ascii="Times New Roman" w:hAnsi="Times New Roman" w:cs="Times New Roman"/>
          <w:sz w:val="24"/>
          <w:szCs w:val="24"/>
          <w:highlight w:val="none"/>
        </w:rPr>
      </w:pPr>
    </w:p>
    <w:p w14:paraId="6C83835C">
      <w:pPr>
        <w:ind w:firstLine="480"/>
        <w:rPr>
          <w:rFonts w:hint="default" w:ascii="Times New Roman" w:hAnsi="Times New Roman" w:cs="Times New Roman"/>
          <w:sz w:val="24"/>
          <w:szCs w:val="24"/>
          <w:highlight w:val="none"/>
        </w:rPr>
      </w:pPr>
    </w:p>
    <w:p w14:paraId="6C946273">
      <w:pPr>
        <w:ind w:firstLine="482"/>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附录2  资格审查条件（业绩最低要求）</w:t>
      </w:r>
    </w:p>
    <w:p w14:paraId="01E2AFB8">
      <w:pPr>
        <w:ind w:firstLine="482"/>
        <w:jc w:val="center"/>
        <w:rPr>
          <w:rFonts w:hint="default" w:ascii="Times New Roman" w:hAnsi="Times New Roman" w:cs="Times New Roman"/>
          <w:b/>
          <w:sz w:val="24"/>
          <w:szCs w:val="24"/>
          <w:highlight w:val="none"/>
        </w:rPr>
      </w:pPr>
    </w:p>
    <w:tbl>
      <w:tblPr>
        <w:tblStyle w:val="5"/>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08B9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0DF76337">
            <w:pPr>
              <w:ind w:firstLine="42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业绩要求</w:t>
            </w:r>
          </w:p>
        </w:tc>
      </w:tr>
      <w:tr w14:paraId="3778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642" w:type="dxa"/>
            <w:vAlign w:val="center"/>
          </w:tcPr>
          <w:p w14:paraId="7EBBD821">
            <w:pPr>
              <w:snapToGrid w:val="0"/>
              <w:spacing w:line="360" w:lineRule="exact"/>
              <w:ind w:firstLine="420" w:firstLineChars="200"/>
              <w:rPr>
                <w:rFonts w:hint="eastAsia" w:ascii="Times New Roman" w:hAnsi="Times New Roman" w:eastAsia="宋体" w:cs="Times New Roman"/>
                <w:szCs w:val="21"/>
                <w:highlight w:val="none"/>
                <w:lang w:eastAsia="zh-CN"/>
              </w:rPr>
            </w:pPr>
            <w:r>
              <w:rPr>
                <w:rFonts w:hint="default" w:ascii="Times New Roman" w:hAnsi="Times New Roman" w:cs="Times New Roman"/>
                <w:kern w:val="0"/>
                <w:szCs w:val="21"/>
                <w:highlight w:val="none"/>
              </w:rPr>
              <w:t>近5年（</w:t>
            </w:r>
            <w:r>
              <w:rPr>
                <w:rFonts w:hint="default" w:ascii="Times New Roman" w:hAnsi="Times New Roman" w:cs="Times New Roman"/>
                <w:kern w:val="0"/>
                <w:szCs w:val="21"/>
                <w:highlight w:val="none"/>
                <w:lang w:eastAsia="zh-CN"/>
              </w:rPr>
              <w:t>2021年6月1日</w:t>
            </w:r>
            <w:r>
              <w:rPr>
                <w:rFonts w:hint="default" w:ascii="Times New Roman" w:hAnsi="Times New Roman" w:cs="Times New Roman"/>
                <w:kern w:val="0"/>
                <w:szCs w:val="21"/>
                <w:highlight w:val="none"/>
              </w:rPr>
              <w:t>至投标截止时间，以合同签订时间为准），至少</w:t>
            </w:r>
            <w:r>
              <w:rPr>
                <w:rFonts w:hint="eastAsia" w:ascii="Times New Roman" w:hAnsi="Times New Roman" w:cs="Times New Roman"/>
                <w:kern w:val="0"/>
                <w:szCs w:val="21"/>
                <w:highlight w:val="none"/>
                <w:lang w:eastAsia="zh-CN"/>
              </w:rPr>
              <w:t>承揽</w:t>
            </w:r>
            <w:r>
              <w:rPr>
                <w:rFonts w:hint="default" w:ascii="Times New Roman" w:hAnsi="Times New Roman" w:cs="Times New Roman"/>
                <w:kern w:val="0"/>
                <w:szCs w:val="21"/>
                <w:highlight w:val="none"/>
              </w:rPr>
              <w:t>过1项隧道机电</w:t>
            </w:r>
            <w:r>
              <w:rPr>
                <w:rFonts w:hint="default" w:ascii="Times New Roman" w:hAnsi="Times New Roman" w:cs="Times New Roman"/>
                <w:kern w:val="0"/>
                <w:szCs w:val="21"/>
                <w:highlight w:val="none"/>
                <w:lang w:eastAsia="zh-CN"/>
              </w:rPr>
              <w:t>设施</w:t>
            </w:r>
            <w:r>
              <w:rPr>
                <w:rFonts w:hint="default" w:ascii="Times New Roman" w:hAnsi="Times New Roman" w:cs="Times New Roman"/>
                <w:kern w:val="0"/>
                <w:szCs w:val="21"/>
                <w:highlight w:val="none"/>
              </w:rPr>
              <w:t>检测业绩。</w:t>
            </w:r>
          </w:p>
        </w:tc>
      </w:tr>
    </w:tbl>
    <w:p w14:paraId="25E6DA82">
      <w:pPr>
        <w:ind w:firstLine="480"/>
        <w:rPr>
          <w:rFonts w:hint="default" w:ascii="Times New Roman" w:hAnsi="Times New Roman" w:cs="Times New Roman"/>
          <w:sz w:val="24"/>
          <w:szCs w:val="24"/>
          <w:highlight w:val="none"/>
        </w:rPr>
      </w:pPr>
    </w:p>
    <w:p w14:paraId="52D90141">
      <w:pPr>
        <w:ind w:firstLine="480"/>
        <w:rPr>
          <w:rFonts w:hint="default" w:ascii="Times New Roman" w:hAnsi="Times New Roman" w:cs="Times New Roman"/>
          <w:sz w:val="24"/>
          <w:szCs w:val="24"/>
          <w:highlight w:val="none"/>
        </w:rPr>
      </w:pPr>
    </w:p>
    <w:p w14:paraId="7A896289">
      <w:pPr>
        <w:ind w:firstLine="482"/>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附录3  资格审查条件（信誉最低要求）</w:t>
      </w:r>
    </w:p>
    <w:p w14:paraId="752BF661">
      <w:pPr>
        <w:ind w:firstLine="482"/>
        <w:jc w:val="center"/>
        <w:rPr>
          <w:rFonts w:hint="default" w:ascii="Times New Roman" w:hAnsi="Times New Roman" w:cs="Times New Roman"/>
          <w:b/>
          <w:sz w:val="24"/>
          <w:szCs w:val="24"/>
          <w:highlight w:val="none"/>
        </w:rPr>
      </w:pPr>
    </w:p>
    <w:tbl>
      <w:tblPr>
        <w:tblStyle w:val="5"/>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0DCC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07FE5659">
            <w:pPr>
              <w:ind w:firstLine="42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信誉要求</w:t>
            </w:r>
          </w:p>
        </w:tc>
      </w:tr>
      <w:tr w14:paraId="0E63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642" w:type="dxa"/>
            <w:vAlign w:val="center"/>
          </w:tcPr>
          <w:p w14:paraId="20F68844">
            <w:pPr>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kern w:val="0"/>
                <w:szCs w:val="21"/>
                <w:highlight w:val="none"/>
              </w:rPr>
              <w:t>投标人在过去1年中（</w:t>
            </w:r>
            <w:r>
              <w:rPr>
                <w:rFonts w:hint="default" w:ascii="Times New Roman" w:hAnsi="Times New Roman" w:cs="Times New Roman"/>
                <w:kern w:val="0"/>
                <w:szCs w:val="21"/>
                <w:highlight w:val="none"/>
                <w:lang w:eastAsia="zh-CN"/>
              </w:rPr>
              <w:t>2025年6月1日至</w:t>
            </w:r>
            <w:r>
              <w:rPr>
                <w:rFonts w:hint="default" w:ascii="Times New Roman" w:hAnsi="Times New Roman" w:cs="Times New Roman"/>
                <w:kern w:val="0"/>
                <w:szCs w:val="21"/>
                <w:highlight w:val="none"/>
              </w:rPr>
              <w:t>投标截止时间）不曾在高速公路</w:t>
            </w:r>
            <w:r>
              <w:rPr>
                <w:rFonts w:hint="default" w:ascii="Times New Roman" w:hAnsi="Times New Roman" w:cs="Times New Roman"/>
                <w:kern w:val="0"/>
                <w:szCs w:val="21"/>
                <w:highlight w:val="none"/>
                <w:lang w:eastAsia="zh-CN"/>
              </w:rPr>
              <w:t>隧道</w:t>
            </w:r>
            <w:r>
              <w:rPr>
                <w:rFonts w:hint="default" w:ascii="Times New Roman" w:hAnsi="Times New Roman" w:cs="Times New Roman"/>
                <w:kern w:val="0"/>
                <w:szCs w:val="21"/>
                <w:highlight w:val="none"/>
              </w:rPr>
              <w:t>机电</w:t>
            </w:r>
            <w:r>
              <w:rPr>
                <w:rFonts w:hint="default" w:ascii="Times New Roman" w:hAnsi="Times New Roman" w:cs="Times New Roman"/>
                <w:kern w:val="0"/>
                <w:szCs w:val="21"/>
                <w:highlight w:val="none"/>
                <w:lang w:val="en-US" w:eastAsia="zh-CN"/>
              </w:rPr>
              <w:t>设施</w:t>
            </w:r>
            <w:r>
              <w:rPr>
                <w:rFonts w:hint="default" w:ascii="Times New Roman" w:hAnsi="Times New Roman" w:cs="Times New Roman"/>
                <w:kern w:val="0"/>
                <w:szCs w:val="21"/>
                <w:highlight w:val="none"/>
              </w:rPr>
              <w:t>检测合同中违约被逐或因投标人自身的原因而使合同被解除。</w:t>
            </w:r>
          </w:p>
        </w:tc>
      </w:tr>
    </w:tbl>
    <w:p w14:paraId="702C09AF">
      <w:pPr>
        <w:ind w:firstLine="480"/>
        <w:rPr>
          <w:rFonts w:hint="default" w:ascii="Times New Roman" w:hAnsi="Times New Roman" w:cs="Times New Roman"/>
          <w:sz w:val="24"/>
          <w:szCs w:val="24"/>
          <w:highlight w:val="none"/>
        </w:rPr>
      </w:pPr>
    </w:p>
    <w:p w14:paraId="6B618B5A">
      <w:pPr>
        <w:ind w:firstLine="482"/>
        <w:jc w:val="center"/>
        <w:rPr>
          <w:rFonts w:hint="default" w:ascii="Times New Roman" w:hAnsi="Times New Roman" w:cs="Times New Roman"/>
          <w:b/>
          <w:sz w:val="24"/>
          <w:szCs w:val="24"/>
          <w:highlight w:val="none"/>
        </w:rPr>
      </w:pPr>
    </w:p>
    <w:p w14:paraId="6999FB7E">
      <w:pPr>
        <w:ind w:firstLine="482"/>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附录4  资格审查条件（项目负责人最低要求）</w:t>
      </w:r>
    </w:p>
    <w:p w14:paraId="2572EA02">
      <w:pPr>
        <w:ind w:firstLine="482"/>
        <w:jc w:val="center"/>
        <w:rPr>
          <w:rFonts w:hint="default" w:ascii="Times New Roman" w:hAnsi="Times New Roman" w:cs="Times New Roman"/>
          <w:b/>
          <w:sz w:val="24"/>
          <w:szCs w:val="24"/>
          <w:highlight w:val="none"/>
        </w:rPr>
      </w:pPr>
    </w:p>
    <w:tbl>
      <w:tblPr>
        <w:tblStyle w:val="5"/>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14:paraId="2870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14:paraId="5093CBBC">
            <w:pPr>
              <w:ind w:firstLine="42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人员</w:t>
            </w:r>
          </w:p>
        </w:tc>
        <w:tc>
          <w:tcPr>
            <w:tcW w:w="992" w:type="dxa"/>
            <w:vAlign w:val="center"/>
          </w:tcPr>
          <w:p w14:paraId="36A06C7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6379" w:type="dxa"/>
            <w:vAlign w:val="center"/>
          </w:tcPr>
          <w:p w14:paraId="136C02E2">
            <w:pPr>
              <w:ind w:firstLine="42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资格要求</w:t>
            </w:r>
          </w:p>
        </w:tc>
      </w:tr>
      <w:tr w14:paraId="1EBC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1300" w:type="dxa"/>
            <w:vAlign w:val="center"/>
          </w:tcPr>
          <w:p w14:paraId="308B9A6C">
            <w:pPr>
              <w:rPr>
                <w:rFonts w:hint="default" w:ascii="Times New Roman" w:hAnsi="Times New Roman" w:cs="Times New Roman"/>
                <w:szCs w:val="21"/>
                <w:highlight w:val="none"/>
              </w:rPr>
            </w:pPr>
            <w:r>
              <w:rPr>
                <w:rFonts w:hint="default" w:ascii="Times New Roman" w:hAnsi="Times New Roman" w:cs="Times New Roman"/>
                <w:szCs w:val="21"/>
                <w:highlight w:val="none"/>
              </w:rPr>
              <w:t>项目负责人</w:t>
            </w:r>
          </w:p>
        </w:tc>
        <w:tc>
          <w:tcPr>
            <w:tcW w:w="992" w:type="dxa"/>
            <w:vAlign w:val="center"/>
          </w:tcPr>
          <w:p w14:paraId="5913CB68">
            <w:pPr>
              <w:ind w:firstLine="420"/>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6379" w:type="dxa"/>
            <w:vAlign w:val="center"/>
          </w:tcPr>
          <w:p w14:paraId="18FCC094">
            <w:pPr>
              <w:snapToGrid w:val="0"/>
              <w:spacing w:line="360" w:lineRule="exact"/>
              <w:ind w:firstLine="420" w:firstLineChars="200"/>
              <w:jc w:val="left"/>
              <w:rPr>
                <w:rFonts w:hint="default" w:ascii="Times New Roman" w:hAnsi="Times New Roman" w:cs="Times New Roman"/>
                <w:szCs w:val="21"/>
                <w:highlight w:val="none"/>
              </w:rPr>
            </w:pPr>
            <w:r>
              <w:rPr>
                <w:rFonts w:hint="default" w:ascii="Times New Roman" w:hAnsi="Times New Roman" w:cs="Times New Roman"/>
                <w:szCs w:val="21"/>
                <w:highlight w:val="none"/>
              </w:rPr>
              <w:t>高级工程师；</w:t>
            </w:r>
          </w:p>
          <w:p w14:paraId="2EBDB923">
            <w:pPr>
              <w:snapToGrid w:val="0"/>
              <w:spacing w:line="360" w:lineRule="exact"/>
              <w:ind w:firstLine="420" w:firstLineChars="200"/>
              <w:jc w:val="left"/>
              <w:rPr>
                <w:rFonts w:hint="default" w:ascii="Times New Roman" w:hAnsi="Times New Roman" w:eastAsia="宋体" w:cs="Times New Roman"/>
                <w:color w:val="0000FF"/>
                <w:szCs w:val="21"/>
                <w:highlight w:val="none"/>
                <w:lang w:val="en-US" w:eastAsia="zh-CN"/>
              </w:rPr>
            </w:pPr>
            <w:r>
              <w:rPr>
                <w:rFonts w:hint="default" w:ascii="Times New Roman" w:hAnsi="Times New Roman" w:cs="Times New Roman"/>
                <w:kern w:val="0"/>
                <w:szCs w:val="21"/>
                <w:highlight w:val="none"/>
              </w:rPr>
              <w:t>具有交通运输部工程质量监督局颁发的试验检测工程师（机电工程专业）资格证书，或交通运输部职业资格中心颁发的公路水运工程试验检测师（交通工程专业）资格证书；且在“公路水运工程质量检测管理信息系统（https://www.ttiis.cn）”中进行登记</w:t>
            </w:r>
            <w:r>
              <w:rPr>
                <w:rFonts w:hint="eastAsia" w:ascii="Times New Roman" w:hAnsi="Times New Roman" w:cs="Times New Roman"/>
                <w:kern w:val="0"/>
                <w:szCs w:val="21"/>
                <w:highlight w:val="none"/>
                <w:lang w:eastAsia="zh-CN"/>
              </w:rPr>
              <w:t>，</w:t>
            </w:r>
            <w:r>
              <w:rPr>
                <w:rFonts w:hint="eastAsia" w:ascii="Times New Roman" w:hAnsi="Times New Roman" w:cs="Times New Roman"/>
                <w:color w:val="auto"/>
                <w:kern w:val="0"/>
                <w:szCs w:val="21"/>
                <w:highlight w:val="none"/>
                <w:lang w:eastAsia="zh-CN"/>
              </w:rPr>
              <w:t>登记单位须与投标人名称一致</w:t>
            </w:r>
            <w:r>
              <w:rPr>
                <w:rFonts w:hint="eastAsia" w:ascii="Times New Roman" w:hAnsi="Times New Roman" w:cs="Times New Roman"/>
                <w:color w:val="auto"/>
                <w:kern w:val="0"/>
                <w:szCs w:val="21"/>
                <w:highlight w:val="none"/>
                <w:lang w:val="en-US" w:eastAsia="zh-CN"/>
              </w:rPr>
              <w:t>。</w:t>
            </w:r>
          </w:p>
          <w:p w14:paraId="1D21B21E">
            <w:pPr>
              <w:snapToGrid w:val="0"/>
              <w:spacing w:line="360" w:lineRule="exact"/>
              <w:ind w:firstLine="420" w:firstLineChars="200"/>
              <w:jc w:val="left"/>
              <w:rPr>
                <w:rFonts w:hint="default" w:ascii="Times New Roman" w:hAnsi="Times New Roman" w:cs="Times New Roman"/>
                <w:szCs w:val="21"/>
                <w:highlight w:val="none"/>
              </w:rPr>
            </w:pPr>
            <w:r>
              <w:rPr>
                <w:rFonts w:hint="default" w:ascii="Times New Roman" w:hAnsi="Times New Roman" w:cs="Times New Roman"/>
                <w:szCs w:val="21"/>
                <w:highlight w:val="none"/>
              </w:rPr>
              <w:t>近5年（</w:t>
            </w:r>
            <w:r>
              <w:rPr>
                <w:rFonts w:hint="default" w:ascii="Times New Roman" w:hAnsi="Times New Roman" w:cs="Times New Roman"/>
                <w:kern w:val="0"/>
                <w:szCs w:val="21"/>
                <w:highlight w:val="none"/>
                <w:lang w:eastAsia="zh-CN"/>
              </w:rPr>
              <w:t>2021年6月1日</w:t>
            </w:r>
            <w:r>
              <w:rPr>
                <w:rFonts w:hint="default" w:ascii="Times New Roman" w:hAnsi="Times New Roman" w:cs="Times New Roman"/>
                <w:szCs w:val="21"/>
                <w:highlight w:val="none"/>
              </w:rPr>
              <w:t>至投标截止时间，以合同签订时间为准）至少担任过1项隧道机电</w:t>
            </w:r>
            <w:r>
              <w:rPr>
                <w:rFonts w:hint="default" w:ascii="Times New Roman" w:hAnsi="Times New Roman" w:cs="Times New Roman"/>
                <w:szCs w:val="21"/>
                <w:highlight w:val="none"/>
                <w:lang w:val="en-US" w:eastAsia="zh-CN"/>
              </w:rPr>
              <w:t>设施</w:t>
            </w:r>
            <w:r>
              <w:rPr>
                <w:rFonts w:hint="default" w:ascii="Times New Roman" w:hAnsi="Times New Roman" w:cs="Times New Roman"/>
                <w:szCs w:val="21"/>
                <w:highlight w:val="none"/>
              </w:rPr>
              <w:t>检测的项目负责人。</w:t>
            </w:r>
          </w:p>
        </w:tc>
      </w:tr>
    </w:tbl>
    <w:p w14:paraId="049E3208">
      <w:pPr>
        <w:snapToGrid w:val="0"/>
        <w:spacing w:line="360" w:lineRule="auto"/>
        <w:rPr>
          <w:rFonts w:hint="default" w:ascii="Times New Roman" w:hAnsi="Times New Roman" w:eastAsia="黑体" w:cs="Times New Roman"/>
          <w:spacing w:val="-8"/>
          <w:sz w:val="24"/>
          <w:szCs w:val="24"/>
          <w:highlight w:val="none"/>
        </w:rPr>
      </w:pPr>
      <w:bookmarkStart w:id="6" w:name="_Toc146029311"/>
      <w:bookmarkStart w:id="7" w:name="_Toc146320978"/>
      <w:bookmarkStart w:id="8" w:name="_Toc141783237"/>
    </w:p>
    <w:p w14:paraId="69CF3EA5">
      <w:pPr>
        <w:rPr>
          <w:rFonts w:hint="default" w:ascii="Times New Roman" w:hAnsi="Times New Roman" w:cs="Times New Roman"/>
          <w:b/>
          <w:bCs/>
          <w:sz w:val="24"/>
          <w:szCs w:val="24"/>
          <w:highlight w:val="none"/>
        </w:rPr>
      </w:pPr>
      <w:bookmarkStart w:id="20" w:name="_GoBack"/>
      <w:bookmarkStart w:id="9" w:name="_Toc169457200"/>
      <w:r>
        <w:rPr>
          <w:rFonts w:hint="default" w:ascii="Times New Roman" w:hAnsi="Times New Roman" w:cs="Times New Roman"/>
          <w:b/>
          <w:bCs/>
          <w:sz w:val="24"/>
          <w:szCs w:val="24"/>
          <w:highlight w:val="none"/>
        </w:rPr>
        <w:t>附件2：评标办法</w:t>
      </w:r>
      <w:bookmarkEnd w:id="6"/>
      <w:bookmarkEnd w:id="7"/>
      <w:bookmarkEnd w:id="8"/>
      <w:bookmarkEnd w:id="9"/>
    </w:p>
    <w:bookmarkEnd w:id="20"/>
    <w:p w14:paraId="5DF51CAD">
      <w:pPr>
        <w:pStyle w:val="3"/>
        <w:snapToGrid w:val="0"/>
        <w:spacing w:before="120" w:after="120" w:line="240" w:lineRule="auto"/>
        <w:ind w:firstLine="482"/>
        <w:rPr>
          <w:rFonts w:hint="default" w:ascii="Times New Roman" w:hAnsi="Times New Roman" w:cs="Times New Roman"/>
          <w:sz w:val="24"/>
          <w:szCs w:val="24"/>
          <w:highlight w:val="none"/>
        </w:rPr>
      </w:pPr>
      <w:bookmarkStart w:id="10" w:name="_Toc141783238"/>
      <w:bookmarkStart w:id="11" w:name="_Toc66337244"/>
      <w:bookmarkStart w:id="12" w:name="_Toc66984522"/>
      <w:bookmarkStart w:id="13" w:name="_Toc146029312"/>
      <w:bookmarkStart w:id="14" w:name="_Toc169457201"/>
      <w:bookmarkStart w:id="15" w:name="_Toc65857110"/>
      <w:bookmarkStart w:id="16" w:name="_Toc138793770"/>
      <w:bookmarkStart w:id="17" w:name="_Toc146320979"/>
      <w:bookmarkStart w:id="18" w:name="_Toc65820978"/>
      <w:r>
        <w:rPr>
          <w:rFonts w:hint="default" w:ascii="Times New Roman" w:hAnsi="Times New Roman" w:cs="Times New Roman"/>
          <w:sz w:val="24"/>
          <w:szCs w:val="24"/>
          <w:highlight w:val="none"/>
        </w:rPr>
        <w:t>评标办法前附表</w:t>
      </w:r>
      <w:bookmarkEnd w:id="4"/>
      <w:bookmarkEnd w:id="5"/>
      <w:bookmarkEnd w:id="10"/>
      <w:bookmarkEnd w:id="11"/>
      <w:bookmarkEnd w:id="12"/>
      <w:bookmarkEnd w:id="13"/>
      <w:bookmarkEnd w:id="14"/>
      <w:bookmarkEnd w:id="15"/>
      <w:bookmarkEnd w:id="16"/>
      <w:bookmarkEnd w:id="17"/>
      <w:bookmarkEnd w:id="18"/>
      <w:bookmarkStart w:id="19" w:name="_Hlk71130285"/>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998"/>
        <w:gridCol w:w="6775"/>
      </w:tblGrid>
      <w:tr w14:paraId="5658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18" w:type="pct"/>
            <w:gridSpan w:val="2"/>
            <w:vAlign w:val="center"/>
          </w:tcPr>
          <w:p w14:paraId="3F18F8C4">
            <w:pPr>
              <w:jc w:val="center"/>
              <w:rPr>
                <w:rFonts w:hint="default" w:ascii="Times New Roman" w:hAnsi="Times New Roman" w:cs="Times New Roman"/>
                <w:highlight w:val="none"/>
              </w:rPr>
            </w:pPr>
            <w:r>
              <w:rPr>
                <w:rFonts w:hint="default" w:ascii="Times New Roman" w:hAnsi="Times New Roman" w:cs="Times New Roman"/>
                <w:highlight w:val="none"/>
              </w:rPr>
              <w:t>条款号</w:t>
            </w:r>
          </w:p>
        </w:tc>
        <w:tc>
          <w:tcPr>
            <w:tcW w:w="3981" w:type="pct"/>
            <w:vAlign w:val="center"/>
          </w:tcPr>
          <w:p w14:paraId="37955076">
            <w:pPr>
              <w:ind w:firstLine="420"/>
              <w:jc w:val="center"/>
              <w:rPr>
                <w:rFonts w:hint="default" w:ascii="Times New Roman" w:hAnsi="Times New Roman" w:cs="Times New Roman"/>
                <w:highlight w:val="none"/>
              </w:rPr>
            </w:pPr>
            <w:r>
              <w:rPr>
                <w:rFonts w:hint="default" w:ascii="Times New Roman" w:hAnsi="Times New Roman" w:cs="Times New Roman"/>
                <w:highlight w:val="none"/>
              </w:rPr>
              <w:t>评审因素与评审标准</w:t>
            </w:r>
          </w:p>
        </w:tc>
      </w:tr>
      <w:tr w14:paraId="54B9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6FFBB232">
            <w:pPr>
              <w:jc w:val="center"/>
              <w:rPr>
                <w:rFonts w:hint="default" w:ascii="Times New Roman" w:hAnsi="Times New Roman" w:cs="Times New Roman"/>
                <w:highlight w:val="none"/>
              </w:rPr>
            </w:pPr>
            <w:r>
              <w:rPr>
                <w:rFonts w:hint="default" w:ascii="Times New Roman" w:hAnsi="Times New Roman" w:cs="Times New Roman"/>
                <w:highlight w:val="none"/>
              </w:rPr>
              <w:t>1</w:t>
            </w:r>
          </w:p>
        </w:tc>
        <w:tc>
          <w:tcPr>
            <w:tcW w:w="589" w:type="pct"/>
            <w:vAlign w:val="center"/>
          </w:tcPr>
          <w:p w14:paraId="1FD94AFB">
            <w:pPr>
              <w:jc w:val="center"/>
              <w:rPr>
                <w:rFonts w:hint="default" w:ascii="Times New Roman" w:hAnsi="Times New Roman" w:cs="Times New Roman"/>
                <w:highlight w:val="none"/>
              </w:rPr>
            </w:pPr>
            <w:r>
              <w:rPr>
                <w:rFonts w:hint="default" w:ascii="Times New Roman" w:hAnsi="Times New Roman" w:cs="Times New Roman"/>
                <w:highlight w:val="none"/>
              </w:rPr>
              <w:t>评标方法</w:t>
            </w:r>
          </w:p>
        </w:tc>
        <w:tc>
          <w:tcPr>
            <w:tcW w:w="3981" w:type="pct"/>
            <w:vAlign w:val="center"/>
          </w:tcPr>
          <w:p w14:paraId="7099223D">
            <w:pPr>
              <w:ind w:firstLine="315" w:firstLineChars="150"/>
              <w:jc w:val="left"/>
              <w:rPr>
                <w:rFonts w:hint="default" w:ascii="Times New Roman" w:hAnsi="Times New Roman" w:cs="Times New Roman"/>
                <w:highlight w:val="none"/>
              </w:rPr>
            </w:pPr>
            <w:r>
              <w:rPr>
                <w:rFonts w:hint="default" w:ascii="Times New Roman" w:hAnsi="Times New Roman" w:cs="Times New Roman"/>
                <w:highlight w: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051D0961">
            <w:pPr>
              <w:ind w:firstLine="315" w:firstLineChars="150"/>
              <w:jc w:val="left"/>
              <w:rPr>
                <w:rFonts w:hint="default" w:ascii="Times New Roman" w:hAnsi="Times New Roman" w:cs="Times New Roman"/>
                <w:highlight w:val="none"/>
              </w:rPr>
            </w:pPr>
            <w:r>
              <w:rPr>
                <w:rFonts w:hint="default" w:ascii="Times New Roman" w:hAnsi="Times New Roman" w:cs="Times New Roman"/>
                <w:highlight w:val="none"/>
              </w:rPr>
              <w:t>（1）评标价低的投标人优先；</w:t>
            </w:r>
          </w:p>
          <w:p w14:paraId="31A1F7B4">
            <w:pPr>
              <w:ind w:firstLine="315" w:firstLineChars="150"/>
              <w:jc w:val="left"/>
              <w:rPr>
                <w:rFonts w:hint="default" w:ascii="Times New Roman" w:hAnsi="Times New Roman" w:cs="Times New Roman"/>
                <w:highlight w:val="none"/>
              </w:rPr>
            </w:pPr>
            <w:r>
              <w:rPr>
                <w:rFonts w:hint="default" w:ascii="Times New Roman" w:hAnsi="Times New Roman" w:cs="Times New Roman"/>
                <w:highlight w:val="none"/>
              </w:rPr>
              <w:t>（2）技术建议书得分较高的投标人优先；</w:t>
            </w:r>
          </w:p>
          <w:p w14:paraId="0139C2CA">
            <w:pPr>
              <w:ind w:firstLine="315" w:firstLineChars="150"/>
              <w:jc w:val="left"/>
              <w:rPr>
                <w:rFonts w:hint="default" w:ascii="Times New Roman" w:hAnsi="Times New Roman" w:cs="Times New Roman"/>
                <w:highlight w:val="none"/>
              </w:rPr>
            </w:pPr>
            <w:r>
              <w:rPr>
                <w:rFonts w:hint="default" w:ascii="Times New Roman" w:hAnsi="Times New Roman" w:cs="Times New Roman"/>
                <w:highlight w:val="none"/>
              </w:rPr>
              <w:t>（3）投标文件中满足附录2资格审查条件（业绩最低要求） 的业绩</w:t>
            </w:r>
            <w:r>
              <w:rPr>
                <w:rFonts w:hint="default" w:ascii="Times New Roman" w:hAnsi="Times New Roman" w:cs="Times New Roman"/>
                <w:highlight w:val="none"/>
                <w:lang w:eastAsia="zh-CN"/>
              </w:rPr>
              <w:t>中</w:t>
            </w:r>
            <w:r>
              <w:rPr>
                <w:rFonts w:hint="eastAsia" w:ascii="Times New Roman" w:hAnsi="Times New Roman" w:cs="Times New Roman"/>
                <w:color w:val="auto"/>
                <w:highlight w:val="none"/>
                <w:lang w:eastAsia="zh-CN"/>
              </w:rPr>
              <w:t>单个</w:t>
            </w:r>
            <w:r>
              <w:rPr>
                <w:rFonts w:hint="default" w:ascii="Times New Roman" w:hAnsi="Times New Roman" w:cs="Times New Roman"/>
                <w:color w:val="auto"/>
                <w:highlight w:val="none"/>
                <w:lang w:val="en-US" w:eastAsia="zh-CN"/>
              </w:rPr>
              <w:t>合同</w:t>
            </w:r>
            <w:r>
              <w:rPr>
                <w:rFonts w:hint="default" w:ascii="Times New Roman" w:hAnsi="Times New Roman" w:cs="Times New Roman"/>
                <w:color w:val="auto"/>
                <w:highlight w:val="none"/>
              </w:rPr>
              <w:t>金额</w:t>
            </w:r>
            <w:r>
              <w:rPr>
                <w:rFonts w:hint="eastAsia" w:ascii="Times New Roman" w:hAnsi="Times New Roman" w:cs="Times New Roman"/>
                <w:color w:val="auto"/>
                <w:highlight w:val="none"/>
                <w:lang w:eastAsia="zh-CN"/>
              </w:rPr>
              <w:t>较</w:t>
            </w:r>
            <w:r>
              <w:rPr>
                <w:rFonts w:hint="default" w:ascii="Times New Roman" w:hAnsi="Times New Roman" w:cs="Times New Roman"/>
                <w:color w:val="auto"/>
                <w:highlight w:val="none"/>
              </w:rPr>
              <w:t>高的优先。</w:t>
            </w:r>
          </w:p>
        </w:tc>
      </w:tr>
      <w:tr w14:paraId="4E17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59F099DF">
            <w:pPr>
              <w:jc w:val="center"/>
              <w:rPr>
                <w:rFonts w:hint="default" w:ascii="Times New Roman" w:hAnsi="Times New Roman" w:cs="Times New Roman"/>
                <w:highlight w:val="none"/>
              </w:rPr>
            </w:pPr>
            <w:r>
              <w:rPr>
                <w:rFonts w:hint="default" w:ascii="Times New Roman" w:hAnsi="Times New Roman" w:cs="Times New Roman"/>
                <w:highlight w:val="none"/>
              </w:rPr>
              <w:t>2.1.1</w:t>
            </w:r>
          </w:p>
          <w:p w14:paraId="787C3EF9">
            <w:pPr>
              <w:jc w:val="center"/>
              <w:rPr>
                <w:rFonts w:hint="default" w:ascii="Times New Roman" w:hAnsi="Times New Roman" w:cs="Times New Roman"/>
                <w:highlight w:val="none"/>
              </w:rPr>
            </w:pPr>
            <w:r>
              <w:rPr>
                <w:rFonts w:hint="default" w:ascii="Times New Roman" w:hAnsi="Times New Roman" w:cs="Times New Roman"/>
                <w:highlight w:val="none"/>
              </w:rPr>
              <w:t>2.1.3</w:t>
            </w:r>
          </w:p>
        </w:tc>
        <w:tc>
          <w:tcPr>
            <w:tcW w:w="589" w:type="pct"/>
            <w:vAlign w:val="center"/>
          </w:tcPr>
          <w:p w14:paraId="612D3EEA">
            <w:pPr>
              <w:jc w:val="center"/>
              <w:rPr>
                <w:rFonts w:hint="default" w:ascii="Times New Roman" w:hAnsi="Times New Roman" w:cs="Times New Roman"/>
                <w:highlight w:val="none"/>
              </w:rPr>
            </w:pPr>
            <w:r>
              <w:rPr>
                <w:rFonts w:hint="default" w:ascii="Times New Roman" w:hAnsi="Times New Roman" w:cs="Times New Roman"/>
                <w:highlight w:val="none"/>
              </w:rPr>
              <w:t>形式评审与响应性评审标准</w:t>
            </w:r>
          </w:p>
        </w:tc>
        <w:tc>
          <w:tcPr>
            <w:tcW w:w="3981" w:type="pct"/>
          </w:tcPr>
          <w:p w14:paraId="2A7A3BF7">
            <w:pPr>
              <w:tabs>
                <w:tab w:val="left" w:pos="3060"/>
              </w:tabs>
              <w:spacing w:line="320" w:lineRule="exact"/>
              <w:rPr>
                <w:rFonts w:hint="default" w:ascii="Times New Roman" w:hAnsi="Times New Roman" w:cs="Times New Roman"/>
                <w:b/>
                <w:szCs w:val="21"/>
                <w:highlight w:val="none"/>
              </w:rPr>
            </w:pPr>
            <w:r>
              <w:rPr>
                <w:rFonts w:hint="default" w:ascii="Times New Roman" w:hAnsi="Times New Roman" w:cs="Times New Roman"/>
                <w:b/>
                <w:szCs w:val="21"/>
                <w:highlight w:val="none"/>
              </w:rPr>
              <w:t>第一个信封（商务文件）评审标准：</w:t>
            </w:r>
          </w:p>
          <w:p w14:paraId="1F257233">
            <w:pPr>
              <w:tabs>
                <w:tab w:val="left" w:pos="3060"/>
              </w:tabs>
              <w:spacing w:line="320" w:lineRule="exact"/>
              <w:ind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（1）投标文件按照招标文件规定的格式、内容填写，字迹清晰可辨：</w:t>
            </w:r>
          </w:p>
          <w:p w14:paraId="39706244">
            <w:pPr>
              <w:tabs>
                <w:tab w:val="left" w:pos="3060"/>
              </w:tabs>
              <w:spacing w:line="32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a．投标函按招标文件规定填报了招标人名称、项目名称、补遗书编号（如有）、项目负责人相关信息、质量要求、安全目标、服务期限等内容；</w:t>
            </w:r>
          </w:p>
          <w:p w14:paraId="07B0E67B">
            <w:pPr>
              <w:tabs>
                <w:tab w:val="left" w:pos="3060"/>
              </w:tabs>
              <w:spacing w:line="32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b．投标文件组成齐全完整，内容均按规定填写。</w:t>
            </w:r>
          </w:p>
          <w:p w14:paraId="1266C169">
            <w:pPr>
              <w:tabs>
                <w:tab w:val="left" w:pos="3060"/>
              </w:tabs>
              <w:spacing w:line="320" w:lineRule="exact"/>
              <w:ind w:firstLine="210" w:firstLineChars="100"/>
              <w:rPr>
                <w:rFonts w:hint="default" w:ascii="Times New Roman" w:hAnsi="Times New Roman" w:cs="Times New Roman"/>
                <w:bCs/>
                <w:szCs w:val="21"/>
                <w:highlight w:val="none"/>
              </w:rPr>
            </w:pPr>
            <w:r>
              <w:rPr>
                <w:rFonts w:hint="default" w:ascii="Times New Roman" w:hAnsi="Times New Roman" w:cs="Times New Roman"/>
                <w:bCs/>
                <w:szCs w:val="21"/>
                <w:highlight w:val="none"/>
              </w:rPr>
              <w:t>（2）投标文件上法定代表人或其授权代理人的签字、投标人的单位章盖章齐全，符合招标文件规定。</w:t>
            </w:r>
          </w:p>
          <w:p w14:paraId="7592AEC2">
            <w:pPr>
              <w:tabs>
                <w:tab w:val="left" w:pos="3060"/>
              </w:tabs>
              <w:spacing w:line="320" w:lineRule="exact"/>
              <w:ind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（3）投标人按照招标文件的规定提供了投标保证金，满足招标文件投标人须知前附表第3.4.1项。</w:t>
            </w:r>
          </w:p>
          <w:p w14:paraId="4292535C">
            <w:pPr>
              <w:tabs>
                <w:tab w:val="left" w:pos="3060"/>
              </w:tabs>
              <w:spacing w:line="320" w:lineRule="exact"/>
              <w:ind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（4）投标人法定代表人授权委托代理人签署投标文件的，须提交授权委托书，授权委托书符合招标文件规定。</w:t>
            </w:r>
          </w:p>
          <w:p w14:paraId="0378EBCE">
            <w:pPr>
              <w:tabs>
                <w:tab w:val="left" w:pos="3060"/>
              </w:tabs>
              <w:spacing w:line="320" w:lineRule="exact"/>
              <w:ind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（5）投标人法定代表人亲自签署投标文件的，提供了法定代表人身份证明，法定代表人身份证明符合招标文件规定。</w:t>
            </w:r>
          </w:p>
          <w:p w14:paraId="714C01D7">
            <w:pPr>
              <w:tabs>
                <w:tab w:val="left" w:pos="3060"/>
              </w:tabs>
              <w:spacing w:line="320" w:lineRule="exact"/>
              <w:ind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（6）投标人未以联合体形式投标。</w:t>
            </w:r>
          </w:p>
          <w:p w14:paraId="322C1224">
            <w:pPr>
              <w:tabs>
                <w:tab w:val="left" w:pos="3060"/>
              </w:tabs>
              <w:spacing w:line="320" w:lineRule="exact"/>
              <w:ind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（7）投标人未对本项目提出分包计划。</w:t>
            </w:r>
          </w:p>
          <w:p w14:paraId="3F3E2A70">
            <w:pPr>
              <w:tabs>
                <w:tab w:val="left" w:pos="3060"/>
              </w:tabs>
              <w:spacing w:line="320" w:lineRule="exact"/>
              <w:ind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（8）投标人未提交两个及以上不同的投标文件或备选方案。</w:t>
            </w:r>
          </w:p>
          <w:p w14:paraId="3D8D4861">
            <w:pPr>
              <w:tabs>
                <w:tab w:val="left" w:pos="3060"/>
              </w:tabs>
              <w:spacing w:line="320" w:lineRule="exact"/>
              <w:ind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（9）投标文件中未出现有关投标报价的内容。</w:t>
            </w:r>
          </w:p>
          <w:p w14:paraId="24760513">
            <w:pPr>
              <w:tabs>
                <w:tab w:val="left" w:pos="3060"/>
              </w:tabs>
              <w:spacing w:line="320" w:lineRule="exact"/>
              <w:ind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（10）投标文件载明的招标项目完成期限未超过招标文件规定的时限。</w:t>
            </w:r>
          </w:p>
          <w:p w14:paraId="01670E25">
            <w:pPr>
              <w:tabs>
                <w:tab w:val="left" w:pos="3060"/>
              </w:tabs>
              <w:spacing w:line="320" w:lineRule="exact"/>
              <w:ind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（11）投标文件对招标文件的实质性要求和条件作出响应。</w:t>
            </w:r>
          </w:p>
          <w:p w14:paraId="6F002EDB">
            <w:pPr>
              <w:tabs>
                <w:tab w:val="left" w:pos="3060"/>
              </w:tabs>
              <w:spacing w:line="320" w:lineRule="exact"/>
              <w:ind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（12）权利义务符合招标文件规定：</w:t>
            </w:r>
          </w:p>
          <w:p w14:paraId="6205CA24">
            <w:pPr>
              <w:tabs>
                <w:tab w:val="left" w:pos="3060"/>
              </w:tabs>
              <w:spacing w:line="320" w:lineRule="exact"/>
              <w:ind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a.投标人应接受招标文件规定的风险划分原则，未提出新的风险划分办法；</w:t>
            </w:r>
          </w:p>
          <w:p w14:paraId="61A85279">
            <w:pPr>
              <w:tabs>
                <w:tab w:val="left" w:pos="3060"/>
              </w:tabs>
              <w:spacing w:line="320" w:lineRule="exact"/>
              <w:ind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b.投标人未增加发包人的责任范围，或减少投标人义务；</w:t>
            </w:r>
          </w:p>
          <w:p w14:paraId="3F005BCA">
            <w:pPr>
              <w:tabs>
                <w:tab w:val="left" w:pos="3060"/>
              </w:tabs>
              <w:spacing w:line="320" w:lineRule="exact"/>
              <w:ind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c.投标人未提出不同的支付办法；</w:t>
            </w:r>
          </w:p>
          <w:p w14:paraId="7AF177F4">
            <w:pPr>
              <w:tabs>
                <w:tab w:val="left" w:pos="3060"/>
              </w:tabs>
              <w:spacing w:line="320" w:lineRule="exact"/>
              <w:ind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d.投标人对合同纠纷、事故处理办法未提出异议；</w:t>
            </w:r>
          </w:p>
          <w:p w14:paraId="7204EA97">
            <w:pPr>
              <w:tabs>
                <w:tab w:val="left" w:pos="3060"/>
              </w:tabs>
              <w:spacing w:line="320" w:lineRule="exact"/>
              <w:ind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e.投标人在投标活动中无欺诈行为；</w:t>
            </w:r>
          </w:p>
          <w:p w14:paraId="15462CF1">
            <w:pPr>
              <w:tabs>
                <w:tab w:val="left" w:pos="3060"/>
              </w:tabs>
              <w:spacing w:line="320" w:lineRule="exact"/>
              <w:ind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f.投标人未对合同条款有重要保留。</w:t>
            </w:r>
          </w:p>
          <w:p w14:paraId="55C66EFD">
            <w:pPr>
              <w:tabs>
                <w:tab w:val="left" w:pos="3060"/>
              </w:tabs>
              <w:spacing w:line="320" w:lineRule="exact"/>
              <w:ind w:firstLine="211" w:firstLineChars="100"/>
              <w:rPr>
                <w:rFonts w:hint="default" w:ascii="Times New Roman" w:hAnsi="Times New Roman" w:cs="Times New Roman"/>
                <w:szCs w:val="21"/>
                <w:highlight w:val="none"/>
              </w:rPr>
            </w:pPr>
            <w:r>
              <w:rPr>
                <w:rFonts w:hint="default" w:ascii="Times New Roman" w:hAnsi="Times New Roman" w:cs="Times New Roman"/>
                <w:b/>
                <w:szCs w:val="21"/>
                <w:highlight w:val="none"/>
              </w:rPr>
              <w:t>第一个信封（技术文件）评审标准：</w:t>
            </w:r>
          </w:p>
          <w:p w14:paraId="27B86231">
            <w:pPr>
              <w:tabs>
                <w:tab w:val="left" w:pos="3060"/>
              </w:tabs>
              <w:spacing w:line="320" w:lineRule="exact"/>
              <w:ind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（1）技术建议书（暗标）的编制符合招标文件第二章“投标人须知”第10.2款的规定。</w:t>
            </w:r>
          </w:p>
          <w:p w14:paraId="0F157AAA">
            <w:pPr>
              <w:tabs>
                <w:tab w:val="left" w:pos="3060"/>
              </w:tabs>
              <w:spacing w:line="320" w:lineRule="exact"/>
              <w:ind w:firstLine="210" w:firstLineChars="100"/>
              <w:rPr>
                <w:rFonts w:hint="default" w:ascii="Times New Roman" w:hAnsi="Times New Roman" w:cs="Times New Roman"/>
                <w:szCs w:val="21"/>
                <w:highlight w:val="none"/>
              </w:rPr>
            </w:pPr>
          </w:p>
          <w:p w14:paraId="3FFF9F3A">
            <w:pPr>
              <w:tabs>
                <w:tab w:val="left" w:pos="3060"/>
              </w:tabs>
              <w:spacing w:line="320" w:lineRule="exact"/>
              <w:ind w:firstLine="422"/>
              <w:rPr>
                <w:rFonts w:hint="default" w:ascii="Times New Roman" w:hAnsi="Times New Roman" w:cs="Times New Roman"/>
                <w:b/>
                <w:szCs w:val="21"/>
                <w:highlight w:val="none"/>
              </w:rPr>
            </w:pPr>
            <w:r>
              <w:rPr>
                <w:rFonts w:hint="default" w:ascii="Times New Roman" w:hAnsi="Times New Roman" w:cs="Times New Roman"/>
                <w:b/>
                <w:szCs w:val="21"/>
                <w:highlight w:val="none"/>
              </w:rPr>
              <w:t>第二个信封（报价文件）评审标准：</w:t>
            </w:r>
          </w:p>
          <w:p w14:paraId="5C374D25">
            <w:pPr>
              <w:tabs>
                <w:tab w:val="left" w:pos="3060"/>
              </w:tabs>
              <w:spacing w:line="320" w:lineRule="exact"/>
              <w:ind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（1）投标文件按照招标文件规定的格式、内容填写，字迹清晰可辨：</w:t>
            </w:r>
          </w:p>
          <w:p w14:paraId="4B4E54D5">
            <w:pPr>
              <w:tabs>
                <w:tab w:val="left" w:pos="3060"/>
              </w:tabs>
              <w:spacing w:line="32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a．投标函按招标文件规定填报了招标人名称、项目名称、补遗书编号（如有）、投标报价（包括大写金额和小写金额）；</w:t>
            </w:r>
          </w:p>
          <w:p w14:paraId="25A0F39F">
            <w:pPr>
              <w:tabs>
                <w:tab w:val="left" w:pos="3060"/>
              </w:tabs>
              <w:spacing w:line="32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b．投标文件组成齐全完整，内容均按规定填写。</w:t>
            </w:r>
          </w:p>
          <w:p w14:paraId="3DF8CB50">
            <w:pPr>
              <w:tabs>
                <w:tab w:val="left" w:pos="3060"/>
              </w:tabs>
              <w:spacing w:line="320" w:lineRule="exact"/>
              <w:ind w:firstLine="205" w:firstLineChars="98"/>
              <w:rPr>
                <w:rFonts w:hint="default" w:ascii="Times New Roman" w:hAnsi="Times New Roman" w:cs="Times New Roman"/>
                <w:bCs/>
                <w:szCs w:val="21"/>
                <w:highlight w:val="none"/>
              </w:rPr>
            </w:pPr>
            <w:r>
              <w:rPr>
                <w:rFonts w:hint="default" w:ascii="Times New Roman" w:hAnsi="Times New Roman" w:cs="Times New Roman"/>
                <w:bCs/>
                <w:szCs w:val="21"/>
                <w:highlight w:val="none"/>
              </w:rPr>
              <w:t>（2）投标文件上法定代表人或其授权代理人的签字、投标人的单位章盖章齐全，符合招标文件规定。</w:t>
            </w:r>
          </w:p>
          <w:p w14:paraId="3FA8103C">
            <w:pPr>
              <w:tabs>
                <w:tab w:val="left" w:pos="3060"/>
              </w:tabs>
              <w:spacing w:line="320" w:lineRule="exact"/>
              <w:ind w:firstLine="205" w:firstLineChars="98"/>
              <w:rPr>
                <w:rFonts w:hint="default" w:ascii="Times New Roman" w:hAnsi="Times New Roman" w:cs="Times New Roman"/>
                <w:bCs/>
                <w:szCs w:val="21"/>
                <w:highlight w:val="none"/>
              </w:rPr>
            </w:pPr>
            <w:r>
              <w:rPr>
                <w:rFonts w:hint="default" w:ascii="Times New Roman" w:hAnsi="Times New Roman" w:cs="Times New Roman"/>
                <w:bCs/>
                <w:szCs w:val="21"/>
                <w:highlight w:val="none"/>
              </w:rPr>
              <w:t>（3）投标报价未超过招标文件设定的最高投标限价。</w:t>
            </w:r>
          </w:p>
          <w:p w14:paraId="6B4BA8EF">
            <w:pPr>
              <w:tabs>
                <w:tab w:val="left" w:pos="3060"/>
              </w:tabs>
              <w:spacing w:line="320" w:lineRule="exact"/>
              <w:ind w:firstLine="205" w:firstLineChars="98"/>
              <w:rPr>
                <w:rFonts w:hint="default" w:ascii="Times New Roman" w:hAnsi="Times New Roman" w:cs="Times New Roman"/>
                <w:bCs/>
                <w:szCs w:val="21"/>
                <w:highlight w:val="none"/>
              </w:rPr>
            </w:pPr>
            <w:r>
              <w:rPr>
                <w:rFonts w:hint="default" w:ascii="Times New Roman" w:hAnsi="Times New Roman" w:cs="Times New Roman"/>
                <w:bCs/>
                <w:szCs w:val="21"/>
                <w:highlight w:val="none"/>
              </w:rPr>
              <w:t>（4）投标报价中报价的大写金额能够确定具体数值。</w:t>
            </w:r>
          </w:p>
          <w:p w14:paraId="27EBFB83">
            <w:pPr>
              <w:tabs>
                <w:tab w:val="left" w:pos="3060"/>
              </w:tabs>
              <w:spacing w:line="320" w:lineRule="exact"/>
              <w:ind w:firstLine="205" w:firstLineChars="98"/>
              <w:rPr>
                <w:rFonts w:hint="default" w:ascii="Times New Roman" w:hAnsi="Times New Roman" w:cs="Times New Roman"/>
                <w:bCs/>
                <w:szCs w:val="21"/>
                <w:highlight w:val="none"/>
              </w:rPr>
            </w:pPr>
            <w:r>
              <w:rPr>
                <w:rFonts w:hint="default" w:ascii="Times New Roman" w:hAnsi="Times New Roman" w:cs="Times New Roman"/>
                <w:bCs/>
                <w:szCs w:val="21"/>
                <w:highlight w:val="none"/>
              </w:rPr>
              <w:t>（5）投标人未提交两个及以上不同的投标报价。</w:t>
            </w:r>
          </w:p>
          <w:p w14:paraId="11CA135F">
            <w:pPr>
              <w:tabs>
                <w:tab w:val="left" w:pos="3060"/>
              </w:tabs>
              <w:spacing w:line="320" w:lineRule="exact"/>
              <w:ind w:firstLine="205" w:firstLineChars="98"/>
              <w:rPr>
                <w:rFonts w:hint="default" w:ascii="Times New Roman" w:hAnsi="Times New Roman" w:cs="Times New Roman"/>
                <w:bCs/>
                <w:szCs w:val="21"/>
                <w:highlight w:val="none"/>
              </w:rPr>
            </w:pPr>
            <w:r>
              <w:rPr>
                <w:rFonts w:hint="default" w:ascii="Times New Roman" w:hAnsi="Times New Roman" w:cs="Times New Roman"/>
                <w:bCs/>
                <w:szCs w:val="21"/>
                <w:highlight w:val="none"/>
              </w:rPr>
              <w:t>（6）</w:t>
            </w:r>
            <w:r>
              <w:rPr>
                <w:rFonts w:hint="default" w:ascii="Times New Roman" w:hAnsi="Times New Roman" w:cs="Times New Roman"/>
                <w:szCs w:val="21"/>
                <w:highlight w:val="none"/>
              </w:rPr>
              <w:t>检测服务费用清单</w:t>
            </w:r>
            <w:r>
              <w:rPr>
                <w:rFonts w:hint="default" w:ascii="Times New Roman" w:hAnsi="Times New Roman" w:cs="Times New Roman"/>
                <w:bCs/>
                <w:szCs w:val="21"/>
                <w:highlight w:val="none"/>
              </w:rPr>
              <w:t>中的投标报价和投标函</w:t>
            </w:r>
            <w:r>
              <w:rPr>
                <w:rFonts w:hint="default" w:ascii="Times New Roman" w:hAnsi="Times New Roman" w:cs="Times New Roman"/>
                <w:bCs/>
                <w:szCs w:val="21"/>
                <w:highlight w:val="none"/>
                <w:lang w:val="en-US" w:eastAsia="zh-CN"/>
              </w:rPr>
              <w:t>中的</w:t>
            </w:r>
            <w:r>
              <w:rPr>
                <w:rFonts w:hint="default" w:ascii="Times New Roman" w:hAnsi="Times New Roman" w:cs="Times New Roman"/>
                <w:bCs/>
                <w:szCs w:val="21"/>
                <w:highlight w:val="none"/>
              </w:rPr>
              <w:t>大写金额报价一致。</w:t>
            </w:r>
          </w:p>
        </w:tc>
      </w:tr>
      <w:tr w14:paraId="0880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425" w:type="pct"/>
            <w:vAlign w:val="center"/>
          </w:tcPr>
          <w:p w14:paraId="52BFB1A5">
            <w:pPr>
              <w:jc w:val="center"/>
              <w:rPr>
                <w:rFonts w:hint="default" w:ascii="Times New Roman" w:hAnsi="Times New Roman" w:cs="Times New Roman"/>
                <w:highlight w:val="none"/>
              </w:rPr>
            </w:pPr>
            <w:r>
              <w:rPr>
                <w:rFonts w:hint="default" w:ascii="Times New Roman" w:hAnsi="Times New Roman" w:cs="Times New Roman"/>
                <w:highlight w:val="none"/>
              </w:rPr>
              <w:t>2.1.2</w:t>
            </w:r>
          </w:p>
        </w:tc>
        <w:tc>
          <w:tcPr>
            <w:tcW w:w="589" w:type="pct"/>
            <w:vAlign w:val="center"/>
          </w:tcPr>
          <w:p w14:paraId="5C4CF875">
            <w:pPr>
              <w:jc w:val="center"/>
              <w:rPr>
                <w:rFonts w:hint="default" w:ascii="Times New Roman" w:hAnsi="Times New Roman" w:cs="Times New Roman"/>
                <w:highlight w:val="none"/>
              </w:rPr>
            </w:pPr>
            <w:r>
              <w:rPr>
                <w:rFonts w:hint="default" w:ascii="Times New Roman" w:hAnsi="Times New Roman" w:cs="Times New Roman"/>
                <w:highlight w:val="none"/>
              </w:rPr>
              <w:t>资格评审标准</w:t>
            </w:r>
          </w:p>
        </w:tc>
        <w:tc>
          <w:tcPr>
            <w:tcW w:w="3981" w:type="pct"/>
          </w:tcPr>
          <w:p w14:paraId="1826AF72">
            <w:pPr>
              <w:tabs>
                <w:tab w:val="left" w:pos="3060"/>
              </w:tabs>
              <w:spacing w:line="320" w:lineRule="exact"/>
              <w:ind w:firstLine="105" w:firstLineChars="50"/>
              <w:rPr>
                <w:rFonts w:hint="default" w:ascii="Times New Roman" w:hAnsi="Times New Roman" w:cs="Times New Roman"/>
                <w:szCs w:val="21"/>
                <w:highlight w:val="none"/>
              </w:rPr>
            </w:pPr>
            <w:r>
              <w:rPr>
                <w:rFonts w:hint="default" w:ascii="Times New Roman" w:hAnsi="Times New Roman" w:cs="Times New Roman"/>
                <w:szCs w:val="21"/>
                <w:highlight w:val="none"/>
              </w:rPr>
              <w:t>（1）投标人具备有效的营业执照、资质证书和基本账户开户许可证（或基本存款账户信息）；</w:t>
            </w:r>
          </w:p>
          <w:p w14:paraId="6B4E9EBE">
            <w:pPr>
              <w:tabs>
                <w:tab w:val="left" w:pos="3060"/>
              </w:tabs>
              <w:spacing w:line="320" w:lineRule="exact"/>
              <w:ind w:firstLine="105" w:firstLineChars="50"/>
              <w:rPr>
                <w:rFonts w:hint="default" w:ascii="Times New Roman" w:hAnsi="Times New Roman" w:cs="Times New Roman"/>
                <w:szCs w:val="21"/>
                <w:highlight w:val="none"/>
              </w:rPr>
            </w:pPr>
            <w:r>
              <w:rPr>
                <w:rFonts w:hint="default" w:ascii="Times New Roman" w:hAnsi="Times New Roman" w:cs="Times New Roman"/>
                <w:szCs w:val="21"/>
                <w:highlight w:val="none"/>
              </w:rPr>
              <w:t>（2）投标人的资质等级符合招标文件规定；</w:t>
            </w:r>
          </w:p>
          <w:p w14:paraId="7555D85D">
            <w:pPr>
              <w:tabs>
                <w:tab w:val="left" w:pos="3060"/>
              </w:tabs>
              <w:spacing w:line="320" w:lineRule="exact"/>
              <w:ind w:firstLine="105" w:firstLineChars="50"/>
              <w:rPr>
                <w:rFonts w:hint="default" w:ascii="Times New Roman" w:hAnsi="Times New Roman" w:cs="Times New Roman"/>
                <w:szCs w:val="21"/>
                <w:highlight w:val="none"/>
              </w:rPr>
            </w:pPr>
            <w:r>
              <w:rPr>
                <w:rFonts w:hint="default" w:ascii="Times New Roman" w:hAnsi="Times New Roman" w:cs="Times New Roman"/>
                <w:szCs w:val="21"/>
                <w:highlight w:val="none"/>
              </w:rPr>
              <w:t>（3）投标人的类似项目业绩符合招标文件规定；</w:t>
            </w:r>
          </w:p>
          <w:p w14:paraId="2CC5D985">
            <w:pPr>
              <w:tabs>
                <w:tab w:val="left" w:pos="3060"/>
              </w:tabs>
              <w:spacing w:line="320" w:lineRule="exact"/>
              <w:ind w:firstLine="105" w:firstLineChars="50"/>
              <w:rPr>
                <w:rFonts w:hint="default" w:ascii="Times New Roman" w:hAnsi="Times New Roman" w:cs="Times New Roman"/>
                <w:szCs w:val="21"/>
                <w:highlight w:val="none"/>
              </w:rPr>
            </w:pPr>
            <w:r>
              <w:rPr>
                <w:rFonts w:hint="default" w:ascii="Times New Roman" w:hAnsi="Times New Roman" w:cs="Times New Roman"/>
                <w:szCs w:val="21"/>
                <w:highlight w:val="none"/>
              </w:rPr>
              <w:t>（4）投标人的信誉符合招标文件规定；</w:t>
            </w:r>
          </w:p>
          <w:p w14:paraId="6BCA4871">
            <w:pPr>
              <w:tabs>
                <w:tab w:val="left" w:pos="3060"/>
              </w:tabs>
              <w:spacing w:line="320" w:lineRule="exact"/>
              <w:ind w:firstLine="105" w:firstLineChars="5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（5）投标人的项目负责人资格符合招标文件规定； </w:t>
            </w:r>
          </w:p>
          <w:p w14:paraId="330BE8AC">
            <w:pPr>
              <w:tabs>
                <w:tab w:val="left" w:pos="3060"/>
              </w:tabs>
              <w:spacing w:line="320" w:lineRule="exact"/>
              <w:ind w:firstLine="105" w:firstLineChars="50"/>
              <w:rPr>
                <w:rFonts w:hint="default" w:ascii="Times New Roman" w:hAnsi="Times New Roman" w:cs="Times New Roman"/>
                <w:szCs w:val="21"/>
                <w:highlight w:val="none"/>
              </w:rPr>
            </w:pPr>
            <w:r>
              <w:rPr>
                <w:rFonts w:hint="default" w:ascii="Times New Roman" w:hAnsi="Times New Roman" w:cs="Times New Roman"/>
                <w:szCs w:val="21"/>
                <w:highlight w:val="none"/>
              </w:rPr>
              <w:t>（6）投标人不存在第二章“投标人须知”第1.4.3项或第1.4.4项规定的任何一种情形。</w:t>
            </w:r>
          </w:p>
          <w:p w14:paraId="12FBD925">
            <w:pPr>
              <w:tabs>
                <w:tab w:val="left" w:pos="3060"/>
              </w:tabs>
              <w:spacing w:line="320" w:lineRule="exact"/>
              <w:ind w:firstLine="105" w:firstLineChars="50"/>
              <w:rPr>
                <w:rFonts w:hint="default" w:ascii="Times New Roman" w:hAnsi="Times New Roman" w:cs="Times New Roman"/>
                <w:szCs w:val="21"/>
                <w:highlight w:val="none"/>
              </w:rPr>
            </w:pPr>
            <w:r>
              <w:rPr>
                <w:rFonts w:hint="default" w:ascii="Times New Roman" w:hAnsi="Times New Roman" w:cs="Times New Roman"/>
                <w:szCs w:val="21"/>
                <w:highlight w:val="none"/>
              </w:rPr>
              <w:t>（7）投标人符合第二章“投标人须知”第1.4.5项规定。</w:t>
            </w:r>
          </w:p>
        </w:tc>
      </w:tr>
      <w:tr w14:paraId="5484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02B107B4">
            <w:pPr>
              <w:jc w:val="center"/>
              <w:rPr>
                <w:rFonts w:hint="default" w:ascii="Times New Roman" w:hAnsi="Times New Roman" w:cs="Times New Roman"/>
                <w:highlight w:val="none"/>
              </w:rPr>
            </w:pPr>
            <w:r>
              <w:rPr>
                <w:rFonts w:hint="default" w:ascii="Times New Roman" w:hAnsi="Times New Roman" w:cs="Times New Roman"/>
                <w:highlight w:val="none"/>
              </w:rPr>
              <w:t>2.2.1</w:t>
            </w:r>
          </w:p>
        </w:tc>
        <w:tc>
          <w:tcPr>
            <w:tcW w:w="589" w:type="pct"/>
            <w:vAlign w:val="center"/>
          </w:tcPr>
          <w:p w14:paraId="0D9A3BD1">
            <w:pPr>
              <w:jc w:val="center"/>
              <w:rPr>
                <w:rFonts w:hint="default" w:ascii="Times New Roman" w:hAnsi="Times New Roman" w:cs="Times New Roman"/>
                <w:highlight w:val="none"/>
              </w:rPr>
            </w:pPr>
            <w:r>
              <w:rPr>
                <w:rFonts w:hint="default" w:ascii="Times New Roman" w:hAnsi="Times New Roman" w:cs="Times New Roman"/>
                <w:highlight w:val="none"/>
              </w:rPr>
              <w:t>分值构成（总分100分）</w:t>
            </w:r>
          </w:p>
        </w:tc>
        <w:tc>
          <w:tcPr>
            <w:tcW w:w="3981" w:type="pct"/>
            <w:vAlign w:val="center"/>
          </w:tcPr>
          <w:p w14:paraId="7F238F9D">
            <w:pPr>
              <w:ind w:firstLine="422"/>
              <w:jc w:val="left"/>
              <w:rPr>
                <w:rFonts w:hint="default" w:ascii="Times New Roman" w:hAnsi="Times New Roman" w:cs="Times New Roman"/>
                <w:b/>
                <w:highlight w:val="none"/>
              </w:rPr>
            </w:pPr>
            <w:r>
              <w:rPr>
                <w:rFonts w:hint="default" w:ascii="Times New Roman" w:hAnsi="Times New Roman" w:cs="Times New Roman"/>
                <w:b/>
                <w:highlight w:val="none"/>
              </w:rPr>
              <w:t>第一个信封（商务及技术文件）评分分值构成：</w:t>
            </w:r>
          </w:p>
          <w:p w14:paraId="09A70F63">
            <w:pPr>
              <w:ind w:firstLine="422"/>
              <w:jc w:val="left"/>
              <w:rPr>
                <w:rFonts w:hint="default" w:ascii="Times New Roman" w:hAnsi="Times New Roman" w:cs="Times New Roman"/>
                <w:b/>
                <w:highlight w:val="none"/>
              </w:rPr>
            </w:pPr>
            <w:r>
              <w:rPr>
                <w:rFonts w:hint="default" w:ascii="Times New Roman" w:hAnsi="Times New Roman" w:cs="Times New Roman"/>
                <w:b/>
                <w:highlight w:val="none"/>
              </w:rPr>
              <w:t>技术建议书（暗标）：</w:t>
            </w:r>
            <w:r>
              <w:rPr>
                <w:rFonts w:hint="default" w:ascii="Times New Roman" w:hAnsi="Times New Roman" w:cs="Times New Roman"/>
                <w:b/>
                <w:highlight w:val="none"/>
                <w:u w:val="single"/>
              </w:rPr>
              <w:t>50</w:t>
            </w:r>
            <w:r>
              <w:rPr>
                <w:rFonts w:hint="default" w:ascii="Times New Roman" w:hAnsi="Times New Roman" w:cs="Times New Roman"/>
                <w:b/>
                <w:highlight w:val="none"/>
              </w:rPr>
              <w:t>分</w:t>
            </w:r>
          </w:p>
          <w:p w14:paraId="5D6C0FF5">
            <w:pPr>
              <w:ind w:firstLine="422"/>
              <w:jc w:val="left"/>
              <w:rPr>
                <w:rFonts w:hint="default" w:ascii="Times New Roman" w:hAnsi="Times New Roman" w:cs="Times New Roman"/>
                <w:b/>
                <w:highlight w:val="none"/>
              </w:rPr>
            </w:pPr>
            <w:r>
              <w:rPr>
                <w:rFonts w:hint="default" w:ascii="Times New Roman" w:hAnsi="Times New Roman" w:cs="Times New Roman"/>
                <w:b/>
                <w:highlight w:val="none"/>
              </w:rPr>
              <w:t>主要人员：</w:t>
            </w:r>
            <w:r>
              <w:rPr>
                <w:rFonts w:hint="default" w:ascii="Times New Roman" w:hAnsi="Times New Roman" w:cs="Times New Roman"/>
                <w:b/>
                <w:highlight w:val="none"/>
                <w:u w:val="single"/>
              </w:rPr>
              <w:t>20</w:t>
            </w:r>
            <w:r>
              <w:rPr>
                <w:rFonts w:hint="default" w:ascii="Times New Roman" w:hAnsi="Times New Roman" w:cs="Times New Roman"/>
                <w:b/>
                <w:highlight w:val="none"/>
              </w:rPr>
              <w:t>分</w:t>
            </w:r>
          </w:p>
          <w:p w14:paraId="07458B1E">
            <w:pPr>
              <w:ind w:firstLine="422"/>
              <w:jc w:val="left"/>
              <w:rPr>
                <w:rFonts w:hint="default" w:ascii="Times New Roman" w:hAnsi="Times New Roman" w:cs="Times New Roman"/>
                <w:b/>
                <w:highlight w:val="none"/>
              </w:rPr>
            </w:pPr>
            <w:r>
              <w:rPr>
                <w:rFonts w:hint="default" w:ascii="Times New Roman" w:hAnsi="Times New Roman" w:cs="Times New Roman"/>
                <w:b/>
                <w:highlight w:val="none"/>
              </w:rPr>
              <w:t>其他因素：</w:t>
            </w:r>
            <w:r>
              <w:rPr>
                <w:rFonts w:hint="default" w:ascii="Times New Roman" w:hAnsi="Times New Roman" w:cs="Times New Roman"/>
                <w:b/>
                <w:highlight w:val="none"/>
                <w:u w:val="single"/>
              </w:rPr>
              <w:t>20</w:t>
            </w:r>
            <w:r>
              <w:rPr>
                <w:rFonts w:hint="default" w:ascii="Times New Roman" w:hAnsi="Times New Roman" w:cs="Times New Roman"/>
                <w:b/>
                <w:highlight w:val="none"/>
              </w:rPr>
              <w:t>分</w:t>
            </w:r>
          </w:p>
          <w:p w14:paraId="43C2A85F">
            <w:pPr>
              <w:ind w:firstLine="422"/>
              <w:jc w:val="left"/>
              <w:rPr>
                <w:rFonts w:hint="default" w:ascii="Times New Roman" w:hAnsi="Times New Roman" w:cs="Times New Roman"/>
                <w:b/>
                <w:highlight w:val="none"/>
              </w:rPr>
            </w:pPr>
          </w:p>
          <w:p w14:paraId="23DE321E">
            <w:pPr>
              <w:ind w:firstLine="422"/>
              <w:jc w:val="left"/>
              <w:rPr>
                <w:rFonts w:hint="default" w:ascii="Times New Roman" w:hAnsi="Times New Roman" w:cs="Times New Roman"/>
                <w:b/>
                <w:highlight w:val="none"/>
              </w:rPr>
            </w:pPr>
            <w:r>
              <w:rPr>
                <w:rFonts w:hint="default" w:ascii="Times New Roman" w:hAnsi="Times New Roman" w:cs="Times New Roman"/>
                <w:b/>
                <w:highlight w:val="none"/>
              </w:rPr>
              <w:t>第二个信封（报价文件）评分分值构成：</w:t>
            </w:r>
          </w:p>
          <w:p w14:paraId="5EF4982E">
            <w:pPr>
              <w:ind w:firstLine="422"/>
              <w:jc w:val="left"/>
              <w:rPr>
                <w:rFonts w:hint="default" w:ascii="Times New Roman" w:hAnsi="Times New Roman" w:cs="Times New Roman"/>
                <w:b/>
                <w:highlight w:val="none"/>
              </w:rPr>
            </w:pPr>
            <w:r>
              <w:rPr>
                <w:rFonts w:hint="default" w:ascii="Times New Roman" w:hAnsi="Times New Roman" w:cs="Times New Roman"/>
                <w:b/>
                <w:highlight w:val="none"/>
              </w:rPr>
              <w:t>评标价：</w:t>
            </w:r>
            <w:r>
              <w:rPr>
                <w:rFonts w:hint="default" w:ascii="Times New Roman" w:hAnsi="Times New Roman" w:cs="Times New Roman"/>
                <w:b/>
                <w:highlight w:val="none"/>
                <w:u w:val="single"/>
              </w:rPr>
              <w:t>10</w:t>
            </w:r>
            <w:r>
              <w:rPr>
                <w:rFonts w:hint="default" w:ascii="Times New Roman" w:hAnsi="Times New Roman" w:cs="Times New Roman"/>
                <w:b/>
                <w:highlight w:val="none"/>
              </w:rPr>
              <w:t>分</w:t>
            </w:r>
          </w:p>
        </w:tc>
      </w:tr>
      <w:tr w14:paraId="1B95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4153CF4F">
            <w:pPr>
              <w:jc w:val="center"/>
              <w:rPr>
                <w:rFonts w:hint="default" w:ascii="Times New Roman" w:hAnsi="Times New Roman" w:cs="Times New Roman"/>
                <w:highlight w:val="none"/>
              </w:rPr>
            </w:pPr>
            <w:r>
              <w:rPr>
                <w:rFonts w:hint="default" w:ascii="Times New Roman" w:hAnsi="Times New Roman" w:cs="Times New Roman"/>
                <w:highlight w:val="none"/>
              </w:rPr>
              <w:t>2.2.2</w:t>
            </w:r>
          </w:p>
        </w:tc>
        <w:tc>
          <w:tcPr>
            <w:tcW w:w="589" w:type="pct"/>
            <w:vAlign w:val="center"/>
          </w:tcPr>
          <w:p w14:paraId="40AC3550">
            <w:pPr>
              <w:jc w:val="center"/>
              <w:rPr>
                <w:rFonts w:hint="default" w:ascii="Times New Roman" w:hAnsi="Times New Roman" w:cs="Times New Roman"/>
                <w:highlight w:val="none"/>
              </w:rPr>
            </w:pPr>
            <w:r>
              <w:rPr>
                <w:rFonts w:hint="default" w:ascii="Times New Roman" w:hAnsi="Times New Roman" w:cs="Times New Roman"/>
                <w:highlight w:val="none"/>
              </w:rPr>
              <w:t>评标基准价计算方法</w:t>
            </w:r>
          </w:p>
        </w:tc>
        <w:tc>
          <w:tcPr>
            <w:tcW w:w="3981" w:type="pct"/>
            <w:vAlign w:val="center"/>
          </w:tcPr>
          <w:p w14:paraId="350D4478">
            <w:pPr>
              <w:snapToGrid w:val="0"/>
              <w:spacing w:line="320" w:lineRule="exact"/>
              <w:ind w:firstLine="422"/>
              <w:jc w:val="left"/>
              <w:rPr>
                <w:rFonts w:hint="default" w:ascii="Times New Roman" w:hAnsi="Times New Roman" w:cs="Times New Roman"/>
                <w:b/>
                <w:highlight w:val="none"/>
              </w:rPr>
            </w:pPr>
            <w:r>
              <w:rPr>
                <w:rFonts w:hint="default" w:ascii="Times New Roman" w:hAnsi="Times New Roman" w:cs="Times New Roman"/>
                <w:b/>
                <w:highlight w:val="none"/>
              </w:rPr>
              <w:t>评标基准价的计算：</w:t>
            </w:r>
          </w:p>
          <w:p w14:paraId="17A6010D">
            <w:pPr>
              <w:snapToGrid w:val="0"/>
              <w:spacing w:line="320" w:lineRule="exact"/>
              <w:ind w:right="-107" w:firstLine="420"/>
              <w:rPr>
                <w:rFonts w:hint="default" w:ascii="Times New Roman" w:hAnsi="Times New Roman" w:cs="Times New Roman"/>
                <w:szCs w:val="21"/>
                <w:highlight w:val="none"/>
              </w:rPr>
            </w:pPr>
            <w:r>
              <w:rPr>
                <w:rFonts w:hint="default" w:ascii="Times New Roman" w:hAnsi="Times New Roman" w:cs="Times New Roman"/>
                <w:szCs w:val="21"/>
                <w:highlight w:val="none"/>
              </w:rPr>
              <w:t>在开标现场，招标人将当场计算并宣布评标基准价。</w:t>
            </w:r>
          </w:p>
          <w:p w14:paraId="131971D8">
            <w:pPr>
              <w:snapToGrid w:val="0"/>
              <w:spacing w:line="320" w:lineRule="exact"/>
              <w:ind w:left="113" w:right="-107"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（1）评标价的确定：</w:t>
            </w:r>
          </w:p>
          <w:p w14:paraId="68FC05DA">
            <w:pPr>
              <w:snapToGrid w:val="0"/>
              <w:spacing w:line="320" w:lineRule="exact"/>
              <w:ind w:left="113" w:right="-107"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评标价=投标函文字报价</w:t>
            </w:r>
          </w:p>
          <w:p w14:paraId="355E9376">
            <w:pPr>
              <w:snapToGrid w:val="0"/>
              <w:spacing w:line="320" w:lineRule="exact"/>
              <w:ind w:left="113" w:right="-107" w:firstLine="210" w:firstLineChars="100"/>
              <w:rPr>
                <w:rFonts w:hint="default" w:ascii="Times New Roman" w:hAnsi="Times New Roman" w:cs="Times New Roman"/>
                <w:szCs w:val="21"/>
                <w:highlight w:val="none"/>
              </w:rPr>
            </w:pPr>
            <w:r>
              <w:rPr>
                <w:rFonts w:hint="default" w:ascii="Times New Roman" w:hAnsi="Times New Roman" w:cs="Times New Roman"/>
                <w:szCs w:val="21"/>
                <w:highlight w:val="none"/>
              </w:rPr>
              <w:t>（2）评标价平均值的计算：</w:t>
            </w:r>
          </w:p>
          <w:p w14:paraId="47CC40E2">
            <w:pPr>
              <w:snapToGrid w:val="0"/>
              <w:spacing w:line="320" w:lineRule="exact"/>
              <w:ind w:firstLine="420" w:firstLineChars="200"/>
              <w:rPr>
                <w:rFonts w:hint="default" w:ascii="Times New Roman" w:hAnsi="Times New Roman" w:cs="Times New Roman"/>
                <w:color w:val="auto"/>
                <w:szCs w:val="21"/>
                <w:highlight w:val="none"/>
              </w:rPr>
            </w:pPr>
            <w:r>
              <w:rPr>
                <w:rFonts w:hint="eastAsia" w:ascii="宋体" w:hAnsi="宋体" w:cs="宋体"/>
                <w:color w:val="auto"/>
              </w:rPr>
              <w:t>除按第二章“投标人须知”第5.2.4项规定开标现场被宣布为不进入评标基准价计算的投标报价之外，所有投标人的评标价去掉一个最高值和一个最低值后作算术平均</w:t>
            </w:r>
            <w:r>
              <w:rPr>
                <w:rFonts w:hint="eastAsia" w:ascii="宋体" w:hAnsi="宋体" w:cs="宋体"/>
                <w:color w:val="auto"/>
                <w:lang w:eastAsia="zh-CN"/>
              </w:rPr>
              <w:t>值</w:t>
            </w:r>
            <w:r>
              <w:rPr>
                <w:rFonts w:hint="eastAsia" w:ascii="宋体" w:hAnsi="宋体" w:cs="宋体"/>
                <w:color w:val="auto"/>
              </w:rPr>
              <w:t>（如果参与评标价平均值计算的有效投标人少于5家时，则计算评标价平均值时不去掉最高值和最低值），将该平均值作为评标价平均值。</w:t>
            </w:r>
          </w:p>
          <w:p w14:paraId="535CC136">
            <w:pPr>
              <w:snapToGrid w:val="0"/>
              <w:spacing w:line="320" w:lineRule="exact"/>
              <w:ind w:right="-107" w:firstLine="426" w:firstLineChars="203"/>
              <w:rPr>
                <w:rFonts w:hint="default" w:ascii="Times New Roman" w:hAnsi="Times New Roman" w:cs="Times New Roman"/>
                <w:szCs w:val="21"/>
                <w:highlight w:val="none"/>
              </w:rPr>
            </w:pPr>
            <w:r>
              <w:rPr>
                <w:rFonts w:hint="default" w:ascii="Times New Roman" w:hAnsi="Times New Roman" w:cs="Times New Roman"/>
                <w:szCs w:val="21"/>
                <w:highlight w:val="none"/>
              </w:rPr>
              <w:t>（3）评标基准价的确定：</w:t>
            </w:r>
          </w:p>
          <w:p w14:paraId="1E243FA3">
            <w:pPr>
              <w:snapToGrid w:val="0"/>
              <w:spacing w:line="320" w:lineRule="exact"/>
              <w:ind w:right="-107" w:firstLine="426" w:firstLineChars="203"/>
              <w:rPr>
                <w:rFonts w:hint="default" w:ascii="Times New Roman" w:hAnsi="Times New Roman" w:cs="Times New Roman"/>
                <w:szCs w:val="21"/>
                <w:highlight w:val="none"/>
              </w:rPr>
            </w:pPr>
            <w:r>
              <w:rPr>
                <w:rFonts w:hint="default" w:ascii="Times New Roman" w:hAnsi="Times New Roman" w:cs="Times New Roman"/>
                <w:szCs w:val="21"/>
                <w:highlight w:val="none"/>
              </w:rPr>
              <w:t>将评标价平均值直接作为评标基准价（评标基准价保留小数点后两位，小数点后第三位四舍五入）。</w:t>
            </w:r>
          </w:p>
          <w:p w14:paraId="78D95703">
            <w:pPr>
              <w:snapToGrid w:val="0"/>
              <w:spacing w:line="320" w:lineRule="exact"/>
              <w:ind w:firstLine="420" w:firstLineChars="200"/>
              <w:jc w:val="left"/>
              <w:rPr>
                <w:rFonts w:hint="default" w:ascii="Times New Roman" w:hAnsi="Times New Roman" w:cs="Times New Roman"/>
                <w:highlight w:val="none"/>
              </w:rPr>
            </w:pPr>
            <w:r>
              <w:rPr>
                <w:rFonts w:hint="default" w:ascii="Times New Roman" w:hAnsi="Times New Roman" w:cs="Times New Roman"/>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35A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0CBBB4F7">
            <w:pPr>
              <w:jc w:val="center"/>
              <w:rPr>
                <w:rFonts w:hint="default" w:ascii="Times New Roman" w:hAnsi="Times New Roman" w:cs="Times New Roman"/>
                <w:highlight w:val="none"/>
              </w:rPr>
            </w:pPr>
            <w:r>
              <w:rPr>
                <w:rFonts w:hint="default" w:ascii="Times New Roman" w:hAnsi="Times New Roman" w:cs="Times New Roman"/>
                <w:highlight w:val="none"/>
              </w:rPr>
              <w:t>2.2.3</w:t>
            </w:r>
          </w:p>
        </w:tc>
        <w:tc>
          <w:tcPr>
            <w:tcW w:w="589" w:type="pct"/>
            <w:vAlign w:val="center"/>
          </w:tcPr>
          <w:p w14:paraId="779A9730">
            <w:pPr>
              <w:jc w:val="center"/>
              <w:rPr>
                <w:rFonts w:hint="default" w:ascii="Times New Roman" w:hAnsi="Times New Roman" w:cs="Times New Roman"/>
                <w:highlight w:val="none"/>
              </w:rPr>
            </w:pPr>
            <w:r>
              <w:rPr>
                <w:rFonts w:hint="default" w:ascii="Times New Roman" w:hAnsi="Times New Roman" w:cs="Times New Roman"/>
                <w:highlight w:val="none"/>
              </w:rPr>
              <w:t>评标价的偏差率计算公式</w:t>
            </w:r>
          </w:p>
        </w:tc>
        <w:tc>
          <w:tcPr>
            <w:tcW w:w="3981" w:type="pct"/>
            <w:vAlign w:val="center"/>
          </w:tcPr>
          <w:p w14:paraId="1EFA0390">
            <w:pPr>
              <w:ind w:firstLine="420"/>
              <w:jc w:val="left"/>
              <w:rPr>
                <w:rFonts w:hint="default" w:ascii="Times New Roman" w:hAnsi="Times New Roman" w:cs="Times New Roman"/>
                <w:highlight w:val="none"/>
              </w:rPr>
            </w:pPr>
            <w:r>
              <w:rPr>
                <w:rFonts w:hint="default" w:ascii="Times New Roman" w:hAnsi="Times New Roman" w:cs="Times New Roman"/>
                <w:highlight w:val="none"/>
              </w:rPr>
              <w:t>／</w:t>
            </w:r>
          </w:p>
        </w:tc>
      </w:tr>
      <w:tr w14:paraId="15C0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6FD727FF">
            <w:pPr>
              <w:spacing w:line="276" w:lineRule="auto"/>
              <w:ind w:right="113" w:rightChars="0"/>
              <w:jc w:val="center"/>
              <w:rPr>
                <w:rFonts w:hint="default" w:ascii="Times New Roman" w:hAnsi="Times New Roman" w:cs="Times New Roman"/>
                <w:highlight w:val="none"/>
              </w:rPr>
            </w:pPr>
            <w:r>
              <w:rPr>
                <w:rFonts w:hint="default" w:ascii="Times New Roman" w:hAnsi="Times New Roman" w:cs="Times New Roman"/>
                <w:sz w:val="21"/>
                <w:szCs w:val="21"/>
                <w:highlight w:val="none"/>
                <w:lang w:val="en-US" w:eastAsia="zh-CN"/>
              </w:rPr>
              <w:t>3</w:t>
            </w:r>
            <w:r>
              <w:rPr>
                <w:rFonts w:hint="default" w:ascii="Times New Roman" w:hAnsi="Times New Roman" w:cs="Times New Roman"/>
                <w:sz w:val="21"/>
                <w:szCs w:val="21"/>
                <w:highlight w:val="none"/>
              </w:rPr>
              <w:t>.5.</w:t>
            </w:r>
            <w:r>
              <w:rPr>
                <w:rFonts w:hint="default" w:ascii="Times New Roman" w:hAnsi="Times New Roman" w:cs="Times New Roman"/>
                <w:sz w:val="21"/>
                <w:szCs w:val="21"/>
                <w:highlight w:val="none"/>
                <w:lang w:val="en-US" w:eastAsia="zh-CN"/>
              </w:rPr>
              <w:t>3</w:t>
            </w:r>
          </w:p>
        </w:tc>
        <w:tc>
          <w:tcPr>
            <w:tcW w:w="1102" w:type="dxa"/>
            <w:vAlign w:val="center"/>
          </w:tcPr>
          <w:p w14:paraId="2A44DF7A">
            <w:pPr>
              <w:spacing w:line="276" w:lineRule="auto"/>
              <w:ind w:left="113" w:leftChars="0" w:right="113" w:rightChars="0"/>
              <w:jc w:val="center"/>
              <w:rPr>
                <w:rFonts w:hint="default" w:ascii="Times New Roman" w:hAnsi="Times New Roman" w:cs="Times New Roman"/>
                <w:highlight w:val="none"/>
              </w:rPr>
            </w:pPr>
            <w:r>
              <w:rPr>
                <w:rFonts w:hint="default" w:ascii="Times New Roman" w:hAnsi="Times New Roman" w:cs="Times New Roman"/>
                <w:sz w:val="21"/>
                <w:szCs w:val="21"/>
                <w:highlight w:val="none"/>
                <w:lang w:val="en-US" w:eastAsia="zh-CN"/>
              </w:rPr>
              <w:t>异常低价情形</w:t>
            </w:r>
          </w:p>
        </w:tc>
        <w:tc>
          <w:tcPr>
            <w:tcW w:w="7397" w:type="dxa"/>
            <w:vAlign w:val="center"/>
          </w:tcPr>
          <w:p w14:paraId="66C02390">
            <w:pPr>
              <w:spacing w:line="276" w:lineRule="auto"/>
              <w:ind w:right="113"/>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本款修改为：</w:t>
            </w:r>
          </w:p>
          <w:p w14:paraId="02368249">
            <w:pPr>
              <w:spacing w:line="276" w:lineRule="auto"/>
              <w:ind w:right="113" w:rightChars="0"/>
              <w:rPr>
                <w:rFonts w:hint="default" w:ascii="Times New Roman" w:hAnsi="Times New Roman" w:cs="Times New Roman"/>
                <w:highlight w:val="none"/>
              </w:rPr>
            </w:pPr>
            <w:r>
              <w:rPr>
                <w:rFonts w:hint="eastAsia" w:ascii="宋体" w:hAnsi="宋体"/>
                <w:szCs w:val="21"/>
                <w:highlight w:val="none"/>
              </w:rPr>
              <w:t>评标委员会发现投标人的投标报价低于最高投标限价的</w:t>
            </w:r>
            <w:r>
              <w:rPr>
                <w:rFonts w:hint="eastAsia" w:ascii="宋体" w:hAnsi="宋体"/>
                <w:szCs w:val="21"/>
                <w:highlight w:val="none"/>
                <w:lang w:val="en-US" w:eastAsia="zh-CN"/>
              </w:rPr>
              <w:t>80</w:t>
            </w:r>
            <w:r>
              <w:rPr>
                <w:rFonts w:hint="eastAsia" w:ascii="宋体" w:hAnsi="宋体"/>
                <w:szCs w:val="21"/>
                <w:highlight w:val="none"/>
              </w:rPr>
              <w:t>%时，应当要求该投标人在规定时间内作出书面说明并提供相应的证明材料。投标人不能合理说明或者不能提供相应证明材料的，评标委员会应当认定该投标人以低于成本或者影响履约的异常低价竞标，并否决其投标。</w:t>
            </w:r>
          </w:p>
        </w:tc>
      </w:tr>
      <w:tr w14:paraId="7F83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6C681B7A">
            <w:pPr>
              <w:jc w:val="center"/>
              <w:rPr>
                <w:rFonts w:hint="default" w:ascii="Times New Roman" w:hAnsi="Times New Roman" w:cs="Times New Roman"/>
                <w:highlight w:val="none"/>
              </w:rPr>
            </w:pPr>
            <w:r>
              <w:rPr>
                <w:rFonts w:hint="default" w:ascii="Times New Roman" w:hAnsi="Times New Roman" w:cs="Times New Roman"/>
                <w:highlight w:val="none"/>
              </w:rPr>
              <w:t>3.6.1</w:t>
            </w:r>
          </w:p>
        </w:tc>
        <w:tc>
          <w:tcPr>
            <w:tcW w:w="589" w:type="pct"/>
            <w:vAlign w:val="center"/>
          </w:tcPr>
          <w:p w14:paraId="4DED6472">
            <w:pPr>
              <w:adjustRightInd w:val="0"/>
              <w:snapToGrid w:val="0"/>
              <w:spacing w:line="300" w:lineRule="exact"/>
              <w:jc w:val="center"/>
              <w:rPr>
                <w:rFonts w:hint="default" w:ascii="Times New Roman" w:hAnsi="Times New Roman" w:cs="Times New Roman"/>
                <w:highlight w:val="none"/>
              </w:rPr>
            </w:pPr>
            <w:r>
              <w:rPr>
                <w:rFonts w:hint="default" w:ascii="Times New Roman" w:hAnsi="Times New Roman" w:cs="Times New Roman"/>
                <w:highlight w:val="none"/>
              </w:rPr>
              <w:t>信息查询</w:t>
            </w:r>
          </w:p>
        </w:tc>
        <w:tc>
          <w:tcPr>
            <w:tcW w:w="3981" w:type="pct"/>
            <w:vAlign w:val="center"/>
          </w:tcPr>
          <w:p w14:paraId="6C77B356">
            <w:pPr>
              <w:autoSpaceDE w:val="0"/>
              <w:autoSpaceDN w:val="0"/>
              <w:spacing w:line="273" w:lineRule="auto"/>
              <w:ind w:firstLine="420"/>
              <w:rPr>
                <w:rFonts w:hint="default" w:ascii="Times New Roman" w:hAnsi="Times New Roman" w:cs="Times New Roman"/>
                <w:highlight w:val="none"/>
              </w:rPr>
            </w:pPr>
            <w:r>
              <w:rPr>
                <w:rFonts w:hint="default" w:ascii="Times New Roman" w:hAnsi="Times New Roman" w:cs="Times New Roman"/>
                <w:highlight w:val="none"/>
              </w:rPr>
              <w:t>本项修改为：</w:t>
            </w:r>
          </w:p>
          <w:p w14:paraId="3F7E15FB">
            <w:pPr>
              <w:autoSpaceDE w:val="0"/>
              <w:autoSpaceDN w:val="0"/>
              <w:spacing w:line="273"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（1）投标人名称和资质与“公路水运工程质量检测管理信息系统（https://www.ttiis.cn）”的复核结果一致；</w:t>
            </w:r>
          </w:p>
          <w:p w14:paraId="23817A14">
            <w:pPr>
              <w:autoSpaceDE w:val="0"/>
              <w:autoSpaceDN w:val="0"/>
              <w:spacing w:line="273"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2）投标人信用情况网页截图内容与在“国家企业信用信息公示系统”中严重违法失信企业名单或在“信用中国”网站中失信被执行人名单、经营（活动）异常名录、重大税收违法失信主体名单、政府采购严重违法失信名单和安全生产严重失信主体名单的复核结果一致。</w:t>
            </w:r>
          </w:p>
          <w:p w14:paraId="4B3B04B5">
            <w:pPr>
              <w:autoSpaceDE w:val="0"/>
              <w:autoSpaceDN w:val="0"/>
              <w:spacing w:line="273"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（3）投标人所附项目负责人试验检测师（或试验检测工程师）的网页截图复印件与“公路水运工程质量检测管理信息系统（https://www.ttiis.cn）”核查的结果一致。</w:t>
            </w:r>
          </w:p>
          <w:p w14:paraId="60CF79F6">
            <w:pPr>
              <w:autoSpaceDE w:val="0"/>
              <w:autoSpaceDN w:val="0"/>
              <w:spacing w:line="273"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上述（1）、（2）、（3）项如投标人未提供相关网页截图或所附截图与复核结果不一致导致不能满足资格要求的，评标委员会应否决其投标。</w:t>
            </w:r>
          </w:p>
          <w:p w14:paraId="20C62302">
            <w:pPr>
              <w:autoSpaceDE w:val="0"/>
              <w:autoSpaceDN w:val="0"/>
              <w:spacing w:line="273"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（4）评标委员会在评标时按照投标人提供的验证方式对电子保函或电子保证保险进行验证。如投标人未提供电子保函或电子保证保险的验证方式，或根据提供的验证方式无法核实的，评标委员会应否决其投标。</w:t>
            </w:r>
          </w:p>
          <w:p w14:paraId="6EF9100F">
            <w:pPr>
              <w:autoSpaceDE w:val="0"/>
              <w:autoSpaceDN w:val="0"/>
              <w:spacing w:line="273"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73A1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3F741AFB">
            <w:pPr>
              <w:spacing w:line="276" w:lineRule="auto"/>
              <w:ind w:right="113" w:rightChars="0"/>
              <w:rPr>
                <w:rFonts w:hint="default" w:ascii="Times New Roman" w:hAnsi="Times New Roman" w:cs="Times New Roman"/>
                <w:highlight w:val="none"/>
              </w:rPr>
            </w:pPr>
            <w:r>
              <w:rPr>
                <w:rFonts w:hint="default" w:ascii="Times New Roman" w:hAnsi="Times New Roman" w:eastAsia="宋体" w:cs="Times New Roman"/>
                <w:color w:val="auto"/>
                <w:sz w:val="21"/>
                <w:szCs w:val="21"/>
                <w:highlight w:val="none"/>
                <w:lang w:val="en-US" w:eastAsia="zh-CN"/>
              </w:rPr>
              <w:t>增加3.6.3</w:t>
            </w:r>
          </w:p>
        </w:tc>
        <w:tc>
          <w:tcPr>
            <w:tcW w:w="1102" w:type="dxa"/>
            <w:vAlign w:val="center"/>
          </w:tcPr>
          <w:p w14:paraId="2F63215A">
            <w:pPr>
              <w:spacing w:line="276" w:lineRule="auto"/>
              <w:ind w:right="113" w:rightChars="0"/>
              <w:jc w:val="center"/>
              <w:rPr>
                <w:rFonts w:hint="default" w:ascii="Times New Roman" w:hAnsi="Times New Roman" w:cs="Times New Roman"/>
                <w:highlight w:val="none"/>
              </w:rPr>
            </w:pPr>
            <w:r>
              <w:rPr>
                <w:rFonts w:hint="default" w:ascii="Times New Roman" w:hAnsi="Times New Roman" w:eastAsia="宋体" w:cs="Times New Roman"/>
                <w:color w:val="auto"/>
                <w:sz w:val="21"/>
                <w:szCs w:val="21"/>
                <w:highlight w:val="none"/>
                <w:lang w:val="en-US"/>
              </w:rPr>
              <w:t>投标人其他异常投标情形</w:t>
            </w:r>
          </w:p>
        </w:tc>
        <w:tc>
          <w:tcPr>
            <w:tcW w:w="7397" w:type="dxa"/>
            <w:vAlign w:val="center"/>
          </w:tcPr>
          <w:p w14:paraId="4210E124">
            <w:pPr>
              <w:snapToGrid w:val="0"/>
              <w:spacing w:line="288" w:lineRule="auto"/>
              <w:ind w:firstLine="420" w:firstLineChars="200"/>
              <w:rPr>
                <w:rFonts w:hint="eastAsia" w:ascii="宋体" w:hAnsi="宋体"/>
                <w:szCs w:val="21"/>
                <w:highlight w:val="none"/>
              </w:rPr>
            </w:pPr>
            <w:r>
              <w:rPr>
                <w:rFonts w:hint="eastAsia" w:ascii="宋体" w:hAnsi="宋体"/>
                <w:color w:val="auto"/>
                <w:szCs w:val="21"/>
                <w:highlight w:val="none"/>
              </w:rPr>
              <w:t>评标委员会在评标过程中发现存在投标文件异常一致或投标活动异常关联等异常投标情形的，</w:t>
            </w:r>
            <w:r>
              <w:rPr>
                <w:rFonts w:hint="eastAsia" w:ascii="宋体" w:hAnsi="宋体"/>
                <w:szCs w:val="21"/>
                <w:highlight w:val="none"/>
              </w:rPr>
              <w:t>应当要求投标人在规定时间内作出书面说明并提供相应的证明材料。投标人不能合理说明或者不能提供相应证明材料的，评标委员会应当认定投标人</w:t>
            </w:r>
            <w:r>
              <w:rPr>
                <w:rFonts w:hint="eastAsia" w:ascii="宋体" w:hAnsi="宋体"/>
                <w:color w:val="auto"/>
                <w:szCs w:val="21"/>
                <w:highlight w:val="none"/>
              </w:rPr>
              <w:t>存在</w:t>
            </w:r>
            <w:r>
              <w:rPr>
                <w:rFonts w:hint="eastAsia" w:ascii="宋体" w:hAnsi="宋体"/>
                <w:color w:val="auto"/>
                <w:szCs w:val="21"/>
                <w:highlight w:val="none"/>
                <w:lang w:eastAsia="zh-CN"/>
              </w:rPr>
              <w:t>串通投标等违法行为</w:t>
            </w:r>
            <w:r>
              <w:rPr>
                <w:rFonts w:hint="eastAsia" w:ascii="宋体" w:hAnsi="宋体"/>
                <w:szCs w:val="21"/>
                <w:highlight w:val="none"/>
              </w:rPr>
              <w:t>，并否决其投标。</w:t>
            </w:r>
          </w:p>
          <w:p w14:paraId="06A6851F">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有下列情形之一的，属于投标文件异常一致或投标活动异常关联等异常投标情形：</w:t>
            </w:r>
          </w:p>
          <w:p w14:paraId="13E450F5">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（1）投标人投标文件制作机器码雷同；</w:t>
            </w:r>
          </w:p>
          <w:p w14:paraId="6B5550A8">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（2）投标文件创建标识码雷同；</w:t>
            </w:r>
          </w:p>
          <w:p w14:paraId="6A795F29">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（3）投标文件制作计算机MAC地址雷同；</w:t>
            </w:r>
          </w:p>
          <w:p w14:paraId="51E4CE50">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（4）投标文件制作计算机硬盘序列号雷同；</w:t>
            </w:r>
          </w:p>
          <w:p w14:paraId="151FB266">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（5）招标文件下载IP地址雷同；</w:t>
            </w:r>
          </w:p>
          <w:p w14:paraId="2A830B36">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（6）投标文件上传IP地址雷同；</w:t>
            </w:r>
          </w:p>
          <w:p w14:paraId="7720E42E">
            <w:pPr>
              <w:snapToGrid w:val="0"/>
              <w:spacing w:line="288" w:lineRule="auto"/>
              <w:ind w:firstLine="420" w:firstLineChars="200"/>
              <w:rPr>
                <w:rFonts w:hint="default" w:ascii="Times New Roman" w:hAnsi="Times New Roman" w:cs="Times New Roman"/>
                <w:highlight w:val="none"/>
              </w:rPr>
            </w:pPr>
            <w:r>
              <w:rPr>
                <w:rFonts w:hint="eastAsia" w:ascii="宋体" w:hAnsi="宋体"/>
                <w:color w:val="auto"/>
                <w:szCs w:val="21"/>
                <w:highlight w:val="none"/>
              </w:rPr>
              <w:t>（7）投标文件解密IP地址雷同。</w:t>
            </w:r>
          </w:p>
        </w:tc>
      </w:tr>
      <w:tr w14:paraId="4A3B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3"/>
            <w:vAlign w:val="center"/>
          </w:tcPr>
          <w:p w14:paraId="34C702D1">
            <w:pPr>
              <w:jc w:val="left"/>
              <w:rPr>
                <w:rFonts w:hint="default" w:ascii="Times New Roman" w:hAnsi="Times New Roman" w:cs="Times New Roman"/>
                <w:bCs/>
                <w:szCs w:val="21"/>
                <w:highlight w:val="none"/>
              </w:rPr>
            </w:pPr>
            <w:r>
              <w:rPr>
                <w:rFonts w:hint="default" w:ascii="Times New Roman" w:hAnsi="Times New Roman" w:cs="Times New Roman"/>
                <w:szCs w:val="21"/>
                <w:highlight w:val="none"/>
              </w:rPr>
              <w:t>需要补充的其他内容：</w:t>
            </w:r>
            <w:r>
              <w:rPr>
                <w:rFonts w:hint="default" w:ascii="Times New Roman" w:hAnsi="Times New Roman" w:cs="Times New Roman"/>
                <w:bCs/>
                <w:szCs w:val="21"/>
                <w:highlight w:val="none"/>
              </w:rPr>
              <w:t>无</w:t>
            </w:r>
          </w:p>
        </w:tc>
      </w:tr>
    </w:tbl>
    <w:p w14:paraId="15ECE04D">
      <w:pPr>
        <w:ind w:firstLine="420"/>
        <w:rPr>
          <w:rFonts w:hint="default" w:ascii="Times New Roman" w:hAnsi="Times New Roman" w:cs="Times New Roman"/>
          <w:highlight w:val="none"/>
        </w:rPr>
      </w:pPr>
    </w:p>
    <w:p w14:paraId="29976939">
      <w:pPr>
        <w:ind w:firstLine="420"/>
        <w:jc w:val="right"/>
        <w:rPr>
          <w:rFonts w:hint="default" w:ascii="Times New Roman" w:hAnsi="Times New Roman" w:cs="Times New Roman"/>
          <w:highlight w:val="none"/>
        </w:rPr>
      </w:pPr>
      <w:r>
        <w:rPr>
          <w:rFonts w:hint="default" w:ascii="Times New Roman" w:hAnsi="Times New Roman" w:cs="Times New Roman"/>
          <w:highlight w:val="none"/>
        </w:rPr>
        <w:br w:type="page"/>
      </w:r>
      <w:r>
        <w:rPr>
          <w:rFonts w:hint="default" w:ascii="Times New Roman" w:hAnsi="Times New Roman" w:cs="Times New Roman"/>
          <w:highlight w:val="none"/>
        </w:rPr>
        <w:t>续上表</w:t>
      </w:r>
    </w:p>
    <w:tbl>
      <w:tblPr>
        <w:tblStyle w:val="5"/>
        <w:tblW w:w="9198"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482"/>
        <w:gridCol w:w="709"/>
        <w:gridCol w:w="4677"/>
      </w:tblGrid>
      <w:tr w14:paraId="34D76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977" w:type="dxa"/>
            <w:vAlign w:val="center"/>
          </w:tcPr>
          <w:p w14:paraId="61A83AF8">
            <w:pPr>
              <w:autoSpaceDE w:val="0"/>
              <w:autoSpaceDN w:val="0"/>
              <w:spacing w:line="440" w:lineRule="exact"/>
              <w:ind w:right="-107"/>
              <w:jc w:val="center"/>
              <w:rPr>
                <w:rFonts w:hint="default" w:ascii="Times New Roman" w:hAnsi="Times New Roman" w:cs="Times New Roman"/>
                <w:b/>
                <w:kern w:val="0"/>
                <w:szCs w:val="21"/>
                <w:highlight w:val="none"/>
              </w:rPr>
            </w:pPr>
            <w:r>
              <w:rPr>
                <w:rFonts w:hint="default" w:ascii="Times New Roman" w:hAnsi="Times New Roman" w:cs="Times New Roman"/>
                <w:b/>
                <w:kern w:val="0"/>
                <w:szCs w:val="21"/>
                <w:highlight w:val="none"/>
              </w:rPr>
              <w:t>条款号</w:t>
            </w:r>
          </w:p>
        </w:tc>
        <w:tc>
          <w:tcPr>
            <w:tcW w:w="3544" w:type="dxa"/>
            <w:gridSpan w:val="4"/>
            <w:tcBorders>
              <w:right w:val="single" w:color="auto" w:sz="4" w:space="0"/>
            </w:tcBorders>
            <w:vAlign w:val="center"/>
          </w:tcPr>
          <w:p w14:paraId="0F2D44A3">
            <w:pPr>
              <w:autoSpaceDE w:val="0"/>
              <w:autoSpaceDN w:val="0"/>
              <w:spacing w:line="440" w:lineRule="exact"/>
              <w:ind w:right="-107" w:firstLine="422"/>
              <w:jc w:val="center"/>
              <w:rPr>
                <w:rFonts w:hint="default" w:ascii="Times New Roman" w:hAnsi="Times New Roman" w:cs="Times New Roman"/>
                <w:b/>
                <w:kern w:val="0"/>
                <w:szCs w:val="21"/>
                <w:highlight w:val="none"/>
              </w:rPr>
            </w:pPr>
            <w:r>
              <w:rPr>
                <w:rFonts w:hint="default" w:ascii="Times New Roman" w:hAnsi="Times New Roman" w:cs="Times New Roman"/>
                <w:b/>
                <w:kern w:val="0"/>
                <w:szCs w:val="21"/>
                <w:highlight w:val="none"/>
              </w:rPr>
              <w:t>评审因素与权重分值</w:t>
            </w:r>
          </w:p>
        </w:tc>
        <w:tc>
          <w:tcPr>
            <w:tcW w:w="4677" w:type="dxa"/>
            <w:vMerge w:val="restart"/>
            <w:tcBorders>
              <w:left w:val="single" w:color="auto" w:sz="4" w:space="0"/>
            </w:tcBorders>
            <w:vAlign w:val="center"/>
          </w:tcPr>
          <w:p w14:paraId="0199EB35">
            <w:pPr>
              <w:autoSpaceDE w:val="0"/>
              <w:autoSpaceDN w:val="0"/>
              <w:spacing w:line="440" w:lineRule="exact"/>
              <w:ind w:right="-107" w:firstLine="422"/>
              <w:jc w:val="center"/>
              <w:rPr>
                <w:rFonts w:hint="default" w:ascii="Times New Roman" w:hAnsi="Times New Roman" w:cs="Times New Roman"/>
                <w:b/>
                <w:kern w:val="0"/>
                <w:szCs w:val="21"/>
                <w:highlight w:val="none"/>
              </w:rPr>
            </w:pPr>
            <w:r>
              <w:rPr>
                <w:rFonts w:hint="default" w:ascii="Times New Roman" w:hAnsi="Times New Roman" w:cs="Times New Roman"/>
                <w:b/>
                <w:kern w:val="0"/>
                <w:szCs w:val="21"/>
                <w:highlight w:val="none"/>
              </w:rPr>
              <w:t>评分标准</w:t>
            </w:r>
          </w:p>
        </w:tc>
      </w:tr>
      <w:tr w14:paraId="1837A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vAlign w:val="center"/>
          </w:tcPr>
          <w:p w14:paraId="12C91DBC">
            <w:pPr>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2.2.4（1）</w:t>
            </w:r>
          </w:p>
        </w:tc>
        <w:tc>
          <w:tcPr>
            <w:tcW w:w="516" w:type="dxa"/>
            <w:vAlign w:val="center"/>
          </w:tcPr>
          <w:p w14:paraId="139E0A2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评分</w:t>
            </w:r>
          </w:p>
          <w:p w14:paraId="54997A5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因素</w:t>
            </w:r>
          </w:p>
        </w:tc>
        <w:tc>
          <w:tcPr>
            <w:tcW w:w="837" w:type="dxa"/>
            <w:vAlign w:val="center"/>
          </w:tcPr>
          <w:p w14:paraId="0815002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评分因素权重分值</w:t>
            </w:r>
          </w:p>
        </w:tc>
        <w:tc>
          <w:tcPr>
            <w:tcW w:w="1482" w:type="dxa"/>
            <w:tcBorders>
              <w:right w:val="single" w:color="auto" w:sz="4" w:space="0"/>
            </w:tcBorders>
            <w:vAlign w:val="center"/>
          </w:tcPr>
          <w:p w14:paraId="3B8BB78F">
            <w:pPr>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各评分因素</w:t>
            </w:r>
          </w:p>
          <w:p w14:paraId="0E029AD7">
            <w:pPr>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细分项</w:t>
            </w:r>
          </w:p>
        </w:tc>
        <w:tc>
          <w:tcPr>
            <w:tcW w:w="709" w:type="dxa"/>
            <w:tcBorders>
              <w:left w:val="single" w:color="auto" w:sz="4" w:space="0"/>
              <w:right w:val="single" w:color="auto" w:sz="4" w:space="0"/>
            </w:tcBorders>
            <w:vAlign w:val="center"/>
          </w:tcPr>
          <w:p w14:paraId="48C0D1C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分值</w:t>
            </w:r>
          </w:p>
        </w:tc>
        <w:tc>
          <w:tcPr>
            <w:tcW w:w="4677" w:type="dxa"/>
            <w:vMerge w:val="continue"/>
            <w:tcBorders>
              <w:left w:val="single" w:color="auto" w:sz="4" w:space="0"/>
              <w:bottom w:val="single" w:color="auto" w:sz="4" w:space="0"/>
            </w:tcBorders>
            <w:vAlign w:val="center"/>
          </w:tcPr>
          <w:p w14:paraId="3AFA2B69">
            <w:pPr>
              <w:autoSpaceDE w:val="0"/>
              <w:autoSpaceDN w:val="0"/>
              <w:snapToGrid w:val="0"/>
              <w:ind w:right="-107" w:firstLine="420"/>
              <w:jc w:val="center"/>
              <w:rPr>
                <w:rFonts w:hint="default" w:ascii="Times New Roman" w:hAnsi="Times New Roman" w:cs="Times New Roman"/>
                <w:kern w:val="0"/>
                <w:szCs w:val="21"/>
                <w:highlight w:val="none"/>
              </w:rPr>
            </w:pPr>
          </w:p>
        </w:tc>
      </w:tr>
      <w:tr w14:paraId="2B8F6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174890D7">
            <w:pPr>
              <w:autoSpaceDE w:val="0"/>
              <w:autoSpaceDN w:val="0"/>
              <w:snapToGrid w:val="0"/>
              <w:ind w:right="-107" w:firstLine="420"/>
              <w:jc w:val="center"/>
              <w:rPr>
                <w:rFonts w:hint="default" w:ascii="Times New Roman" w:hAnsi="Times New Roman" w:cs="Times New Roman"/>
                <w:kern w:val="0"/>
                <w:szCs w:val="21"/>
                <w:highlight w:val="none"/>
              </w:rPr>
            </w:pPr>
          </w:p>
        </w:tc>
        <w:tc>
          <w:tcPr>
            <w:tcW w:w="516" w:type="dxa"/>
            <w:vMerge w:val="restart"/>
            <w:vAlign w:val="center"/>
          </w:tcPr>
          <w:p w14:paraId="01AF45AC">
            <w:pPr>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技术建议书（暗标）</w:t>
            </w:r>
          </w:p>
        </w:tc>
        <w:tc>
          <w:tcPr>
            <w:tcW w:w="837" w:type="dxa"/>
            <w:vMerge w:val="restart"/>
            <w:vAlign w:val="center"/>
          </w:tcPr>
          <w:p w14:paraId="3D2A1BAC">
            <w:pPr>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50分</w:t>
            </w:r>
          </w:p>
        </w:tc>
        <w:tc>
          <w:tcPr>
            <w:tcW w:w="1482" w:type="dxa"/>
            <w:tcBorders>
              <w:right w:val="single" w:color="auto" w:sz="4" w:space="0"/>
            </w:tcBorders>
            <w:vAlign w:val="center"/>
          </w:tcPr>
          <w:p w14:paraId="6EE3943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工作大纲</w:t>
            </w:r>
          </w:p>
        </w:tc>
        <w:tc>
          <w:tcPr>
            <w:tcW w:w="709" w:type="dxa"/>
            <w:tcBorders>
              <w:left w:val="single" w:color="auto" w:sz="4" w:space="0"/>
              <w:right w:val="single" w:color="auto" w:sz="4" w:space="0"/>
            </w:tcBorders>
            <w:vAlign w:val="center"/>
          </w:tcPr>
          <w:p w14:paraId="40829D8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10分</w:t>
            </w:r>
          </w:p>
        </w:tc>
        <w:tc>
          <w:tcPr>
            <w:tcW w:w="4677" w:type="dxa"/>
            <w:tcBorders>
              <w:top w:val="single" w:color="auto" w:sz="4" w:space="0"/>
              <w:left w:val="single" w:color="auto" w:sz="4" w:space="0"/>
            </w:tcBorders>
            <w:vAlign w:val="center"/>
          </w:tcPr>
          <w:p w14:paraId="323657CE">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基本合理，措施一般，得6分；</w:t>
            </w:r>
          </w:p>
          <w:p w14:paraId="09252134">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合理，可行，得6-8分；</w:t>
            </w:r>
          </w:p>
          <w:p w14:paraId="62A0A9A0">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科学先进，措施完善，可操作性强，得8-10分。</w:t>
            </w:r>
          </w:p>
        </w:tc>
      </w:tr>
      <w:tr w14:paraId="31585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12DDFF9B">
            <w:pPr>
              <w:autoSpaceDE w:val="0"/>
              <w:autoSpaceDN w:val="0"/>
              <w:snapToGrid w:val="0"/>
              <w:ind w:right="-107" w:firstLine="420"/>
              <w:jc w:val="center"/>
              <w:rPr>
                <w:rFonts w:hint="default" w:ascii="Times New Roman" w:hAnsi="Times New Roman" w:cs="Times New Roman"/>
                <w:kern w:val="0"/>
                <w:szCs w:val="21"/>
                <w:highlight w:val="none"/>
              </w:rPr>
            </w:pPr>
          </w:p>
        </w:tc>
        <w:tc>
          <w:tcPr>
            <w:tcW w:w="516" w:type="dxa"/>
            <w:vMerge w:val="continue"/>
            <w:vAlign w:val="center"/>
          </w:tcPr>
          <w:p w14:paraId="1D3C8E25">
            <w:pPr>
              <w:autoSpaceDE w:val="0"/>
              <w:autoSpaceDN w:val="0"/>
              <w:snapToGrid w:val="0"/>
              <w:ind w:right="-107" w:firstLine="420"/>
              <w:jc w:val="center"/>
              <w:rPr>
                <w:rFonts w:hint="default" w:ascii="Times New Roman" w:hAnsi="Times New Roman" w:cs="Times New Roman"/>
                <w:kern w:val="0"/>
                <w:szCs w:val="21"/>
                <w:highlight w:val="none"/>
              </w:rPr>
            </w:pPr>
          </w:p>
        </w:tc>
        <w:tc>
          <w:tcPr>
            <w:tcW w:w="837" w:type="dxa"/>
            <w:vMerge w:val="continue"/>
            <w:vAlign w:val="center"/>
          </w:tcPr>
          <w:p w14:paraId="2C48FEF0">
            <w:pPr>
              <w:autoSpaceDE w:val="0"/>
              <w:autoSpaceDN w:val="0"/>
              <w:snapToGrid w:val="0"/>
              <w:ind w:right="-107" w:firstLine="420"/>
              <w:jc w:val="center"/>
              <w:rPr>
                <w:rFonts w:hint="default" w:ascii="Times New Roman" w:hAnsi="Times New Roman" w:cs="Times New Roman"/>
                <w:kern w:val="0"/>
                <w:szCs w:val="21"/>
                <w:highlight w:val="none"/>
              </w:rPr>
            </w:pPr>
          </w:p>
        </w:tc>
        <w:tc>
          <w:tcPr>
            <w:tcW w:w="1482" w:type="dxa"/>
            <w:tcBorders>
              <w:right w:val="single" w:color="auto" w:sz="4" w:space="0"/>
            </w:tcBorders>
            <w:vAlign w:val="center"/>
          </w:tcPr>
          <w:p w14:paraId="75030BA5">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对本项目工作范围和任务理解</w:t>
            </w:r>
          </w:p>
        </w:tc>
        <w:tc>
          <w:tcPr>
            <w:tcW w:w="709" w:type="dxa"/>
            <w:tcBorders>
              <w:left w:val="single" w:color="auto" w:sz="4" w:space="0"/>
              <w:right w:val="single" w:color="auto" w:sz="4" w:space="0"/>
            </w:tcBorders>
            <w:vAlign w:val="center"/>
          </w:tcPr>
          <w:p w14:paraId="474AEC22">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8分</w:t>
            </w:r>
          </w:p>
        </w:tc>
        <w:tc>
          <w:tcPr>
            <w:tcW w:w="4677" w:type="dxa"/>
            <w:tcBorders>
              <w:left w:val="single" w:color="auto" w:sz="4" w:space="0"/>
            </w:tcBorders>
            <w:vAlign w:val="center"/>
          </w:tcPr>
          <w:p w14:paraId="00EC4ECA">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理解基本准确，思路欠合理，得4.8分；</w:t>
            </w:r>
          </w:p>
          <w:p w14:paraId="51E7E2DD">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理解基本准确，思路一般，得4.8-6.4分；</w:t>
            </w:r>
          </w:p>
          <w:p w14:paraId="723CD04F">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理解准确，思路清晰，全面、合理，符合项目要求，得6.4-8分。</w:t>
            </w:r>
          </w:p>
        </w:tc>
      </w:tr>
      <w:tr w14:paraId="5976A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4E0B3A06">
            <w:pPr>
              <w:autoSpaceDE w:val="0"/>
              <w:autoSpaceDN w:val="0"/>
              <w:snapToGrid w:val="0"/>
              <w:ind w:right="-107" w:firstLine="420"/>
              <w:jc w:val="center"/>
              <w:rPr>
                <w:rFonts w:hint="default" w:ascii="Times New Roman" w:hAnsi="Times New Roman" w:cs="Times New Roman"/>
                <w:kern w:val="0"/>
                <w:szCs w:val="21"/>
                <w:highlight w:val="none"/>
              </w:rPr>
            </w:pPr>
          </w:p>
        </w:tc>
        <w:tc>
          <w:tcPr>
            <w:tcW w:w="516" w:type="dxa"/>
            <w:vMerge w:val="continue"/>
            <w:vAlign w:val="center"/>
          </w:tcPr>
          <w:p w14:paraId="706D2C54">
            <w:pPr>
              <w:autoSpaceDE w:val="0"/>
              <w:autoSpaceDN w:val="0"/>
              <w:snapToGrid w:val="0"/>
              <w:ind w:right="-107" w:firstLine="420"/>
              <w:jc w:val="center"/>
              <w:rPr>
                <w:rFonts w:hint="default" w:ascii="Times New Roman" w:hAnsi="Times New Roman" w:cs="Times New Roman"/>
                <w:kern w:val="0"/>
                <w:szCs w:val="21"/>
                <w:highlight w:val="none"/>
              </w:rPr>
            </w:pPr>
          </w:p>
        </w:tc>
        <w:tc>
          <w:tcPr>
            <w:tcW w:w="837" w:type="dxa"/>
            <w:vMerge w:val="continue"/>
            <w:vAlign w:val="center"/>
          </w:tcPr>
          <w:p w14:paraId="21D4016C">
            <w:pPr>
              <w:autoSpaceDE w:val="0"/>
              <w:autoSpaceDN w:val="0"/>
              <w:snapToGrid w:val="0"/>
              <w:ind w:right="-107" w:firstLine="420"/>
              <w:jc w:val="center"/>
              <w:rPr>
                <w:rFonts w:hint="default" w:ascii="Times New Roman" w:hAnsi="Times New Roman" w:cs="Times New Roman"/>
                <w:kern w:val="0"/>
                <w:szCs w:val="21"/>
                <w:highlight w:val="none"/>
              </w:rPr>
            </w:pPr>
          </w:p>
        </w:tc>
        <w:tc>
          <w:tcPr>
            <w:tcW w:w="1482" w:type="dxa"/>
            <w:tcBorders>
              <w:right w:val="single" w:color="auto" w:sz="4" w:space="0"/>
            </w:tcBorders>
            <w:vAlign w:val="center"/>
          </w:tcPr>
          <w:p w14:paraId="47409CB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对招标项目的特点、关键技术问题的认识及其对策措施</w:t>
            </w:r>
          </w:p>
        </w:tc>
        <w:tc>
          <w:tcPr>
            <w:tcW w:w="709" w:type="dxa"/>
            <w:tcBorders>
              <w:left w:val="single" w:color="auto" w:sz="4" w:space="0"/>
              <w:right w:val="single" w:color="auto" w:sz="4" w:space="0"/>
            </w:tcBorders>
            <w:vAlign w:val="center"/>
          </w:tcPr>
          <w:p w14:paraId="638D0FE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8分</w:t>
            </w:r>
          </w:p>
        </w:tc>
        <w:tc>
          <w:tcPr>
            <w:tcW w:w="4677" w:type="dxa"/>
            <w:tcBorders>
              <w:left w:val="single" w:color="auto" w:sz="4" w:space="0"/>
            </w:tcBorders>
            <w:vAlign w:val="center"/>
          </w:tcPr>
          <w:p w14:paraId="25A73CB0">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项目的特点和关键技术问题的针对性一般，技术建议基本可行，得4.8分；</w:t>
            </w:r>
          </w:p>
          <w:p w14:paraId="0AA6DFDE">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项目的特点和关键技术问题针对性较强，技术建议可行，得4.8-6.4分；</w:t>
            </w:r>
          </w:p>
          <w:p w14:paraId="0117B6D7">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项目的特点针对性强，关键技术问题对策明确、合理，技术建议科学、有效、可行，得6.4-8分。</w:t>
            </w:r>
          </w:p>
        </w:tc>
      </w:tr>
      <w:tr w14:paraId="44716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75329AA3">
            <w:pPr>
              <w:autoSpaceDE w:val="0"/>
              <w:autoSpaceDN w:val="0"/>
              <w:snapToGrid w:val="0"/>
              <w:ind w:right="-107" w:firstLine="420"/>
              <w:jc w:val="center"/>
              <w:rPr>
                <w:rFonts w:hint="default" w:ascii="Times New Roman" w:hAnsi="Times New Roman" w:cs="Times New Roman"/>
                <w:kern w:val="0"/>
                <w:szCs w:val="21"/>
                <w:highlight w:val="none"/>
              </w:rPr>
            </w:pPr>
          </w:p>
        </w:tc>
        <w:tc>
          <w:tcPr>
            <w:tcW w:w="516" w:type="dxa"/>
            <w:vMerge w:val="continue"/>
            <w:vAlign w:val="center"/>
          </w:tcPr>
          <w:p w14:paraId="21CC569E">
            <w:pPr>
              <w:autoSpaceDE w:val="0"/>
              <w:autoSpaceDN w:val="0"/>
              <w:snapToGrid w:val="0"/>
              <w:ind w:right="-107" w:firstLine="420"/>
              <w:jc w:val="center"/>
              <w:rPr>
                <w:rFonts w:hint="default" w:ascii="Times New Roman" w:hAnsi="Times New Roman" w:cs="Times New Roman"/>
                <w:kern w:val="0"/>
                <w:szCs w:val="21"/>
                <w:highlight w:val="none"/>
              </w:rPr>
            </w:pPr>
          </w:p>
        </w:tc>
        <w:tc>
          <w:tcPr>
            <w:tcW w:w="837" w:type="dxa"/>
            <w:vMerge w:val="continue"/>
            <w:vAlign w:val="center"/>
          </w:tcPr>
          <w:p w14:paraId="27E78370">
            <w:pPr>
              <w:autoSpaceDE w:val="0"/>
              <w:autoSpaceDN w:val="0"/>
              <w:snapToGrid w:val="0"/>
              <w:ind w:right="-107" w:firstLine="420"/>
              <w:jc w:val="center"/>
              <w:rPr>
                <w:rFonts w:hint="default" w:ascii="Times New Roman" w:hAnsi="Times New Roman" w:cs="Times New Roman"/>
                <w:kern w:val="0"/>
                <w:szCs w:val="21"/>
                <w:highlight w:val="none"/>
              </w:rPr>
            </w:pPr>
          </w:p>
        </w:tc>
        <w:tc>
          <w:tcPr>
            <w:tcW w:w="1482" w:type="dxa"/>
            <w:tcBorders>
              <w:right w:val="single" w:color="auto" w:sz="4" w:space="0"/>
            </w:tcBorders>
            <w:vAlign w:val="center"/>
          </w:tcPr>
          <w:p w14:paraId="38D49DD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检测方法和评价分析方法</w:t>
            </w:r>
          </w:p>
        </w:tc>
        <w:tc>
          <w:tcPr>
            <w:tcW w:w="709" w:type="dxa"/>
            <w:tcBorders>
              <w:left w:val="single" w:color="auto" w:sz="4" w:space="0"/>
              <w:right w:val="single" w:color="auto" w:sz="4" w:space="0"/>
            </w:tcBorders>
            <w:vAlign w:val="center"/>
          </w:tcPr>
          <w:p w14:paraId="0D0C7C0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5分</w:t>
            </w:r>
          </w:p>
        </w:tc>
        <w:tc>
          <w:tcPr>
            <w:tcW w:w="4677" w:type="dxa"/>
            <w:tcBorders>
              <w:left w:val="single" w:color="auto" w:sz="4" w:space="0"/>
            </w:tcBorders>
            <w:vAlign w:val="center"/>
          </w:tcPr>
          <w:p w14:paraId="51456A2D">
            <w:pPr>
              <w:pStyle w:val="4"/>
              <w:adjustRightInd w:val="0"/>
              <w:snapToGrid w:val="0"/>
              <w:spacing w:line="320" w:lineRule="exact"/>
              <w:jc w:val="left"/>
              <w:rPr>
                <w:rFonts w:hint="default" w:ascii="Times New Roman" w:hAnsi="Times New Roman" w:cs="Times New Roman"/>
                <w:spacing w:val="-12"/>
                <w:sz w:val="21"/>
                <w:szCs w:val="21"/>
                <w:highlight w:val="none"/>
              </w:rPr>
            </w:pPr>
            <w:r>
              <w:rPr>
                <w:rFonts w:hint="default" w:ascii="Times New Roman" w:hAnsi="Times New Roman" w:cs="Times New Roman"/>
                <w:spacing w:val="-12"/>
                <w:sz w:val="21"/>
                <w:szCs w:val="21"/>
                <w:highlight w:val="none"/>
              </w:rPr>
              <w:t>检测方法和评价分析方法基本适合本项目，得3分；</w:t>
            </w:r>
          </w:p>
          <w:p w14:paraId="5EB6FAAE">
            <w:pPr>
              <w:pStyle w:val="4"/>
              <w:adjustRightInd w:val="0"/>
              <w:snapToGrid w:val="0"/>
              <w:spacing w:line="320" w:lineRule="exact"/>
              <w:jc w:val="left"/>
              <w:rPr>
                <w:rFonts w:hint="default" w:ascii="Times New Roman" w:hAnsi="Times New Roman" w:cs="Times New Roman"/>
                <w:spacing w:val="-12"/>
                <w:sz w:val="21"/>
                <w:szCs w:val="21"/>
                <w:highlight w:val="none"/>
              </w:rPr>
            </w:pPr>
            <w:r>
              <w:rPr>
                <w:rFonts w:hint="default" w:ascii="Times New Roman" w:hAnsi="Times New Roman" w:cs="Times New Roman"/>
                <w:spacing w:val="-12"/>
                <w:sz w:val="21"/>
                <w:szCs w:val="21"/>
                <w:highlight w:val="none"/>
              </w:rPr>
              <w:t>检测方法和评价分析方法较为适合本项目，得3-4分；</w:t>
            </w:r>
          </w:p>
          <w:p w14:paraId="19CEF38F">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pacing w:val="-12"/>
                <w:sz w:val="21"/>
                <w:szCs w:val="21"/>
                <w:highlight w:val="none"/>
              </w:rPr>
              <w:t>检测方法和评价分析方法适合本项目，得4-5分。</w:t>
            </w:r>
          </w:p>
        </w:tc>
      </w:tr>
      <w:tr w14:paraId="2B447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71C6F2D2">
            <w:pPr>
              <w:autoSpaceDE w:val="0"/>
              <w:autoSpaceDN w:val="0"/>
              <w:snapToGrid w:val="0"/>
              <w:ind w:right="-107" w:firstLine="420"/>
              <w:jc w:val="center"/>
              <w:rPr>
                <w:rFonts w:hint="default" w:ascii="Times New Roman" w:hAnsi="Times New Roman" w:cs="Times New Roman"/>
                <w:kern w:val="0"/>
                <w:szCs w:val="21"/>
                <w:highlight w:val="none"/>
              </w:rPr>
            </w:pPr>
          </w:p>
        </w:tc>
        <w:tc>
          <w:tcPr>
            <w:tcW w:w="516" w:type="dxa"/>
            <w:vMerge w:val="continue"/>
            <w:vAlign w:val="center"/>
          </w:tcPr>
          <w:p w14:paraId="4F5A8A27">
            <w:pPr>
              <w:autoSpaceDE w:val="0"/>
              <w:autoSpaceDN w:val="0"/>
              <w:snapToGrid w:val="0"/>
              <w:ind w:right="-107" w:firstLine="420"/>
              <w:jc w:val="center"/>
              <w:rPr>
                <w:rFonts w:hint="default" w:ascii="Times New Roman" w:hAnsi="Times New Roman" w:cs="Times New Roman"/>
                <w:kern w:val="0"/>
                <w:szCs w:val="21"/>
                <w:highlight w:val="none"/>
              </w:rPr>
            </w:pPr>
          </w:p>
        </w:tc>
        <w:tc>
          <w:tcPr>
            <w:tcW w:w="837" w:type="dxa"/>
            <w:vMerge w:val="continue"/>
            <w:vAlign w:val="center"/>
          </w:tcPr>
          <w:p w14:paraId="58A9740C">
            <w:pPr>
              <w:autoSpaceDE w:val="0"/>
              <w:autoSpaceDN w:val="0"/>
              <w:snapToGrid w:val="0"/>
              <w:ind w:right="-107" w:firstLine="420"/>
              <w:jc w:val="center"/>
              <w:rPr>
                <w:rFonts w:hint="default" w:ascii="Times New Roman" w:hAnsi="Times New Roman" w:cs="Times New Roman"/>
                <w:kern w:val="0"/>
                <w:szCs w:val="21"/>
                <w:highlight w:val="none"/>
              </w:rPr>
            </w:pPr>
          </w:p>
        </w:tc>
        <w:tc>
          <w:tcPr>
            <w:tcW w:w="1482" w:type="dxa"/>
            <w:tcBorders>
              <w:right w:val="single" w:color="auto" w:sz="4" w:space="0"/>
            </w:tcBorders>
            <w:vAlign w:val="center"/>
          </w:tcPr>
          <w:p w14:paraId="0EA70AFE">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质量、安全保证措施</w:t>
            </w:r>
          </w:p>
        </w:tc>
        <w:tc>
          <w:tcPr>
            <w:tcW w:w="709" w:type="dxa"/>
            <w:tcBorders>
              <w:left w:val="single" w:color="auto" w:sz="4" w:space="0"/>
              <w:right w:val="single" w:color="auto" w:sz="4" w:space="0"/>
            </w:tcBorders>
            <w:vAlign w:val="center"/>
          </w:tcPr>
          <w:p w14:paraId="2D53E4A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5分</w:t>
            </w:r>
          </w:p>
        </w:tc>
        <w:tc>
          <w:tcPr>
            <w:tcW w:w="4677" w:type="dxa"/>
            <w:tcBorders>
              <w:left w:val="single" w:color="auto" w:sz="4" w:space="0"/>
            </w:tcBorders>
            <w:vAlign w:val="center"/>
          </w:tcPr>
          <w:p w14:paraId="048F4F9F">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措施一般，得3分；</w:t>
            </w:r>
          </w:p>
          <w:p w14:paraId="4854B12C">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合理，可行，得3-4分；</w:t>
            </w:r>
          </w:p>
          <w:p w14:paraId="29CB872E">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科学先进、严密，得4-5分。</w:t>
            </w:r>
          </w:p>
        </w:tc>
      </w:tr>
      <w:tr w14:paraId="75C23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0A6D604A">
            <w:pPr>
              <w:autoSpaceDE w:val="0"/>
              <w:autoSpaceDN w:val="0"/>
              <w:snapToGrid w:val="0"/>
              <w:ind w:right="-107" w:firstLine="420"/>
              <w:jc w:val="center"/>
              <w:rPr>
                <w:rFonts w:hint="default" w:ascii="Times New Roman" w:hAnsi="Times New Roman" w:cs="Times New Roman"/>
                <w:kern w:val="0"/>
                <w:szCs w:val="21"/>
                <w:highlight w:val="none"/>
              </w:rPr>
            </w:pPr>
          </w:p>
        </w:tc>
        <w:tc>
          <w:tcPr>
            <w:tcW w:w="516" w:type="dxa"/>
            <w:vMerge w:val="continue"/>
            <w:vAlign w:val="center"/>
          </w:tcPr>
          <w:p w14:paraId="00892C28">
            <w:pPr>
              <w:autoSpaceDE w:val="0"/>
              <w:autoSpaceDN w:val="0"/>
              <w:snapToGrid w:val="0"/>
              <w:ind w:right="-107" w:firstLine="420"/>
              <w:jc w:val="center"/>
              <w:rPr>
                <w:rFonts w:hint="default" w:ascii="Times New Roman" w:hAnsi="Times New Roman" w:cs="Times New Roman"/>
                <w:kern w:val="0"/>
                <w:szCs w:val="21"/>
                <w:highlight w:val="none"/>
              </w:rPr>
            </w:pPr>
          </w:p>
        </w:tc>
        <w:tc>
          <w:tcPr>
            <w:tcW w:w="837" w:type="dxa"/>
            <w:vMerge w:val="continue"/>
            <w:vAlign w:val="center"/>
          </w:tcPr>
          <w:p w14:paraId="60501F99">
            <w:pPr>
              <w:autoSpaceDE w:val="0"/>
              <w:autoSpaceDN w:val="0"/>
              <w:snapToGrid w:val="0"/>
              <w:ind w:right="-107" w:firstLine="420"/>
              <w:jc w:val="center"/>
              <w:rPr>
                <w:rFonts w:hint="default" w:ascii="Times New Roman" w:hAnsi="Times New Roman" w:cs="Times New Roman"/>
                <w:kern w:val="0"/>
                <w:szCs w:val="21"/>
                <w:highlight w:val="none"/>
              </w:rPr>
            </w:pPr>
          </w:p>
        </w:tc>
        <w:tc>
          <w:tcPr>
            <w:tcW w:w="1482" w:type="dxa"/>
            <w:tcBorders>
              <w:right w:val="single" w:color="auto" w:sz="4" w:space="0"/>
            </w:tcBorders>
            <w:vAlign w:val="center"/>
          </w:tcPr>
          <w:p w14:paraId="3C50584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本项目工作量及计划安排</w:t>
            </w:r>
          </w:p>
        </w:tc>
        <w:tc>
          <w:tcPr>
            <w:tcW w:w="709" w:type="dxa"/>
            <w:tcBorders>
              <w:left w:val="single" w:color="auto" w:sz="4" w:space="0"/>
              <w:right w:val="single" w:color="auto" w:sz="4" w:space="0"/>
            </w:tcBorders>
            <w:vAlign w:val="center"/>
          </w:tcPr>
          <w:p w14:paraId="0F0E71D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5分</w:t>
            </w:r>
          </w:p>
        </w:tc>
        <w:tc>
          <w:tcPr>
            <w:tcW w:w="4677" w:type="dxa"/>
            <w:tcBorders>
              <w:left w:val="single" w:color="auto" w:sz="4" w:space="0"/>
            </w:tcBorders>
            <w:vAlign w:val="center"/>
          </w:tcPr>
          <w:p w14:paraId="14EF472E">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工作量及计划安排基本合理，得3分；</w:t>
            </w:r>
          </w:p>
          <w:p w14:paraId="20337A9C">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工作量及计划安排合理，得3-4分；</w:t>
            </w:r>
          </w:p>
          <w:p w14:paraId="324C1EFF">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工作量及计划安排科学，安排周密，得4-5分。</w:t>
            </w:r>
          </w:p>
        </w:tc>
      </w:tr>
      <w:tr w14:paraId="6272A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54A81A6E">
            <w:pPr>
              <w:autoSpaceDE w:val="0"/>
              <w:autoSpaceDN w:val="0"/>
              <w:snapToGrid w:val="0"/>
              <w:ind w:right="-107" w:firstLine="420"/>
              <w:jc w:val="center"/>
              <w:rPr>
                <w:rFonts w:hint="default" w:ascii="Times New Roman" w:hAnsi="Times New Roman" w:cs="Times New Roman"/>
                <w:kern w:val="0"/>
                <w:szCs w:val="21"/>
                <w:highlight w:val="none"/>
              </w:rPr>
            </w:pPr>
          </w:p>
        </w:tc>
        <w:tc>
          <w:tcPr>
            <w:tcW w:w="516" w:type="dxa"/>
            <w:vMerge w:val="continue"/>
            <w:vAlign w:val="center"/>
          </w:tcPr>
          <w:p w14:paraId="6CFF05DD">
            <w:pPr>
              <w:autoSpaceDE w:val="0"/>
              <w:autoSpaceDN w:val="0"/>
              <w:snapToGrid w:val="0"/>
              <w:ind w:right="-107" w:firstLine="420"/>
              <w:jc w:val="center"/>
              <w:rPr>
                <w:rFonts w:hint="default" w:ascii="Times New Roman" w:hAnsi="Times New Roman" w:cs="Times New Roman"/>
                <w:kern w:val="0"/>
                <w:szCs w:val="21"/>
                <w:highlight w:val="none"/>
              </w:rPr>
            </w:pPr>
          </w:p>
        </w:tc>
        <w:tc>
          <w:tcPr>
            <w:tcW w:w="837" w:type="dxa"/>
            <w:vMerge w:val="continue"/>
            <w:vAlign w:val="center"/>
          </w:tcPr>
          <w:p w14:paraId="32D5B387">
            <w:pPr>
              <w:autoSpaceDE w:val="0"/>
              <w:autoSpaceDN w:val="0"/>
              <w:snapToGrid w:val="0"/>
              <w:ind w:right="-107" w:firstLine="420"/>
              <w:jc w:val="center"/>
              <w:rPr>
                <w:rFonts w:hint="default" w:ascii="Times New Roman" w:hAnsi="Times New Roman" w:cs="Times New Roman"/>
                <w:kern w:val="0"/>
                <w:szCs w:val="21"/>
                <w:highlight w:val="none"/>
              </w:rPr>
            </w:pPr>
          </w:p>
        </w:tc>
        <w:tc>
          <w:tcPr>
            <w:tcW w:w="1482" w:type="dxa"/>
            <w:tcBorders>
              <w:right w:val="single" w:color="auto" w:sz="4" w:space="0"/>
            </w:tcBorders>
            <w:vAlign w:val="center"/>
          </w:tcPr>
          <w:p w14:paraId="4BA5E35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交通组织方案</w:t>
            </w:r>
          </w:p>
        </w:tc>
        <w:tc>
          <w:tcPr>
            <w:tcW w:w="709" w:type="dxa"/>
            <w:tcBorders>
              <w:left w:val="single" w:color="auto" w:sz="4" w:space="0"/>
              <w:right w:val="single" w:color="auto" w:sz="4" w:space="0"/>
            </w:tcBorders>
            <w:vAlign w:val="center"/>
          </w:tcPr>
          <w:p w14:paraId="3E83C71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5分</w:t>
            </w:r>
          </w:p>
        </w:tc>
        <w:tc>
          <w:tcPr>
            <w:tcW w:w="4677" w:type="dxa"/>
            <w:tcBorders>
              <w:left w:val="single" w:color="auto" w:sz="4" w:space="0"/>
            </w:tcBorders>
            <w:vAlign w:val="center"/>
          </w:tcPr>
          <w:p w14:paraId="266307EF">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交通组织方案一般，得3分；</w:t>
            </w:r>
          </w:p>
          <w:p w14:paraId="65DD2173">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交通组织方案较合理可行、较完善，得3-4分；</w:t>
            </w:r>
          </w:p>
          <w:p w14:paraId="0FB12945">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交通组织方案合理可行、完善、可实施性强，得4-5分。</w:t>
            </w:r>
          </w:p>
        </w:tc>
      </w:tr>
      <w:tr w14:paraId="7B9FA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6539FA30">
            <w:pPr>
              <w:autoSpaceDE w:val="0"/>
              <w:autoSpaceDN w:val="0"/>
              <w:snapToGrid w:val="0"/>
              <w:ind w:right="-107" w:firstLine="420"/>
              <w:jc w:val="center"/>
              <w:rPr>
                <w:rFonts w:hint="default" w:ascii="Times New Roman" w:hAnsi="Times New Roman" w:cs="Times New Roman"/>
                <w:kern w:val="0"/>
                <w:szCs w:val="21"/>
                <w:highlight w:val="none"/>
              </w:rPr>
            </w:pPr>
          </w:p>
        </w:tc>
        <w:tc>
          <w:tcPr>
            <w:tcW w:w="516" w:type="dxa"/>
            <w:vMerge w:val="continue"/>
            <w:vAlign w:val="center"/>
          </w:tcPr>
          <w:p w14:paraId="63B93ECB">
            <w:pPr>
              <w:autoSpaceDE w:val="0"/>
              <w:autoSpaceDN w:val="0"/>
              <w:snapToGrid w:val="0"/>
              <w:ind w:right="-107" w:firstLine="420"/>
              <w:jc w:val="center"/>
              <w:rPr>
                <w:rFonts w:hint="default" w:ascii="Times New Roman" w:hAnsi="Times New Roman" w:cs="Times New Roman"/>
                <w:kern w:val="0"/>
                <w:szCs w:val="21"/>
                <w:highlight w:val="none"/>
              </w:rPr>
            </w:pPr>
          </w:p>
        </w:tc>
        <w:tc>
          <w:tcPr>
            <w:tcW w:w="837" w:type="dxa"/>
            <w:vMerge w:val="continue"/>
            <w:vAlign w:val="center"/>
          </w:tcPr>
          <w:p w14:paraId="7C854751">
            <w:pPr>
              <w:autoSpaceDE w:val="0"/>
              <w:autoSpaceDN w:val="0"/>
              <w:snapToGrid w:val="0"/>
              <w:ind w:right="-107" w:firstLine="420"/>
              <w:jc w:val="center"/>
              <w:rPr>
                <w:rFonts w:hint="default" w:ascii="Times New Roman" w:hAnsi="Times New Roman" w:cs="Times New Roman"/>
                <w:kern w:val="0"/>
                <w:szCs w:val="21"/>
                <w:highlight w:val="none"/>
              </w:rPr>
            </w:pPr>
          </w:p>
        </w:tc>
        <w:tc>
          <w:tcPr>
            <w:tcW w:w="1482" w:type="dxa"/>
            <w:tcBorders>
              <w:right w:val="single" w:color="auto" w:sz="4" w:space="0"/>
            </w:tcBorders>
            <w:vAlign w:val="center"/>
          </w:tcPr>
          <w:p w14:paraId="5A465A45">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检测成果和服务的安排及保证措施</w:t>
            </w:r>
          </w:p>
        </w:tc>
        <w:tc>
          <w:tcPr>
            <w:tcW w:w="709" w:type="dxa"/>
            <w:tcBorders>
              <w:left w:val="single" w:color="auto" w:sz="4" w:space="0"/>
              <w:right w:val="single" w:color="auto" w:sz="4" w:space="0"/>
            </w:tcBorders>
            <w:vAlign w:val="center"/>
          </w:tcPr>
          <w:p w14:paraId="03729A8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4分</w:t>
            </w:r>
          </w:p>
        </w:tc>
        <w:tc>
          <w:tcPr>
            <w:tcW w:w="4677" w:type="dxa"/>
            <w:tcBorders>
              <w:left w:val="single" w:color="auto" w:sz="4" w:space="0"/>
            </w:tcBorders>
            <w:vAlign w:val="center"/>
          </w:tcPr>
          <w:p w14:paraId="25A03A08">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检测成果符合国家规范要求，后续服务的承诺及保证措施基本完善，得2.4分；</w:t>
            </w:r>
          </w:p>
          <w:p w14:paraId="0425119B">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检测成果符合国家规范要求，后续服务的承诺及保证措施较完善，得2.4-3.2分；</w:t>
            </w:r>
          </w:p>
          <w:p w14:paraId="0522EE74">
            <w:pPr>
              <w:pStyle w:val="4"/>
              <w:adjustRightInd w:val="0"/>
              <w:snapToGrid w:val="0"/>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检测成果符合国家规范要求，后续服务的承诺及保证措施完善，得3.2-4分。</w:t>
            </w:r>
          </w:p>
        </w:tc>
      </w:tr>
      <w:tr w14:paraId="3C15D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79" w:hRule="atLeast"/>
        </w:trPr>
        <w:tc>
          <w:tcPr>
            <w:tcW w:w="977" w:type="dxa"/>
            <w:vAlign w:val="center"/>
          </w:tcPr>
          <w:p w14:paraId="605DFE88">
            <w:pPr>
              <w:pStyle w:val="4"/>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2.2.4（2）</w:t>
            </w:r>
          </w:p>
        </w:tc>
        <w:tc>
          <w:tcPr>
            <w:tcW w:w="516" w:type="dxa"/>
            <w:vAlign w:val="center"/>
          </w:tcPr>
          <w:p w14:paraId="6E0CD7BC">
            <w:pPr>
              <w:pStyle w:val="4"/>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主要人员</w:t>
            </w:r>
          </w:p>
        </w:tc>
        <w:tc>
          <w:tcPr>
            <w:tcW w:w="837" w:type="dxa"/>
            <w:vAlign w:val="center"/>
          </w:tcPr>
          <w:p w14:paraId="7C155EEE">
            <w:pPr>
              <w:pStyle w:val="4"/>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20分</w:t>
            </w:r>
          </w:p>
        </w:tc>
        <w:tc>
          <w:tcPr>
            <w:tcW w:w="6868" w:type="dxa"/>
            <w:gridSpan w:val="3"/>
            <w:vAlign w:val="center"/>
          </w:tcPr>
          <w:p w14:paraId="588EE1B2">
            <w:pPr>
              <w:pStyle w:val="4"/>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项目负责人满足资格审查条件（项目负责人最低要求）得12分。</w:t>
            </w:r>
          </w:p>
          <w:p w14:paraId="434016BB">
            <w:pPr>
              <w:pStyle w:val="4"/>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项目负责人每增加一项满足资格审查条件（项目负责人最低要求）的业绩加8分，最多加8分。</w:t>
            </w:r>
          </w:p>
        </w:tc>
      </w:tr>
      <w:tr w14:paraId="64F4C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47" w:hRule="exact"/>
        </w:trPr>
        <w:tc>
          <w:tcPr>
            <w:tcW w:w="977" w:type="dxa"/>
            <w:vAlign w:val="center"/>
          </w:tcPr>
          <w:p w14:paraId="5914E1E2">
            <w:pPr>
              <w:pStyle w:val="4"/>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2.2.4（3）</w:t>
            </w:r>
          </w:p>
        </w:tc>
        <w:tc>
          <w:tcPr>
            <w:tcW w:w="516" w:type="dxa"/>
            <w:vAlign w:val="center"/>
          </w:tcPr>
          <w:p w14:paraId="433845E6">
            <w:pPr>
              <w:pStyle w:val="4"/>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评标价</w:t>
            </w:r>
          </w:p>
        </w:tc>
        <w:tc>
          <w:tcPr>
            <w:tcW w:w="837" w:type="dxa"/>
            <w:vAlign w:val="center"/>
          </w:tcPr>
          <w:p w14:paraId="178C79A1">
            <w:pPr>
              <w:pStyle w:val="4"/>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10分</w:t>
            </w:r>
          </w:p>
        </w:tc>
        <w:tc>
          <w:tcPr>
            <w:tcW w:w="6868" w:type="dxa"/>
            <w:gridSpan w:val="3"/>
            <w:vAlign w:val="center"/>
          </w:tcPr>
          <w:p w14:paraId="579A3FED">
            <w:pPr>
              <w:pStyle w:val="4"/>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评标价得分计算公式：</w:t>
            </w:r>
          </w:p>
          <w:p w14:paraId="27115EEB">
            <w:pPr>
              <w:pStyle w:val="4"/>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（1）如果投标人的评标价＞评标基准价，则评标价得分=F-100%×（投标人评标价-评标基准价）／评标基准价×100×E1；</w:t>
            </w:r>
          </w:p>
          <w:p w14:paraId="7A3D8C5F">
            <w:pPr>
              <w:pStyle w:val="4"/>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（2）如果投标人的评标价</w:t>
            </w:r>
            <w:r>
              <w:rPr>
                <w:rFonts w:hint="default" w:ascii="Times New Roman" w:hAnsi="Times New Roman" w:eastAsia="宋体" w:cs="Times New Roman"/>
                <w:sz w:val="21"/>
                <w:szCs w:val="21"/>
                <w:highlight w:val="none"/>
              </w:rPr>
              <w:t>≦</w:t>
            </w:r>
            <w:r>
              <w:rPr>
                <w:rFonts w:hint="default" w:ascii="Times New Roman" w:hAnsi="Times New Roman" w:cs="Times New Roman"/>
                <w:sz w:val="21"/>
                <w:szCs w:val="21"/>
                <w:highlight w:val="none"/>
              </w:rPr>
              <w:t>评标基准价，则评标价得分=F+100%×（投标人评标价-评标基准价）／评标基准价×100×E2。</w:t>
            </w:r>
          </w:p>
          <w:p w14:paraId="7D9BFD1A">
            <w:pPr>
              <w:pStyle w:val="4"/>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其中，F=10；E1=0.2；E2=0.1；评标价最低得分为0分。</w:t>
            </w:r>
          </w:p>
        </w:tc>
      </w:tr>
      <w:tr w14:paraId="5C405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71" w:hRule="atLeast"/>
        </w:trPr>
        <w:tc>
          <w:tcPr>
            <w:tcW w:w="977" w:type="dxa"/>
            <w:vAlign w:val="center"/>
          </w:tcPr>
          <w:p w14:paraId="6DC13413">
            <w:pPr>
              <w:pStyle w:val="4"/>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2.2.4（4）</w:t>
            </w:r>
          </w:p>
        </w:tc>
        <w:tc>
          <w:tcPr>
            <w:tcW w:w="516" w:type="dxa"/>
            <w:vAlign w:val="center"/>
          </w:tcPr>
          <w:p w14:paraId="63B751A0">
            <w:pPr>
              <w:pStyle w:val="4"/>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其他因素</w:t>
            </w:r>
          </w:p>
        </w:tc>
        <w:tc>
          <w:tcPr>
            <w:tcW w:w="837" w:type="dxa"/>
            <w:vAlign w:val="center"/>
          </w:tcPr>
          <w:p w14:paraId="130E72E7">
            <w:pPr>
              <w:pStyle w:val="4"/>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业绩</w:t>
            </w:r>
          </w:p>
          <w:p w14:paraId="248B6C16">
            <w:pPr>
              <w:pStyle w:val="4"/>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20分</w:t>
            </w:r>
          </w:p>
        </w:tc>
        <w:tc>
          <w:tcPr>
            <w:tcW w:w="6868" w:type="dxa"/>
            <w:gridSpan w:val="3"/>
            <w:vAlign w:val="center"/>
          </w:tcPr>
          <w:p w14:paraId="2606DDE5">
            <w:pPr>
              <w:pStyle w:val="4"/>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投标人满足资格审查条件（业绩最低要求）得12分。</w:t>
            </w:r>
          </w:p>
          <w:p w14:paraId="232F7347">
            <w:pPr>
              <w:pStyle w:val="4"/>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投标人每增加一项满足资格审查条件（业绩最低要求）的业绩加4分，最多加8分。</w:t>
            </w:r>
          </w:p>
        </w:tc>
      </w:tr>
    </w:tbl>
    <w:p w14:paraId="688C53B1">
      <w:pPr>
        <w:ind w:firstLine="400"/>
        <w:rPr>
          <w:rFonts w:hint="default" w:ascii="Times New Roman" w:hAnsi="Times New Roman" w:cs="Times New Roman"/>
          <w:kern w:val="0"/>
          <w:sz w:val="20"/>
          <w:szCs w:val="20"/>
          <w:highlight w:val="none"/>
        </w:rPr>
      </w:pPr>
    </w:p>
    <w:p w14:paraId="13C82BC6">
      <w:pPr>
        <w:ind w:firstLine="400"/>
        <w:rPr>
          <w:rFonts w:hint="default" w:ascii="Times New Roman" w:hAnsi="Times New Roman" w:cs="Times New Roman"/>
          <w:kern w:val="0"/>
          <w:sz w:val="20"/>
          <w:szCs w:val="20"/>
          <w:highlight w:val="none"/>
        </w:rPr>
      </w:pPr>
      <w:r>
        <w:rPr>
          <w:rFonts w:hint="default" w:ascii="Times New Roman" w:hAnsi="Times New Roman" w:cs="Times New Roman"/>
          <w:kern w:val="0"/>
          <w:sz w:val="20"/>
          <w:szCs w:val="20"/>
          <w:highlight w:val="none"/>
        </w:rPr>
        <w:t>注：1、技术建议书得分应以评标委员会各成员的打分平均值确定；评委打分保留1位小数，汇总得分保留小数点后两位。</w:t>
      </w:r>
    </w:p>
    <w:p w14:paraId="054FA29C">
      <w:pPr>
        <w:ind w:firstLine="400" w:firstLineChars="200"/>
        <w:rPr>
          <w:rFonts w:hint="default" w:ascii="Times New Roman" w:hAnsi="Times New Roman" w:cs="Times New Roman"/>
          <w:szCs w:val="21"/>
          <w:highlight w:val="none"/>
        </w:rPr>
      </w:pPr>
      <w:r>
        <w:rPr>
          <w:rFonts w:hint="default" w:ascii="Times New Roman" w:hAnsi="Times New Roman" w:cs="Times New Roman"/>
          <w:kern w:val="0"/>
          <w:sz w:val="20"/>
          <w:szCs w:val="20"/>
          <w:highlight w:val="none"/>
        </w:rPr>
        <w:t>2、技术建议书评审因素细分项缺项则该项得0分。</w:t>
      </w:r>
      <w:bookmarkEnd w:id="19"/>
    </w:p>
    <w:p w14:paraId="33AA9EAC">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1F06C4"/>
    <w:rsid w:val="271D04C4"/>
    <w:rsid w:val="37D33556"/>
    <w:rsid w:val="445A4A34"/>
    <w:rsid w:val="4954067A"/>
    <w:rsid w:val="512F7F6C"/>
    <w:rsid w:val="5797131D"/>
    <w:rsid w:val="62143C96"/>
    <w:rsid w:val="62721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pPr>
      <w:jc w:val="center"/>
    </w:pPr>
    <w:rPr>
      <w:rFonts w:ascii="宋体" w:hAnsi="Courier New"/>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2906</Words>
  <Characters>3240</Characters>
  <Lines>0</Lines>
  <Paragraphs>0</Paragraphs>
  <TotalTime>0</TotalTime>
  <ScaleCrop>false</ScaleCrop>
  <LinksUpToDate>false</LinksUpToDate>
  <CharactersWithSpaces>3274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2023-02-06T01:14:00Z</dcterms:created>
  <dc:creator>成套-项目二-刘</dc:creator>
  <cp:lastModifiedBy>李娜</cp:lastModifiedBy>
  <dcterms:modified xsi:type="dcterms:W3CDTF">2026-06-18T00:42:18Z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7A8A59408D9844A5B5111C1E344B0746</vt:lpwstr>
  </property>
  <property fmtid="{D5CDD505-2E9C-101B-9397-08002B2CF9AE}" pid="4" name="KSOTemplateDocerSaveRecord">
    <vt:lpwstr>eyJoZGlkIjoiOWYyZDYxNTJjZmI2NmVkYTMyOWVjMGFiZjEzZGM5NjgiLCJ1c2VySWQiOiIxNTI1NDExOTAzIn0=</vt:lpwstr>
  </property>
</Properties>
</file>