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7122E">
      <w:pPr>
        <w:spacing w:before="170" w:line="221" w:lineRule="auto"/>
        <w:ind w:right="33"/>
        <w:jc w:val="right"/>
        <w:rPr>
          <w:rFonts w:ascii="黑体" w:hAnsi="黑体" w:eastAsia="黑体" w:cs="黑体"/>
          <w:sz w:val="24"/>
          <w:szCs w:val="24"/>
        </w:rPr>
      </w:pPr>
      <w:bookmarkStart w:id="0" w:name="_GoBack"/>
      <w:bookmarkEnd w:id="0"/>
      <w:r>
        <w:rPr>
          <w:rFonts w:ascii="黑体" w:hAnsi="黑体" w:eastAsia="黑体" w:cs="黑体"/>
          <w:b/>
          <w:bCs/>
          <w:spacing w:val="-2"/>
          <w:sz w:val="24"/>
          <w:szCs w:val="24"/>
        </w:rPr>
        <w:t>河北高速集团</w:t>
      </w:r>
      <w:r>
        <w:rPr>
          <w:rFonts w:ascii="黑体" w:hAnsi="黑体" w:eastAsia="黑体" w:cs="黑体"/>
          <w:spacing w:val="-2"/>
          <w:sz w:val="24"/>
          <w:szCs w:val="24"/>
        </w:rPr>
        <w:t xml:space="preserve"> </w:t>
      </w:r>
      <w:r>
        <w:rPr>
          <w:rFonts w:ascii="黑体" w:hAnsi="黑体" w:eastAsia="黑体" w:cs="黑体"/>
          <w:b/>
          <w:bCs/>
          <w:spacing w:val="-2"/>
          <w:sz w:val="24"/>
          <w:szCs w:val="24"/>
        </w:rPr>
        <w:t>G1</w:t>
      </w:r>
      <w:r>
        <w:rPr>
          <w:rFonts w:ascii="黑体" w:hAnsi="黑体" w:eastAsia="黑体" w:cs="黑体"/>
          <w:spacing w:val="-44"/>
          <w:sz w:val="24"/>
          <w:szCs w:val="24"/>
        </w:rPr>
        <w:t xml:space="preserve"> </w:t>
      </w:r>
      <w:r>
        <w:rPr>
          <w:rFonts w:ascii="黑体" w:hAnsi="黑体" w:eastAsia="黑体" w:cs="黑体"/>
          <w:b/>
          <w:bCs/>
          <w:spacing w:val="-2"/>
          <w:sz w:val="24"/>
          <w:szCs w:val="24"/>
        </w:rPr>
        <w:t>京哈高速公路河北段公路交通基础</w:t>
      </w:r>
      <w:r>
        <w:rPr>
          <w:rFonts w:ascii="黑体" w:hAnsi="黑体" w:eastAsia="黑体" w:cs="黑体"/>
          <w:b/>
          <w:bCs/>
          <w:spacing w:val="-3"/>
          <w:sz w:val="24"/>
          <w:szCs w:val="24"/>
        </w:rPr>
        <w:t>设施数字化转型升级建设</w:t>
      </w:r>
    </w:p>
    <w:p w14:paraId="4AAE16FD">
      <w:pPr>
        <w:spacing w:before="173" w:line="222" w:lineRule="auto"/>
        <w:ind w:left="3360"/>
        <w:rPr>
          <w:rFonts w:ascii="黑体" w:hAnsi="黑体" w:eastAsia="黑体" w:cs="黑体"/>
          <w:sz w:val="24"/>
          <w:szCs w:val="24"/>
        </w:rPr>
      </w:pPr>
      <w:r>
        <w:rPr>
          <w:rFonts w:ascii="黑体" w:hAnsi="黑体" w:eastAsia="黑体" w:cs="黑体"/>
          <w:b/>
          <w:bCs/>
          <w:spacing w:val="-3"/>
          <w:sz w:val="24"/>
          <w:szCs w:val="24"/>
        </w:rPr>
        <w:t>项目设计施工总承包招标公告</w:t>
      </w:r>
    </w:p>
    <w:p w14:paraId="4A03DC40">
      <w:pPr>
        <w:spacing w:line="397" w:lineRule="auto"/>
        <w:rPr>
          <w:rFonts w:ascii="Arial"/>
          <w:sz w:val="21"/>
        </w:rPr>
      </w:pPr>
    </w:p>
    <w:p w14:paraId="5305E9FD">
      <w:pPr>
        <w:pStyle w:val="2"/>
        <w:spacing w:before="78" w:line="219" w:lineRule="auto"/>
        <w:ind w:left="777"/>
        <w:outlineLvl w:val="0"/>
      </w:pPr>
      <w:r>
        <w:rPr>
          <w:b/>
          <w:bCs/>
          <w:spacing w:val="-7"/>
        </w:rPr>
        <w:t>1.招标条件</w:t>
      </w:r>
    </w:p>
    <w:p w14:paraId="6FFD8072">
      <w:pPr>
        <w:pStyle w:val="2"/>
        <w:spacing w:before="262" w:line="353" w:lineRule="auto"/>
        <w:ind w:left="758" w:firstLine="481"/>
        <w:jc w:val="both"/>
      </w:pPr>
      <w:r>
        <w:rPr>
          <w:spacing w:val="-11"/>
        </w:rPr>
        <w:t>本招标项目</w:t>
      </w:r>
      <w:r>
        <w:rPr>
          <w:spacing w:val="-11"/>
          <w:u w:val="single" w:color="auto"/>
        </w:rPr>
        <w:t>河北高速集团G1</w:t>
      </w:r>
      <w:r>
        <w:rPr>
          <w:spacing w:val="-59"/>
          <w:u w:val="single" w:color="auto"/>
        </w:rPr>
        <w:t xml:space="preserve"> </w:t>
      </w:r>
      <w:r>
        <w:rPr>
          <w:spacing w:val="-11"/>
          <w:u w:val="single" w:color="auto"/>
        </w:rPr>
        <w:t>京哈高速公路河北段公路交通基础设施数字化</w:t>
      </w:r>
      <w:r>
        <w:rPr>
          <w:spacing w:val="-12"/>
          <w:u w:val="single" w:color="auto"/>
        </w:rPr>
        <w:t>转型</w:t>
      </w:r>
      <w:r>
        <w:rPr>
          <w:spacing w:val="-2"/>
          <w:u w:val="single" w:color="auto"/>
        </w:rPr>
        <w:t>升级建设项目</w:t>
      </w:r>
      <w:r>
        <w:rPr>
          <w:spacing w:val="-2"/>
        </w:rPr>
        <w:t>已由</w:t>
      </w:r>
      <w:r>
        <w:rPr>
          <w:spacing w:val="-2"/>
          <w:u w:val="single" w:color="auto"/>
        </w:rPr>
        <w:t>河北省公路事业发展中心</w:t>
      </w:r>
      <w:r>
        <w:rPr>
          <w:spacing w:val="-2"/>
        </w:rPr>
        <w:t>以《</w:t>
      </w:r>
      <w:r>
        <w:rPr>
          <w:spacing w:val="-2"/>
          <w:u w:val="single" w:color="auto"/>
        </w:rPr>
        <w:t>关于河北高速集团 G1</w:t>
      </w:r>
      <w:r>
        <w:rPr>
          <w:spacing w:val="-38"/>
          <w:u w:val="single" w:color="auto"/>
        </w:rPr>
        <w:t xml:space="preserve"> </w:t>
      </w:r>
      <w:r>
        <w:rPr>
          <w:spacing w:val="-2"/>
          <w:u w:val="single" w:color="auto"/>
        </w:rPr>
        <w:t>京哈高速</w:t>
      </w:r>
      <w:r>
        <w:rPr>
          <w:spacing w:val="2"/>
          <w:u w:val="single" w:color="auto"/>
        </w:rPr>
        <w:t>公路河北段公路交通基础设施数字化转型升级建设项目</w:t>
      </w:r>
      <w:r>
        <w:rPr>
          <w:spacing w:val="63"/>
          <w:u w:val="single" w:color="auto"/>
        </w:rPr>
        <w:t xml:space="preserve"> </w:t>
      </w:r>
      <w:r>
        <w:rPr>
          <w:spacing w:val="2"/>
          <w:u w:val="single" w:color="auto"/>
        </w:rPr>
        <w:t>(不含桥梁、边坡</w:t>
      </w:r>
      <w:r>
        <w:rPr>
          <w:spacing w:val="1"/>
          <w:u w:val="single" w:color="auto"/>
        </w:rPr>
        <w:t>等监</w:t>
      </w:r>
      <w:r>
        <w:rPr>
          <w:spacing w:val="-5"/>
          <w:u w:val="single" w:color="auto"/>
        </w:rPr>
        <w:t>测系统)可行性研究报告的审查意见</w:t>
      </w:r>
      <w:r>
        <w:rPr>
          <w:spacing w:val="-5"/>
        </w:rPr>
        <w:t>》</w:t>
      </w:r>
      <w:r>
        <w:rPr>
          <w:spacing w:val="-5"/>
          <w:u w:val="single" w:color="auto"/>
        </w:rPr>
        <w:t>冀公路定额函〔20</w:t>
      </w:r>
      <w:r>
        <w:rPr>
          <w:spacing w:val="-6"/>
          <w:u w:val="single" w:color="auto"/>
        </w:rPr>
        <w:t>26〕219 号</w:t>
      </w:r>
      <w:r>
        <w:rPr>
          <w:spacing w:val="-6"/>
        </w:rPr>
        <w:t>批准建设，招</w:t>
      </w:r>
      <w:r>
        <w:rPr>
          <w:spacing w:val="-10"/>
        </w:rPr>
        <w:t>标方案已由</w:t>
      </w:r>
      <w:r>
        <w:rPr>
          <w:spacing w:val="-10"/>
          <w:u w:val="single" w:color="auto"/>
        </w:rPr>
        <w:t>河北省交通运输综合执法监督局</w:t>
      </w:r>
      <w:r>
        <w:rPr>
          <w:spacing w:val="-10"/>
        </w:rPr>
        <w:t>以</w:t>
      </w:r>
      <w:r>
        <w:rPr>
          <w:spacing w:val="-10"/>
          <w:u w:val="single" w:color="auto"/>
        </w:rPr>
        <w:t>冀交招核字[</w:t>
      </w:r>
      <w:r>
        <w:fldChar w:fldCharType="begin"/>
      </w:r>
      <w:r>
        <w:instrText xml:space="preserve"> HYPERLINK \l "bookmark1" </w:instrText>
      </w:r>
      <w:r>
        <w:fldChar w:fldCharType="separate"/>
      </w:r>
      <w:r>
        <w:rPr>
          <w:spacing w:val="-10"/>
          <w:u w:val="single" w:color="auto"/>
        </w:rPr>
        <w:t>2026</w:t>
      </w:r>
      <w:r>
        <w:rPr>
          <w:spacing w:val="-10"/>
          <w:u w:val="single" w:color="auto"/>
        </w:rPr>
        <w:fldChar w:fldCharType="end"/>
      </w:r>
      <w:r>
        <w:rPr>
          <w:spacing w:val="-10"/>
          <w:u w:val="single" w:color="auto"/>
        </w:rPr>
        <w:t>]E034</w:t>
      </w:r>
      <w:r>
        <w:rPr>
          <w:spacing w:val="-44"/>
          <w:u w:val="single" w:color="auto"/>
        </w:rPr>
        <w:t xml:space="preserve"> </w:t>
      </w:r>
      <w:r>
        <w:rPr>
          <w:spacing w:val="-10"/>
          <w:u w:val="single" w:color="auto"/>
        </w:rPr>
        <w:t>号</w:t>
      </w:r>
      <w:r>
        <w:rPr>
          <w:spacing w:val="-10"/>
        </w:rPr>
        <w:t>核准。项目</w:t>
      </w:r>
      <w:r>
        <w:rPr>
          <w:spacing w:val="-3"/>
        </w:rPr>
        <w:t>业主为</w:t>
      </w:r>
      <w:r>
        <w:rPr>
          <w:spacing w:val="-3"/>
          <w:u w:val="single" w:color="auto"/>
        </w:rPr>
        <w:t>河北高速公路集团有限公司</w:t>
      </w:r>
      <w:r>
        <w:rPr>
          <w:spacing w:val="-3"/>
        </w:rPr>
        <w:t>，建设资金来自</w:t>
      </w:r>
      <w:r>
        <w:rPr>
          <w:spacing w:val="-3"/>
          <w:u w:val="single" w:color="auto"/>
        </w:rPr>
        <w:t>国补资金、企业自筹</w:t>
      </w:r>
      <w:r>
        <w:rPr>
          <w:spacing w:val="-3"/>
        </w:rPr>
        <w:t>，项目出</w:t>
      </w:r>
      <w:r>
        <w:rPr>
          <w:spacing w:val="-7"/>
        </w:rPr>
        <w:t>资比例为</w:t>
      </w:r>
      <w:r>
        <w:rPr>
          <w:spacing w:val="-28"/>
        </w:rPr>
        <w:t xml:space="preserve"> </w:t>
      </w:r>
      <w:r>
        <w:rPr>
          <w:spacing w:val="-7"/>
          <w:u w:val="single" w:color="auto"/>
        </w:rPr>
        <w:t>50%国补资金+50%企业自筹</w:t>
      </w:r>
      <w:r>
        <w:rPr>
          <w:spacing w:val="-7"/>
        </w:rPr>
        <w:t>，招标人为</w:t>
      </w:r>
      <w:r>
        <w:rPr>
          <w:spacing w:val="-7"/>
          <w:u w:val="single" w:color="auto"/>
        </w:rPr>
        <w:t>河北高速公路集团有限公司</w:t>
      </w:r>
      <w:r>
        <w:rPr>
          <w:spacing w:val="-7"/>
          <w:sz w:val="20"/>
          <w:szCs w:val="20"/>
        </w:rPr>
        <w:t>，</w:t>
      </w:r>
      <w:r>
        <w:rPr>
          <w:spacing w:val="-7"/>
        </w:rPr>
        <w:t>项目</w:t>
      </w:r>
      <w:r>
        <w:rPr>
          <w:spacing w:val="-3"/>
        </w:rPr>
        <w:t>已具备招标条件，现对该项目设计施工总承包进行公开招标。本次招标采用资格</w:t>
      </w:r>
      <w:r>
        <w:rPr>
          <w:spacing w:val="-1"/>
        </w:rPr>
        <w:t>后审方式，双信封形式，评标办法采用技术评分合理低价法。</w:t>
      </w:r>
    </w:p>
    <w:p w14:paraId="0636F0B2">
      <w:pPr>
        <w:pStyle w:val="2"/>
        <w:spacing w:line="219" w:lineRule="auto"/>
        <w:ind w:left="762"/>
        <w:outlineLvl w:val="0"/>
      </w:pPr>
      <w:r>
        <w:rPr>
          <w:b/>
          <w:bCs/>
          <w:spacing w:val="-3"/>
        </w:rPr>
        <w:t>2.项目概况与招标范围</w:t>
      </w:r>
    </w:p>
    <w:p w14:paraId="48CBC305">
      <w:pPr>
        <w:pStyle w:val="2"/>
        <w:spacing w:before="180" w:line="219" w:lineRule="auto"/>
        <w:ind w:left="1242"/>
      </w:pPr>
      <w:r>
        <w:rPr>
          <w:spacing w:val="-4"/>
        </w:rPr>
        <w:t>2.1</w:t>
      </w:r>
      <w:r>
        <w:rPr>
          <w:spacing w:val="-46"/>
        </w:rPr>
        <w:t xml:space="preserve"> </w:t>
      </w:r>
      <w:r>
        <w:rPr>
          <w:spacing w:val="-4"/>
        </w:rPr>
        <w:t>项目概况</w:t>
      </w:r>
    </w:p>
    <w:p w14:paraId="400B9D7E">
      <w:pPr>
        <w:pStyle w:val="2"/>
        <w:spacing w:before="184" w:line="219" w:lineRule="auto"/>
        <w:ind w:left="1242"/>
      </w:pPr>
      <w:r>
        <w:rPr>
          <w:spacing w:val="-2"/>
        </w:rPr>
        <w:t>2.1.1</w:t>
      </w:r>
      <w:r>
        <w:rPr>
          <w:spacing w:val="-47"/>
        </w:rPr>
        <w:t xml:space="preserve"> </w:t>
      </w:r>
      <w:r>
        <w:rPr>
          <w:spacing w:val="-2"/>
        </w:rPr>
        <w:t>建设地点：G1</w:t>
      </w:r>
      <w:r>
        <w:rPr>
          <w:spacing w:val="-45"/>
        </w:rPr>
        <w:t xml:space="preserve"> </w:t>
      </w:r>
      <w:r>
        <w:rPr>
          <w:spacing w:val="-2"/>
        </w:rPr>
        <w:t>京哈高速公路河北段</w:t>
      </w:r>
    </w:p>
    <w:p w14:paraId="0B2BF057">
      <w:pPr>
        <w:pStyle w:val="2"/>
        <w:spacing w:before="183" w:line="359" w:lineRule="auto"/>
        <w:ind w:left="755" w:right="18" w:firstLine="486"/>
      </w:pPr>
      <w:r>
        <w:rPr>
          <w:spacing w:val="-4"/>
        </w:rPr>
        <w:t>2.1.2</w:t>
      </w:r>
      <w:r>
        <w:rPr>
          <w:spacing w:val="-38"/>
        </w:rPr>
        <w:t xml:space="preserve"> </w:t>
      </w:r>
      <w:r>
        <w:rPr>
          <w:spacing w:val="-4"/>
        </w:rPr>
        <w:t>建设规模：G1</w:t>
      </w:r>
      <w:r>
        <w:rPr>
          <w:spacing w:val="-45"/>
        </w:rPr>
        <w:t xml:space="preserve"> </w:t>
      </w:r>
      <w:r>
        <w:rPr>
          <w:spacing w:val="-4"/>
        </w:rPr>
        <w:t>京哈高速公路河北段公路交通基础设施数字化转型升级</w:t>
      </w:r>
      <w:r>
        <w:rPr>
          <w:spacing w:val="6"/>
        </w:rPr>
        <w:t>建设项目（不含桥梁、边坡等监测系统）建设范围为</w:t>
      </w:r>
      <w:r>
        <w:rPr>
          <w:spacing w:val="-27"/>
        </w:rPr>
        <w:t xml:space="preserve"> </w:t>
      </w:r>
      <w:r>
        <w:rPr>
          <w:spacing w:val="6"/>
        </w:rPr>
        <w:t>G1</w:t>
      </w:r>
      <w:r>
        <w:rPr>
          <w:spacing w:val="-38"/>
        </w:rPr>
        <w:t xml:space="preserve"> </w:t>
      </w:r>
      <w:r>
        <w:rPr>
          <w:spacing w:val="6"/>
        </w:rPr>
        <w:t>京哈高速公路廊坊段</w:t>
      </w:r>
      <w:r>
        <w:t>K41+904-K63+207</w:t>
      </w:r>
      <w:r>
        <w:rPr>
          <w:spacing w:val="-49"/>
        </w:rPr>
        <w:t xml:space="preserve"> </w:t>
      </w:r>
      <w:r>
        <w:t>和宝山段</w:t>
      </w:r>
      <w:r>
        <w:rPr>
          <w:spacing w:val="-54"/>
        </w:rPr>
        <w:t xml:space="preserve"> </w:t>
      </w:r>
      <w:r>
        <w:t>K102+000-K301+682，主要为出入口协调控制、动态车道管控、基础设施监测预警、路网运行监测预警、应急指</w:t>
      </w:r>
      <w:r>
        <w:rPr>
          <w:spacing w:val="-1"/>
        </w:rPr>
        <w:t>挥调度等系统。</w:t>
      </w:r>
    </w:p>
    <w:p w14:paraId="24FF757D">
      <w:pPr>
        <w:pStyle w:val="2"/>
        <w:spacing w:before="2" w:line="360" w:lineRule="auto"/>
        <w:ind w:left="761" w:right="18" w:firstLine="482"/>
        <w:jc w:val="both"/>
      </w:pPr>
      <w:r>
        <w:rPr>
          <w:rFonts w:ascii="Calibri" w:hAnsi="Calibri" w:eastAsia="Calibri" w:cs="Calibri"/>
          <w:spacing w:val="-5"/>
        </w:rPr>
        <w:t>2.2</w:t>
      </w:r>
      <w:r>
        <w:rPr>
          <w:rFonts w:ascii="Calibri" w:hAnsi="Calibri" w:eastAsia="Calibri" w:cs="Calibri"/>
          <w:spacing w:val="16"/>
          <w:w w:val="101"/>
        </w:rPr>
        <w:t xml:space="preserve"> </w:t>
      </w:r>
      <w:r>
        <w:rPr>
          <w:spacing w:val="-5"/>
        </w:rPr>
        <w:t>工期：自</w:t>
      </w:r>
      <w:r>
        <w:rPr>
          <w:spacing w:val="-40"/>
        </w:rPr>
        <w:t xml:space="preserve"> </w:t>
      </w:r>
      <w:r>
        <w:rPr>
          <w:rFonts w:ascii="Calibri" w:hAnsi="Calibri" w:eastAsia="Calibri" w:cs="Calibri"/>
          <w:spacing w:val="-5"/>
        </w:rPr>
        <w:t>EPC</w:t>
      </w:r>
      <w:r>
        <w:rPr>
          <w:rFonts w:ascii="Calibri" w:hAnsi="Calibri" w:eastAsia="Calibri" w:cs="Calibri"/>
          <w:spacing w:val="15"/>
          <w:w w:val="101"/>
        </w:rPr>
        <w:t xml:space="preserve"> </w:t>
      </w:r>
      <w:r>
        <w:rPr>
          <w:spacing w:val="-5"/>
        </w:rPr>
        <w:t>合同签订之日起</w:t>
      </w:r>
      <w:r>
        <w:rPr>
          <w:spacing w:val="-40"/>
        </w:rPr>
        <w:t xml:space="preserve"> </w:t>
      </w:r>
      <w:r>
        <w:rPr>
          <w:rFonts w:ascii="Calibri" w:hAnsi="Calibri" w:eastAsia="Calibri" w:cs="Calibri"/>
          <w:spacing w:val="-5"/>
        </w:rPr>
        <w:t>15</w:t>
      </w:r>
      <w:r>
        <w:rPr>
          <w:rFonts w:ascii="Calibri" w:hAnsi="Calibri" w:eastAsia="Calibri" w:cs="Calibri"/>
          <w:spacing w:val="16"/>
          <w:w w:val="101"/>
        </w:rPr>
        <w:t xml:space="preserve"> </w:t>
      </w:r>
      <w:r>
        <w:rPr>
          <w:spacing w:val="-5"/>
        </w:rPr>
        <w:t>个</w:t>
      </w:r>
      <w:r>
        <w:rPr>
          <w:spacing w:val="-6"/>
        </w:rPr>
        <w:t>工作日完成施工图设计。自开工令下</w:t>
      </w:r>
      <w:r>
        <w:rPr>
          <w:spacing w:val="-4"/>
        </w:rPr>
        <w:t>发后</w:t>
      </w:r>
      <w:r>
        <w:rPr>
          <w:spacing w:val="-54"/>
        </w:rPr>
        <w:t xml:space="preserve"> </w:t>
      </w:r>
      <w:r>
        <w:rPr>
          <w:rFonts w:ascii="Calibri" w:hAnsi="Calibri" w:eastAsia="Calibri" w:cs="Calibri"/>
          <w:spacing w:val="-4"/>
        </w:rPr>
        <w:t>4</w:t>
      </w:r>
      <w:r>
        <w:rPr>
          <w:rFonts w:ascii="Calibri" w:hAnsi="Calibri" w:eastAsia="Calibri" w:cs="Calibri"/>
          <w:spacing w:val="13"/>
          <w:w w:val="101"/>
        </w:rPr>
        <w:t xml:space="preserve"> </w:t>
      </w:r>
      <w:r>
        <w:rPr>
          <w:spacing w:val="-4"/>
        </w:rPr>
        <w:t>个月内完成项目施工，试运行期</w:t>
      </w:r>
      <w:r>
        <w:rPr>
          <w:spacing w:val="-40"/>
        </w:rPr>
        <w:t xml:space="preserve"> </w:t>
      </w:r>
      <w:r>
        <w:rPr>
          <w:rFonts w:ascii="Calibri" w:hAnsi="Calibri" w:eastAsia="Calibri" w:cs="Calibri"/>
          <w:spacing w:val="-4"/>
        </w:rPr>
        <w:t>1</w:t>
      </w:r>
      <w:r>
        <w:rPr>
          <w:rFonts w:ascii="Calibri" w:hAnsi="Calibri" w:eastAsia="Calibri" w:cs="Calibri"/>
          <w:spacing w:val="16"/>
          <w:w w:val="101"/>
        </w:rPr>
        <w:t xml:space="preserve"> </w:t>
      </w:r>
      <w:r>
        <w:rPr>
          <w:spacing w:val="-4"/>
        </w:rPr>
        <w:t>个月，</w:t>
      </w:r>
      <w:r>
        <w:rPr>
          <w:spacing w:val="-5"/>
        </w:rPr>
        <w:t>缺陷责任期自实际交工日期起计</w:t>
      </w:r>
      <w:r>
        <w:rPr>
          <w:spacing w:val="-6"/>
        </w:rPr>
        <w:t>算</w:t>
      </w:r>
      <w:r>
        <w:rPr>
          <w:spacing w:val="-46"/>
        </w:rPr>
        <w:t xml:space="preserve"> </w:t>
      </w:r>
      <w:r>
        <w:rPr>
          <w:rFonts w:ascii="Calibri" w:hAnsi="Calibri" w:eastAsia="Calibri" w:cs="Calibri"/>
          <w:spacing w:val="-6"/>
        </w:rPr>
        <w:t>24</w:t>
      </w:r>
      <w:r>
        <w:rPr>
          <w:rFonts w:ascii="Calibri" w:hAnsi="Calibri" w:eastAsia="Calibri" w:cs="Calibri"/>
          <w:spacing w:val="14"/>
          <w:w w:val="101"/>
        </w:rPr>
        <w:t xml:space="preserve"> </w:t>
      </w:r>
      <w:r>
        <w:rPr>
          <w:spacing w:val="-6"/>
        </w:rPr>
        <w:t>个月。</w:t>
      </w:r>
    </w:p>
    <w:p w14:paraId="7B69D074">
      <w:pPr>
        <w:pStyle w:val="2"/>
        <w:spacing w:before="113" w:line="219" w:lineRule="auto"/>
        <w:ind w:right="18"/>
        <w:jc w:val="right"/>
        <w:outlineLvl w:val="1"/>
      </w:pPr>
      <w:r>
        <w:rPr>
          <w:spacing w:val="2"/>
        </w:rPr>
        <w:t>2.3</w:t>
      </w:r>
      <w:r>
        <w:rPr>
          <w:spacing w:val="-57"/>
        </w:rPr>
        <w:t xml:space="preserve"> </w:t>
      </w:r>
      <w:r>
        <w:rPr>
          <w:spacing w:val="2"/>
        </w:rPr>
        <w:t>招标范围:本次招标为G1京哈高速河北段公路交通基础设施数字化转型</w:t>
      </w:r>
    </w:p>
    <w:p w14:paraId="49C80B8B">
      <w:pPr>
        <w:pStyle w:val="2"/>
        <w:spacing w:before="181" w:line="345" w:lineRule="auto"/>
        <w:ind w:left="759" w:right="18" w:firstLine="1"/>
        <w:jc w:val="both"/>
      </w:pPr>
      <w:r>
        <w:rPr>
          <w:spacing w:val="-3"/>
        </w:rPr>
        <w:t>升级建设项目设计施工总承包，包括施工图设计(含预算文件编制)，配合发包人</w:t>
      </w:r>
      <w:r>
        <w:t>取得相关批复，完成后续服务(包括但不限于施工准备阶段、施工阶段等全过程设计服务，直至本项目竣工验收结束)，以及工程施工准备阶段、施工阶段、完</w:t>
      </w:r>
      <w:r>
        <w:rPr>
          <w:spacing w:val="-3"/>
        </w:rPr>
        <w:t>工阶段、试运行期、交工阶段、缺陷责任期、竣工阶段的全部相关工作。工程量</w:t>
      </w:r>
      <w:r>
        <w:rPr>
          <w:spacing w:val="-4"/>
        </w:rPr>
        <w:t>清单中标有“★</w:t>
      </w:r>
      <w:r>
        <w:rPr>
          <w:spacing w:val="-84"/>
        </w:rPr>
        <w:t xml:space="preserve"> </w:t>
      </w:r>
      <w:r>
        <w:rPr>
          <w:spacing w:val="-4"/>
        </w:rPr>
        <w:t>”的子目为关键设备，由关键设备标段集中采购。本项目针对此</w:t>
      </w:r>
      <w:r>
        <w:rPr>
          <w:spacing w:val="-3"/>
        </w:rPr>
        <w:t>类项，仅提供安装及调试，设备本体及其运输、税金均已包括在关键设备标段集</w:t>
      </w:r>
    </w:p>
    <w:p w14:paraId="4252A31B">
      <w:pPr>
        <w:spacing w:line="345" w:lineRule="auto"/>
        <w:sectPr>
          <w:footerReference r:id="rId5" w:type="default"/>
          <w:pgSz w:w="11906" w:h="16839"/>
          <w:pgMar w:top="1431" w:right="1780" w:bottom="1377" w:left="1050" w:header="0" w:footer="1212" w:gutter="0"/>
          <w:cols w:space="720" w:num="1"/>
        </w:sectPr>
      </w:pPr>
    </w:p>
    <w:p w14:paraId="398772D3">
      <w:pPr>
        <w:pStyle w:val="2"/>
        <w:spacing w:before="48" w:line="359" w:lineRule="auto"/>
        <w:ind w:left="23" w:right="80" w:firstLine="22"/>
      </w:pPr>
      <w:r>
        <w:rPr>
          <w:spacing w:val="-4"/>
        </w:rPr>
        <w:t>中采购范围内。对关键设备的仓储及可能涉及到的二次运输由本项目设计施工总</w:t>
      </w:r>
      <w:r>
        <w:rPr>
          <w:spacing w:val="-2"/>
        </w:rPr>
        <w:t>承包单位提供。</w:t>
      </w:r>
    </w:p>
    <w:p w14:paraId="4E3CAA2D">
      <w:pPr>
        <w:pStyle w:val="2"/>
        <w:spacing w:line="218" w:lineRule="auto"/>
        <w:ind w:left="507"/>
        <w:outlineLvl w:val="1"/>
      </w:pPr>
      <w:r>
        <w:rPr>
          <w:rFonts w:ascii="Calibri" w:hAnsi="Calibri" w:eastAsia="Calibri" w:cs="Calibri"/>
          <w:spacing w:val="-4"/>
        </w:rPr>
        <w:t>2.4</w:t>
      </w:r>
      <w:r>
        <w:rPr>
          <w:rFonts w:ascii="Calibri" w:hAnsi="Calibri" w:eastAsia="Calibri" w:cs="Calibri"/>
          <w:spacing w:val="33"/>
        </w:rPr>
        <w:t xml:space="preserve"> </w:t>
      </w:r>
      <w:r>
        <w:rPr>
          <w:spacing w:val="-4"/>
        </w:rPr>
        <w:t>标段划分：本次招标共分为</w:t>
      </w:r>
      <w:r>
        <w:rPr>
          <w:spacing w:val="-33"/>
        </w:rPr>
        <w:t xml:space="preserve"> </w:t>
      </w:r>
      <w:r>
        <w:rPr>
          <w:spacing w:val="-4"/>
        </w:rPr>
        <w:t>1</w:t>
      </w:r>
      <w:r>
        <w:rPr>
          <w:spacing w:val="-51"/>
        </w:rPr>
        <w:t xml:space="preserve"> </w:t>
      </w:r>
      <w:r>
        <w:rPr>
          <w:spacing w:val="-4"/>
        </w:rPr>
        <w:t>个标段。</w:t>
      </w:r>
    </w:p>
    <w:p w14:paraId="41C8F4C4">
      <w:pPr>
        <w:pStyle w:val="2"/>
        <w:spacing w:before="184" w:line="219" w:lineRule="auto"/>
        <w:ind w:left="28"/>
        <w:outlineLvl w:val="0"/>
      </w:pPr>
      <w:r>
        <w:rPr>
          <w:b/>
          <w:bCs/>
          <w:spacing w:val="-4"/>
        </w:rPr>
        <w:t>3.投标人资格要求</w:t>
      </w:r>
    </w:p>
    <w:p w14:paraId="41B3E8DB">
      <w:pPr>
        <w:pStyle w:val="2"/>
        <w:spacing w:before="179" w:line="219" w:lineRule="auto"/>
        <w:ind w:left="508"/>
      </w:pPr>
      <w:r>
        <w:rPr>
          <w:spacing w:val="-2"/>
        </w:rPr>
        <w:t>3.1</w:t>
      </w:r>
      <w:r>
        <w:rPr>
          <w:spacing w:val="-38"/>
        </w:rPr>
        <w:t xml:space="preserve"> </w:t>
      </w:r>
      <w:r>
        <w:rPr>
          <w:spacing w:val="-2"/>
        </w:rPr>
        <w:t>本次招标对投标人的资格要求如下：</w:t>
      </w:r>
    </w:p>
    <w:p w14:paraId="4B4570B2">
      <w:pPr>
        <w:pStyle w:val="2"/>
        <w:spacing w:before="183" w:line="219" w:lineRule="auto"/>
        <w:ind w:left="508"/>
      </w:pPr>
      <w:r>
        <w:rPr>
          <w:spacing w:val="-7"/>
        </w:rPr>
        <w:t>3.1.1</w:t>
      </w:r>
      <w:r>
        <w:rPr>
          <w:spacing w:val="-34"/>
        </w:rPr>
        <w:t xml:space="preserve"> </w:t>
      </w:r>
      <w:r>
        <w:rPr>
          <w:spacing w:val="-7"/>
        </w:rPr>
        <w:t>资质要求：详见附件</w:t>
      </w:r>
      <w:r>
        <w:rPr>
          <w:spacing w:val="-33"/>
        </w:rPr>
        <w:t xml:space="preserve"> </w:t>
      </w:r>
      <w:r>
        <w:rPr>
          <w:spacing w:val="-7"/>
        </w:rPr>
        <w:t>1</w:t>
      </w:r>
      <w:r>
        <w:rPr>
          <w:spacing w:val="-32"/>
        </w:rPr>
        <w:t xml:space="preserve"> </w:t>
      </w:r>
      <w:r>
        <w:rPr>
          <w:spacing w:val="-7"/>
        </w:rPr>
        <w:t>附录</w:t>
      </w:r>
      <w:r>
        <w:rPr>
          <w:spacing w:val="-32"/>
        </w:rPr>
        <w:t xml:space="preserve"> </w:t>
      </w:r>
      <w:r>
        <w:rPr>
          <w:spacing w:val="-7"/>
        </w:rPr>
        <w:t>1</w:t>
      </w:r>
      <w:r>
        <w:rPr>
          <w:spacing w:val="-41"/>
        </w:rPr>
        <w:t xml:space="preserve"> </w:t>
      </w:r>
      <w:r>
        <w:rPr>
          <w:spacing w:val="-7"/>
        </w:rPr>
        <w:t>资格审查条件（资质最低要求）。</w:t>
      </w:r>
    </w:p>
    <w:p w14:paraId="50291BEC">
      <w:pPr>
        <w:pStyle w:val="2"/>
        <w:spacing w:before="181" w:line="219" w:lineRule="auto"/>
        <w:ind w:left="508"/>
      </w:pPr>
      <w:r>
        <w:rPr>
          <w:spacing w:val="-6"/>
        </w:rPr>
        <w:t>3.1.2</w:t>
      </w:r>
      <w:r>
        <w:rPr>
          <w:spacing w:val="-50"/>
        </w:rPr>
        <w:t xml:space="preserve"> </w:t>
      </w:r>
      <w:r>
        <w:rPr>
          <w:spacing w:val="-6"/>
        </w:rPr>
        <w:t>财务要求：详见附件</w:t>
      </w:r>
      <w:r>
        <w:rPr>
          <w:spacing w:val="-33"/>
        </w:rPr>
        <w:t xml:space="preserve"> </w:t>
      </w:r>
      <w:r>
        <w:rPr>
          <w:spacing w:val="-6"/>
        </w:rPr>
        <w:t>1</w:t>
      </w:r>
      <w:r>
        <w:rPr>
          <w:spacing w:val="-32"/>
        </w:rPr>
        <w:t xml:space="preserve"> </w:t>
      </w:r>
      <w:r>
        <w:rPr>
          <w:spacing w:val="-6"/>
        </w:rPr>
        <w:t>附录</w:t>
      </w:r>
      <w:r>
        <w:rPr>
          <w:spacing w:val="-47"/>
        </w:rPr>
        <w:t xml:space="preserve"> </w:t>
      </w:r>
      <w:r>
        <w:rPr>
          <w:spacing w:val="-6"/>
        </w:rPr>
        <w:t>2</w:t>
      </w:r>
      <w:r>
        <w:rPr>
          <w:spacing w:val="-41"/>
        </w:rPr>
        <w:t xml:space="preserve"> </w:t>
      </w:r>
      <w:r>
        <w:rPr>
          <w:spacing w:val="-6"/>
        </w:rPr>
        <w:t>资格审查条件（财务最低要求</w:t>
      </w:r>
      <w:r>
        <w:rPr>
          <w:spacing w:val="-7"/>
        </w:rPr>
        <w:t>）。</w:t>
      </w:r>
    </w:p>
    <w:p w14:paraId="336B1635">
      <w:pPr>
        <w:pStyle w:val="2"/>
        <w:spacing w:before="183" w:line="219" w:lineRule="auto"/>
        <w:ind w:left="508"/>
      </w:pPr>
      <w:r>
        <w:rPr>
          <w:spacing w:val="-6"/>
        </w:rPr>
        <w:t>3.1.3</w:t>
      </w:r>
      <w:r>
        <w:rPr>
          <w:spacing w:val="-52"/>
        </w:rPr>
        <w:t xml:space="preserve"> </w:t>
      </w:r>
      <w:r>
        <w:rPr>
          <w:spacing w:val="-6"/>
        </w:rPr>
        <w:t>业绩要求：详见附件</w:t>
      </w:r>
      <w:r>
        <w:rPr>
          <w:spacing w:val="-33"/>
        </w:rPr>
        <w:t xml:space="preserve"> </w:t>
      </w:r>
      <w:r>
        <w:rPr>
          <w:spacing w:val="-6"/>
        </w:rPr>
        <w:t>1</w:t>
      </w:r>
      <w:r>
        <w:rPr>
          <w:spacing w:val="-32"/>
        </w:rPr>
        <w:t xml:space="preserve"> </w:t>
      </w:r>
      <w:r>
        <w:rPr>
          <w:spacing w:val="-6"/>
        </w:rPr>
        <w:t>附录</w:t>
      </w:r>
      <w:r>
        <w:rPr>
          <w:spacing w:val="-45"/>
        </w:rPr>
        <w:t xml:space="preserve"> </w:t>
      </w:r>
      <w:r>
        <w:rPr>
          <w:spacing w:val="-6"/>
        </w:rPr>
        <w:t>3</w:t>
      </w:r>
      <w:r>
        <w:rPr>
          <w:spacing w:val="-41"/>
        </w:rPr>
        <w:t xml:space="preserve"> </w:t>
      </w:r>
      <w:r>
        <w:rPr>
          <w:spacing w:val="-6"/>
        </w:rPr>
        <w:t>资格审查条件（业绩最低要求</w:t>
      </w:r>
      <w:r>
        <w:rPr>
          <w:spacing w:val="-7"/>
        </w:rPr>
        <w:t>）。</w:t>
      </w:r>
    </w:p>
    <w:p w14:paraId="438E361A">
      <w:pPr>
        <w:pStyle w:val="2"/>
        <w:spacing w:before="183" w:line="219" w:lineRule="auto"/>
        <w:ind w:left="508"/>
      </w:pPr>
      <w:r>
        <w:rPr>
          <w:spacing w:val="-4"/>
        </w:rPr>
        <w:t>3.1.4</w:t>
      </w:r>
      <w:r>
        <w:rPr>
          <w:spacing w:val="-46"/>
        </w:rPr>
        <w:t xml:space="preserve"> </w:t>
      </w:r>
      <w:r>
        <w:rPr>
          <w:spacing w:val="-4"/>
        </w:rPr>
        <w:t>信誉要求：详见附件</w:t>
      </w:r>
      <w:r>
        <w:rPr>
          <w:spacing w:val="-33"/>
        </w:rPr>
        <w:t xml:space="preserve"> </w:t>
      </w:r>
      <w:r>
        <w:rPr>
          <w:spacing w:val="-4"/>
        </w:rPr>
        <w:t>1</w:t>
      </w:r>
      <w:r>
        <w:rPr>
          <w:spacing w:val="-31"/>
        </w:rPr>
        <w:t xml:space="preserve"> </w:t>
      </w:r>
      <w:r>
        <w:rPr>
          <w:spacing w:val="-4"/>
        </w:rPr>
        <w:t>附录4</w:t>
      </w:r>
      <w:r>
        <w:rPr>
          <w:spacing w:val="-41"/>
        </w:rPr>
        <w:t xml:space="preserve"> </w:t>
      </w:r>
      <w:r>
        <w:rPr>
          <w:spacing w:val="-4"/>
        </w:rPr>
        <w:t>资格审查条件（信誉最低要求）。</w:t>
      </w:r>
    </w:p>
    <w:p w14:paraId="43FD29CE">
      <w:pPr>
        <w:pStyle w:val="2"/>
        <w:spacing w:before="181" w:line="219" w:lineRule="auto"/>
        <w:jc w:val="right"/>
      </w:pPr>
      <w:r>
        <w:rPr>
          <w:spacing w:val="-12"/>
        </w:rPr>
        <w:t>3.1.5</w:t>
      </w:r>
      <w:r>
        <w:rPr>
          <w:spacing w:val="-56"/>
        </w:rPr>
        <w:t xml:space="preserve"> </w:t>
      </w:r>
      <w:r>
        <w:rPr>
          <w:spacing w:val="-12"/>
        </w:rPr>
        <w:t>主要人员要求：详见附件</w:t>
      </w:r>
      <w:r>
        <w:rPr>
          <w:spacing w:val="-40"/>
        </w:rPr>
        <w:t xml:space="preserve"> </w:t>
      </w:r>
      <w:r>
        <w:rPr>
          <w:spacing w:val="-12"/>
        </w:rPr>
        <w:t>1</w:t>
      </w:r>
      <w:r>
        <w:rPr>
          <w:spacing w:val="-39"/>
        </w:rPr>
        <w:t xml:space="preserve"> </w:t>
      </w:r>
      <w:r>
        <w:rPr>
          <w:spacing w:val="-12"/>
        </w:rPr>
        <w:t>附录5</w:t>
      </w:r>
      <w:r>
        <w:rPr>
          <w:spacing w:val="-45"/>
        </w:rPr>
        <w:t xml:space="preserve"> </w:t>
      </w:r>
      <w:r>
        <w:rPr>
          <w:spacing w:val="-12"/>
        </w:rPr>
        <w:t>资格审查条件（主要人员最</w:t>
      </w:r>
      <w:r>
        <w:rPr>
          <w:spacing w:val="-13"/>
        </w:rPr>
        <w:t>低要求）。</w:t>
      </w:r>
    </w:p>
    <w:p w14:paraId="062612A7">
      <w:pPr>
        <w:pStyle w:val="2"/>
        <w:spacing w:before="185" w:line="356" w:lineRule="auto"/>
        <w:ind w:left="23" w:right="80" w:firstLine="484"/>
      </w:pPr>
      <w:r>
        <w:t>3.1.6</w:t>
      </w:r>
      <w:r>
        <w:rPr>
          <w:spacing w:val="-47"/>
        </w:rPr>
        <w:t xml:space="preserve"> </w:t>
      </w:r>
      <w:r>
        <w:t>其他要求</w:t>
      </w:r>
      <w:r>
        <w:rPr>
          <w:spacing w:val="-56"/>
          <w:w w:val="88"/>
        </w:rPr>
        <w:t>：（</w:t>
      </w:r>
      <w:r>
        <w:t>1）投标人应进入交通</w:t>
      </w:r>
      <w:r>
        <w:rPr>
          <w:spacing w:val="-1"/>
        </w:rPr>
        <w:t>运输部“全国公路建设市场监督管</w:t>
      </w:r>
      <w:r>
        <w:t>理系统(</w:t>
      </w:r>
      <w:r>
        <w:fldChar w:fldCharType="begin"/>
      </w:r>
      <w:r>
        <w:instrText xml:space="preserve"> HYPERLINK "https://hwdms.mot.gov.cn/BMWebSite/" </w:instrText>
      </w:r>
      <w:r>
        <w:fldChar w:fldCharType="separate"/>
      </w:r>
      <w:r>
        <w:t>https://hwdms.mot.gov.cn/BMWebSite/</w:t>
      </w:r>
      <w:r>
        <w:fldChar w:fldCharType="end"/>
      </w:r>
      <w:r>
        <w:t>)”中的公路工程设计、施工资</w:t>
      </w:r>
      <w:r>
        <w:rPr>
          <w:spacing w:val="4"/>
        </w:rPr>
        <w:t>质企业名录，且投标人名称和资质与该名录中的相应企业名称和资质完全一致</w:t>
      </w:r>
      <w:r>
        <w:rPr>
          <w:spacing w:val="-6"/>
        </w:rPr>
        <w:t>（工程设计综合资质不适用）。（2）与招标人存在利害关系</w:t>
      </w:r>
      <w:r>
        <w:rPr>
          <w:spacing w:val="-7"/>
        </w:rPr>
        <w:t>可能影响招标公正性</w:t>
      </w:r>
      <w:r>
        <w:rPr>
          <w:spacing w:val="-3"/>
        </w:rPr>
        <w:t>的单位，不得参加投标。单位负责人为同一人或者存在控股、管理关系的不同单</w:t>
      </w:r>
      <w:r>
        <w:rPr>
          <w:spacing w:val="-6"/>
        </w:rPr>
        <w:t>位，不得同时参加本次投标，否则，相关投标均无效。（3）在</w:t>
      </w:r>
      <w:r>
        <w:rPr>
          <w:spacing w:val="-7"/>
        </w:rPr>
        <w:t>国家企业信用信息</w:t>
      </w:r>
      <w:r>
        <w:rPr>
          <w:spacing w:val="4"/>
        </w:rPr>
        <w:t>公示系统（</w:t>
      </w:r>
      <w:r>
        <w:fldChar w:fldCharType="begin"/>
      </w:r>
      <w:r>
        <w:instrText xml:space="preserve"> HYPERLINK "http://www.gsxt.gov.cn/" </w:instrText>
      </w:r>
      <w:r>
        <w:fldChar w:fldCharType="separate"/>
      </w:r>
      <w:r>
        <w:rPr>
          <w:sz w:val="20"/>
          <w:szCs w:val="20"/>
        </w:rPr>
        <w:t>http</w:t>
      </w:r>
      <w:r>
        <w:rPr>
          <w:spacing w:val="4"/>
          <w:sz w:val="20"/>
          <w:szCs w:val="20"/>
        </w:rPr>
        <w:t>://</w:t>
      </w:r>
      <w:r>
        <w:rPr>
          <w:sz w:val="20"/>
          <w:szCs w:val="20"/>
        </w:rPr>
        <w:t>www</w:t>
      </w:r>
      <w:r>
        <w:rPr>
          <w:spacing w:val="4"/>
          <w:sz w:val="20"/>
          <w:szCs w:val="20"/>
        </w:rPr>
        <w:t>.</w:t>
      </w:r>
      <w:r>
        <w:rPr>
          <w:sz w:val="20"/>
          <w:szCs w:val="20"/>
        </w:rPr>
        <w:t>g</w:t>
      </w:r>
      <w:r>
        <w:rPr>
          <w:spacing w:val="-81"/>
          <w:sz w:val="20"/>
          <w:szCs w:val="20"/>
        </w:rPr>
        <w:t xml:space="preserve"> </w:t>
      </w:r>
      <w:r>
        <w:rPr>
          <w:sz w:val="20"/>
          <w:szCs w:val="20"/>
        </w:rPr>
        <w:t>sxt</w:t>
      </w:r>
      <w:r>
        <w:rPr>
          <w:spacing w:val="4"/>
          <w:sz w:val="20"/>
          <w:szCs w:val="20"/>
        </w:rPr>
        <w:t>.</w:t>
      </w:r>
      <w:r>
        <w:rPr>
          <w:sz w:val="20"/>
          <w:szCs w:val="20"/>
        </w:rPr>
        <w:t>gov</w:t>
      </w:r>
      <w:r>
        <w:rPr>
          <w:spacing w:val="4"/>
          <w:sz w:val="20"/>
          <w:szCs w:val="20"/>
        </w:rPr>
        <w:t>.</w:t>
      </w:r>
      <w:r>
        <w:rPr>
          <w:sz w:val="20"/>
          <w:szCs w:val="20"/>
        </w:rPr>
        <w:t>cn</w:t>
      </w:r>
      <w:r>
        <w:rPr>
          <w:spacing w:val="4"/>
          <w:sz w:val="20"/>
          <w:szCs w:val="20"/>
        </w:rPr>
        <w:t>/</w:t>
      </w:r>
      <w:r>
        <w:rPr>
          <w:spacing w:val="4"/>
          <w:sz w:val="20"/>
          <w:szCs w:val="20"/>
        </w:rPr>
        <w:fldChar w:fldCharType="end"/>
      </w:r>
      <w:r>
        <w:rPr>
          <w:spacing w:val="4"/>
        </w:rPr>
        <w:t>）中被列入严重违法失信名单（黑名单</w:t>
      </w:r>
      <w:r>
        <w:rPr>
          <w:spacing w:val="-68"/>
          <w:w w:val="98"/>
        </w:rPr>
        <w:t>）（</w:t>
      </w:r>
      <w:r>
        <w:rPr>
          <w:spacing w:val="4"/>
        </w:rPr>
        <w:t>不</w:t>
      </w:r>
      <w:r>
        <w:t>含分公司）、在“信用中国</w:t>
      </w:r>
      <w:r>
        <w:rPr>
          <w:spacing w:val="-88"/>
        </w:rPr>
        <w:t xml:space="preserve"> </w:t>
      </w:r>
      <w:r>
        <w:t>”网站（</w:t>
      </w:r>
      <w:r>
        <w:fldChar w:fldCharType="begin"/>
      </w:r>
      <w:r>
        <w:instrText xml:space="preserve"> HYPERLINK "http://www.creditchina.gov.cn/" </w:instrText>
      </w:r>
      <w:r>
        <w:fldChar w:fldCharType="separate"/>
      </w:r>
      <w:r>
        <w:rPr>
          <w:sz w:val="20"/>
          <w:szCs w:val="20"/>
        </w:rPr>
        <w:t>http://www.creditchi</w:t>
      </w:r>
      <w:r>
        <w:rPr>
          <w:spacing w:val="-1"/>
          <w:sz w:val="20"/>
          <w:szCs w:val="20"/>
        </w:rPr>
        <w:t>na.gov.cn/</w:t>
      </w:r>
      <w:r>
        <w:rPr>
          <w:spacing w:val="-1"/>
          <w:sz w:val="20"/>
          <w:szCs w:val="20"/>
        </w:rPr>
        <w:fldChar w:fldCharType="end"/>
      </w:r>
      <w:r>
        <w:rPr>
          <w:spacing w:val="-1"/>
        </w:rPr>
        <w:t>）中被列入经</w:t>
      </w:r>
      <w:r>
        <w:rPr>
          <w:spacing w:val="-3"/>
        </w:rPr>
        <w:t>营异常名录、税收违法黑名单、政府采购严重违法失信名单、安全生产严重失信</w:t>
      </w:r>
      <w:r>
        <w:rPr>
          <w:spacing w:val="-5"/>
        </w:rPr>
        <w:t>主体名单（均不含分公司）、在中国执行信息公开网（</w:t>
      </w:r>
      <w:r>
        <w:fldChar w:fldCharType="begin"/>
      </w:r>
      <w:r>
        <w:instrText xml:space="preserve"> HYPERLINK "zxgk.court.gov.cn" </w:instrText>
      </w:r>
      <w:r>
        <w:fldChar w:fldCharType="separate"/>
      </w:r>
      <w:r>
        <w:rPr>
          <w:spacing w:val="-5"/>
        </w:rPr>
        <w:t>zxgk.court.gov.c</w:t>
      </w:r>
      <w:r>
        <w:rPr>
          <w:spacing w:val="-6"/>
        </w:rPr>
        <w:t>n</w:t>
      </w:r>
      <w:r>
        <w:rPr>
          <w:spacing w:val="-6"/>
        </w:rPr>
        <w:fldChar w:fldCharType="end"/>
      </w:r>
      <w:r>
        <w:rPr>
          <w:spacing w:val="-6"/>
        </w:rPr>
        <w:t>）中被</w:t>
      </w:r>
      <w:r>
        <w:rPr>
          <w:spacing w:val="-1"/>
        </w:rPr>
        <w:t>列入失信被执行人的投标人（不含分公司</w:t>
      </w:r>
      <w:r>
        <w:rPr>
          <w:spacing w:val="-53"/>
        </w:rPr>
        <w:t>），</w:t>
      </w:r>
      <w:r>
        <w:rPr>
          <w:spacing w:val="-1"/>
        </w:rPr>
        <w:t>不得参加投标。</w:t>
      </w:r>
    </w:p>
    <w:p w14:paraId="1110541A">
      <w:pPr>
        <w:pStyle w:val="2"/>
        <w:spacing w:before="43" w:line="359" w:lineRule="auto"/>
        <w:ind w:left="26" w:right="80" w:firstLine="481"/>
        <w:jc w:val="both"/>
      </w:pPr>
      <w:r>
        <w:rPr>
          <w:spacing w:val="-2"/>
        </w:rPr>
        <w:t>3.2</w:t>
      </w:r>
      <w:r>
        <w:rPr>
          <w:spacing w:val="-48"/>
        </w:rPr>
        <w:t xml:space="preserve"> </w:t>
      </w:r>
      <w:r>
        <w:rPr>
          <w:spacing w:val="-2"/>
        </w:rPr>
        <w:t>本次招标</w:t>
      </w:r>
      <w:r>
        <w:rPr>
          <w:spacing w:val="-2"/>
          <w:u w:val="single" w:color="auto"/>
        </w:rPr>
        <w:t>接受</w:t>
      </w:r>
      <w:r>
        <w:rPr>
          <w:spacing w:val="-2"/>
        </w:rPr>
        <w:t>联合体投标。联合体投标的，应满足下列要求：</w:t>
      </w:r>
      <w:r>
        <w:rPr>
          <w:spacing w:val="-2"/>
          <w:u w:val="single" w:color="auto"/>
        </w:rPr>
        <w:t>以联合体</w:t>
      </w:r>
      <w:r>
        <w:rPr>
          <w:spacing w:val="3"/>
          <w:u w:val="single" w:color="auto"/>
        </w:rPr>
        <w:t>形式投标的，联合体所有成员数量不得超过</w:t>
      </w:r>
      <w:r>
        <w:rPr>
          <w:spacing w:val="-40"/>
          <w:u w:val="single" w:color="auto"/>
        </w:rPr>
        <w:t xml:space="preserve"> </w:t>
      </w:r>
      <w:r>
        <w:rPr>
          <w:spacing w:val="3"/>
          <w:u w:val="single" w:color="auto"/>
        </w:rPr>
        <w:t>2</w:t>
      </w:r>
      <w:r>
        <w:rPr>
          <w:spacing w:val="-44"/>
          <w:u w:val="single" w:color="auto"/>
        </w:rPr>
        <w:t xml:space="preserve"> </w:t>
      </w:r>
      <w:r>
        <w:rPr>
          <w:spacing w:val="3"/>
          <w:u w:val="single" w:color="auto"/>
        </w:rPr>
        <w:t>家，联合体资格满足</w:t>
      </w:r>
      <w:r>
        <w:rPr>
          <w:spacing w:val="2"/>
          <w:u w:val="single" w:color="auto"/>
        </w:rPr>
        <w:t>本招标公告</w:t>
      </w:r>
      <w:r>
        <w:rPr>
          <w:spacing w:val="-2"/>
          <w:u w:val="single" w:color="auto"/>
        </w:rPr>
        <w:t>附件</w:t>
      </w:r>
      <w:r>
        <w:rPr>
          <w:spacing w:val="-25"/>
          <w:u w:val="single" w:color="auto"/>
        </w:rPr>
        <w:t xml:space="preserve"> </w:t>
      </w:r>
      <w:r>
        <w:rPr>
          <w:spacing w:val="-2"/>
          <w:u w:val="single" w:color="auto"/>
        </w:rPr>
        <w:t>1</w:t>
      </w:r>
      <w:r>
        <w:rPr>
          <w:spacing w:val="-40"/>
          <w:u w:val="single" w:color="auto"/>
        </w:rPr>
        <w:t xml:space="preserve"> </w:t>
      </w:r>
      <w:r>
        <w:rPr>
          <w:spacing w:val="-2"/>
          <w:u w:val="single" w:color="auto"/>
        </w:rPr>
        <w:t>资格审查条件关于联合体的要求。</w:t>
      </w:r>
    </w:p>
    <w:p w14:paraId="03E85B4F">
      <w:pPr>
        <w:pStyle w:val="2"/>
        <w:spacing w:before="1" w:line="219" w:lineRule="auto"/>
        <w:ind w:left="22"/>
        <w:outlineLvl w:val="0"/>
      </w:pPr>
      <w:r>
        <w:rPr>
          <w:b/>
          <w:bCs/>
          <w:spacing w:val="-3"/>
        </w:rPr>
        <w:t>4.招标文件的获取</w:t>
      </w:r>
    </w:p>
    <w:p w14:paraId="22F66D11">
      <w:pPr>
        <w:pStyle w:val="2"/>
        <w:spacing w:before="182" w:line="359" w:lineRule="auto"/>
        <w:ind w:left="24" w:right="80" w:firstLine="564"/>
      </w:pPr>
      <w:r>
        <w:rPr>
          <w:spacing w:val="-8"/>
        </w:rPr>
        <w:t>4.1</w:t>
      </w:r>
      <w:r>
        <w:rPr>
          <w:spacing w:val="-53"/>
        </w:rPr>
        <w:t xml:space="preserve"> </w:t>
      </w:r>
      <w:r>
        <w:rPr>
          <w:spacing w:val="-8"/>
        </w:rPr>
        <w:t>凡有意参加投标者，请于</w:t>
      </w:r>
      <w:r>
        <w:rPr>
          <w:spacing w:val="-52"/>
        </w:rPr>
        <w:t xml:space="preserve"> </w:t>
      </w:r>
      <w:r>
        <w:rPr>
          <w:spacing w:val="-8"/>
          <w:u w:val="single" w:color="auto"/>
        </w:rPr>
        <w:t>2026</w:t>
      </w:r>
      <w:r>
        <w:rPr>
          <w:spacing w:val="-57"/>
          <w:u w:val="single" w:color="auto"/>
        </w:rPr>
        <w:t xml:space="preserve"> </w:t>
      </w:r>
      <w:r>
        <w:rPr>
          <w:spacing w:val="-8"/>
        </w:rPr>
        <w:t>年</w:t>
      </w:r>
      <w:r>
        <w:rPr>
          <w:spacing w:val="-54"/>
        </w:rPr>
        <w:t xml:space="preserve"> </w:t>
      </w:r>
      <w:r>
        <w:rPr>
          <w:spacing w:val="-8"/>
        </w:rPr>
        <w:t>6</w:t>
      </w:r>
      <w:r>
        <w:rPr>
          <w:spacing w:val="-52"/>
        </w:rPr>
        <w:t xml:space="preserve"> </w:t>
      </w:r>
      <w:r>
        <w:rPr>
          <w:spacing w:val="-8"/>
        </w:rPr>
        <w:t>月</w:t>
      </w:r>
      <w:r>
        <w:rPr>
          <w:spacing w:val="27"/>
        </w:rPr>
        <w:t xml:space="preserve"> </w:t>
      </w:r>
      <w:r>
        <w:rPr>
          <w:spacing w:val="-8"/>
        </w:rPr>
        <w:t>16</w:t>
      </w:r>
      <w:r>
        <w:rPr>
          <w:spacing w:val="51"/>
        </w:rPr>
        <w:t xml:space="preserve"> </w:t>
      </w:r>
      <w:r>
        <w:rPr>
          <w:spacing w:val="-8"/>
        </w:rPr>
        <w:t>日</w:t>
      </w:r>
      <w:r>
        <w:rPr>
          <w:spacing w:val="-54"/>
        </w:rPr>
        <w:t xml:space="preserve"> </w:t>
      </w:r>
      <w:r>
        <w:rPr>
          <w:spacing w:val="-8"/>
          <w:u w:val="single" w:color="auto"/>
        </w:rPr>
        <w:t>9:00</w:t>
      </w:r>
      <w:r>
        <w:rPr>
          <w:spacing w:val="-47"/>
          <w:u w:val="single" w:color="auto"/>
        </w:rPr>
        <w:t xml:space="preserve"> </w:t>
      </w:r>
      <w:r>
        <w:rPr>
          <w:spacing w:val="-8"/>
        </w:rPr>
        <w:t>时至</w:t>
      </w:r>
      <w:r>
        <w:rPr>
          <w:spacing w:val="-53"/>
        </w:rPr>
        <w:t xml:space="preserve"> </w:t>
      </w:r>
      <w:r>
        <w:rPr>
          <w:spacing w:val="-8"/>
        </w:rPr>
        <w:t>202</w:t>
      </w:r>
      <w:r>
        <w:rPr>
          <w:spacing w:val="-9"/>
        </w:rPr>
        <w:t>6</w:t>
      </w:r>
      <w:r>
        <w:rPr>
          <w:spacing w:val="-56"/>
        </w:rPr>
        <w:t xml:space="preserve"> </w:t>
      </w:r>
      <w:r>
        <w:rPr>
          <w:spacing w:val="-9"/>
        </w:rPr>
        <w:t>年</w:t>
      </w:r>
      <w:r>
        <w:rPr>
          <w:spacing w:val="-54"/>
        </w:rPr>
        <w:t xml:space="preserve"> </w:t>
      </w:r>
      <w:r>
        <w:rPr>
          <w:spacing w:val="-9"/>
        </w:rPr>
        <w:t>6 月 22</w:t>
      </w:r>
      <w:r>
        <w:rPr>
          <w:spacing w:val="-1"/>
        </w:rPr>
        <w:t>日</w:t>
      </w:r>
      <w:r>
        <w:rPr>
          <w:spacing w:val="-59"/>
        </w:rPr>
        <w:t xml:space="preserve"> </w:t>
      </w:r>
      <w:r>
        <w:rPr>
          <w:spacing w:val="-93"/>
          <w:u w:val="single" w:color="auto"/>
        </w:rPr>
        <w:t xml:space="preserve"> </w:t>
      </w:r>
      <w:r>
        <w:rPr>
          <w:spacing w:val="-1"/>
          <w:u w:val="single" w:color="auto"/>
        </w:rPr>
        <w:t>17:30</w:t>
      </w:r>
      <w:r>
        <w:rPr>
          <w:spacing w:val="-39"/>
          <w:u w:val="single" w:color="auto"/>
        </w:rPr>
        <w:t xml:space="preserve"> </w:t>
      </w:r>
      <w:r>
        <w:rPr>
          <w:spacing w:val="-1"/>
        </w:rPr>
        <w:t>时（北京时间，下同</w:t>
      </w:r>
      <w:r>
        <w:rPr>
          <w:spacing w:val="-52"/>
        </w:rPr>
        <w:t>），</w:t>
      </w:r>
      <w:r>
        <w:rPr>
          <w:spacing w:val="-1"/>
        </w:rPr>
        <w:t>登录</w:t>
      </w:r>
      <w:r>
        <w:rPr>
          <w:spacing w:val="-1"/>
          <w:u w:val="single" w:color="auto"/>
        </w:rPr>
        <w:t>河北省</w:t>
      </w:r>
      <w:r>
        <w:rPr>
          <w:spacing w:val="-2"/>
          <w:u w:val="single" w:color="auto"/>
        </w:rPr>
        <w:t>公共资源交易服务平台</w:t>
      </w:r>
      <w:r>
        <w:rPr>
          <w:spacing w:val="-2"/>
        </w:rPr>
        <w:t>下载电子招标文件及其相关文件。</w:t>
      </w:r>
    </w:p>
    <w:p w14:paraId="7D177BC1">
      <w:pPr>
        <w:pStyle w:val="2"/>
        <w:spacing w:before="2" w:line="346" w:lineRule="auto"/>
        <w:ind w:left="33" w:right="80" w:firstLine="555"/>
      </w:pPr>
      <w:r>
        <w:rPr>
          <w:spacing w:val="1"/>
        </w:rPr>
        <w:t>4.2</w:t>
      </w:r>
      <w:r>
        <w:rPr>
          <w:spacing w:val="-45"/>
        </w:rPr>
        <w:t xml:space="preserve"> </w:t>
      </w:r>
      <w:r>
        <w:rPr>
          <w:spacing w:val="1"/>
        </w:rPr>
        <w:t>招标文件每套售价</w:t>
      </w:r>
      <w:r>
        <w:rPr>
          <w:spacing w:val="-46"/>
        </w:rPr>
        <w:t xml:space="preserve"> </w:t>
      </w:r>
      <w:r>
        <w:rPr>
          <w:spacing w:val="1"/>
          <w:u w:val="single" w:color="auto"/>
        </w:rPr>
        <w:t>0</w:t>
      </w:r>
      <w:r>
        <w:rPr>
          <w:spacing w:val="-44"/>
          <w:u w:val="single" w:color="auto"/>
        </w:rPr>
        <w:t xml:space="preserve"> </w:t>
      </w:r>
      <w:r>
        <w:rPr>
          <w:spacing w:val="1"/>
        </w:rPr>
        <w:t>元，售后不退。技术资料押金</w:t>
      </w:r>
      <w:r>
        <w:rPr>
          <w:spacing w:val="-47"/>
        </w:rPr>
        <w:t xml:space="preserve"> </w:t>
      </w:r>
      <w:r>
        <w:rPr>
          <w:rFonts w:ascii="Calibri" w:hAnsi="Calibri" w:eastAsia="Calibri" w:cs="Calibri"/>
          <w:spacing w:val="1"/>
          <w:u w:val="single" w:color="auto"/>
        </w:rPr>
        <w:t>0</w:t>
      </w:r>
      <w:r>
        <w:rPr>
          <w:rFonts w:ascii="Calibri" w:hAnsi="Calibri" w:eastAsia="Calibri" w:cs="Calibri"/>
          <w:spacing w:val="23"/>
          <w:w w:val="101"/>
          <w:u w:val="single" w:color="auto"/>
        </w:rPr>
        <w:t xml:space="preserve"> </w:t>
      </w:r>
      <w:r>
        <w:rPr>
          <w:spacing w:val="1"/>
        </w:rPr>
        <w:t>元，在退还技术</w:t>
      </w:r>
      <w:r>
        <w:rPr>
          <w:spacing w:val="-9"/>
        </w:rPr>
        <w:t>资料时退还（不计利息）。</w:t>
      </w:r>
    </w:p>
    <w:p w14:paraId="39290E57">
      <w:pPr>
        <w:spacing w:line="346" w:lineRule="auto"/>
        <w:sectPr>
          <w:footerReference r:id="rId6" w:type="default"/>
          <w:pgSz w:w="11906" w:h="16839"/>
          <w:pgMar w:top="1426" w:right="1719" w:bottom="1378" w:left="1785" w:header="0" w:footer="1212" w:gutter="0"/>
          <w:cols w:space="720" w:num="1"/>
        </w:sectPr>
      </w:pPr>
    </w:p>
    <w:p w14:paraId="7E6CB021">
      <w:pPr>
        <w:pStyle w:val="2"/>
        <w:spacing w:before="48" w:line="219" w:lineRule="auto"/>
        <w:ind w:left="28"/>
        <w:outlineLvl w:val="0"/>
      </w:pPr>
      <w:r>
        <w:rPr>
          <w:b/>
          <w:bCs/>
          <w:spacing w:val="-4"/>
        </w:rPr>
        <w:t>5.投标文件的递交</w:t>
      </w:r>
    </w:p>
    <w:p w14:paraId="13377D04">
      <w:pPr>
        <w:pStyle w:val="2"/>
        <w:spacing w:before="182" w:line="219" w:lineRule="auto"/>
        <w:ind w:left="508"/>
      </w:pPr>
      <w:r>
        <w:rPr>
          <w:spacing w:val="-1"/>
        </w:rPr>
        <w:t>5.1</w:t>
      </w:r>
      <w:r>
        <w:rPr>
          <w:spacing w:val="-50"/>
        </w:rPr>
        <w:t xml:space="preserve"> </w:t>
      </w:r>
      <w:r>
        <w:rPr>
          <w:spacing w:val="-1"/>
        </w:rPr>
        <w:t>招标人不统一组织现场踏勘并不召开投标预备会。</w:t>
      </w:r>
    </w:p>
    <w:p w14:paraId="33E835C8">
      <w:pPr>
        <w:pStyle w:val="2"/>
        <w:tabs>
          <w:tab w:val="left" w:pos="126"/>
        </w:tabs>
        <w:spacing w:before="182" w:line="359" w:lineRule="auto"/>
        <w:ind w:left="14" w:firstLine="494"/>
      </w:pPr>
      <w:r>
        <w:rPr>
          <w:spacing w:val="-5"/>
        </w:rPr>
        <w:t>5.2</w:t>
      </w:r>
      <w:r>
        <w:rPr>
          <w:spacing w:val="-42"/>
        </w:rPr>
        <w:t xml:space="preserve"> </w:t>
      </w:r>
      <w:r>
        <w:rPr>
          <w:spacing w:val="-5"/>
        </w:rPr>
        <w:t>投标文件递交的截止时间（投标截止时间，下同）为</w:t>
      </w:r>
      <w:r>
        <w:rPr>
          <w:spacing w:val="-48"/>
        </w:rPr>
        <w:t xml:space="preserve"> </w:t>
      </w:r>
      <w:r>
        <w:rPr>
          <w:spacing w:val="-5"/>
          <w:u w:val="single" w:color="auto"/>
        </w:rPr>
        <w:t>2026</w:t>
      </w:r>
      <w:r>
        <w:rPr>
          <w:spacing w:val="-5"/>
        </w:rPr>
        <w:t>年 7 月 6</w:t>
      </w:r>
      <w:r>
        <w:rPr>
          <w:spacing w:val="51"/>
        </w:rPr>
        <w:t xml:space="preserve"> </w:t>
      </w:r>
      <w:r>
        <w:rPr>
          <w:spacing w:val="-5"/>
        </w:rPr>
        <w:t>日</w:t>
      </w:r>
      <w:r>
        <w:t xml:space="preserve"> </w:t>
      </w:r>
      <w:r>
        <w:rPr>
          <w:spacing w:val="-1"/>
          <w:u w:val="single" w:color="auto"/>
        </w:rPr>
        <w:t>9:00</w:t>
      </w:r>
      <w:r>
        <w:rPr>
          <w:spacing w:val="-40"/>
          <w:u w:val="single" w:color="auto"/>
        </w:rPr>
        <w:t xml:space="preserve"> </w:t>
      </w:r>
      <w:r>
        <w:rPr>
          <w:spacing w:val="-1"/>
        </w:rPr>
        <w:t>时，投标人应在截止时间前通过</w:t>
      </w:r>
      <w:r>
        <w:rPr>
          <w:spacing w:val="-1"/>
          <w:u w:val="single" w:color="auto"/>
        </w:rPr>
        <w:t>互联网使用CA</w:t>
      </w:r>
      <w:r>
        <w:rPr>
          <w:spacing w:val="-49"/>
          <w:u w:val="single" w:color="auto"/>
        </w:rPr>
        <w:t xml:space="preserve"> </w:t>
      </w:r>
      <w:r>
        <w:rPr>
          <w:spacing w:val="-1"/>
          <w:u w:val="single" w:color="auto"/>
        </w:rPr>
        <w:t>数字证书登</w:t>
      </w:r>
      <w:r>
        <w:rPr>
          <w:spacing w:val="-2"/>
          <w:u w:val="single" w:color="auto"/>
        </w:rPr>
        <w:t>录“</w:t>
      </w:r>
      <w:r>
        <w:rPr>
          <w:spacing w:val="-82"/>
          <w:u w:val="single" w:color="auto"/>
        </w:rPr>
        <w:t xml:space="preserve"> </w:t>
      </w:r>
      <w:r>
        <w:rPr>
          <w:spacing w:val="-2"/>
          <w:u w:val="single" w:color="auto"/>
        </w:rPr>
        <w:t>电子交易平</w:t>
      </w:r>
      <w:r>
        <w:t xml:space="preserve"> </w:t>
      </w:r>
      <w:r>
        <w:rPr>
          <w:spacing w:val="-4"/>
          <w:u w:val="single" w:color="auto"/>
        </w:rPr>
        <w:t>台</w:t>
      </w:r>
      <w:r>
        <w:rPr>
          <w:spacing w:val="-77"/>
          <w:u w:val="single" w:color="auto"/>
        </w:rPr>
        <w:t xml:space="preserve"> </w:t>
      </w:r>
      <w:r>
        <w:rPr>
          <w:spacing w:val="-4"/>
          <w:u w:val="single" w:color="auto"/>
        </w:rPr>
        <w:t>”，将加密的投标文件上传递交成功，递交时间即为电子投标文件上传时间。</w:t>
      </w:r>
      <w:r>
        <w:t xml:space="preserve"> </w:t>
      </w:r>
      <w:r>
        <w:rPr>
          <w:spacing w:val="-3"/>
          <w:u w:val="single" w:color="auto"/>
        </w:rPr>
        <w:t>本次招标采用电子招投标形式，招标人不再邀请投标人参加现场开标，投标人在</w:t>
      </w:r>
      <w:r>
        <w:rPr>
          <w:spacing w:val="3"/>
        </w:rPr>
        <w:t xml:space="preserve"> </w:t>
      </w:r>
      <w:r>
        <w:rPr>
          <w:spacing w:val="-5"/>
          <w:u w:val="single" w:color="auto"/>
        </w:rPr>
        <w:t>开标时间可以登陆“</w:t>
      </w:r>
      <w:r>
        <w:rPr>
          <w:spacing w:val="-72"/>
          <w:u w:val="single" w:color="auto"/>
        </w:rPr>
        <w:t xml:space="preserve"> </w:t>
      </w:r>
      <w:r>
        <w:rPr>
          <w:spacing w:val="-5"/>
          <w:u w:val="single" w:color="auto"/>
        </w:rPr>
        <w:t>电子交易平台</w:t>
      </w:r>
      <w:r>
        <w:rPr>
          <w:spacing w:val="-88"/>
          <w:u w:val="single" w:color="auto"/>
        </w:rPr>
        <w:t xml:space="preserve"> </w:t>
      </w:r>
      <w:r>
        <w:rPr>
          <w:spacing w:val="-5"/>
          <w:u w:val="single" w:color="auto"/>
        </w:rPr>
        <w:t>”按时完成投标文件解密、确认工作，并可在</w:t>
      </w:r>
      <w:r>
        <w:rPr>
          <w:spacing w:val="-3"/>
          <w:u w:val="single" w:color="auto"/>
        </w:rPr>
        <w:t>开标直播大厅观看开标视频直播。本公告</w:t>
      </w:r>
      <w:r>
        <w:rPr>
          <w:spacing w:val="-45"/>
          <w:u w:val="single" w:color="auto"/>
        </w:rPr>
        <w:t xml:space="preserve"> </w:t>
      </w:r>
      <w:r>
        <w:rPr>
          <w:spacing w:val="-3"/>
          <w:u w:val="single" w:color="auto"/>
        </w:rPr>
        <w:t>5.3</w:t>
      </w:r>
      <w:r>
        <w:rPr>
          <w:spacing w:val="-50"/>
          <w:u w:val="single" w:color="auto"/>
        </w:rPr>
        <w:t xml:space="preserve"> </w:t>
      </w:r>
      <w:r>
        <w:rPr>
          <w:spacing w:val="-3"/>
          <w:u w:val="single" w:color="auto"/>
        </w:rPr>
        <w:t>款修改</w:t>
      </w:r>
      <w:r>
        <w:rPr>
          <w:spacing w:val="-4"/>
          <w:u w:val="single" w:color="auto"/>
        </w:rPr>
        <w:t>为：未在投标截止时间前在</w:t>
      </w:r>
      <w:r>
        <w:t xml:space="preserve">  </w:t>
      </w:r>
      <w:r>
        <w:rPr>
          <w:u w:val="single" w:color="auto"/>
        </w:rPr>
        <w:tab/>
      </w:r>
      <w:r>
        <w:rPr>
          <w:spacing w:val="-8"/>
          <w:u w:val="single" w:color="auto"/>
        </w:rPr>
        <w:t>“电子交易平台</w:t>
      </w:r>
      <w:r>
        <w:rPr>
          <w:spacing w:val="-76"/>
          <w:u w:val="single" w:color="auto"/>
        </w:rPr>
        <w:t xml:space="preserve"> </w:t>
      </w:r>
      <w:r>
        <w:rPr>
          <w:spacing w:val="-8"/>
          <w:u w:val="single" w:color="auto"/>
        </w:rPr>
        <w:t>”完成上传的、未按要求进行加密的投标文件，“电子交易平台</w:t>
      </w:r>
      <w:r>
        <w:rPr>
          <w:spacing w:val="-88"/>
          <w:u w:val="single" w:color="auto"/>
        </w:rPr>
        <w:t xml:space="preserve"> </w:t>
      </w:r>
      <w:r>
        <w:rPr>
          <w:spacing w:val="-8"/>
        </w:rPr>
        <w:t>”</w:t>
      </w:r>
      <w:r>
        <w:rPr>
          <w:u w:val="single" w:color="auto"/>
        </w:rPr>
        <w:t>将予以拒收。请投标人按要求</w:t>
      </w:r>
      <w:r>
        <w:t>递交投标文件。</w:t>
      </w:r>
    </w:p>
    <w:p w14:paraId="77DAC75A">
      <w:pPr>
        <w:pStyle w:val="2"/>
        <w:spacing w:line="219" w:lineRule="auto"/>
        <w:ind w:left="508"/>
      </w:pPr>
      <w:r>
        <w:rPr>
          <w:spacing w:val="-1"/>
        </w:rPr>
        <w:t>5.3</w:t>
      </w:r>
      <w:r>
        <w:rPr>
          <w:spacing w:val="-47"/>
        </w:rPr>
        <w:t xml:space="preserve"> </w:t>
      </w:r>
      <w:r>
        <w:rPr>
          <w:spacing w:val="-1"/>
        </w:rPr>
        <w:t>逾期送达的投标文件，电子招标投标交易平台将予以拒收。</w:t>
      </w:r>
    </w:p>
    <w:p w14:paraId="3D5AA640">
      <w:pPr>
        <w:pStyle w:val="2"/>
        <w:spacing w:before="182" w:line="218" w:lineRule="auto"/>
        <w:ind w:left="25"/>
        <w:outlineLvl w:val="0"/>
      </w:pPr>
      <w:r>
        <w:rPr>
          <w:b/>
          <w:bCs/>
          <w:spacing w:val="-4"/>
        </w:rPr>
        <w:t>6.发布公告的媒介</w:t>
      </w:r>
    </w:p>
    <w:p w14:paraId="02EE2C71">
      <w:pPr>
        <w:pStyle w:val="2"/>
        <w:tabs>
          <w:tab w:val="left" w:pos="126"/>
          <w:tab w:val="left" w:pos="148"/>
        </w:tabs>
        <w:spacing w:before="183" w:line="359" w:lineRule="auto"/>
        <w:ind w:left="14" w:firstLine="490"/>
        <w:jc w:val="both"/>
      </w:pPr>
      <w:r>
        <w:pict>
          <v:shape id="_x0000_s1026" o:spid="_x0000_s1026" style="position:absolute;left:0pt;margin-left:0.7pt;margin-top:113.9pt;height:0.6pt;width:415.25pt;z-index:251659264;mso-width-relative:page;mso-height-relative:page;" filled="f" stroked="t" coordsize="8305,12" path="m0,5l8304,5e">
            <v:fill on="f" focussize="0,0"/>
            <v:stroke weight="0.6pt" color="#000000" miterlimit="2" joinstyle="bevel"/>
            <v:imagedata o:title=""/>
            <o:lock v:ext="edit"/>
          </v:shape>
        </w:pict>
      </w:r>
      <w:r>
        <w:rPr>
          <w:spacing w:val="-2"/>
        </w:rPr>
        <w:t>本次招标公告同时在</w:t>
      </w:r>
      <w:r>
        <w:rPr>
          <w:spacing w:val="-2"/>
          <w:u w:val="single" w:color="auto"/>
        </w:rPr>
        <w:t>河北省招标投标公共服务平台</w:t>
      </w:r>
      <w:r>
        <w:rPr>
          <w:spacing w:val="-3"/>
          <w:u w:val="single" w:color="auto"/>
        </w:rPr>
        <w:t>”(</w:t>
      </w:r>
      <w:r>
        <w:fldChar w:fldCharType="begin"/>
      </w:r>
      <w:r>
        <w:instrText xml:space="preserve"> HYPERLINK "https://www.hebeieb.com.cn" </w:instrText>
      </w:r>
      <w:r>
        <w:fldChar w:fldCharType="separate"/>
      </w:r>
      <w:r>
        <w:rPr>
          <w:spacing w:val="-3"/>
          <w:u w:val="single" w:color="auto"/>
        </w:rPr>
        <w:t>www.hebeieb.com.cn</w:t>
      </w:r>
      <w:r>
        <w:rPr>
          <w:spacing w:val="-3"/>
          <w:u w:val="single" w:color="auto"/>
        </w:rPr>
        <w:fldChar w:fldCharType="end"/>
      </w:r>
      <w:r>
        <w:rPr>
          <w:spacing w:val="-3"/>
          <w:u w:val="single" w:color="auto"/>
        </w:rPr>
        <w:t>)</w:t>
      </w:r>
      <w:r>
        <w:rPr>
          <w:spacing w:val="-3"/>
        </w:rPr>
        <w:t>、</w:t>
      </w:r>
      <w:r>
        <w:rPr>
          <w:u w:val="single" w:color="auto"/>
        </w:rPr>
        <w:tab/>
      </w:r>
      <w:r>
        <w:rPr>
          <w:spacing w:val="-4"/>
          <w:u w:val="single" w:color="auto"/>
        </w:rPr>
        <w:t>“河北省交通运输厅网站”(</w:t>
      </w:r>
      <w:r>
        <w:fldChar w:fldCharType="begin"/>
      </w:r>
      <w:r>
        <w:instrText xml:space="preserve"> HYPERLINK "http://jtt.hebei.gov.cn/" </w:instrText>
      </w:r>
      <w:r>
        <w:fldChar w:fldCharType="separate"/>
      </w:r>
      <w:r>
        <w:rPr>
          <w:spacing w:val="-4"/>
          <w:u w:val="single" w:color="auto"/>
        </w:rPr>
        <w:t>http://jtt.hebei.gov</w:t>
      </w:r>
      <w:r>
        <w:rPr>
          <w:spacing w:val="-5"/>
          <w:u w:val="single" w:color="auto"/>
        </w:rPr>
        <w:t>.cn/</w:t>
      </w:r>
      <w:r>
        <w:rPr>
          <w:spacing w:val="-5"/>
          <w:u w:val="single" w:color="auto"/>
        </w:rPr>
        <w:fldChar w:fldCharType="end"/>
      </w:r>
      <w:r>
        <w:rPr>
          <w:spacing w:val="-5"/>
          <w:u w:val="single" w:color="auto"/>
        </w:rPr>
        <w:t>)“河北省公共资源交易</w:t>
      </w:r>
      <w:r>
        <w:rPr>
          <w:spacing w:val="5"/>
          <w:u w:val="single" w:color="auto"/>
        </w:rPr>
        <w:t>中</w:t>
      </w:r>
      <w:r>
        <w:rPr>
          <w:spacing w:val="1"/>
          <w:u w:val="single" w:color="auto"/>
        </w:rPr>
        <w:t xml:space="preserve">               </w:t>
      </w:r>
      <w:r>
        <w:rPr>
          <w:spacing w:val="5"/>
          <w:u w:val="single" w:color="auto"/>
        </w:rPr>
        <w:t>心</w:t>
      </w:r>
      <w:r>
        <w:rPr>
          <w:spacing w:val="2"/>
          <w:u w:val="single" w:color="auto"/>
        </w:rPr>
        <w:t xml:space="preserve">               </w:t>
      </w:r>
      <w:r>
        <w:rPr>
          <w:spacing w:val="5"/>
          <w:u w:val="single" w:color="auto"/>
        </w:rPr>
        <w:t>网</w:t>
      </w:r>
      <w:r>
        <w:rPr>
          <w:spacing w:val="2"/>
          <w:u w:val="single" w:color="auto"/>
        </w:rPr>
        <w:t xml:space="preserve">               </w:t>
      </w:r>
      <w:r>
        <w:rPr>
          <w:spacing w:val="5"/>
          <w:u w:val="single" w:color="auto"/>
        </w:rPr>
        <w:t>站</w:t>
      </w:r>
      <w:r>
        <w:rPr>
          <w:spacing w:val="2"/>
          <w:u w:val="single" w:color="auto"/>
        </w:rPr>
        <w:t xml:space="preserve">               </w:t>
      </w:r>
      <w:r>
        <w:rPr>
          <w:spacing w:val="5"/>
        </w:rPr>
        <w:t>”</w:t>
      </w:r>
      <w:r>
        <w:rPr>
          <w:u w:val="single" w:color="auto"/>
        </w:rPr>
        <w:tab/>
      </w:r>
      <w:r>
        <w:rPr>
          <w:u w:val="single" w:color="auto"/>
        </w:rPr>
        <w:tab/>
      </w:r>
      <w:r>
        <w:rPr>
          <w:spacing w:val="-1"/>
          <w:u w:val="single" w:color="auto"/>
        </w:rPr>
        <w:t>（</w:t>
      </w:r>
      <w:r>
        <w:fldChar w:fldCharType="begin"/>
      </w:r>
      <w:r>
        <w:instrText xml:space="preserve"> HYPERLINK "http://publicservice.hebpr.gov.cn/PublicService/memberlogin/memberL" </w:instrText>
      </w:r>
      <w:r>
        <w:fldChar w:fldCharType="separate"/>
      </w:r>
      <w:r>
        <w:rPr>
          <w:spacing w:val="-1"/>
          <w:u w:val="single" w:color="auto"/>
        </w:rPr>
        <w:t>http://publicservice.hebp</w:t>
      </w:r>
      <w:r>
        <w:rPr>
          <w:spacing w:val="-2"/>
          <w:u w:val="single" w:color="auto"/>
        </w:rPr>
        <w:t>r.gov.cn/PublicService/memberlogin/memberL</w:t>
      </w:r>
      <w:r>
        <w:rPr>
          <w:spacing w:val="-2"/>
          <w:u w:val="single" w:color="auto"/>
        </w:rPr>
        <w:fldChar w:fldCharType="end"/>
      </w:r>
      <w:r>
        <w:t xml:space="preserve">  </w:t>
      </w:r>
      <w:r>
        <w:rPr>
          <w:spacing w:val="-6"/>
        </w:rPr>
        <w:t>ogin  ） 、</w:t>
      </w:r>
      <w:r>
        <w:rPr>
          <w:spacing w:val="-10"/>
        </w:rPr>
        <w:t xml:space="preserve"> </w:t>
      </w:r>
      <w:r>
        <w:rPr>
          <w:spacing w:val="-6"/>
        </w:rPr>
        <w:t>“  河  北  高  速  公  路  集  团  有  限  公  司  网  站  ”</w:t>
      </w:r>
    </w:p>
    <w:p w14:paraId="4C3070E4">
      <w:pPr>
        <w:pStyle w:val="2"/>
        <w:tabs>
          <w:tab w:val="left" w:pos="148"/>
        </w:tabs>
        <w:spacing w:line="214" w:lineRule="auto"/>
        <w:ind w:left="14"/>
      </w:pPr>
      <w:r>
        <w:rPr>
          <w:u w:val="single" w:color="auto"/>
        </w:rPr>
        <w:tab/>
      </w:r>
      <w:r>
        <w:rPr>
          <w:spacing w:val="-3"/>
          <w:u w:val="single" w:color="auto"/>
        </w:rPr>
        <w:t>（</w:t>
      </w:r>
      <w:r>
        <w:fldChar w:fldCharType="begin"/>
      </w:r>
      <w:r>
        <w:instrText xml:space="preserve"> HYPERLINK "https://www.hbgs.com.cn/index.html" </w:instrText>
      </w:r>
      <w:r>
        <w:fldChar w:fldCharType="separate"/>
      </w:r>
      <w:r>
        <w:rPr>
          <w:spacing w:val="-3"/>
          <w:u w:val="single" w:color="auto"/>
        </w:rPr>
        <w:t>https://www.hbgs.com.cn</w:t>
      </w:r>
      <w:r>
        <w:rPr>
          <w:spacing w:val="-4"/>
          <w:u w:val="single" w:color="auto"/>
        </w:rPr>
        <w:t>/index.html</w:t>
      </w:r>
      <w:r>
        <w:rPr>
          <w:spacing w:val="-4"/>
          <w:u w:val="single" w:color="auto"/>
        </w:rPr>
        <w:fldChar w:fldCharType="end"/>
      </w:r>
      <w:r>
        <w:rPr>
          <w:spacing w:val="-4"/>
          <w:u w:val="single" w:color="auto"/>
        </w:rPr>
        <w:t>）</w:t>
      </w:r>
      <w:r>
        <w:rPr>
          <w:spacing w:val="-4"/>
        </w:rPr>
        <w:t>上发布。</w:t>
      </w:r>
    </w:p>
    <w:p w14:paraId="12C370E1">
      <w:pPr>
        <w:pStyle w:val="2"/>
        <w:spacing w:before="191" w:line="219" w:lineRule="auto"/>
        <w:ind w:left="29"/>
        <w:outlineLvl w:val="0"/>
      </w:pPr>
      <w:r>
        <w:rPr>
          <w:b/>
          <w:bCs/>
          <w:spacing w:val="-4"/>
        </w:rPr>
        <w:t>7.其他公式内容</w:t>
      </w:r>
    </w:p>
    <w:p w14:paraId="3A807882">
      <w:pPr>
        <w:pStyle w:val="2"/>
        <w:spacing w:before="180" w:line="219" w:lineRule="auto"/>
        <w:ind w:left="504"/>
      </w:pPr>
      <w:r>
        <w:rPr>
          <w:spacing w:val="-9"/>
        </w:rPr>
        <w:t>本项目采用“双盲</w:t>
      </w:r>
      <w:r>
        <w:rPr>
          <w:spacing w:val="-82"/>
        </w:rPr>
        <w:t xml:space="preserve"> </w:t>
      </w:r>
      <w:r>
        <w:rPr>
          <w:spacing w:val="-9"/>
        </w:rPr>
        <w:t>”评审，“分散</w:t>
      </w:r>
      <w:r>
        <w:rPr>
          <w:spacing w:val="-88"/>
        </w:rPr>
        <w:t xml:space="preserve"> </w:t>
      </w:r>
      <w:r>
        <w:rPr>
          <w:spacing w:val="-9"/>
        </w:rPr>
        <w:t>”+“远程异地</w:t>
      </w:r>
      <w:r>
        <w:rPr>
          <w:spacing w:val="-88"/>
        </w:rPr>
        <w:t xml:space="preserve"> </w:t>
      </w:r>
      <w:r>
        <w:rPr>
          <w:spacing w:val="-9"/>
        </w:rPr>
        <w:t>”评标。</w:t>
      </w:r>
    </w:p>
    <w:p w14:paraId="21291A59">
      <w:pPr>
        <w:pStyle w:val="2"/>
        <w:spacing w:before="184" w:line="219" w:lineRule="auto"/>
        <w:ind w:left="24"/>
        <w:outlineLvl w:val="0"/>
      </w:pPr>
      <w:r>
        <w:rPr>
          <w:b/>
          <w:bCs/>
          <w:spacing w:val="-3"/>
        </w:rPr>
        <w:t>8.提出异议的渠道和方式</w:t>
      </w:r>
    </w:p>
    <w:p w14:paraId="5A07648A">
      <w:pPr>
        <w:pStyle w:val="2"/>
        <w:spacing w:before="182" w:line="359" w:lineRule="auto"/>
        <w:ind w:left="26" w:right="234" w:firstLine="476"/>
        <w:jc w:val="both"/>
      </w:pPr>
      <w:r>
        <w:rPr>
          <w:spacing w:val="-4"/>
        </w:rPr>
        <w:t>在“河北省公共资源交易服务平台</w:t>
      </w:r>
      <w:r>
        <w:rPr>
          <w:spacing w:val="-89"/>
        </w:rPr>
        <w:t xml:space="preserve"> </w:t>
      </w:r>
      <w:r>
        <w:rPr>
          <w:spacing w:val="-4"/>
        </w:rPr>
        <w:t>”提交，提交后电话通知招标人或</w:t>
      </w:r>
      <w:r>
        <w:rPr>
          <w:spacing w:val="-5"/>
        </w:rPr>
        <w:t>招标代</w:t>
      </w:r>
      <w:r>
        <w:rPr>
          <w:spacing w:val="4"/>
        </w:rPr>
        <w:t>理机构（招标人联系人：冯先生</w:t>
      </w:r>
      <w:r>
        <w:rPr>
          <w:spacing w:val="-27"/>
        </w:rPr>
        <w:t xml:space="preserve"> </w:t>
      </w:r>
      <w:r>
        <w:rPr>
          <w:spacing w:val="4"/>
        </w:rPr>
        <w:t>0311-66726398；招标代理机构联系人：鲁鹏</w:t>
      </w:r>
      <w:r>
        <w:rPr>
          <w:spacing w:val="-2"/>
        </w:rPr>
        <w:t>13032677130）</w:t>
      </w:r>
    </w:p>
    <w:p w14:paraId="58EE9020">
      <w:pPr>
        <w:pStyle w:val="2"/>
        <w:spacing w:before="1" w:line="218" w:lineRule="auto"/>
        <w:ind w:left="24"/>
        <w:outlineLvl w:val="0"/>
      </w:pPr>
      <w:r>
        <w:rPr>
          <w:b/>
          <w:bCs/>
          <w:spacing w:val="-3"/>
        </w:rPr>
        <w:t>9.本招标项目的监督部门</w:t>
      </w:r>
    </w:p>
    <w:p w14:paraId="5030F203">
      <w:pPr>
        <w:pStyle w:val="2"/>
        <w:spacing w:before="182" w:line="219" w:lineRule="auto"/>
        <w:ind w:left="504"/>
        <w:outlineLvl w:val="0"/>
      </w:pPr>
      <w:r>
        <w:rPr>
          <w:spacing w:val="-1"/>
        </w:rPr>
        <w:t>监督部门名称：河北省交通运输综合执法监督局</w:t>
      </w:r>
    </w:p>
    <w:p w14:paraId="7CDCB485">
      <w:pPr>
        <w:pStyle w:val="2"/>
        <w:spacing w:before="183" w:line="221" w:lineRule="auto"/>
        <w:ind w:left="531"/>
        <w:outlineLvl w:val="0"/>
        <w:rPr>
          <w:rFonts w:ascii="Calibri" w:hAnsi="Calibri" w:eastAsia="Calibri" w:cs="Calibri"/>
        </w:rPr>
      </w:pPr>
      <w:r>
        <w:rPr>
          <w:spacing w:val="-2"/>
        </w:rPr>
        <w:t>电话：</w:t>
      </w:r>
      <w:r>
        <w:rPr>
          <w:rFonts w:ascii="Calibri" w:hAnsi="Calibri" w:eastAsia="Calibri" w:cs="Calibri"/>
          <w:spacing w:val="-2"/>
        </w:rPr>
        <w:t>0311-66726995</w:t>
      </w:r>
      <w:r>
        <w:rPr>
          <w:rFonts w:ascii="Calibri" w:hAnsi="Calibri" w:eastAsia="Calibri" w:cs="Calibri"/>
          <w:spacing w:val="-30"/>
        </w:rPr>
        <w:t xml:space="preserve"> </w:t>
      </w:r>
      <w:r>
        <w:rPr>
          <w:spacing w:val="-2"/>
        </w:rPr>
        <w:t>、</w:t>
      </w:r>
      <w:r>
        <w:rPr>
          <w:rFonts w:ascii="Calibri" w:hAnsi="Calibri" w:eastAsia="Calibri" w:cs="Calibri"/>
          <w:spacing w:val="-2"/>
        </w:rPr>
        <w:t>0311-667269</w:t>
      </w:r>
      <w:r>
        <w:rPr>
          <w:rFonts w:ascii="Calibri" w:hAnsi="Calibri" w:eastAsia="Calibri" w:cs="Calibri"/>
          <w:spacing w:val="-3"/>
        </w:rPr>
        <w:t>97</w:t>
      </w:r>
    </w:p>
    <w:p w14:paraId="778937E7">
      <w:pPr>
        <w:pStyle w:val="2"/>
        <w:spacing w:before="179" w:line="362" w:lineRule="auto"/>
        <w:ind w:left="36" w:right="237" w:firstLine="4"/>
        <w:outlineLvl w:val="0"/>
      </w:pPr>
      <w:r>
        <w:rPr>
          <w:b/>
          <w:bCs/>
          <w:spacing w:val="4"/>
        </w:rPr>
        <w:t>10.招标人或者其委托的招标代理机构使用的第三方交易平台的付费主体及收</w:t>
      </w:r>
      <w:r>
        <w:rPr>
          <w:b/>
          <w:bCs/>
          <w:spacing w:val="-10"/>
        </w:rPr>
        <w:t>费标准</w:t>
      </w:r>
    </w:p>
    <w:p w14:paraId="1355066E">
      <w:pPr>
        <w:spacing w:line="362" w:lineRule="auto"/>
        <w:sectPr>
          <w:footerReference r:id="rId7" w:type="default"/>
          <w:pgSz w:w="11906" w:h="16839"/>
          <w:pgMar w:top="1426" w:right="1564" w:bottom="1378" w:left="1785" w:header="0" w:footer="1212" w:gutter="0"/>
          <w:cols w:space="720" w:num="1"/>
        </w:sectPr>
      </w:pPr>
    </w:p>
    <w:p w14:paraId="0F646A86">
      <w:pPr>
        <w:spacing w:line="91" w:lineRule="auto"/>
        <w:rPr>
          <w:rFonts w:ascii="Arial"/>
          <w:sz w:val="2"/>
        </w:rPr>
      </w:pPr>
    </w:p>
    <w:tbl>
      <w:tblPr>
        <w:tblStyle w:val="5"/>
        <w:tblW w:w="8640" w:type="dxa"/>
        <w:tblInd w:w="5" w:type="dxa"/>
        <w:tblBorders>
          <w:top w:val="single" w:color="76746C" w:sz="4" w:space="0"/>
          <w:left w:val="single" w:color="76746C" w:sz="4" w:space="0"/>
          <w:bottom w:val="single" w:color="76746C" w:sz="4" w:space="0"/>
          <w:right w:val="single" w:color="76746C" w:sz="4" w:space="0"/>
          <w:insideH w:val="single" w:color="76746C" w:sz="4" w:space="0"/>
          <w:insideV w:val="single" w:color="76746C" w:sz="4" w:space="0"/>
        </w:tblBorders>
        <w:tblLayout w:type="fixed"/>
        <w:tblCellMar>
          <w:top w:w="0" w:type="dxa"/>
          <w:left w:w="0" w:type="dxa"/>
          <w:bottom w:w="0" w:type="dxa"/>
          <w:right w:w="0" w:type="dxa"/>
        </w:tblCellMar>
      </w:tblPr>
      <w:tblGrid>
        <w:gridCol w:w="4458"/>
        <w:gridCol w:w="2218"/>
        <w:gridCol w:w="1964"/>
      </w:tblGrid>
      <w:tr w14:paraId="0AD0FD23">
        <w:tblPrEx>
          <w:tblBorders>
            <w:top w:val="single" w:color="76746C" w:sz="4" w:space="0"/>
            <w:left w:val="single" w:color="76746C" w:sz="4" w:space="0"/>
            <w:bottom w:val="single" w:color="76746C" w:sz="4" w:space="0"/>
            <w:right w:val="single" w:color="76746C" w:sz="4" w:space="0"/>
            <w:insideH w:val="single" w:color="76746C" w:sz="4" w:space="0"/>
            <w:insideV w:val="single" w:color="76746C" w:sz="4" w:space="0"/>
          </w:tblBorders>
          <w:tblCellMar>
            <w:top w:w="0" w:type="dxa"/>
            <w:left w:w="0" w:type="dxa"/>
            <w:bottom w:w="0" w:type="dxa"/>
            <w:right w:w="0" w:type="dxa"/>
          </w:tblCellMar>
        </w:tblPrEx>
        <w:trPr>
          <w:trHeight w:val="550" w:hRule="atLeast"/>
        </w:trPr>
        <w:tc>
          <w:tcPr>
            <w:tcW w:w="4458" w:type="dxa"/>
            <w:tcBorders>
              <w:top w:val="single" w:color="ECE9D8" w:sz="4" w:space="0"/>
              <w:left w:val="single" w:color="ECE9D8" w:sz="4" w:space="0"/>
              <w:bottom w:val="single" w:color="ECE9D8" w:sz="4" w:space="0"/>
              <w:right w:val="single" w:color="ECE9D8" w:sz="4" w:space="0"/>
            </w:tcBorders>
            <w:vAlign w:val="top"/>
          </w:tcPr>
          <w:p w14:paraId="39E9E105">
            <w:pPr>
              <w:spacing w:before="179" w:line="228" w:lineRule="auto"/>
              <w:ind w:left="1817"/>
              <w:outlineLvl w:val="0"/>
              <w:rPr>
                <w:rFonts w:ascii="宋体" w:hAnsi="宋体" w:eastAsia="宋体" w:cs="宋体"/>
                <w:sz w:val="20"/>
                <w:szCs w:val="20"/>
              </w:rPr>
            </w:pPr>
            <w:r>
              <w:rPr>
                <w:rFonts w:ascii="宋体" w:hAnsi="宋体" w:eastAsia="宋体" w:cs="宋体"/>
                <w:spacing w:val="7"/>
                <w:sz w:val="20"/>
                <w:szCs w:val="20"/>
              </w:rPr>
              <w:t>标段名称</w:t>
            </w:r>
          </w:p>
        </w:tc>
        <w:tc>
          <w:tcPr>
            <w:tcW w:w="2218" w:type="dxa"/>
            <w:vAlign w:val="top"/>
          </w:tcPr>
          <w:p w14:paraId="4FF81264">
            <w:pPr>
              <w:spacing w:before="178" w:line="228" w:lineRule="auto"/>
              <w:ind w:left="689"/>
              <w:outlineLvl w:val="0"/>
              <w:rPr>
                <w:rFonts w:ascii="宋体" w:hAnsi="宋体" w:eastAsia="宋体" w:cs="宋体"/>
                <w:sz w:val="20"/>
                <w:szCs w:val="20"/>
              </w:rPr>
            </w:pPr>
            <w:r>
              <w:rPr>
                <w:rFonts w:ascii="宋体" w:hAnsi="宋体" w:eastAsia="宋体" w:cs="宋体"/>
                <w:spacing w:val="7"/>
                <w:sz w:val="20"/>
                <w:szCs w:val="20"/>
              </w:rPr>
              <w:t>付费主体</w:t>
            </w:r>
          </w:p>
        </w:tc>
        <w:tc>
          <w:tcPr>
            <w:tcW w:w="1964" w:type="dxa"/>
            <w:vAlign w:val="top"/>
          </w:tcPr>
          <w:p w14:paraId="6CAF9764">
            <w:pPr>
              <w:spacing w:before="178" w:line="228" w:lineRule="auto"/>
              <w:ind w:left="363"/>
              <w:outlineLvl w:val="0"/>
              <w:rPr>
                <w:rFonts w:ascii="宋体" w:hAnsi="宋体" w:eastAsia="宋体" w:cs="宋体"/>
                <w:sz w:val="20"/>
                <w:szCs w:val="20"/>
              </w:rPr>
            </w:pPr>
            <w:r>
              <w:rPr>
                <w:rFonts w:ascii="宋体" w:hAnsi="宋体" w:eastAsia="宋体" w:cs="宋体"/>
                <w:spacing w:val="6"/>
                <w:sz w:val="20"/>
                <w:szCs w:val="20"/>
              </w:rPr>
              <w:t>收费金额(元)</w:t>
            </w:r>
          </w:p>
        </w:tc>
      </w:tr>
      <w:tr w14:paraId="7B8BC68C">
        <w:tblPrEx>
          <w:tblBorders>
            <w:top w:val="single" w:color="76746C" w:sz="4" w:space="0"/>
            <w:left w:val="single" w:color="76746C" w:sz="4" w:space="0"/>
            <w:bottom w:val="single" w:color="76746C" w:sz="4" w:space="0"/>
            <w:right w:val="single" w:color="76746C" w:sz="4" w:space="0"/>
            <w:insideH w:val="single" w:color="76746C" w:sz="4" w:space="0"/>
            <w:insideV w:val="single" w:color="76746C" w:sz="4" w:space="0"/>
          </w:tblBorders>
          <w:tblCellMar>
            <w:top w:w="0" w:type="dxa"/>
            <w:left w:w="0" w:type="dxa"/>
            <w:bottom w:w="0" w:type="dxa"/>
            <w:right w:w="0" w:type="dxa"/>
          </w:tblCellMar>
        </w:tblPrEx>
        <w:trPr>
          <w:trHeight w:val="1003" w:hRule="atLeast"/>
        </w:trPr>
        <w:tc>
          <w:tcPr>
            <w:tcW w:w="4458" w:type="dxa"/>
            <w:vAlign w:val="top"/>
          </w:tcPr>
          <w:p w14:paraId="4E9B7C6C">
            <w:pPr>
              <w:tabs>
                <w:tab w:val="left" w:pos="1710"/>
              </w:tabs>
              <w:spacing w:before="123" w:line="252" w:lineRule="auto"/>
              <w:ind w:left="246" w:right="201" w:firstLine="71"/>
              <w:outlineLvl w:val="0"/>
              <w:rPr>
                <w:rFonts w:ascii="宋体" w:hAnsi="宋体" w:eastAsia="宋体" w:cs="宋体"/>
                <w:sz w:val="20"/>
                <w:szCs w:val="20"/>
              </w:rPr>
            </w:pPr>
            <w:r>
              <w:rPr>
                <w:rFonts w:ascii="宋体" w:hAnsi="宋体" w:eastAsia="宋体" w:cs="宋体"/>
                <w:spacing w:val="8"/>
                <w:sz w:val="20"/>
                <w:szCs w:val="20"/>
              </w:rPr>
              <w:t>河北高速集团 G1</w:t>
            </w:r>
            <w:r>
              <w:rPr>
                <w:rFonts w:ascii="宋体" w:hAnsi="宋体" w:eastAsia="宋体" w:cs="宋体"/>
                <w:spacing w:val="-33"/>
                <w:sz w:val="20"/>
                <w:szCs w:val="20"/>
              </w:rPr>
              <w:t xml:space="preserve"> </w:t>
            </w:r>
            <w:r>
              <w:rPr>
                <w:rFonts w:ascii="宋体" w:hAnsi="宋体" w:eastAsia="宋体" w:cs="宋体"/>
                <w:spacing w:val="8"/>
                <w:sz w:val="20"/>
                <w:szCs w:val="20"/>
              </w:rPr>
              <w:t>京哈高速公路河北段公路</w:t>
            </w:r>
            <w:r>
              <w:rPr>
                <w:rFonts w:ascii="宋体" w:hAnsi="宋体" w:eastAsia="宋体" w:cs="宋体"/>
                <w:spacing w:val="9"/>
                <w:sz w:val="20"/>
                <w:szCs w:val="20"/>
              </w:rPr>
              <w:t>交通基础设施数字化转型升级建设项目设计</w:t>
            </w:r>
            <w:r>
              <w:rPr>
                <w:rFonts w:ascii="宋体" w:hAnsi="宋体" w:eastAsia="宋体" w:cs="宋体"/>
                <w:sz w:val="20"/>
                <w:szCs w:val="20"/>
              </w:rPr>
              <w:tab/>
            </w:r>
            <w:r>
              <w:rPr>
                <w:rFonts w:ascii="宋体" w:hAnsi="宋体" w:eastAsia="宋体" w:cs="宋体"/>
                <w:spacing w:val="8"/>
                <w:sz w:val="20"/>
                <w:szCs w:val="20"/>
              </w:rPr>
              <w:t>施工总承包</w:t>
            </w:r>
          </w:p>
        </w:tc>
        <w:tc>
          <w:tcPr>
            <w:tcW w:w="2218" w:type="dxa"/>
            <w:vAlign w:val="top"/>
          </w:tcPr>
          <w:p w14:paraId="6710C88E">
            <w:pPr>
              <w:spacing w:line="328" w:lineRule="auto"/>
              <w:rPr>
                <w:rFonts w:ascii="Arial"/>
                <w:sz w:val="21"/>
              </w:rPr>
            </w:pPr>
          </w:p>
          <w:p w14:paraId="7A3BCFEA">
            <w:pPr>
              <w:spacing w:before="65" w:line="233" w:lineRule="auto"/>
              <w:ind w:left="1056"/>
              <w:rPr>
                <w:rFonts w:ascii="宋体" w:hAnsi="宋体" w:eastAsia="宋体" w:cs="宋体"/>
                <w:sz w:val="20"/>
                <w:szCs w:val="20"/>
              </w:rPr>
            </w:pPr>
            <w:r>
              <w:rPr>
                <w:rFonts w:ascii="宋体" w:hAnsi="宋体" w:eastAsia="宋体" w:cs="宋体"/>
                <w:sz w:val="20"/>
                <w:szCs w:val="20"/>
              </w:rPr>
              <w:t>/</w:t>
            </w:r>
          </w:p>
        </w:tc>
        <w:tc>
          <w:tcPr>
            <w:tcW w:w="1964" w:type="dxa"/>
            <w:vAlign w:val="top"/>
          </w:tcPr>
          <w:p w14:paraId="253C272E">
            <w:pPr>
              <w:spacing w:line="329" w:lineRule="auto"/>
              <w:rPr>
                <w:rFonts w:ascii="Arial"/>
                <w:sz w:val="21"/>
              </w:rPr>
            </w:pPr>
          </w:p>
          <w:p w14:paraId="2595302F">
            <w:pPr>
              <w:spacing w:before="65" w:line="268" w:lineRule="exact"/>
              <w:ind w:left="933"/>
              <w:rPr>
                <w:rFonts w:ascii="宋体" w:hAnsi="宋体" w:eastAsia="宋体" w:cs="宋体"/>
                <w:sz w:val="20"/>
                <w:szCs w:val="20"/>
              </w:rPr>
            </w:pPr>
            <w:r>
              <w:rPr>
                <w:rFonts w:ascii="宋体" w:hAnsi="宋体" w:eastAsia="宋体" w:cs="宋体"/>
                <w:position w:val="1"/>
                <w:sz w:val="20"/>
                <w:szCs w:val="20"/>
              </w:rPr>
              <w:t>0</w:t>
            </w:r>
          </w:p>
        </w:tc>
      </w:tr>
    </w:tbl>
    <w:p w14:paraId="0C1DB754">
      <w:pPr>
        <w:pStyle w:val="2"/>
        <w:spacing w:before="34" w:line="219" w:lineRule="auto"/>
        <w:ind w:left="196"/>
        <w:outlineLvl w:val="0"/>
      </w:pPr>
      <w:r>
        <w:rPr>
          <w:rFonts w:ascii="Calibri" w:hAnsi="Calibri" w:eastAsia="Calibri" w:cs="Calibri"/>
          <w:b/>
          <w:bCs/>
          <w:spacing w:val="-3"/>
        </w:rPr>
        <w:t>11.</w:t>
      </w:r>
      <w:r>
        <w:rPr>
          <w:b/>
          <w:bCs/>
          <w:spacing w:val="-3"/>
        </w:rPr>
        <w:t>本招标项目是否属于依法必须招标项目</w:t>
      </w:r>
    </w:p>
    <w:p w14:paraId="3197007D">
      <w:pPr>
        <w:pStyle w:val="2"/>
        <w:spacing w:before="183" w:line="223" w:lineRule="auto"/>
        <w:ind w:left="672"/>
      </w:pPr>
      <w:r>
        <w:t>是</w:t>
      </w:r>
    </w:p>
    <w:p w14:paraId="4E6C22BA">
      <w:pPr>
        <w:pStyle w:val="2"/>
        <w:spacing w:before="175" w:line="219" w:lineRule="auto"/>
        <w:ind w:left="196"/>
      </w:pPr>
      <w:r>
        <w:rPr>
          <w:rFonts w:ascii="Calibri" w:hAnsi="Calibri" w:eastAsia="Calibri" w:cs="Calibri"/>
          <w:b/>
          <w:bCs/>
          <w:spacing w:val="-3"/>
        </w:rPr>
        <w:t>12.</w:t>
      </w:r>
      <w:r>
        <w:rPr>
          <w:b/>
          <w:bCs/>
          <w:spacing w:val="-3"/>
        </w:rPr>
        <w:t>本招标项目是否采用双盲评审</w:t>
      </w:r>
    </w:p>
    <w:p w14:paraId="6AB3E408">
      <w:pPr>
        <w:pStyle w:val="2"/>
        <w:spacing w:before="183" w:line="223" w:lineRule="auto"/>
        <w:ind w:left="672"/>
      </w:pPr>
      <w:r>
        <w:t>是</w:t>
      </w:r>
    </w:p>
    <w:p w14:paraId="719604AD">
      <w:pPr>
        <w:pStyle w:val="2"/>
        <w:spacing w:before="176" w:line="221" w:lineRule="auto"/>
        <w:ind w:left="206"/>
        <w:outlineLvl w:val="0"/>
      </w:pPr>
      <w:r>
        <w:rPr>
          <w:b/>
          <w:bCs/>
          <w:spacing w:val="-6"/>
        </w:rPr>
        <w:t>13.联系方式</w:t>
      </w:r>
    </w:p>
    <w:p w14:paraId="7A9D8F39">
      <w:pPr>
        <w:pStyle w:val="2"/>
        <w:spacing w:before="308" w:line="219" w:lineRule="auto"/>
        <w:ind w:left="669"/>
      </w:pPr>
      <w:r>
        <w:rPr>
          <w:spacing w:val="-1"/>
        </w:rPr>
        <w:t>招标人：河北高速公路集团有限公司</w:t>
      </w:r>
    </w:p>
    <w:p w14:paraId="372ECE45">
      <w:pPr>
        <w:pStyle w:val="2"/>
        <w:spacing w:before="174" w:line="219" w:lineRule="auto"/>
        <w:ind w:left="668"/>
      </w:pPr>
      <w:r>
        <w:rPr>
          <w:spacing w:val="-3"/>
        </w:rPr>
        <w:t>地址：石家庄市鹿泉区上庄大街与槐安西路交叉口西南</w:t>
      </w:r>
      <w:r>
        <w:rPr>
          <w:spacing w:val="-32"/>
        </w:rPr>
        <w:t xml:space="preserve"> </w:t>
      </w:r>
      <w:r>
        <w:rPr>
          <w:spacing w:val="-3"/>
        </w:rPr>
        <w:t>200</w:t>
      </w:r>
      <w:r>
        <w:rPr>
          <w:spacing w:val="-54"/>
        </w:rPr>
        <w:t xml:space="preserve"> </w:t>
      </w:r>
      <w:r>
        <w:rPr>
          <w:spacing w:val="-3"/>
        </w:rPr>
        <w:t>米</w:t>
      </w:r>
    </w:p>
    <w:p w14:paraId="6F202D49">
      <w:pPr>
        <w:pStyle w:val="2"/>
        <w:spacing w:before="176" w:line="221" w:lineRule="auto"/>
        <w:ind w:left="696"/>
      </w:pPr>
      <w:r>
        <w:rPr>
          <w:spacing w:val="-3"/>
        </w:rPr>
        <w:t>电话：0311-66726398</w:t>
      </w:r>
    </w:p>
    <w:p w14:paraId="031ED324">
      <w:pPr>
        <w:pStyle w:val="2"/>
        <w:spacing w:before="174" w:line="219" w:lineRule="auto"/>
        <w:ind w:left="669"/>
      </w:pPr>
      <w:r>
        <w:rPr>
          <w:spacing w:val="-1"/>
        </w:rPr>
        <w:t>联系人：冯先生、耿先生</w:t>
      </w:r>
    </w:p>
    <w:p w14:paraId="19F88951">
      <w:pPr>
        <w:spacing w:line="246" w:lineRule="auto"/>
        <w:rPr>
          <w:rFonts w:ascii="Arial"/>
          <w:sz w:val="21"/>
        </w:rPr>
      </w:pPr>
    </w:p>
    <w:p w14:paraId="1EE4FFDE">
      <w:pPr>
        <w:spacing w:line="247" w:lineRule="auto"/>
        <w:rPr>
          <w:rFonts w:ascii="Arial"/>
          <w:sz w:val="21"/>
        </w:rPr>
      </w:pPr>
    </w:p>
    <w:p w14:paraId="2AA39AF7">
      <w:pPr>
        <w:pStyle w:val="2"/>
        <w:spacing w:before="78" w:line="219" w:lineRule="auto"/>
        <w:ind w:left="669"/>
      </w:pPr>
      <w:r>
        <w:rPr>
          <w:spacing w:val="-1"/>
        </w:rPr>
        <w:t>招标代理：河北省成套招标有限公司</w:t>
      </w:r>
    </w:p>
    <w:p w14:paraId="175CFD12">
      <w:pPr>
        <w:pStyle w:val="2"/>
        <w:spacing w:before="175" w:line="219" w:lineRule="auto"/>
        <w:ind w:left="668"/>
      </w:pPr>
      <w:r>
        <w:rPr>
          <w:spacing w:val="-1"/>
        </w:rPr>
        <w:t>地址：河北省石家庄市桥西区新石北路</w:t>
      </w:r>
      <w:r>
        <w:rPr>
          <w:spacing w:val="-46"/>
        </w:rPr>
        <w:t xml:space="preserve"> </w:t>
      </w:r>
      <w:r>
        <w:rPr>
          <w:spacing w:val="-1"/>
        </w:rPr>
        <w:t>368</w:t>
      </w:r>
      <w:r>
        <w:rPr>
          <w:spacing w:val="-45"/>
        </w:rPr>
        <w:t xml:space="preserve"> </w:t>
      </w:r>
      <w:r>
        <w:rPr>
          <w:spacing w:val="-1"/>
        </w:rPr>
        <w:t>号金石工业园</w:t>
      </w:r>
      <w:r>
        <w:rPr>
          <w:spacing w:val="-2"/>
        </w:rPr>
        <w:t>瞪羚企业加速器</w:t>
      </w:r>
    </w:p>
    <w:p w14:paraId="22DC7CE5">
      <w:pPr>
        <w:pStyle w:val="2"/>
        <w:spacing w:before="174" w:line="219" w:lineRule="auto"/>
        <w:ind w:left="669"/>
      </w:pPr>
      <w:r>
        <w:rPr>
          <w:spacing w:val="-1"/>
        </w:rPr>
        <w:t>联系人：张科（项目负责人）、鲁鹏</w:t>
      </w:r>
    </w:p>
    <w:p w14:paraId="070DEC6D">
      <w:pPr>
        <w:pStyle w:val="2"/>
        <w:spacing w:before="177" w:line="221" w:lineRule="auto"/>
        <w:ind w:left="696"/>
      </w:pPr>
      <w:r>
        <w:rPr>
          <w:spacing w:val="-2"/>
        </w:rPr>
        <w:t>电话：0311-83082979/13032677130</w:t>
      </w:r>
    </w:p>
    <w:p w14:paraId="08943F7D">
      <w:pPr>
        <w:pStyle w:val="2"/>
        <w:spacing w:before="173" w:line="220" w:lineRule="auto"/>
        <w:ind w:left="686"/>
      </w:pPr>
      <w:r>
        <w:rPr>
          <w:spacing w:val="-2"/>
        </w:rPr>
        <w:t>邮箱：</w:t>
      </w:r>
      <w:r>
        <w:fldChar w:fldCharType="begin"/>
      </w:r>
      <w:r>
        <w:instrText xml:space="preserve"> HYPERLINK "hbct606@163.com14." </w:instrText>
      </w:r>
      <w:r>
        <w:fldChar w:fldCharType="separate"/>
      </w:r>
      <w:r>
        <w:rPr>
          <w:spacing w:val="-2"/>
        </w:rPr>
        <w:t>hbct606@163.com</w:t>
      </w:r>
      <w:r>
        <w:rPr>
          <w:spacing w:val="-2"/>
        </w:rPr>
        <w:fldChar w:fldCharType="end"/>
      </w:r>
    </w:p>
    <w:p w14:paraId="532FBB98">
      <w:pPr>
        <w:spacing w:line="289" w:lineRule="auto"/>
        <w:rPr>
          <w:rFonts w:ascii="Arial"/>
          <w:sz w:val="21"/>
        </w:rPr>
      </w:pPr>
    </w:p>
    <w:p w14:paraId="37353112">
      <w:pPr>
        <w:spacing w:line="289" w:lineRule="auto"/>
        <w:rPr>
          <w:rFonts w:ascii="Arial"/>
          <w:sz w:val="21"/>
        </w:rPr>
      </w:pPr>
    </w:p>
    <w:p w14:paraId="350EC5F7">
      <w:pPr>
        <w:spacing w:line="290" w:lineRule="auto"/>
        <w:rPr>
          <w:rFonts w:ascii="Arial"/>
          <w:sz w:val="21"/>
        </w:rPr>
      </w:pPr>
    </w:p>
    <w:p w14:paraId="09B02B9B">
      <w:pPr>
        <w:pStyle w:val="2"/>
        <w:spacing w:before="79" w:line="219" w:lineRule="auto"/>
        <w:ind w:left="323"/>
        <w:outlineLvl w:val="1"/>
      </w:pPr>
      <w:r>
        <w:fldChar w:fldCharType="begin"/>
      </w:r>
      <w:r>
        <w:instrText xml:space="preserve"> HYPERLINK "hbct606@163.com14." </w:instrText>
      </w:r>
      <w:r>
        <w:fldChar w:fldCharType="separate"/>
      </w:r>
      <w:r>
        <w:rPr>
          <w:spacing w:val="-6"/>
        </w:rPr>
        <w:t>14.</w:t>
      </w:r>
      <w:r>
        <w:rPr>
          <w:spacing w:val="-6"/>
        </w:rPr>
        <w:fldChar w:fldCharType="end"/>
      </w:r>
      <w:r>
        <w:rPr>
          <w:spacing w:val="-6"/>
        </w:rPr>
        <w:t>附件</w:t>
      </w:r>
    </w:p>
    <w:p w14:paraId="0A2CEA08">
      <w:pPr>
        <w:pStyle w:val="2"/>
        <w:spacing w:before="183" w:line="219" w:lineRule="auto"/>
        <w:ind w:left="744"/>
      </w:pPr>
      <w:r>
        <w:rPr>
          <w:b/>
          <w:bCs/>
          <w:spacing w:val="-8"/>
        </w:rPr>
        <w:t>附件</w:t>
      </w:r>
      <w:r>
        <w:rPr>
          <w:spacing w:val="-28"/>
        </w:rPr>
        <w:t xml:space="preserve"> </w:t>
      </w:r>
      <w:r>
        <w:rPr>
          <w:b/>
          <w:bCs/>
          <w:spacing w:val="-8"/>
        </w:rPr>
        <w:t>1：资格审查条件</w:t>
      </w:r>
    </w:p>
    <w:p w14:paraId="4A99A3E0">
      <w:pPr>
        <w:pStyle w:val="2"/>
        <w:spacing w:before="181" w:line="218" w:lineRule="auto"/>
        <w:ind w:left="744"/>
      </w:pPr>
      <w:r>
        <w:rPr>
          <w:b/>
          <w:bCs/>
          <w:spacing w:val="-4"/>
        </w:rPr>
        <w:t>附件</w:t>
      </w:r>
      <w:r>
        <w:rPr>
          <w:spacing w:val="-31"/>
        </w:rPr>
        <w:t xml:space="preserve"> </w:t>
      </w:r>
      <w:r>
        <w:rPr>
          <w:b/>
          <w:bCs/>
          <w:spacing w:val="-4"/>
        </w:rPr>
        <w:t>2：随机抽取确定评标基准价计算方法的规则与程序</w:t>
      </w:r>
    </w:p>
    <w:p w14:paraId="6468466F">
      <w:pPr>
        <w:pStyle w:val="2"/>
        <w:spacing w:before="184" w:line="219" w:lineRule="auto"/>
        <w:ind w:left="744"/>
      </w:pPr>
      <w:r>
        <w:rPr>
          <w:b/>
          <w:bCs/>
          <w:spacing w:val="-8"/>
        </w:rPr>
        <w:t>附件</w:t>
      </w:r>
      <w:r>
        <w:rPr>
          <w:spacing w:val="-39"/>
        </w:rPr>
        <w:t xml:space="preserve"> </w:t>
      </w:r>
      <w:r>
        <w:rPr>
          <w:b/>
          <w:bCs/>
          <w:spacing w:val="-8"/>
        </w:rPr>
        <w:t>3：评标办法</w:t>
      </w:r>
    </w:p>
    <w:p w14:paraId="770F3F60">
      <w:pPr>
        <w:spacing w:line="219" w:lineRule="auto"/>
        <w:sectPr>
          <w:footerReference r:id="rId8" w:type="default"/>
          <w:pgSz w:w="11906" w:h="16839"/>
          <w:pgMar w:top="1431" w:right="1634" w:bottom="1376" w:left="1620" w:header="0" w:footer="1212" w:gutter="0"/>
          <w:cols w:space="720" w:num="1"/>
        </w:sectPr>
      </w:pPr>
    </w:p>
    <w:p w14:paraId="680EC943">
      <w:pPr>
        <w:spacing w:before="49" w:line="211" w:lineRule="auto"/>
        <w:ind w:left="2158"/>
        <w:rPr>
          <w:rFonts w:ascii="黑体" w:hAnsi="黑体" w:eastAsia="黑体" w:cs="黑体"/>
          <w:sz w:val="24"/>
          <w:szCs w:val="24"/>
        </w:rPr>
      </w:pPr>
      <w:r>
        <w:rPr>
          <w:rFonts w:ascii="黑体" w:hAnsi="黑体" w:eastAsia="黑体" w:cs="黑体"/>
          <w:spacing w:val="-3"/>
          <w:sz w:val="24"/>
          <w:szCs w:val="24"/>
        </w:rPr>
        <w:t>附录</w:t>
      </w:r>
      <w:r>
        <w:rPr>
          <w:rFonts w:ascii="黑体" w:hAnsi="黑体" w:eastAsia="黑体" w:cs="黑体"/>
          <w:spacing w:val="-27"/>
          <w:sz w:val="24"/>
          <w:szCs w:val="24"/>
        </w:rPr>
        <w:t xml:space="preserve"> </w:t>
      </w:r>
      <w:r>
        <w:rPr>
          <w:rFonts w:ascii="黑体" w:hAnsi="黑体" w:eastAsia="黑体" w:cs="黑体"/>
          <w:spacing w:val="-3"/>
          <w:sz w:val="24"/>
          <w:szCs w:val="24"/>
        </w:rPr>
        <w:t>1  资格审查条件（资质最低要求）</w:t>
      </w: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6"/>
      </w:tblGrid>
      <w:tr w14:paraId="22FB6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526" w:type="dxa"/>
            <w:vAlign w:val="top"/>
          </w:tcPr>
          <w:p w14:paraId="68A78068">
            <w:pPr>
              <w:pStyle w:val="6"/>
              <w:spacing w:before="150" w:line="228" w:lineRule="auto"/>
              <w:ind w:left="3856"/>
            </w:pPr>
            <w:r>
              <w:rPr>
                <w:spacing w:val="5"/>
              </w:rPr>
              <w:t>资质要求</w:t>
            </w:r>
          </w:p>
        </w:tc>
      </w:tr>
      <w:tr w14:paraId="64FCB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8526" w:type="dxa"/>
            <w:vAlign w:val="top"/>
          </w:tcPr>
          <w:p w14:paraId="5B7F5B4C">
            <w:pPr>
              <w:pStyle w:val="6"/>
              <w:spacing w:before="131" w:line="228" w:lineRule="auto"/>
              <w:ind w:left="414"/>
            </w:pPr>
            <w:r>
              <w:rPr>
                <w:b/>
                <w:bCs/>
                <w:spacing w:val="7"/>
              </w:rPr>
              <w:t>1、</w:t>
            </w:r>
            <w:r>
              <w:rPr>
                <w:spacing w:val="-11"/>
              </w:rPr>
              <w:t xml:space="preserve"> </w:t>
            </w:r>
            <w:r>
              <w:rPr>
                <w:spacing w:val="7"/>
              </w:rPr>
              <w:t>中华人民共和国境内的法人或其他组织，持有有效的营业执照。</w:t>
            </w:r>
          </w:p>
          <w:p w14:paraId="510A62A9">
            <w:pPr>
              <w:pStyle w:val="6"/>
              <w:spacing w:before="80" w:line="228" w:lineRule="auto"/>
              <w:ind w:left="401"/>
            </w:pPr>
            <w:r>
              <w:rPr>
                <w:b/>
                <w:bCs/>
                <w:spacing w:val="2"/>
              </w:rPr>
              <w:t>2、</w:t>
            </w:r>
            <w:r>
              <w:rPr>
                <w:spacing w:val="-38"/>
              </w:rPr>
              <w:t xml:space="preserve"> </w:t>
            </w:r>
            <w:r>
              <w:rPr>
                <w:b/>
                <w:bCs/>
                <w:spacing w:val="2"/>
              </w:rPr>
              <w:t>设计资质：</w:t>
            </w:r>
          </w:p>
          <w:p w14:paraId="5038875E">
            <w:pPr>
              <w:pStyle w:val="6"/>
              <w:spacing w:before="79" w:line="302" w:lineRule="auto"/>
              <w:ind w:left="148" w:right="109" w:firstLine="261"/>
            </w:pPr>
            <w:r>
              <w:rPr>
                <w:spacing w:val="8"/>
              </w:rPr>
              <w:t>（1）具备住房和城乡建设行政主管部门颁发的</w:t>
            </w:r>
            <w:r>
              <w:rPr>
                <w:spacing w:val="8"/>
                <w:u w:val="single" w:color="auto"/>
              </w:rPr>
              <w:t>工程设计综合甲</w:t>
            </w:r>
            <w:r>
              <w:rPr>
                <w:spacing w:val="7"/>
                <w:u w:val="single" w:color="auto"/>
              </w:rPr>
              <w:t>级资质或公路行业设计甲</w:t>
            </w:r>
            <w:r>
              <w:rPr>
                <w:spacing w:val="9"/>
                <w:u w:val="single" w:color="auto"/>
              </w:rPr>
              <w:t>级资质或公路行业（交通工程）设计专业甲级</w:t>
            </w:r>
            <w:r>
              <w:rPr>
                <w:spacing w:val="9"/>
              </w:rPr>
              <w:t>资</w:t>
            </w:r>
            <w:r>
              <w:rPr>
                <w:spacing w:val="8"/>
              </w:rPr>
              <w:t>质。</w:t>
            </w:r>
          </w:p>
          <w:p w14:paraId="3284F66E">
            <w:pPr>
              <w:pStyle w:val="6"/>
              <w:spacing w:line="228" w:lineRule="auto"/>
              <w:ind w:left="403"/>
            </w:pPr>
            <w:r>
              <w:rPr>
                <w:b/>
                <w:bCs/>
                <w:spacing w:val="4"/>
              </w:rPr>
              <w:t>3、施工资质：</w:t>
            </w:r>
          </w:p>
          <w:p w14:paraId="5DC3543C">
            <w:pPr>
              <w:pStyle w:val="6"/>
              <w:spacing w:before="79" w:line="301" w:lineRule="auto"/>
              <w:ind w:left="124" w:right="109" w:firstLine="310"/>
            </w:pPr>
            <w:r>
              <w:rPr>
                <w:spacing w:val="7"/>
              </w:rPr>
              <w:t>（1）具备住房和城乡建设行政主管部门颁发的</w:t>
            </w:r>
            <w:r>
              <w:rPr>
                <w:spacing w:val="7"/>
                <w:u w:val="single" w:color="auto"/>
              </w:rPr>
              <w:t>公路交通工程专业承包机电工程分项一级</w:t>
            </w:r>
            <w:r>
              <w:t>资质；</w:t>
            </w:r>
          </w:p>
          <w:p w14:paraId="08F798C5">
            <w:pPr>
              <w:pStyle w:val="6"/>
              <w:spacing w:line="227" w:lineRule="auto"/>
              <w:ind w:left="435"/>
            </w:pPr>
            <w:r>
              <w:rPr>
                <w:spacing w:val="9"/>
              </w:rPr>
              <w:t>（2）具有住房和城乡建设行政主管部门颁发的有效的</w:t>
            </w:r>
            <w:r>
              <w:rPr>
                <w:spacing w:val="9"/>
                <w:u w:val="single" w:color="auto"/>
              </w:rPr>
              <w:t>安全生产</w:t>
            </w:r>
            <w:r>
              <w:rPr>
                <w:spacing w:val="8"/>
                <w:u w:val="single" w:color="auto"/>
              </w:rPr>
              <w:t>许可证</w:t>
            </w:r>
            <w:r>
              <w:rPr>
                <w:spacing w:val="8"/>
              </w:rPr>
              <w:t>。</w:t>
            </w:r>
          </w:p>
        </w:tc>
      </w:tr>
      <w:tr w14:paraId="3CAF1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526" w:type="dxa"/>
            <w:vAlign w:val="top"/>
          </w:tcPr>
          <w:p w14:paraId="5568B4B8">
            <w:pPr>
              <w:pStyle w:val="6"/>
              <w:spacing w:before="127" w:line="228" w:lineRule="auto"/>
              <w:ind w:left="425"/>
            </w:pPr>
            <w:r>
              <w:rPr>
                <w:spacing w:val="7"/>
              </w:rPr>
              <w:t>注：</w:t>
            </w:r>
            <w:r>
              <w:rPr>
                <w:spacing w:val="-60"/>
              </w:rPr>
              <w:t xml:space="preserve"> </w:t>
            </w:r>
            <w:r>
              <w:rPr>
                <w:spacing w:val="7"/>
              </w:rPr>
              <w:t>以联合体形式投标的，联合体所有成员数量不得超</w:t>
            </w:r>
            <w:r>
              <w:rPr>
                <w:spacing w:val="6"/>
              </w:rPr>
              <w:t>过</w:t>
            </w:r>
            <w:r>
              <w:rPr>
                <w:spacing w:val="-36"/>
              </w:rPr>
              <w:t xml:space="preserve"> </w:t>
            </w:r>
            <w:r>
              <w:rPr>
                <w:spacing w:val="6"/>
                <w:u w:val="single" w:color="auto"/>
              </w:rPr>
              <w:t>2</w:t>
            </w:r>
            <w:r>
              <w:rPr>
                <w:spacing w:val="-37"/>
                <w:u w:val="single" w:color="auto"/>
              </w:rPr>
              <w:t xml:space="preserve"> </w:t>
            </w:r>
            <w:r>
              <w:rPr>
                <w:spacing w:val="6"/>
              </w:rPr>
              <w:t>家。</w:t>
            </w:r>
          </w:p>
          <w:p w14:paraId="3490B1E8">
            <w:pPr>
              <w:pStyle w:val="6"/>
              <w:spacing w:before="79" w:line="303" w:lineRule="auto"/>
              <w:ind w:left="140" w:right="109" w:firstLine="285"/>
            </w:pPr>
            <w:r>
              <w:rPr>
                <w:spacing w:val="10"/>
              </w:rPr>
              <w:t>其中联合体牵头人应具备住房和城乡建设行政主管部门颁发的公路交通工程专业承包机</w:t>
            </w:r>
            <w:r>
              <w:rPr>
                <w:spacing w:val="5"/>
              </w:rPr>
              <w:t>电工程分项一级资质。</w:t>
            </w:r>
          </w:p>
        </w:tc>
      </w:tr>
    </w:tbl>
    <w:p w14:paraId="6779D1F0">
      <w:pPr>
        <w:spacing w:line="252" w:lineRule="auto"/>
        <w:rPr>
          <w:rFonts w:ascii="Arial"/>
          <w:sz w:val="21"/>
        </w:rPr>
      </w:pPr>
    </w:p>
    <w:p w14:paraId="40D12FF0">
      <w:pPr>
        <w:spacing w:line="252" w:lineRule="auto"/>
        <w:rPr>
          <w:rFonts w:ascii="Arial"/>
          <w:sz w:val="21"/>
        </w:rPr>
      </w:pPr>
    </w:p>
    <w:p w14:paraId="21F323E5">
      <w:pPr>
        <w:spacing w:line="252" w:lineRule="auto"/>
        <w:rPr>
          <w:rFonts w:ascii="Arial"/>
          <w:sz w:val="21"/>
        </w:rPr>
      </w:pPr>
    </w:p>
    <w:p w14:paraId="16F91A2F">
      <w:pPr>
        <w:spacing w:line="253" w:lineRule="auto"/>
        <w:rPr>
          <w:rFonts w:ascii="Arial"/>
          <w:sz w:val="21"/>
        </w:rPr>
      </w:pPr>
    </w:p>
    <w:p w14:paraId="29A75B2A">
      <w:pPr>
        <w:spacing w:before="78" w:line="211" w:lineRule="auto"/>
        <w:ind w:left="2158"/>
        <w:rPr>
          <w:rFonts w:ascii="黑体" w:hAnsi="黑体" w:eastAsia="黑体" w:cs="黑体"/>
          <w:sz w:val="24"/>
          <w:szCs w:val="24"/>
        </w:rPr>
      </w:pPr>
      <w:r>
        <w:rPr>
          <w:rFonts w:ascii="黑体" w:hAnsi="黑体" w:eastAsia="黑体" w:cs="黑体"/>
          <w:spacing w:val="1"/>
          <w:sz w:val="24"/>
          <w:szCs w:val="24"/>
        </w:rPr>
        <w:t>附录2  资格审查条件（财务最低要求）</w:t>
      </w: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6"/>
      </w:tblGrid>
      <w:tr w14:paraId="5BA08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526" w:type="dxa"/>
            <w:vAlign w:val="top"/>
          </w:tcPr>
          <w:p w14:paraId="16D30D92">
            <w:pPr>
              <w:pStyle w:val="6"/>
              <w:spacing w:before="157" w:line="228" w:lineRule="auto"/>
              <w:ind w:left="3848"/>
            </w:pPr>
            <w:r>
              <w:rPr>
                <w:spacing w:val="7"/>
              </w:rPr>
              <w:t>财务要求</w:t>
            </w:r>
          </w:p>
        </w:tc>
      </w:tr>
      <w:tr w14:paraId="3BC1A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8526" w:type="dxa"/>
            <w:vAlign w:val="top"/>
          </w:tcPr>
          <w:p w14:paraId="72F0DCDF">
            <w:pPr>
              <w:pStyle w:val="6"/>
              <w:spacing w:before="97" w:line="302" w:lineRule="auto"/>
              <w:ind w:left="115" w:right="109" w:firstLine="521"/>
              <w:jc w:val="both"/>
            </w:pPr>
            <w:r>
              <w:rPr>
                <w:spacing w:val="9"/>
              </w:rPr>
              <w:t>为本项目所提供的营运资金(以经会计事务所审计的</w:t>
            </w:r>
            <w:r>
              <w:rPr>
                <w:spacing w:val="-37"/>
              </w:rPr>
              <w:t xml:space="preserve"> </w:t>
            </w:r>
            <w:r>
              <w:rPr>
                <w:spacing w:val="9"/>
              </w:rPr>
              <w:t>2025</w:t>
            </w:r>
            <w:r>
              <w:rPr>
                <w:spacing w:val="-40"/>
              </w:rPr>
              <w:t xml:space="preserve"> </w:t>
            </w:r>
            <w:r>
              <w:rPr>
                <w:spacing w:val="9"/>
              </w:rPr>
              <w:t>年度财务报表中：营运资金</w:t>
            </w:r>
            <w:r>
              <w:t xml:space="preserve"> </w:t>
            </w:r>
            <w:r>
              <w:rPr>
                <w:spacing w:val="11"/>
              </w:rPr>
              <w:t>=流动资产－流动负债，</w:t>
            </w:r>
            <w:r>
              <w:rPr>
                <w:spacing w:val="-45"/>
              </w:rPr>
              <w:t xml:space="preserve"> </w:t>
            </w:r>
            <w:r>
              <w:rPr>
                <w:spacing w:val="11"/>
              </w:rPr>
              <w:t>以年末数计算)以及为本项目而专门开具的银行信贷证明之和不得</w:t>
            </w:r>
            <w:r>
              <w:rPr>
                <w:spacing w:val="2"/>
              </w:rPr>
              <w:t>低于</w:t>
            </w:r>
            <w:r>
              <w:rPr>
                <w:spacing w:val="-32"/>
              </w:rPr>
              <w:t xml:space="preserve"> </w:t>
            </w:r>
            <w:r>
              <w:rPr>
                <w:spacing w:val="2"/>
              </w:rPr>
              <w:t>500</w:t>
            </w:r>
            <w:r>
              <w:rPr>
                <w:spacing w:val="-35"/>
              </w:rPr>
              <w:t xml:space="preserve"> </w:t>
            </w:r>
            <w:r>
              <w:rPr>
                <w:spacing w:val="2"/>
              </w:rPr>
              <w:t>万元。</w:t>
            </w:r>
          </w:p>
        </w:tc>
      </w:tr>
      <w:tr w14:paraId="7EE7B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526" w:type="dxa"/>
            <w:vAlign w:val="top"/>
          </w:tcPr>
          <w:p w14:paraId="12F4818B">
            <w:pPr>
              <w:pStyle w:val="6"/>
              <w:spacing w:before="124" w:line="227" w:lineRule="auto"/>
              <w:ind w:left="425"/>
            </w:pPr>
            <w:r>
              <w:rPr>
                <w:spacing w:val="8"/>
              </w:rPr>
              <w:t>注：</w:t>
            </w:r>
            <w:r>
              <w:rPr>
                <w:spacing w:val="-60"/>
              </w:rPr>
              <w:t xml:space="preserve"> </w:t>
            </w:r>
            <w:r>
              <w:rPr>
                <w:spacing w:val="8"/>
              </w:rPr>
              <w:t>以联合体形式投标的，联合体牵头人应满足本项规定的资格条件。</w:t>
            </w:r>
          </w:p>
        </w:tc>
      </w:tr>
    </w:tbl>
    <w:p w14:paraId="192D0226">
      <w:pPr>
        <w:rPr>
          <w:rFonts w:ascii="Arial"/>
          <w:sz w:val="21"/>
        </w:rPr>
      </w:pPr>
    </w:p>
    <w:p w14:paraId="44B9CA0E">
      <w:pPr>
        <w:rPr>
          <w:rFonts w:ascii="Arial" w:hAnsi="Arial" w:eastAsia="Arial" w:cs="Arial"/>
          <w:sz w:val="21"/>
          <w:szCs w:val="21"/>
        </w:rPr>
        <w:sectPr>
          <w:footerReference r:id="rId9" w:type="default"/>
          <w:pgSz w:w="11906" w:h="16839"/>
          <w:pgMar w:top="1428" w:right="1687" w:bottom="1376" w:left="1687" w:header="0" w:footer="1212" w:gutter="0"/>
          <w:cols w:space="720" w:num="1"/>
        </w:sect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6"/>
      </w:tblGrid>
      <w:tr w14:paraId="3896D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526" w:type="dxa"/>
            <w:vAlign w:val="top"/>
          </w:tcPr>
          <w:p w14:paraId="677C6EC2">
            <w:pPr>
              <w:pStyle w:val="6"/>
              <w:spacing w:before="157" w:line="228" w:lineRule="auto"/>
              <w:ind w:left="3847"/>
            </w:pPr>
            <w:r>
              <w:rPr>
                <w:spacing w:val="7"/>
              </w:rPr>
              <w:t>业绩要求</w:t>
            </w:r>
          </w:p>
        </w:tc>
      </w:tr>
      <w:tr w14:paraId="73F10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1" w:hRule="atLeast"/>
        </w:trPr>
        <w:tc>
          <w:tcPr>
            <w:tcW w:w="8526" w:type="dxa"/>
            <w:vAlign w:val="top"/>
          </w:tcPr>
          <w:p w14:paraId="466AFA6F">
            <w:pPr>
              <w:pStyle w:val="6"/>
              <w:spacing w:before="215" w:line="228" w:lineRule="auto"/>
              <w:ind w:left="649"/>
            </w:pPr>
            <w:r>
              <w:rPr>
                <w:spacing w:val="3"/>
              </w:rPr>
              <w:t>1.设计业绩：</w:t>
            </w:r>
          </w:p>
          <w:p w14:paraId="373A730D">
            <w:pPr>
              <w:pStyle w:val="6"/>
              <w:spacing w:before="79" w:line="302" w:lineRule="auto"/>
              <w:ind w:left="115" w:right="109" w:firstLine="518"/>
            </w:pPr>
            <w:r>
              <w:rPr>
                <w:spacing w:val="5"/>
              </w:rPr>
              <w:t>近</w:t>
            </w:r>
            <w:r>
              <w:rPr>
                <w:spacing w:val="-35"/>
              </w:rPr>
              <w:t xml:space="preserve"> </w:t>
            </w:r>
            <w:r>
              <w:rPr>
                <w:spacing w:val="5"/>
              </w:rPr>
              <w:t>5</w:t>
            </w:r>
            <w:r>
              <w:rPr>
                <w:spacing w:val="-37"/>
              </w:rPr>
              <w:t xml:space="preserve"> </w:t>
            </w:r>
            <w:r>
              <w:rPr>
                <w:spacing w:val="5"/>
              </w:rPr>
              <w:t>年(2021年</w:t>
            </w:r>
            <w:r>
              <w:rPr>
                <w:spacing w:val="-35"/>
              </w:rPr>
              <w:t xml:space="preserve"> </w:t>
            </w:r>
            <w:r>
              <w:rPr>
                <w:spacing w:val="5"/>
              </w:rPr>
              <w:t>6</w:t>
            </w:r>
            <w:r>
              <w:rPr>
                <w:spacing w:val="-35"/>
              </w:rPr>
              <w:t xml:space="preserve"> </w:t>
            </w:r>
            <w:r>
              <w:rPr>
                <w:spacing w:val="5"/>
              </w:rPr>
              <w:t>月</w:t>
            </w:r>
            <w:r>
              <w:rPr>
                <w:spacing w:val="-22"/>
              </w:rPr>
              <w:t xml:space="preserve"> </w:t>
            </w:r>
            <w:r>
              <w:rPr>
                <w:spacing w:val="5"/>
              </w:rPr>
              <w:t>1 日至今，以项目施工图设计批复日期为准)，至少</w:t>
            </w:r>
            <w:r>
              <w:rPr>
                <w:spacing w:val="4"/>
              </w:rPr>
              <w:t>完成过</w:t>
            </w:r>
            <w:r>
              <w:rPr>
                <w:spacing w:val="-23"/>
              </w:rPr>
              <w:t xml:space="preserve"> </w:t>
            </w:r>
            <w:r>
              <w:rPr>
                <w:spacing w:val="4"/>
              </w:rPr>
              <w:t>1</w:t>
            </w:r>
            <w:r>
              <w:rPr>
                <w:spacing w:val="-35"/>
              </w:rPr>
              <w:t xml:space="preserve"> </w:t>
            </w:r>
            <w:r>
              <w:rPr>
                <w:spacing w:val="4"/>
              </w:rPr>
              <w:t>项高</w:t>
            </w:r>
            <w:r>
              <w:rPr>
                <w:spacing w:val="8"/>
              </w:rPr>
              <w:t>速公路机电工程设计业绩。</w:t>
            </w:r>
          </w:p>
          <w:p w14:paraId="3B7477DE">
            <w:pPr>
              <w:pStyle w:val="6"/>
              <w:spacing w:line="228" w:lineRule="auto"/>
              <w:ind w:left="636"/>
            </w:pPr>
            <w:r>
              <w:rPr>
                <w:spacing w:val="5"/>
              </w:rPr>
              <w:t>2.施工业绩：</w:t>
            </w:r>
          </w:p>
          <w:p w14:paraId="3A90AB41">
            <w:pPr>
              <w:pStyle w:val="6"/>
              <w:spacing w:before="79" w:line="302" w:lineRule="auto"/>
              <w:ind w:left="119" w:right="109" w:firstLine="514"/>
            </w:pPr>
            <w:r>
              <w:rPr>
                <w:spacing w:val="4"/>
              </w:rPr>
              <w:t>近</w:t>
            </w:r>
            <w:r>
              <w:rPr>
                <w:spacing w:val="-33"/>
              </w:rPr>
              <w:t xml:space="preserve"> </w:t>
            </w:r>
            <w:r>
              <w:rPr>
                <w:spacing w:val="4"/>
              </w:rPr>
              <w:t>5</w:t>
            </w:r>
            <w:r>
              <w:rPr>
                <w:spacing w:val="-37"/>
              </w:rPr>
              <w:t xml:space="preserve"> </w:t>
            </w:r>
            <w:r>
              <w:rPr>
                <w:spacing w:val="4"/>
              </w:rPr>
              <w:t>年（2021</w:t>
            </w:r>
            <w:r>
              <w:rPr>
                <w:spacing w:val="-37"/>
              </w:rPr>
              <w:t xml:space="preserve"> </w:t>
            </w:r>
            <w:r>
              <w:rPr>
                <w:spacing w:val="4"/>
              </w:rPr>
              <w:t>年</w:t>
            </w:r>
            <w:r>
              <w:rPr>
                <w:spacing w:val="-35"/>
              </w:rPr>
              <w:t xml:space="preserve"> </w:t>
            </w:r>
            <w:r>
              <w:rPr>
                <w:spacing w:val="4"/>
              </w:rPr>
              <w:t>6</w:t>
            </w:r>
            <w:r>
              <w:rPr>
                <w:spacing w:val="-31"/>
              </w:rPr>
              <w:t xml:space="preserve"> </w:t>
            </w:r>
            <w:r>
              <w:rPr>
                <w:spacing w:val="4"/>
              </w:rPr>
              <w:t>月</w:t>
            </w:r>
            <w:r>
              <w:rPr>
                <w:spacing w:val="-21"/>
              </w:rPr>
              <w:t xml:space="preserve"> </w:t>
            </w:r>
            <w:r>
              <w:rPr>
                <w:spacing w:val="4"/>
              </w:rPr>
              <w:t>1 日至今，</w:t>
            </w:r>
            <w:r>
              <w:rPr>
                <w:spacing w:val="-60"/>
              </w:rPr>
              <w:t xml:space="preserve"> </w:t>
            </w:r>
            <w:r>
              <w:rPr>
                <w:spacing w:val="4"/>
              </w:rPr>
              <w:t>以工程交工日期为准</w:t>
            </w:r>
            <w:r>
              <w:rPr>
                <w:spacing w:val="-31"/>
              </w:rPr>
              <w:t>），</w:t>
            </w:r>
            <w:r>
              <w:rPr>
                <w:spacing w:val="4"/>
              </w:rPr>
              <w:t>至少完成过</w:t>
            </w:r>
            <w:r>
              <w:rPr>
                <w:spacing w:val="-21"/>
              </w:rPr>
              <w:t xml:space="preserve"> </w:t>
            </w:r>
            <w:r>
              <w:rPr>
                <w:spacing w:val="4"/>
              </w:rPr>
              <w:t>1</w:t>
            </w:r>
            <w:r>
              <w:rPr>
                <w:spacing w:val="-38"/>
              </w:rPr>
              <w:t xml:space="preserve"> </w:t>
            </w:r>
            <w:r>
              <w:rPr>
                <w:spacing w:val="4"/>
              </w:rPr>
              <w:t>个合同额不少</w:t>
            </w:r>
            <w:r>
              <w:rPr>
                <w:spacing w:val="6"/>
              </w:rPr>
              <w:t>于</w:t>
            </w:r>
            <w:r>
              <w:rPr>
                <w:spacing w:val="-20"/>
              </w:rPr>
              <w:t xml:space="preserve"> </w:t>
            </w:r>
            <w:r>
              <w:rPr>
                <w:spacing w:val="6"/>
              </w:rPr>
              <w:t>2000</w:t>
            </w:r>
            <w:r>
              <w:rPr>
                <w:spacing w:val="-36"/>
              </w:rPr>
              <w:t xml:space="preserve"> </w:t>
            </w:r>
            <w:r>
              <w:rPr>
                <w:spacing w:val="6"/>
              </w:rPr>
              <w:t>万元的高速公路机电工程施工业绩。</w:t>
            </w:r>
          </w:p>
        </w:tc>
      </w:tr>
      <w:tr w14:paraId="4249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526" w:type="dxa"/>
            <w:vAlign w:val="top"/>
          </w:tcPr>
          <w:p w14:paraId="0C60BD9D">
            <w:pPr>
              <w:pStyle w:val="6"/>
              <w:spacing w:before="75" w:line="302" w:lineRule="auto"/>
              <w:ind w:left="115" w:right="109" w:firstLine="518"/>
            </w:pPr>
            <w:r>
              <w:rPr>
                <w:spacing w:val="10"/>
              </w:rPr>
              <w:t>注：以联合体形式投标的，施工业绩由联合体牵头人提供，设计业绩由联合体成员提</w:t>
            </w:r>
            <w:r>
              <w:t>供。</w:t>
            </w:r>
          </w:p>
        </w:tc>
      </w:tr>
    </w:tbl>
    <w:p w14:paraId="03FD808C">
      <w:pPr>
        <w:spacing w:line="271" w:lineRule="auto"/>
        <w:rPr>
          <w:rFonts w:ascii="Arial"/>
          <w:sz w:val="21"/>
        </w:rPr>
      </w:pPr>
    </w:p>
    <w:p w14:paraId="00A170D1">
      <w:pPr>
        <w:spacing w:line="272" w:lineRule="auto"/>
        <w:rPr>
          <w:rFonts w:ascii="Arial"/>
          <w:sz w:val="21"/>
        </w:rPr>
      </w:pPr>
    </w:p>
    <w:p w14:paraId="6E359D3A">
      <w:pPr>
        <w:spacing w:line="272" w:lineRule="auto"/>
        <w:rPr>
          <w:rFonts w:ascii="Arial"/>
          <w:sz w:val="21"/>
        </w:rPr>
      </w:pPr>
    </w:p>
    <w:p w14:paraId="6065BE7B">
      <w:pPr>
        <w:spacing w:line="272" w:lineRule="auto"/>
        <w:rPr>
          <w:rFonts w:ascii="Arial"/>
          <w:sz w:val="21"/>
        </w:rPr>
      </w:pPr>
    </w:p>
    <w:p w14:paraId="67BF20E7">
      <w:pPr>
        <w:spacing w:line="272" w:lineRule="auto"/>
        <w:rPr>
          <w:rFonts w:ascii="Arial"/>
          <w:sz w:val="21"/>
        </w:rPr>
      </w:pPr>
    </w:p>
    <w:p w14:paraId="2903DB61">
      <w:pPr>
        <w:spacing w:line="272" w:lineRule="auto"/>
        <w:rPr>
          <w:rFonts w:ascii="Arial"/>
          <w:sz w:val="21"/>
        </w:rPr>
      </w:pPr>
    </w:p>
    <w:p w14:paraId="096E7D08">
      <w:pPr>
        <w:spacing w:line="272" w:lineRule="auto"/>
        <w:rPr>
          <w:rFonts w:ascii="Arial"/>
          <w:sz w:val="21"/>
        </w:rPr>
      </w:pPr>
    </w:p>
    <w:p w14:paraId="58F8C6BD">
      <w:pPr>
        <w:spacing w:before="78" w:line="212" w:lineRule="auto"/>
        <w:ind w:left="2247"/>
        <w:rPr>
          <w:rFonts w:ascii="黑体" w:hAnsi="黑体" w:eastAsia="黑体" w:cs="黑体"/>
          <w:sz w:val="24"/>
          <w:szCs w:val="24"/>
        </w:rPr>
      </w:pPr>
      <w:r>
        <w:rPr>
          <w:rFonts w:ascii="黑体" w:hAnsi="黑体" w:eastAsia="黑体" w:cs="黑体"/>
          <w:spacing w:val="-3"/>
          <w:sz w:val="24"/>
          <w:szCs w:val="24"/>
        </w:rPr>
        <w:t>附录</w:t>
      </w:r>
      <w:r>
        <w:rPr>
          <w:rFonts w:ascii="黑体" w:hAnsi="黑体" w:eastAsia="黑体" w:cs="黑体"/>
          <w:spacing w:val="-51"/>
          <w:sz w:val="24"/>
          <w:szCs w:val="24"/>
        </w:rPr>
        <w:t xml:space="preserve"> </w:t>
      </w:r>
      <w:r>
        <w:rPr>
          <w:rFonts w:ascii="黑体" w:hAnsi="黑体" w:eastAsia="黑体" w:cs="黑体"/>
          <w:spacing w:val="-3"/>
          <w:sz w:val="24"/>
          <w:szCs w:val="24"/>
        </w:rPr>
        <w:t>4</w:t>
      </w:r>
      <w:r>
        <w:rPr>
          <w:rFonts w:ascii="黑体" w:hAnsi="黑体" w:eastAsia="黑体" w:cs="黑体"/>
          <w:spacing w:val="-42"/>
          <w:sz w:val="24"/>
          <w:szCs w:val="24"/>
        </w:rPr>
        <w:t xml:space="preserve"> </w:t>
      </w:r>
      <w:r>
        <w:rPr>
          <w:rFonts w:ascii="黑体" w:hAnsi="黑体" w:eastAsia="黑体" w:cs="黑体"/>
          <w:spacing w:val="-3"/>
          <w:sz w:val="24"/>
          <w:szCs w:val="24"/>
        </w:rPr>
        <w:t>资格审查条件（信誉最低要求）</w:t>
      </w: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6"/>
      </w:tblGrid>
      <w:tr w14:paraId="2AD33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526" w:type="dxa"/>
            <w:vAlign w:val="top"/>
          </w:tcPr>
          <w:p w14:paraId="3BB95D3F">
            <w:pPr>
              <w:pStyle w:val="6"/>
              <w:spacing w:before="159" w:line="227" w:lineRule="auto"/>
              <w:ind w:left="3847"/>
            </w:pPr>
            <w:r>
              <w:rPr>
                <w:spacing w:val="7"/>
              </w:rPr>
              <w:t>信誉要求</w:t>
            </w:r>
          </w:p>
        </w:tc>
      </w:tr>
      <w:tr w14:paraId="79160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526" w:type="dxa"/>
            <w:vAlign w:val="top"/>
          </w:tcPr>
          <w:p w14:paraId="0AA77959">
            <w:pPr>
              <w:pStyle w:val="6"/>
              <w:spacing w:before="182" w:line="302" w:lineRule="auto"/>
              <w:ind w:left="135" w:right="50" w:firstLine="501"/>
            </w:pPr>
            <w:r>
              <w:rPr>
                <w:spacing w:val="4"/>
              </w:rPr>
              <w:t>投标人在近</w:t>
            </w:r>
            <w:r>
              <w:rPr>
                <w:spacing w:val="-18"/>
              </w:rPr>
              <w:t xml:space="preserve"> </w:t>
            </w:r>
            <w:r>
              <w:rPr>
                <w:spacing w:val="4"/>
              </w:rPr>
              <w:t>1</w:t>
            </w:r>
            <w:r>
              <w:rPr>
                <w:spacing w:val="-37"/>
              </w:rPr>
              <w:t xml:space="preserve"> </w:t>
            </w:r>
            <w:r>
              <w:rPr>
                <w:spacing w:val="4"/>
              </w:rPr>
              <w:t>年（2025</w:t>
            </w:r>
            <w:r>
              <w:rPr>
                <w:spacing w:val="-40"/>
              </w:rPr>
              <w:t xml:space="preserve"> </w:t>
            </w:r>
            <w:r>
              <w:rPr>
                <w:spacing w:val="4"/>
              </w:rPr>
              <w:t>年</w:t>
            </w:r>
            <w:r>
              <w:rPr>
                <w:spacing w:val="-35"/>
              </w:rPr>
              <w:t xml:space="preserve"> </w:t>
            </w:r>
            <w:r>
              <w:rPr>
                <w:spacing w:val="4"/>
              </w:rPr>
              <w:t>6</w:t>
            </w:r>
            <w:r>
              <w:rPr>
                <w:spacing w:val="-35"/>
              </w:rPr>
              <w:t xml:space="preserve"> </w:t>
            </w:r>
            <w:r>
              <w:rPr>
                <w:spacing w:val="4"/>
              </w:rPr>
              <w:t>月</w:t>
            </w:r>
            <w:r>
              <w:rPr>
                <w:spacing w:val="-21"/>
              </w:rPr>
              <w:t xml:space="preserve"> </w:t>
            </w:r>
            <w:r>
              <w:rPr>
                <w:spacing w:val="4"/>
              </w:rPr>
              <w:t>1 日至今）中不曾在高速公路机电工程设计或施工项目</w:t>
            </w:r>
            <w:r>
              <w:rPr>
                <w:spacing w:val="8"/>
              </w:rPr>
              <w:t>中违约而被驱逐或因投标人自身的原因而使高速公路机电工程设计或施工项目合同被解除。</w:t>
            </w:r>
          </w:p>
        </w:tc>
      </w:tr>
      <w:tr w14:paraId="55006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26" w:type="dxa"/>
            <w:vAlign w:val="top"/>
          </w:tcPr>
          <w:p w14:paraId="175F9969">
            <w:pPr>
              <w:pStyle w:val="6"/>
              <w:spacing w:before="147" w:line="227" w:lineRule="auto"/>
              <w:ind w:left="634"/>
            </w:pPr>
            <w:r>
              <w:rPr>
                <w:spacing w:val="8"/>
              </w:rPr>
              <w:t>注：</w:t>
            </w:r>
            <w:r>
              <w:rPr>
                <w:spacing w:val="-59"/>
              </w:rPr>
              <w:t xml:space="preserve"> </w:t>
            </w:r>
            <w:r>
              <w:rPr>
                <w:spacing w:val="8"/>
              </w:rPr>
              <w:t>以联合体形式投标的，联合体各成员均须满足本项资格条</w:t>
            </w:r>
            <w:r>
              <w:rPr>
                <w:spacing w:val="7"/>
              </w:rPr>
              <w:t>件。</w:t>
            </w:r>
          </w:p>
        </w:tc>
      </w:tr>
    </w:tbl>
    <w:p w14:paraId="233E129F">
      <w:pPr>
        <w:rPr>
          <w:rFonts w:ascii="Arial"/>
          <w:sz w:val="21"/>
        </w:rPr>
      </w:pPr>
    </w:p>
    <w:p w14:paraId="294638D7">
      <w:pPr>
        <w:rPr>
          <w:rFonts w:ascii="Arial" w:hAnsi="Arial" w:eastAsia="Arial" w:cs="Arial"/>
          <w:sz w:val="21"/>
          <w:szCs w:val="21"/>
        </w:rPr>
        <w:sectPr>
          <w:headerReference r:id="rId10" w:type="default"/>
          <w:footerReference r:id="rId11" w:type="default"/>
          <w:pgSz w:w="11906" w:h="16839"/>
          <w:pgMar w:top="1751" w:right="1687" w:bottom="1378" w:left="1687" w:header="1414" w:footer="1212" w:gutter="0"/>
          <w:cols w:space="720" w:num="1"/>
        </w:sectPr>
      </w:pPr>
    </w:p>
    <w:p w14:paraId="0C95D452">
      <w:pPr>
        <w:spacing w:line="248" w:lineRule="auto"/>
        <w:rPr>
          <w:rFonts w:ascii="Arial"/>
          <w:sz w:val="21"/>
        </w:rPr>
      </w:pPr>
    </w:p>
    <w:p w14:paraId="74AEEB1E">
      <w:pPr>
        <w:spacing w:line="248" w:lineRule="auto"/>
        <w:rPr>
          <w:rFonts w:ascii="Arial"/>
          <w:sz w:val="21"/>
        </w:rPr>
      </w:pPr>
    </w:p>
    <w:p w14:paraId="4A345692">
      <w:pPr>
        <w:spacing w:line="248" w:lineRule="auto"/>
        <w:rPr>
          <w:rFonts w:ascii="Arial"/>
          <w:sz w:val="21"/>
        </w:rPr>
      </w:pPr>
    </w:p>
    <w:p w14:paraId="1CC04A42">
      <w:pPr>
        <w:spacing w:line="249" w:lineRule="auto"/>
        <w:rPr>
          <w:rFonts w:ascii="Arial"/>
          <w:sz w:val="21"/>
        </w:rPr>
      </w:pPr>
    </w:p>
    <w:p w14:paraId="1BC053DB">
      <w:pPr>
        <w:spacing w:before="78" w:line="211" w:lineRule="auto"/>
        <w:ind w:left="2005"/>
        <w:rPr>
          <w:rFonts w:ascii="黑体" w:hAnsi="黑体" w:eastAsia="黑体" w:cs="黑体"/>
          <w:sz w:val="24"/>
          <w:szCs w:val="24"/>
        </w:rPr>
      </w:pPr>
      <w:r>
        <w:rPr>
          <w:rFonts w:ascii="黑体" w:hAnsi="黑体" w:eastAsia="黑体" w:cs="黑体"/>
          <w:spacing w:val="1"/>
          <w:sz w:val="24"/>
          <w:szCs w:val="24"/>
        </w:rPr>
        <w:t>附录5</w:t>
      </w:r>
      <w:r>
        <w:rPr>
          <w:rFonts w:ascii="黑体" w:hAnsi="黑体" w:eastAsia="黑体" w:cs="黑体"/>
          <w:spacing w:val="-43"/>
          <w:sz w:val="24"/>
          <w:szCs w:val="24"/>
        </w:rPr>
        <w:t xml:space="preserve"> </w:t>
      </w:r>
      <w:r>
        <w:rPr>
          <w:rFonts w:ascii="黑体" w:hAnsi="黑体" w:eastAsia="黑体" w:cs="黑体"/>
          <w:spacing w:val="1"/>
          <w:sz w:val="24"/>
          <w:szCs w:val="24"/>
        </w:rPr>
        <w:t>资格审查条件（主要人员最低要求）</w:t>
      </w:r>
    </w:p>
    <w:tbl>
      <w:tblPr>
        <w:tblStyle w:val="5"/>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1"/>
        <w:gridCol w:w="737"/>
        <w:gridCol w:w="4855"/>
        <w:gridCol w:w="1408"/>
      </w:tblGrid>
      <w:tr w14:paraId="42C0D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521" w:type="dxa"/>
            <w:vAlign w:val="top"/>
          </w:tcPr>
          <w:p w14:paraId="413C6F16">
            <w:pPr>
              <w:pStyle w:val="6"/>
              <w:spacing w:before="292" w:line="228" w:lineRule="auto"/>
              <w:ind w:left="578"/>
            </w:pPr>
            <w:r>
              <w:rPr>
                <w:b/>
                <w:bCs/>
                <w:spacing w:val="-8"/>
              </w:rPr>
              <w:t>岗位</w:t>
            </w:r>
          </w:p>
        </w:tc>
        <w:tc>
          <w:tcPr>
            <w:tcW w:w="737" w:type="dxa"/>
            <w:vAlign w:val="top"/>
          </w:tcPr>
          <w:p w14:paraId="02110B16">
            <w:pPr>
              <w:pStyle w:val="6"/>
              <w:spacing w:before="291" w:line="228" w:lineRule="auto"/>
              <w:ind w:left="164"/>
            </w:pPr>
            <w:r>
              <w:rPr>
                <w:b/>
                <w:bCs/>
                <w:spacing w:val="3"/>
              </w:rPr>
              <w:t>数量</w:t>
            </w:r>
          </w:p>
        </w:tc>
        <w:tc>
          <w:tcPr>
            <w:tcW w:w="4855" w:type="dxa"/>
            <w:vAlign w:val="top"/>
          </w:tcPr>
          <w:p w14:paraId="5D46F596">
            <w:pPr>
              <w:pStyle w:val="6"/>
              <w:spacing w:before="291" w:line="228" w:lineRule="auto"/>
              <w:ind w:left="2021"/>
            </w:pPr>
            <w:r>
              <w:rPr>
                <w:b/>
                <w:bCs/>
                <w:spacing w:val="4"/>
              </w:rPr>
              <w:t>资格标准</w:t>
            </w:r>
          </w:p>
        </w:tc>
        <w:tc>
          <w:tcPr>
            <w:tcW w:w="1408" w:type="dxa"/>
            <w:vAlign w:val="top"/>
          </w:tcPr>
          <w:p w14:paraId="72016118">
            <w:pPr>
              <w:pStyle w:val="6"/>
              <w:spacing w:before="292" w:line="228" w:lineRule="auto"/>
              <w:ind w:left="286"/>
            </w:pPr>
            <w:r>
              <w:rPr>
                <w:b/>
                <w:bCs/>
                <w:spacing w:val="6"/>
              </w:rPr>
              <w:t>在岗要求</w:t>
            </w:r>
          </w:p>
        </w:tc>
      </w:tr>
      <w:tr w14:paraId="1DC16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6" w:hRule="atLeast"/>
        </w:trPr>
        <w:tc>
          <w:tcPr>
            <w:tcW w:w="1521" w:type="dxa"/>
            <w:vAlign w:val="top"/>
          </w:tcPr>
          <w:p w14:paraId="705C4AAA">
            <w:pPr>
              <w:spacing w:line="271" w:lineRule="auto"/>
              <w:rPr>
                <w:rFonts w:ascii="Arial"/>
                <w:sz w:val="21"/>
              </w:rPr>
            </w:pPr>
          </w:p>
          <w:p w14:paraId="1BD3F681">
            <w:pPr>
              <w:spacing w:line="271" w:lineRule="auto"/>
              <w:rPr>
                <w:rFonts w:ascii="Arial"/>
                <w:sz w:val="21"/>
              </w:rPr>
            </w:pPr>
          </w:p>
          <w:p w14:paraId="504DAABF">
            <w:pPr>
              <w:spacing w:line="271" w:lineRule="auto"/>
              <w:rPr>
                <w:rFonts w:ascii="Arial"/>
                <w:sz w:val="21"/>
              </w:rPr>
            </w:pPr>
          </w:p>
          <w:p w14:paraId="0E690AD0">
            <w:pPr>
              <w:spacing w:line="271" w:lineRule="auto"/>
              <w:rPr>
                <w:rFonts w:ascii="Arial"/>
                <w:sz w:val="21"/>
              </w:rPr>
            </w:pPr>
          </w:p>
          <w:p w14:paraId="01798936">
            <w:pPr>
              <w:spacing w:line="271" w:lineRule="auto"/>
              <w:rPr>
                <w:rFonts w:ascii="Arial"/>
                <w:sz w:val="21"/>
              </w:rPr>
            </w:pPr>
          </w:p>
          <w:p w14:paraId="7353B5CF">
            <w:pPr>
              <w:spacing w:line="271" w:lineRule="auto"/>
              <w:rPr>
                <w:rFonts w:ascii="Arial"/>
                <w:sz w:val="21"/>
              </w:rPr>
            </w:pPr>
          </w:p>
          <w:p w14:paraId="664ED440">
            <w:pPr>
              <w:spacing w:line="271" w:lineRule="auto"/>
              <w:rPr>
                <w:rFonts w:ascii="Arial"/>
                <w:sz w:val="21"/>
              </w:rPr>
            </w:pPr>
          </w:p>
          <w:p w14:paraId="384A7843">
            <w:pPr>
              <w:pStyle w:val="6"/>
              <w:spacing w:before="65" w:line="371" w:lineRule="auto"/>
              <w:ind w:left="134" w:right="130" w:firstLine="4"/>
            </w:pPr>
            <w:r>
              <w:rPr>
                <w:spacing w:val="7"/>
              </w:rPr>
              <w:t>项目经理（兼</w:t>
            </w:r>
            <w:r>
              <w:rPr>
                <w:spacing w:val="6"/>
              </w:rPr>
              <w:t>施工负责人）</w:t>
            </w:r>
          </w:p>
        </w:tc>
        <w:tc>
          <w:tcPr>
            <w:tcW w:w="737" w:type="dxa"/>
            <w:vAlign w:val="top"/>
          </w:tcPr>
          <w:p w14:paraId="2221D867">
            <w:pPr>
              <w:spacing w:line="261" w:lineRule="auto"/>
              <w:rPr>
                <w:rFonts w:ascii="Arial"/>
                <w:sz w:val="21"/>
              </w:rPr>
            </w:pPr>
          </w:p>
          <w:p w14:paraId="1E12B37A">
            <w:pPr>
              <w:spacing w:line="261" w:lineRule="auto"/>
              <w:rPr>
                <w:rFonts w:ascii="Arial"/>
                <w:sz w:val="21"/>
              </w:rPr>
            </w:pPr>
          </w:p>
          <w:p w14:paraId="315212B5">
            <w:pPr>
              <w:spacing w:line="262" w:lineRule="auto"/>
              <w:rPr>
                <w:rFonts w:ascii="Arial"/>
                <w:sz w:val="21"/>
              </w:rPr>
            </w:pPr>
          </w:p>
          <w:p w14:paraId="227CD249">
            <w:pPr>
              <w:spacing w:line="262" w:lineRule="auto"/>
              <w:rPr>
                <w:rFonts w:ascii="Arial"/>
                <w:sz w:val="21"/>
              </w:rPr>
            </w:pPr>
          </w:p>
          <w:p w14:paraId="560A8CF3">
            <w:pPr>
              <w:spacing w:line="262" w:lineRule="auto"/>
              <w:rPr>
                <w:rFonts w:ascii="Arial"/>
                <w:sz w:val="21"/>
              </w:rPr>
            </w:pPr>
          </w:p>
          <w:p w14:paraId="0F5B5635">
            <w:pPr>
              <w:spacing w:line="262" w:lineRule="auto"/>
              <w:rPr>
                <w:rFonts w:ascii="Arial"/>
                <w:sz w:val="21"/>
              </w:rPr>
            </w:pPr>
          </w:p>
          <w:p w14:paraId="781A44FA">
            <w:pPr>
              <w:spacing w:line="262" w:lineRule="auto"/>
              <w:rPr>
                <w:rFonts w:ascii="Arial"/>
                <w:sz w:val="21"/>
              </w:rPr>
            </w:pPr>
          </w:p>
          <w:p w14:paraId="37EAF57F">
            <w:pPr>
              <w:spacing w:line="262" w:lineRule="auto"/>
              <w:rPr>
                <w:rFonts w:ascii="Arial"/>
                <w:sz w:val="21"/>
              </w:rPr>
            </w:pPr>
          </w:p>
          <w:p w14:paraId="37A6E26F">
            <w:pPr>
              <w:pStyle w:val="6"/>
              <w:spacing w:before="65" w:line="270" w:lineRule="exact"/>
              <w:ind w:left="336"/>
            </w:pPr>
            <w:r>
              <w:rPr>
                <w:position w:val="1"/>
              </w:rPr>
              <w:t>1</w:t>
            </w:r>
          </w:p>
        </w:tc>
        <w:tc>
          <w:tcPr>
            <w:tcW w:w="4855" w:type="dxa"/>
            <w:vAlign w:val="top"/>
          </w:tcPr>
          <w:p w14:paraId="13966009">
            <w:pPr>
              <w:pStyle w:val="6"/>
              <w:spacing w:before="141" w:line="228" w:lineRule="auto"/>
              <w:ind w:left="534"/>
            </w:pPr>
            <w:r>
              <w:rPr>
                <w:spacing w:val="7"/>
              </w:rPr>
              <w:t>工程师及以上职称；</w:t>
            </w:r>
          </w:p>
          <w:p w14:paraId="0A2C1734">
            <w:pPr>
              <w:pStyle w:val="6"/>
              <w:spacing w:before="120" w:line="333" w:lineRule="auto"/>
              <w:ind w:left="111" w:right="104" w:firstLine="425"/>
              <w:jc w:val="both"/>
            </w:pPr>
            <w:r>
              <w:rPr>
                <w:spacing w:val="15"/>
              </w:rPr>
              <w:t>具有一级建造师注册证书(机电工程或公路工</w:t>
            </w:r>
            <w:r>
              <w:rPr>
                <w:spacing w:val="5"/>
              </w:rPr>
              <w:t>程专业)，具有交通运输行政主管部门颁发的《安全</w:t>
            </w:r>
            <w:r>
              <w:rPr>
                <w:spacing w:val="3"/>
              </w:rPr>
              <w:t>生产考核合格证书》</w:t>
            </w:r>
            <w:r>
              <w:rPr>
                <w:spacing w:val="-42"/>
              </w:rPr>
              <w:t xml:space="preserve"> </w:t>
            </w:r>
            <w:r>
              <w:rPr>
                <w:spacing w:val="3"/>
              </w:rPr>
              <w:t>(B</w:t>
            </w:r>
            <w:r>
              <w:rPr>
                <w:spacing w:val="-40"/>
              </w:rPr>
              <w:t xml:space="preserve"> </w:t>
            </w:r>
            <w:r>
              <w:rPr>
                <w:spacing w:val="3"/>
              </w:rPr>
              <w:t>类)。</w:t>
            </w:r>
          </w:p>
          <w:p w14:paraId="5158DCEA">
            <w:pPr>
              <w:pStyle w:val="6"/>
              <w:spacing w:before="95" w:line="289" w:lineRule="auto"/>
              <w:ind w:left="129" w:right="104" w:firstLine="402"/>
              <w:jc w:val="both"/>
            </w:pPr>
            <w:r>
              <w:rPr>
                <w:spacing w:val="1"/>
              </w:rPr>
              <w:t>近</w:t>
            </w:r>
            <w:r>
              <w:rPr>
                <w:spacing w:val="-33"/>
              </w:rPr>
              <w:t xml:space="preserve"> </w:t>
            </w:r>
            <w:r>
              <w:rPr>
                <w:spacing w:val="1"/>
              </w:rPr>
              <w:t>5</w:t>
            </w:r>
            <w:r>
              <w:rPr>
                <w:spacing w:val="-39"/>
              </w:rPr>
              <w:t xml:space="preserve"> </w:t>
            </w:r>
            <w:r>
              <w:rPr>
                <w:spacing w:val="1"/>
              </w:rPr>
              <w:t>年内（2021</w:t>
            </w:r>
            <w:r>
              <w:rPr>
                <w:spacing w:val="-40"/>
              </w:rPr>
              <w:t xml:space="preserve"> </w:t>
            </w:r>
            <w:r>
              <w:rPr>
                <w:spacing w:val="1"/>
              </w:rPr>
              <w:t>年</w:t>
            </w:r>
            <w:r>
              <w:rPr>
                <w:spacing w:val="-37"/>
              </w:rPr>
              <w:t xml:space="preserve"> </w:t>
            </w:r>
            <w:r>
              <w:rPr>
                <w:spacing w:val="1"/>
              </w:rPr>
              <w:t>6</w:t>
            </w:r>
            <w:r>
              <w:rPr>
                <w:spacing w:val="-33"/>
              </w:rPr>
              <w:t xml:space="preserve"> </w:t>
            </w:r>
            <w:r>
              <w:rPr>
                <w:spacing w:val="1"/>
              </w:rPr>
              <w:t>月</w:t>
            </w:r>
            <w:r>
              <w:rPr>
                <w:spacing w:val="-24"/>
              </w:rPr>
              <w:t xml:space="preserve"> </w:t>
            </w:r>
            <w:r>
              <w:rPr>
                <w:spacing w:val="1"/>
              </w:rPr>
              <w:t>1 日至今，以</w:t>
            </w:r>
            <w:r>
              <w:t>工程交工</w:t>
            </w:r>
            <w:r>
              <w:rPr>
                <w:spacing w:val="2"/>
              </w:rPr>
              <w:t>日期为准）至少担任过</w:t>
            </w:r>
            <w:r>
              <w:rPr>
                <w:spacing w:val="-23"/>
              </w:rPr>
              <w:t xml:space="preserve"> </w:t>
            </w:r>
            <w:r>
              <w:rPr>
                <w:spacing w:val="2"/>
              </w:rPr>
              <w:t>1</w:t>
            </w:r>
            <w:r>
              <w:rPr>
                <w:spacing w:val="-38"/>
              </w:rPr>
              <w:t xml:space="preserve"> </w:t>
            </w:r>
            <w:r>
              <w:rPr>
                <w:spacing w:val="2"/>
              </w:rPr>
              <w:t>个合同额不少于</w:t>
            </w:r>
            <w:r>
              <w:rPr>
                <w:spacing w:val="-37"/>
              </w:rPr>
              <w:t xml:space="preserve"> </w:t>
            </w:r>
            <w:r>
              <w:rPr>
                <w:spacing w:val="2"/>
              </w:rPr>
              <w:t>2000</w:t>
            </w:r>
            <w:r>
              <w:rPr>
                <w:spacing w:val="-33"/>
              </w:rPr>
              <w:t xml:space="preserve"> </w:t>
            </w:r>
            <w:r>
              <w:rPr>
                <w:spacing w:val="1"/>
              </w:rPr>
              <w:t>万元</w:t>
            </w:r>
            <w:r>
              <w:rPr>
                <w:spacing w:val="8"/>
              </w:rPr>
              <w:t>的高速公路机电工程施工项目的项目经理。</w:t>
            </w:r>
          </w:p>
          <w:p w14:paraId="0A31AD88">
            <w:pPr>
              <w:pStyle w:val="6"/>
              <w:spacing w:before="152" w:line="289" w:lineRule="auto"/>
              <w:ind w:left="111" w:right="128" w:firstLine="420"/>
              <w:jc w:val="both"/>
            </w:pPr>
            <w:r>
              <w:rPr>
                <w:spacing w:val="12"/>
              </w:rPr>
              <w:t>注</w:t>
            </w:r>
            <w:r>
              <w:rPr>
                <w:spacing w:val="-48"/>
                <w:w w:val="89"/>
              </w:rPr>
              <w:t>：（</w:t>
            </w:r>
            <w:r>
              <w:rPr>
                <w:spacing w:val="12"/>
              </w:rPr>
              <w:t>1）项目经理的一级建造师注册证书的注</w:t>
            </w:r>
            <w:r>
              <w:rPr>
                <w:spacing w:val="9"/>
              </w:rPr>
              <w:t>册单位名称和安全生产考核合格证书的填报单位名称须与投标人单位或联合体牵头人名称一致。</w:t>
            </w:r>
          </w:p>
          <w:p w14:paraId="6B965272">
            <w:pPr>
              <w:pStyle w:val="6"/>
              <w:spacing w:before="86" w:line="301" w:lineRule="auto"/>
              <w:ind w:left="112" w:right="104" w:firstLine="429"/>
            </w:pPr>
            <w:r>
              <w:rPr>
                <w:spacing w:val="4"/>
              </w:rPr>
              <w:t>（2）以联合体形式投标的，项目经理必须是联</w:t>
            </w:r>
            <w:r>
              <w:rPr>
                <w:spacing w:val="7"/>
              </w:rPr>
              <w:t>合体牵头人单位人员。</w:t>
            </w:r>
          </w:p>
        </w:tc>
        <w:tc>
          <w:tcPr>
            <w:tcW w:w="1408" w:type="dxa"/>
            <w:vMerge w:val="restart"/>
            <w:tcBorders>
              <w:bottom w:val="nil"/>
            </w:tcBorders>
            <w:vAlign w:val="top"/>
          </w:tcPr>
          <w:p w14:paraId="6199B44D">
            <w:pPr>
              <w:spacing w:line="264" w:lineRule="auto"/>
              <w:rPr>
                <w:rFonts w:ascii="Arial"/>
                <w:sz w:val="21"/>
              </w:rPr>
            </w:pPr>
          </w:p>
          <w:p w14:paraId="78AC5B4A">
            <w:pPr>
              <w:spacing w:line="264" w:lineRule="auto"/>
              <w:rPr>
                <w:rFonts w:ascii="Arial"/>
                <w:sz w:val="21"/>
              </w:rPr>
            </w:pPr>
          </w:p>
          <w:p w14:paraId="28E6EF7D">
            <w:pPr>
              <w:spacing w:line="264" w:lineRule="auto"/>
              <w:rPr>
                <w:rFonts w:ascii="Arial"/>
                <w:sz w:val="21"/>
              </w:rPr>
            </w:pPr>
          </w:p>
          <w:p w14:paraId="4912EFDF">
            <w:pPr>
              <w:spacing w:line="264" w:lineRule="auto"/>
              <w:rPr>
                <w:rFonts w:ascii="Arial"/>
                <w:sz w:val="21"/>
              </w:rPr>
            </w:pPr>
          </w:p>
          <w:p w14:paraId="7D249D00">
            <w:pPr>
              <w:spacing w:line="265" w:lineRule="auto"/>
              <w:rPr>
                <w:rFonts w:ascii="Arial"/>
                <w:sz w:val="21"/>
              </w:rPr>
            </w:pPr>
          </w:p>
          <w:p w14:paraId="73BED649">
            <w:pPr>
              <w:spacing w:line="265" w:lineRule="auto"/>
              <w:rPr>
                <w:rFonts w:ascii="Arial"/>
                <w:sz w:val="21"/>
              </w:rPr>
            </w:pPr>
          </w:p>
          <w:p w14:paraId="0AA1CCB2">
            <w:pPr>
              <w:pStyle w:val="6"/>
              <w:spacing w:before="65" w:line="228" w:lineRule="auto"/>
              <w:ind w:left="224"/>
            </w:pPr>
            <w:r>
              <w:t>目前未在其</w:t>
            </w:r>
          </w:p>
          <w:p w14:paraId="1FB0417E">
            <w:pPr>
              <w:pStyle w:val="6"/>
              <w:spacing w:before="150" w:line="228" w:lineRule="auto"/>
              <w:ind w:left="184"/>
            </w:pPr>
            <w:r>
              <w:rPr>
                <w:spacing w:val="8"/>
              </w:rPr>
              <w:t>他项目上任</w:t>
            </w:r>
          </w:p>
          <w:p w14:paraId="65C9D318">
            <w:pPr>
              <w:pStyle w:val="6"/>
              <w:spacing w:before="154" w:line="229" w:lineRule="auto"/>
              <w:ind w:left="117"/>
            </w:pPr>
            <w:r>
              <w:rPr>
                <w:spacing w:val="-4"/>
              </w:rPr>
              <w:t>职，或虽在其</w:t>
            </w:r>
          </w:p>
          <w:p w14:paraId="1CA4D612">
            <w:pPr>
              <w:pStyle w:val="6"/>
              <w:spacing w:before="152" w:line="228" w:lineRule="auto"/>
              <w:ind w:left="184"/>
            </w:pPr>
            <w:r>
              <w:rPr>
                <w:spacing w:val="8"/>
              </w:rPr>
              <w:t>他项目上任</w:t>
            </w:r>
          </w:p>
          <w:p w14:paraId="6C120C1D">
            <w:pPr>
              <w:pStyle w:val="6"/>
              <w:spacing w:before="151" w:line="227" w:lineRule="auto"/>
              <w:ind w:left="184"/>
            </w:pPr>
            <w:r>
              <w:rPr>
                <w:spacing w:val="7"/>
              </w:rPr>
              <w:t>职但本项目</w:t>
            </w:r>
          </w:p>
          <w:p w14:paraId="501DA0C3">
            <w:pPr>
              <w:pStyle w:val="6"/>
              <w:spacing w:before="156" w:line="228" w:lineRule="auto"/>
              <w:ind w:left="203"/>
            </w:pPr>
            <w:r>
              <w:rPr>
                <w:spacing w:val="4"/>
              </w:rPr>
              <w:t>中标后能够</w:t>
            </w:r>
          </w:p>
          <w:p w14:paraId="6C4CF3DC">
            <w:pPr>
              <w:pStyle w:val="6"/>
              <w:spacing w:before="153" w:line="228" w:lineRule="auto"/>
              <w:ind w:left="186"/>
            </w:pPr>
            <w:r>
              <w:rPr>
                <w:spacing w:val="7"/>
              </w:rPr>
              <w:t>从该项目撤</w:t>
            </w:r>
          </w:p>
          <w:p w14:paraId="0584974B">
            <w:pPr>
              <w:pStyle w:val="6"/>
              <w:spacing w:before="152" w:line="228" w:lineRule="auto"/>
              <w:ind w:left="607"/>
            </w:pPr>
            <w:r>
              <w:t>离</w:t>
            </w:r>
          </w:p>
        </w:tc>
      </w:tr>
      <w:tr w14:paraId="1567C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8" w:hRule="atLeast"/>
        </w:trPr>
        <w:tc>
          <w:tcPr>
            <w:tcW w:w="1521" w:type="dxa"/>
            <w:vAlign w:val="top"/>
          </w:tcPr>
          <w:p w14:paraId="46F3F922">
            <w:pPr>
              <w:spacing w:line="252" w:lineRule="auto"/>
              <w:rPr>
                <w:rFonts w:ascii="Arial"/>
                <w:sz w:val="21"/>
              </w:rPr>
            </w:pPr>
          </w:p>
          <w:p w14:paraId="53A5950C">
            <w:pPr>
              <w:spacing w:line="252" w:lineRule="auto"/>
              <w:rPr>
                <w:rFonts w:ascii="Arial"/>
                <w:sz w:val="21"/>
              </w:rPr>
            </w:pPr>
          </w:p>
          <w:p w14:paraId="14E6B004">
            <w:pPr>
              <w:spacing w:line="252" w:lineRule="auto"/>
              <w:rPr>
                <w:rFonts w:ascii="Arial"/>
                <w:sz w:val="21"/>
              </w:rPr>
            </w:pPr>
          </w:p>
          <w:p w14:paraId="5B7ECE45">
            <w:pPr>
              <w:pStyle w:val="6"/>
              <w:spacing w:before="65" w:line="228" w:lineRule="auto"/>
              <w:ind w:left="350"/>
            </w:pPr>
            <w:r>
              <w:rPr>
                <w:spacing w:val="6"/>
              </w:rPr>
              <w:t>项目总工</w:t>
            </w:r>
          </w:p>
        </w:tc>
        <w:tc>
          <w:tcPr>
            <w:tcW w:w="737" w:type="dxa"/>
            <w:vAlign w:val="top"/>
          </w:tcPr>
          <w:p w14:paraId="0E3268F0">
            <w:pPr>
              <w:spacing w:line="252" w:lineRule="auto"/>
              <w:rPr>
                <w:rFonts w:ascii="Arial"/>
                <w:sz w:val="21"/>
              </w:rPr>
            </w:pPr>
          </w:p>
          <w:p w14:paraId="6E8C11A6">
            <w:pPr>
              <w:spacing w:line="252" w:lineRule="auto"/>
              <w:rPr>
                <w:rFonts w:ascii="Arial"/>
                <w:sz w:val="21"/>
              </w:rPr>
            </w:pPr>
          </w:p>
          <w:p w14:paraId="016D0F0F">
            <w:pPr>
              <w:spacing w:line="252" w:lineRule="auto"/>
              <w:rPr>
                <w:rFonts w:ascii="Arial"/>
                <w:sz w:val="21"/>
              </w:rPr>
            </w:pPr>
          </w:p>
          <w:p w14:paraId="65C6A7C3">
            <w:pPr>
              <w:pStyle w:val="6"/>
              <w:spacing w:before="65" w:line="270" w:lineRule="exact"/>
              <w:ind w:left="336"/>
            </w:pPr>
            <w:r>
              <w:rPr>
                <w:position w:val="1"/>
              </w:rPr>
              <w:t>1</w:t>
            </w:r>
          </w:p>
        </w:tc>
        <w:tc>
          <w:tcPr>
            <w:tcW w:w="4855" w:type="dxa"/>
            <w:vAlign w:val="top"/>
          </w:tcPr>
          <w:p w14:paraId="3870EA0C">
            <w:pPr>
              <w:pStyle w:val="6"/>
              <w:spacing w:before="144" w:line="228" w:lineRule="auto"/>
              <w:ind w:left="537"/>
            </w:pPr>
            <w:r>
              <w:rPr>
                <w:spacing w:val="7"/>
              </w:rPr>
              <w:t>高级工程师及以上职称；</w:t>
            </w:r>
          </w:p>
          <w:p w14:paraId="4B7D77D4">
            <w:pPr>
              <w:pStyle w:val="6"/>
              <w:spacing w:before="152" w:line="370" w:lineRule="auto"/>
              <w:ind w:left="129" w:right="104" w:firstLine="402"/>
              <w:jc w:val="both"/>
            </w:pPr>
            <w:r>
              <w:rPr>
                <w:spacing w:val="1"/>
              </w:rPr>
              <w:t>近</w:t>
            </w:r>
            <w:r>
              <w:rPr>
                <w:spacing w:val="-33"/>
              </w:rPr>
              <w:t xml:space="preserve"> </w:t>
            </w:r>
            <w:r>
              <w:rPr>
                <w:spacing w:val="1"/>
              </w:rPr>
              <w:t>5</w:t>
            </w:r>
            <w:r>
              <w:rPr>
                <w:spacing w:val="-39"/>
              </w:rPr>
              <w:t xml:space="preserve"> </w:t>
            </w:r>
            <w:r>
              <w:rPr>
                <w:spacing w:val="1"/>
              </w:rPr>
              <w:t>年内（2021</w:t>
            </w:r>
            <w:r>
              <w:rPr>
                <w:spacing w:val="-40"/>
              </w:rPr>
              <w:t xml:space="preserve"> </w:t>
            </w:r>
            <w:r>
              <w:rPr>
                <w:spacing w:val="1"/>
              </w:rPr>
              <w:t>年</w:t>
            </w:r>
            <w:r>
              <w:rPr>
                <w:spacing w:val="-37"/>
              </w:rPr>
              <w:t xml:space="preserve"> </w:t>
            </w:r>
            <w:r>
              <w:rPr>
                <w:spacing w:val="1"/>
              </w:rPr>
              <w:t>6</w:t>
            </w:r>
            <w:r>
              <w:rPr>
                <w:spacing w:val="-33"/>
              </w:rPr>
              <w:t xml:space="preserve"> </w:t>
            </w:r>
            <w:r>
              <w:rPr>
                <w:spacing w:val="1"/>
              </w:rPr>
              <w:t>月</w:t>
            </w:r>
            <w:r>
              <w:rPr>
                <w:spacing w:val="-24"/>
              </w:rPr>
              <w:t xml:space="preserve"> </w:t>
            </w:r>
            <w:r>
              <w:rPr>
                <w:spacing w:val="1"/>
              </w:rPr>
              <w:t>1 日至今，以</w:t>
            </w:r>
            <w:r>
              <w:t>工程交工</w:t>
            </w:r>
            <w:r>
              <w:rPr>
                <w:spacing w:val="2"/>
              </w:rPr>
              <w:t>日期为准）至少担任过</w:t>
            </w:r>
            <w:r>
              <w:rPr>
                <w:spacing w:val="-23"/>
              </w:rPr>
              <w:t xml:space="preserve"> </w:t>
            </w:r>
            <w:r>
              <w:rPr>
                <w:spacing w:val="2"/>
              </w:rPr>
              <w:t>1</w:t>
            </w:r>
            <w:r>
              <w:rPr>
                <w:spacing w:val="-38"/>
              </w:rPr>
              <w:t xml:space="preserve"> </w:t>
            </w:r>
            <w:r>
              <w:rPr>
                <w:spacing w:val="2"/>
              </w:rPr>
              <w:t>个合同额不少于</w:t>
            </w:r>
            <w:r>
              <w:rPr>
                <w:spacing w:val="-37"/>
              </w:rPr>
              <w:t xml:space="preserve"> </w:t>
            </w:r>
            <w:r>
              <w:rPr>
                <w:spacing w:val="2"/>
              </w:rPr>
              <w:t>2000</w:t>
            </w:r>
            <w:r>
              <w:rPr>
                <w:spacing w:val="-33"/>
              </w:rPr>
              <w:t xml:space="preserve"> </w:t>
            </w:r>
            <w:r>
              <w:rPr>
                <w:spacing w:val="1"/>
              </w:rPr>
              <w:t>万元</w:t>
            </w:r>
            <w:r>
              <w:rPr>
                <w:spacing w:val="8"/>
              </w:rPr>
              <w:t>的高速公路机电工程施工项目的项目总工。</w:t>
            </w:r>
          </w:p>
        </w:tc>
        <w:tc>
          <w:tcPr>
            <w:tcW w:w="1408" w:type="dxa"/>
            <w:vMerge w:val="continue"/>
            <w:tcBorders>
              <w:top w:val="nil"/>
            </w:tcBorders>
            <w:vAlign w:val="top"/>
          </w:tcPr>
          <w:p w14:paraId="272A32F9">
            <w:pPr>
              <w:rPr>
                <w:rFonts w:ascii="Arial"/>
                <w:sz w:val="21"/>
              </w:rPr>
            </w:pPr>
          </w:p>
        </w:tc>
      </w:tr>
      <w:tr w14:paraId="29AC7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1521" w:type="dxa"/>
            <w:vAlign w:val="top"/>
          </w:tcPr>
          <w:p w14:paraId="5BD0939F">
            <w:pPr>
              <w:spacing w:line="358" w:lineRule="auto"/>
              <w:rPr>
                <w:rFonts w:ascii="Arial"/>
                <w:sz w:val="21"/>
              </w:rPr>
            </w:pPr>
          </w:p>
          <w:p w14:paraId="4AFC4EA8">
            <w:pPr>
              <w:spacing w:line="358" w:lineRule="auto"/>
              <w:rPr>
                <w:rFonts w:ascii="Arial"/>
                <w:sz w:val="21"/>
              </w:rPr>
            </w:pPr>
          </w:p>
          <w:p w14:paraId="090A3A75">
            <w:pPr>
              <w:pStyle w:val="6"/>
              <w:spacing w:before="65" w:line="228" w:lineRule="auto"/>
              <w:ind w:left="244"/>
            </w:pPr>
            <w:r>
              <w:rPr>
                <w:spacing w:val="7"/>
              </w:rPr>
              <w:t>设计负责人</w:t>
            </w:r>
          </w:p>
        </w:tc>
        <w:tc>
          <w:tcPr>
            <w:tcW w:w="737" w:type="dxa"/>
            <w:vAlign w:val="top"/>
          </w:tcPr>
          <w:p w14:paraId="22A22F45">
            <w:pPr>
              <w:spacing w:line="358" w:lineRule="auto"/>
              <w:rPr>
                <w:rFonts w:ascii="Arial"/>
                <w:sz w:val="21"/>
              </w:rPr>
            </w:pPr>
          </w:p>
          <w:p w14:paraId="5790F5BF">
            <w:pPr>
              <w:spacing w:line="358" w:lineRule="auto"/>
              <w:rPr>
                <w:rFonts w:ascii="Arial"/>
                <w:sz w:val="21"/>
              </w:rPr>
            </w:pPr>
          </w:p>
          <w:p w14:paraId="2F8579EF">
            <w:pPr>
              <w:pStyle w:val="6"/>
              <w:spacing w:before="65" w:line="270" w:lineRule="exact"/>
              <w:ind w:left="336"/>
            </w:pPr>
            <w:r>
              <w:rPr>
                <w:position w:val="1"/>
              </w:rPr>
              <w:t>1</w:t>
            </w:r>
          </w:p>
        </w:tc>
        <w:tc>
          <w:tcPr>
            <w:tcW w:w="4855" w:type="dxa"/>
            <w:vAlign w:val="top"/>
          </w:tcPr>
          <w:p w14:paraId="16E1A5B4">
            <w:pPr>
              <w:pStyle w:val="6"/>
              <w:spacing w:before="144" w:line="228" w:lineRule="auto"/>
              <w:ind w:left="537"/>
            </w:pPr>
            <w:r>
              <w:rPr>
                <w:spacing w:val="7"/>
              </w:rPr>
              <w:t>高级工程师及以上职称；</w:t>
            </w:r>
          </w:p>
          <w:p w14:paraId="18097E5F">
            <w:pPr>
              <w:pStyle w:val="6"/>
              <w:spacing w:before="44" w:line="302" w:lineRule="auto"/>
              <w:ind w:left="132" w:right="104" w:firstLine="398"/>
              <w:jc w:val="both"/>
            </w:pPr>
            <w:r>
              <w:rPr>
                <w:spacing w:val="1"/>
              </w:rPr>
              <w:t>近</w:t>
            </w:r>
            <w:r>
              <w:rPr>
                <w:spacing w:val="-33"/>
              </w:rPr>
              <w:t xml:space="preserve"> </w:t>
            </w:r>
            <w:r>
              <w:rPr>
                <w:spacing w:val="1"/>
              </w:rPr>
              <w:t>5</w:t>
            </w:r>
            <w:r>
              <w:rPr>
                <w:spacing w:val="-39"/>
              </w:rPr>
              <w:t xml:space="preserve"> </w:t>
            </w:r>
            <w:r>
              <w:rPr>
                <w:spacing w:val="1"/>
              </w:rPr>
              <w:t>年内（2021</w:t>
            </w:r>
            <w:r>
              <w:rPr>
                <w:spacing w:val="-40"/>
              </w:rPr>
              <w:t xml:space="preserve"> </w:t>
            </w:r>
            <w:r>
              <w:rPr>
                <w:spacing w:val="1"/>
              </w:rPr>
              <w:t>年</w:t>
            </w:r>
            <w:r>
              <w:rPr>
                <w:spacing w:val="-37"/>
              </w:rPr>
              <w:t xml:space="preserve"> </w:t>
            </w:r>
            <w:r>
              <w:rPr>
                <w:spacing w:val="1"/>
              </w:rPr>
              <w:t>6</w:t>
            </w:r>
            <w:r>
              <w:rPr>
                <w:spacing w:val="-33"/>
              </w:rPr>
              <w:t xml:space="preserve"> </w:t>
            </w:r>
            <w:r>
              <w:rPr>
                <w:spacing w:val="1"/>
              </w:rPr>
              <w:t>月</w:t>
            </w:r>
            <w:r>
              <w:rPr>
                <w:spacing w:val="-24"/>
              </w:rPr>
              <w:t xml:space="preserve"> </w:t>
            </w:r>
            <w:r>
              <w:rPr>
                <w:spacing w:val="1"/>
              </w:rPr>
              <w:t>1 日至今，以</w:t>
            </w:r>
            <w:r>
              <w:t>项目施工</w:t>
            </w:r>
            <w:r>
              <w:rPr>
                <w:spacing w:val="7"/>
              </w:rPr>
              <w:t>图设计批复日期为准）至少担任过</w:t>
            </w:r>
            <w:r>
              <w:rPr>
                <w:spacing w:val="-8"/>
              </w:rPr>
              <w:t xml:space="preserve"> </w:t>
            </w:r>
            <w:r>
              <w:rPr>
                <w:spacing w:val="7"/>
              </w:rPr>
              <w:t>1</w:t>
            </w:r>
            <w:r>
              <w:rPr>
                <w:spacing w:val="-34"/>
              </w:rPr>
              <w:t xml:space="preserve"> </w:t>
            </w:r>
            <w:r>
              <w:rPr>
                <w:spacing w:val="7"/>
              </w:rPr>
              <w:t>项高速公路机</w:t>
            </w:r>
            <w:r>
              <w:rPr>
                <w:spacing w:val="8"/>
              </w:rPr>
              <w:t>电工程设计项目的项目负责人或设计负责人。</w:t>
            </w:r>
          </w:p>
        </w:tc>
        <w:tc>
          <w:tcPr>
            <w:tcW w:w="1408" w:type="dxa"/>
            <w:vAlign w:val="top"/>
          </w:tcPr>
          <w:p w14:paraId="5DD4330E">
            <w:pPr>
              <w:spacing w:line="358" w:lineRule="auto"/>
              <w:rPr>
                <w:rFonts w:ascii="Arial"/>
                <w:sz w:val="21"/>
              </w:rPr>
            </w:pPr>
          </w:p>
          <w:p w14:paraId="65C55171">
            <w:pPr>
              <w:spacing w:line="359" w:lineRule="auto"/>
              <w:rPr>
                <w:rFonts w:ascii="Arial"/>
                <w:sz w:val="21"/>
              </w:rPr>
            </w:pPr>
          </w:p>
          <w:p w14:paraId="41EACB17">
            <w:pPr>
              <w:pStyle w:val="6"/>
              <w:spacing w:before="65" w:line="228" w:lineRule="auto"/>
              <w:ind w:left="605"/>
            </w:pPr>
            <w:r>
              <w:t>无</w:t>
            </w:r>
          </w:p>
        </w:tc>
      </w:tr>
    </w:tbl>
    <w:p w14:paraId="5D715BAD">
      <w:pPr>
        <w:rPr>
          <w:rFonts w:ascii="Arial"/>
          <w:sz w:val="21"/>
        </w:rPr>
      </w:pPr>
    </w:p>
    <w:p w14:paraId="659DB421">
      <w:pPr>
        <w:rPr>
          <w:rFonts w:ascii="Arial" w:hAnsi="Arial" w:eastAsia="Arial" w:cs="Arial"/>
          <w:sz w:val="21"/>
          <w:szCs w:val="21"/>
        </w:rPr>
        <w:sectPr>
          <w:headerReference r:id="rId12" w:type="default"/>
          <w:footerReference r:id="rId13" w:type="default"/>
          <w:pgSz w:w="11906" w:h="16839"/>
          <w:pgMar w:top="400" w:right="1690" w:bottom="1376" w:left="1689" w:header="0" w:footer="1212" w:gutter="0"/>
          <w:cols w:space="720" w:num="1"/>
        </w:sectPr>
      </w:pPr>
    </w:p>
    <w:p w14:paraId="455E6863">
      <w:pPr>
        <w:spacing w:line="278" w:lineRule="auto"/>
        <w:rPr>
          <w:rFonts w:ascii="Arial"/>
          <w:sz w:val="21"/>
        </w:rPr>
      </w:pPr>
    </w:p>
    <w:p w14:paraId="590E046C">
      <w:pPr>
        <w:spacing w:line="278" w:lineRule="auto"/>
        <w:rPr>
          <w:rFonts w:ascii="Arial"/>
          <w:sz w:val="21"/>
        </w:rPr>
      </w:pPr>
    </w:p>
    <w:p w14:paraId="3AD6F241">
      <w:pPr>
        <w:spacing w:line="278" w:lineRule="auto"/>
        <w:rPr>
          <w:rFonts w:ascii="Arial"/>
          <w:sz w:val="21"/>
        </w:rPr>
      </w:pPr>
    </w:p>
    <w:p w14:paraId="1D816611">
      <w:pPr>
        <w:spacing w:line="279" w:lineRule="auto"/>
        <w:rPr>
          <w:rFonts w:ascii="Arial"/>
          <w:sz w:val="21"/>
        </w:rPr>
      </w:pPr>
    </w:p>
    <w:p w14:paraId="42F392C3">
      <w:pPr>
        <w:pStyle w:val="2"/>
        <w:spacing w:before="91" w:line="219" w:lineRule="auto"/>
        <w:ind w:left="46"/>
        <w:outlineLvl w:val="0"/>
        <w:rPr>
          <w:sz w:val="28"/>
          <w:szCs w:val="28"/>
        </w:rPr>
      </w:pPr>
      <w:r>
        <w:rPr>
          <w:b/>
          <w:bCs/>
          <w:spacing w:val="-1"/>
          <w:sz w:val="28"/>
          <w:szCs w:val="28"/>
        </w:rPr>
        <w:t>附件2：随机抽取确定评标基准价计算方法的规则与程序</w:t>
      </w:r>
    </w:p>
    <w:p w14:paraId="3DDE752B">
      <w:pPr>
        <w:spacing w:line="310" w:lineRule="auto"/>
        <w:rPr>
          <w:rFonts w:ascii="Arial"/>
          <w:sz w:val="21"/>
        </w:rPr>
      </w:pPr>
    </w:p>
    <w:p w14:paraId="6957F263">
      <w:pPr>
        <w:spacing w:line="310" w:lineRule="auto"/>
        <w:rPr>
          <w:rFonts w:ascii="Arial"/>
          <w:sz w:val="21"/>
        </w:rPr>
      </w:pPr>
    </w:p>
    <w:p w14:paraId="4ADF7187">
      <w:pPr>
        <w:pStyle w:val="2"/>
        <w:spacing w:before="78" w:line="218" w:lineRule="auto"/>
        <w:ind w:left="507"/>
      </w:pPr>
      <w:r>
        <w:rPr>
          <w:b/>
          <w:bCs/>
          <w:spacing w:val="-3"/>
        </w:rPr>
        <w:t>一、随机抽取确定评标基准价计算方法规则</w:t>
      </w:r>
    </w:p>
    <w:p w14:paraId="2CD4B1E4">
      <w:pPr>
        <w:pStyle w:val="2"/>
        <w:spacing w:before="184" w:line="360" w:lineRule="auto"/>
        <w:ind w:left="24" w:right="234" w:firstLine="480"/>
      </w:pPr>
      <w:r>
        <w:rPr>
          <w:spacing w:val="-3"/>
        </w:rPr>
        <w:t>参与随机确定评标基准价计算方法的各方当事人（以下简称</w:t>
      </w:r>
      <w:r>
        <w:rPr>
          <w:spacing w:val="-4"/>
        </w:rPr>
        <w:t>“各方”）应当</w:t>
      </w:r>
      <w:r>
        <w:rPr>
          <w:spacing w:val="-2"/>
        </w:rPr>
        <w:t>严格遵守以下规则：</w:t>
      </w:r>
    </w:p>
    <w:p w14:paraId="5D034D5B">
      <w:pPr>
        <w:pStyle w:val="2"/>
        <w:spacing w:line="219" w:lineRule="auto"/>
        <w:ind w:left="514"/>
      </w:pPr>
      <w:r>
        <w:rPr>
          <w:spacing w:val="-1"/>
        </w:rPr>
        <w:t>（一）各方必须严格遵守公开、公平、公正和诚实信用原则；</w:t>
      </w:r>
    </w:p>
    <w:p w14:paraId="4EA24E64">
      <w:pPr>
        <w:pStyle w:val="2"/>
        <w:spacing w:before="183" w:line="360" w:lineRule="auto"/>
        <w:ind w:left="26" w:right="234" w:firstLine="488"/>
      </w:pPr>
      <w:r>
        <w:rPr>
          <w:spacing w:val="-4"/>
        </w:rPr>
        <w:t>（二）随机抽取活动在招标人的主持下进行，招标人做好影像记录，并存档</w:t>
      </w:r>
      <w:r>
        <w:rPr>
          <w:spacing w:val="-5"/>
        </w:rPr>
        <w:t>备查；</w:t>
      </w:r>
    </w:p>
    <w:p w14:paraId="6140B777">
      <w:pPr>
        <w:pStyle w:val="2"/>
        <w:spacing w:line="218" w:lineRule="auto"/>
        <w:ind w:left="514"/>
      </w:pPr>
      <w:r>
        <w:rPr>
          <w:spacing w:val="-2"/>
        </w:rPr>
        <w:t>（三）用于随机抽取的器具由招标人提供；</w:t>
      </w:r>
    </w:p>
    <w:p w14:paraId="33DC2BBD">
      <w:pPr>
        <w:pStyle w:val="2"/>
        <w:spacing w:before="184" w:line="219" w:lineRule="auto"/>
        <w:ind w:left="514"/>
      </w:pPr>
      <w:r>
        <w:rPr>
          <w:spacing w:val="-1"/>
        </w:rPr>
        <w:t>（四）各方必须严格遵守现场纪律，确保随机抽取活动有序进行；</w:t>
      </w:r>
    </w:p>
    <w:p w14:paraId="6DE21351">
      <w:pPr>
        <w:pStyle w:val="2"/>
        <w:spacing w:before="183" w:line="360" w:lineRule="auto"/>
        <w:ind w:left="43" w:firstLine="471"/>
      </w:pPr>
      <w:r>
        <w:rPr>
          <w:spacing w:val="-5"/>
        </w:rPr>
        <w:t>（五）投标人对随机抽取过程有异议的，在“河北省公共资源交易服务平台</w:t>
      </w:r>
      <w:r>
        <w:rPr>
          <w:spacing w:val="-71"/>
        </w:rPr>
        <w:t xml:space="preserve"> </w:t>
      </w:r>
      <w:r>
        <w:rPr>
          <w:spacing w:val="-5"/>
        </w:rPr>
        <w:t>”</w:t>
      </w:r>
      <w:r>
        <w:rPr>
          <w:spacing w:val="-1"/>
        </w:rPr>
        <w:t>的项目流程中点异议按钮在线提出异议，招标人当场作出答复，并作好记录。</w:t>
      </w:r>
    </w:p>
    <w:p w14:paraId="53695585">
      <w:pPr>
        <w:pStyle w:val="2"/>
        <w:spacing w:before="2" w:line="217" w:lineRule="auto"/>
        <w:ind w:left="507"/>
      </w:pPr>
      <w:r>
        <w:rPr>
          <w:b/>
          <w:bCs/>
          <w:spacing w:val="-3"/>
        </w:rPr>
        <w:t>二、随机抽取确定评标基准价计算方法的程序</w:t>
      </w:r>
    </w:p>
    <w:p w14:paraId="7B6E3B80">
      <w:pPr>
        <w:pStyle w:val="2"/>
        <w:spacing w:before="184" w:line="219" w:lineRule="auto"/>
        <w:ind w:left="514"/>
      </w:pPr>
      <w:r>
        <w:rPr>
          <w:spacing w:val="-2"/>
        </w:rPr>
        <w:t>（一）确定随机抽取代码球</w:t>
      </w:r>
    </w:p>
    <w:p w14:paraId="2E6BDD57">
      <w:pPr>
        <w:pStyle w:val="2"/>
        <w:spacing w:before="184" w:line="360" w:lineRule="auto"/>
        <w:ind w:left="25" w:right="234" w:firstLine="480"/>
      </w:pPr>
      <w:r>
        <w:rPr>
          <w:spacing w:val="-3"/>
        </w:rPr>
        <w:t>用抽取器具随机确定抽取代码球一套，作为本次随机抽取确</w:t>
      </w:r>
      <w:r>
        <w:rPr>
          <w:spacing w:val="-4"/>
        </w:rPr>
        <w:t>定评标基准价计</w:t>
      </w:r>
      <w:r>
        <w:rPr>
          <w:spacing w:val="-2"/>
        </w:rPr>
        <w:t>算方法的代码球。</w:t>
      </w:r>
    </w:p>
    <w:p w14:paraId="26455822">
      <w:pPr>
        <w:pStyle w:val="2"/>
        <w:spacing w:before="1" w:line="217" w:lineRule="auto"/>
        <w:ind w:left="514"/>
      </w:pPr>
      <w:r>
        <w:rPr>
          <w:spacing w:val="-4"/>
        </w:rPr>
        <w:t>（二）本次招标共设置三种评标基准价计算方法（详见评标办法）。</w:t>
      </w:r>
    </w:p>
    <w:p w14:paraId="3B0F3F6A">
      <w:pPr>
        <w:pStyle w:val="2"/>
        <w:spacing w:before="185" w:line="360" w:lineRule="auto"/>
        <w:ind w:left="41" w:right="234" w:firstLine="462"/>
      </w:pPr>
      <w:r>
        <w:rPr>
          <w:spacing w:val="-2"/>
        </w:rPr>
        <w:t>确定评标基准价计算方法的编号及代码球，1</w:t>
      </w:r>
      <w:r>
        <w:rPr>
          <w:spacing w:val="-38"/>
        </w:rPr>
        <w:t xml:space="preserve"> </w:t>
      </w:r>
      <w:r>
        <w:rPr>
          <w:spacing w:val="-2"/>
        </w:rPr>
        <w:t>号球代表评标基准价计算方法</w:t>
      </w:r>
      <w:r>
        <w:rPr>
          <w:spacing w:val="-3"/>
        </w:rPr>
        <w:t>1；2</w:t>
      </w:r>
      <w:r>
        <w:rPr>
          <w:spacing w:val="-28"/>
        </w:rPr>
        <w:t xml:space="preserve"> </w:t>
      </w:r>
      <w:r>
        <w:rPr>
          <w:spacing w:val="-3"/>
        </w:rPr>
        <w:t>号球代表评标基准价计算方法</w:t>
      </w:r>
      <w:r>
        <w:rPr>
          <w:spacing w:val="-48"/>
        </w:rPr>
        <w:t xml:space="preserve"> </w:t>
      </w:r>
      <w:r>
        <w:rPr>
          <w:spacing w:val="-3"/>
        </w:rPr>
        <w:t>2；3</w:t>
      </w:r>
      <w:r>
        <w:rPr>
          <w:spacing w:val="-45"/>
        </w:rPr>
        <w:t xml:space="preserve"> </w:t>
      </w:r>
      <w:r>
        <w:rPr>
          <w:spacing w:val="-3"/>
        </w:rPr>
        <w:t>号球代表评标基准价计算方法</w:t>
      </w:r>
      <w:r>
        <w:rPr>
          <w:spacing w:val="-46"/>
        </w:rPr>
        <w:t xml:space="preserve"> </w:t>
      </w:r>
      <w:r>
        <w:rPr>
          <w:spacing w:val="-3"/>
        </w:rPr>
        <w:t>3。</w:t>
      </w:r>
    </w:p>
    <w:p w14:paraId="66584F44">
      <w:pPr>
        <w:pStyle w:val="2"/>
        <w:spacing w:before="3" w:line="359" w:lineRule="auto"/>
        <w:ind w:left="22" w:right="234" w:firstLine="492"/>
      </w:pPr>
      <w:r>
        <w:rPr>
          <w:spacing w:val="-3"/>
        </w:rPr>
        <w:t>（三）在投标文件第一信封（商务及技术文件）开标现场，将编号</w:t>
      </w:r>
      <w:r>
        <w:rPr>
          <w:spacing w:val="-16"/>
        </w:rPr>
        <w:t xml:space="preserve"> </w:t>
      </w:r>
      <w:r>
        <w:rPr>
          <w:spacing w:val="-3"/>
        </w:rPr>
        <w:t>1、2、3代码球全部放入随机抽取器具中，由抽取器具随机抽取产生本次招标评标基准价</w:t>
      </w:r>
      <w:r>
        <w:rPr>
          <w:spacing w:val="-2"/>
        </w:rPr>
        <w:t>计算方法。</w:t>
      </w:r>
    </w:p>
    <w:p w14:paraId="3603CA92">
      <w:pPr>
        <w:pStyle w:val="2"/>
        <w:spacing w:before="2" w:line="217" w:lineRule="auto"/>
        <w:ind w:left="514"/>
      </w:pPr>
      <w:r>
        <w:rPr>
          <w:spacing w:val="-5"/>
        </w:rPr>
        <w:t>（四）确定评标基准价计算方法需要的系数（如有）。</w:t>
      </w:r>
    </w:p>
    <w:p w14:paraId="54B1D3F0">
      <w:pPr>
        <w:pStyle w:val="2"/>
        <w:spacing w:before="188" w:line="360" w:lineRule="auto"/>
        <w:ind w:left="19" w:right="154" w:firstLine="501"/>
        <w:jc w:val="both"/>
      </w:pPr>
      <w:r>
        <w:rPr>
          <w:spacing w:val="1"/>
        </w:rPr>
        <w:t>1、如果抽取的评标基准价计算方法为方法</w:t>
      </w:r>
      <w:r>
        <w:rPr>
          <w:spacing w:val="-30"/>
        </w:rPr>
        <w:t xml:space="preserve"> </w:t>
      </w:r>
      <w:r>
        <w:rPr>
          <w:spacing w:val="1"/>
        </w:rPr>
        <w:t>1，则需要抽取评标</w:t>
      </w:r>
      <w:r>
        <w:t>基准价系数K1。K1</w:t>
      </w:r>
      <w:r>
        <w:rPr>
          <w:spacing w:val="-36"/>
        </w:rPr>
        <w:t xml:space="preserve"> </w:t>
      </w:r>
      <w:r>
        <w:t>取值范围为</w:t>
      </w:r>
      <w:r>
        <w:rPr>
          <w:spacing w:val="-46"/>
        </w:rPr>
        <w:t xml:space="preserve"> </w:t>
      </w:r>
      <w:r>
        <w:t>0.980、0.985、0.990、0.995、1.000</w:t>
      </w:r>
      <w:r>
        <w:rPr>
          <w:spacing w:val="-49"/>
        </w:rPr>
        <w:t xml:space="preserve"> </w:t>
      </w:r>
      <w:r>
        <w:t>共</w:t>
      </w:r>
      <w:r>
        <w:rPr>
          <w:spacing w:val="-44"/>
        </w:rPr>
        <w:t xml:space="preserve"> </w:t>
      </w:r>
      <w:r>
        <w:t>5</w:t>
      </w:r>
      <w:r>
        <w:rPr>
          <w:spacing w:val="-46"/>
        </w:rPr>
        <w:t xml:space="preserve"> </w:t>
      </w:r>
      <w:r>
        <w:t>个数值。将编号</w:t>
      </w:r>
      <w:r>
        <w:rPr>
          <w:spacing w:val="-1"/>
        </w:rPr>
        <w:t>为</w:t>
      </w:r>
      <w:r>
        <w:rPr>
          <w:spacing w:val="-30"/>
        </w:rPr>
        <w:t xml:space="preserve"> </w:t>
      </w:r>
      <w:r>
        <w:rPr>
          <w:spacing w:val="-1"/>
        </w:rPr>
        <w:t>1～5</w:t>
      </w:r>
      <w:r>
        <w:rPr>
          <w:spacing w:val="-29"/>
        </w:rPr>
        <w:t xml:space="preserve"> </w:t>
      </w:r>
      <w:r>
        <w:rPr>
          <w:spacing w:val="-1"/>
        </w:rPr>
        <w:t>的代码球放入抽取器具，由抽取器具随机抽取</w:t>
      </w:r>
      <w:r>
        <w:rPr>
          <w:spacing w:val="-30"/>
        </w:rPr>
        <w:t xml:space="preserve"> </w:t>
      </w:r>
      <w:r>
        <w:rPr>
          <w:spacing w:val="-1"/>
        </w:rPr>
        <w:t>1</w:t>
      </w:r>
      <w:r>
        <w:rPr>
          <w:spacing w:val="-49"/>
        </w:rPr>
        <w:t xml:space="preserve"> </w:t>
      </w:r>
      <w:r>
        <w:rPr>
          <w:spacing w:val="-1"/>
        </w:rPr>
        <w:t>个代</w:t>
      </w:r>
      <w:r>
        <w:rPr>
          <w:spacing w:val="-2"/>
        </w:rPr>
        <w:t>码球。1</w:t>
      </w:r>
      <w:r>
        <w:rPr>
          <w:spacing w:val="-42"/>
        </w:rPr>
        <w:t xml:space="preserve"> </w:t>
      </w:r>
      <w:r>
        <w:rPr>
          <w:spacing w:val="-2"/>
        </w:rPr>
        <w:t>号球代表</w:t>
      </w:r>
      <w:r>
        <w:rPr>
          <w:spacing w:val="-4"/>
        </w:rPr>
        <w:t>K1</w:t>
      </w:r>
      <w:r>
        <w:rPr>
          <w:spacing w:val="-34"/>
        </w:rPr>
        <w:t xml:space="preserve"> </w:t>
      </w:r>
      <w:r>
        <w:rPr>
          <w:spacing w:val="-4"/>
        </w:rPr>
        <w:t>值为</w:t>
      </w:r>
      <w:r>
        <w:rPr>
          <w:spacing w:val="-48"/>
        </w:rPr>
        <w:t xml:space="preserve"> </w:t>
      </w:r>
      <w:r>
        <w:rPr>
          <w:spacing w:val="-4"/>
        </w:rPr>
        <w:t>0.980；2</w:t>
      </w:r>
      <w:r>
        <w:rPr>
          <w:spacing w:val="-45"/>
        </w:rPr>
        <w:t xml:space="preserve"> </w:t>
      </w:r>
      <w:r>
        <w:rPr>
          <w:spacing w:val="-4"/>
        </w:rPr>
        <w:t>号球代表</w:t>
      </w:r>
      <w:r>
        <w:rPr>
          <w:spacing w:val="-55"/>
        </w:rPr>
        <w:t xml:space="preserve"> </w:t>
      </w:r>
      <w:r>
        <w:rPr>
          <w:spacing w:val="-4"/>
        </w:rPr>
        <w:t>K1</w:t>
      </w:r>
      <w:r>
        <w:rPr>
          <w:spacing w:val="-50"/>
        </w:rPr>
        <w:t xml:space="preserve"> </w:t>
      </w:r>
      <w:r>
        <w:rPr>
          <w:spacing w:val="-4"/>
        </w:rPr>
        <w:t>值为</w:t>
      </w:r>
      <w:r>
        <w:rPr>
          <w:spacing w:val="-49"/>
        </w:rPr>
        <w:t xml:space="preserve"> </w:t>
      </w:r>
      <w:r>
        <w:rPr>
          <w:spacing w:val="-4"/>
        </w:rPr>
        <w:t>0.985；3</w:t>
      </w:r>
      <w:r>
        <w:rPr>
          <w:spacing w:val="-45"/>
        </w:rPr>
        <w:t xml:space="preserve"> </w:t>
      </w:r>
      <w:r>
        <w:rPr>
          <w:spacing w:val="-4"/>
        </w:rPr>
        <w:t>号球代表</w:t>
      </w:r>
      <w:r>
        <w:rPr>
          <w:spacing w:val="-54"/>
        </w:rPr>
        <w:t xml:space="preserve"> </w:t>
      </w:r>
      <w:r>
        <w:rPr>
          <w:spacing w:val="-4"/>
        </w:rPr>
        <w:t>K1</w:t>
      </w:r>
      <w:r>
        <w:rPr>
          <w:spacing w:val="-51"/>
        </w:rPr>
        <w:t xml:space="preserve"> </w:t>
      </w:r>
      <w:r>
        <w:rPr>
          <w:spacing w:val="-4"/>
        </w:rPr>
        <w:t>值为</w:t>
      </w:r>
      <w:r>
        <w:rPr>
          <w:spacing w:val="-49"/>
        </w:rPr>
        <w:t xml:space="preserve"> </w:t>
      </w:r>
      <w:r>
        <w:rPr>
          <w:spacing w:val="-4"/>
        </w:rPr>
        <w:t>0.990；4</w:t>
      </w:r>
      <w:r>
        <w:rPr>
          <w:spacing w:val="-45"/>
        </w:rPr>
        <w:t xml:space="preserve"> </w:t>
      </w:r>
      <w:r>
        <w:rPr>
          <w:spacing w:val="-4"/>
        </w:rPr>
        <w:t>号球代</w:t>
      </w:r>
      <w:r>
        <w:rPr>
          <w:spacing w:val="-1"/>
        </w:rPr>
        <w:t>表</w:t>
      </w:r>
      <w:r>
        <w:rPr>
          <w:spacing w:val="-40"/>
        </w:rPr>
        <w:t xml:space="preserve"> </w:t>
      </w:r>
      <w:r>
        <w:rPr>
          <w:spacing w:val="-1"/>
        </w:rPr>
        <w:t>K1</w:t>
      </w:r>
      <w:r>
        <w:rPr>
          <w:spacing w:val="-48"/>
        </w:rPr>
        <w:t xml:space="preserve"> </w:t>
      </w:r>
      <w:r>
        <w:rPr>
          <w:spacing w:val="-1"/>
        </w:rPr>
        <w:t>值为</w:t>
      </w:r>
      <w:r>
        <w:rPr>
          <w:spacing w:val="-44"/>
        </w:rPr>
        <w:t xml:space="preserve"> </w:t>
      </w:r>
      <w:r>
        <w:rPr>
          <w:spacing w:val="-1"/>
        </w:rPr>
        <w:t>0.995；5</w:t>
      </w:r>
      <w:r>
        <w:rPr>
          <w:spacing w:val="-43"/>
        </w:rPr>
        <w:t xml:space="preserve"> </w:t>
      </w:r>
      <w:r>
        <w:rPr>
          <w:spacing w:val="-1"/>
        </w:rPr>
        <w:t>号球代表</w:t>
      </w:r>
      <w:r>
        <w:rPr>
          <w:spacing w:val="-52"/>
        </w:rPr>
        <w:t xml:space="preserve"> </w:t>
      </w:r>
      <w:r>
        <w:rPr>
          <w:spacing w:val="-1"/>
        </w:rPr>
        <w:t>K1</w:t>
      </w:r>
      <w:r>
        <w:rPr>
          <w:spacing w:val="-46"/>
        </w:rPr>
        <w:t xml:space="preserve"> </w:t>
      </w:r>
      <w:r>
        <w:rPr>
          <w:spacing w:val="-1"/>
        </w:rPr>
        <w:t>值为</w:t>
      </w:r>
      <w:r>
        <w:rPr>
          <w:spacing w:val="-30"/>
        </w:rPr>
        <w:t xml:space="preserve"> </w:t>
      </w:r>
      <w:r>
        <w:rPr>
          <w:spacing w:val="-1"/>
        </w:rPr>
        <w:t>1.000。在投标文件第一信封（商务及技术文件）开标现场通过随机抽取方式确定一个评标基准价系数K1，并当场公布。</w:t>
      </w:r>
    </w:p>
    <w:p w14:paraId="186D1ECE">
      <w:pPr>
        <w:spacing w:line="360" w:lineRule="auto"/>
        <w:sectPr>
          <w:footerReference r:id="rId14" w:type="default"/>
          <w:pgSz w:w="11906" w:h="16839"/>
          <w:pgMar w:top="400" w:right="1564" w:bottom="1378" w:left="1785" w:header="0" w:footer="1212" w:gutter="0"/>
          <w:cols w:space="720" w:num="1"/>
        </w:sectPr>
      </w:pPr>
    </w:p>
    <w:p w14:paraId="1077A0F8">
      <w:pPr>
        <w:spacing w:line="267" w:lineRule="auto"/>
        <w:rPr>
          <w:rFonts w:ascii="Arial"/>
          <w:sz w:val="21"/>
        </w:rPr>
      </w:pPr>
    </w:p>
    <w:p w14:paraId="1A575433">
      <w:pPr>
        <w:spacing w:line="267" w:lineRule="auto"/>
        <w:rPr>
          <w:rFonts w:ascii="Arial"/>
          <w:sz w:val="21"/>
        </w:rPr>
      </w:pPr>
    </w:p>
    <w:p w14:paraId="6276E8A6">
      <w:pPr>
        <w:spacing w:line="267" w:lineRule="auto"/>
        <w:rPr>
          <w:rFonts w:ascii="Arial"/>
          <w:sz w:val="21"/>
        </w:rPr>
      </w:pPr>
    </w:p>
    <w:p w14:paraId="61066870">
      <w:pPr>
        <w:spacing w:line="268" w:lineRule="auto"/>
        <w:rPr>
          <w:rFonts w:ascii="Arial"/>
          <w:sz w:val="21"/>
        </w:rPr>
      </w:pPr>
    </w:p>
    <w:p w14:paraId="48C64B77">
      <w:pPr>
        <w:pStyle w:val="2"/>
        <w:spacing w:before="78" w:line="360" w:lineRule="auto"/>
        <w:ind w:left="25" w:right="200" w:firstLine="480"/>
      </w:pPr>
      <w:r>
        <w:rPr>
          <w:spacing w:val="2"/>
        </w:rPr>
        <w:t>2、如果抽取的评标基准价计算方法为方法</w:t>
      </w:r>
      <w:r>
        <w:rPr>
          <w:spacing w:val="-45"/>
        </w:rPr>
        <w:t xml:space="preserve"> </w:t>
      </w:r>
      <w:r>
        <w:rPr>
          <w:spacing w:val="2"/>
        </w:rPr>
        <w:t>2，则</w:t>
      </w:r>
      <w:r>
        <w:rPr>
          <w:spacing w:val="1"/>
        </w:rPr>
        <w:t>需要抽取最高投标限价所</w:t>
      </w:r>
      <w:r>
        <w:rPr>
          <w:spacing w:val="-3"/>
        </w:rPr>
        <w:t>占比例系数</w:t>
      </w:r>
      <w:r>
        <w:rPr>
          <w:spacing w:val="-54"/>
        </w:rPr>
        <w:t xml:space="preserve"> </w:t>
      </w:r>
      <w:r>
        <w:rPr>
          <w:spacing w:val="-3"/>
        </w:rPr>
        <w:t>K2。K2</w:t>
      </w:r>
      <w:r>
        <w:rPr>
          <w:spacing w:val="-48"/>
        </w:rPr>
        <w:t xml:space="preserve"> </w:t>
      </w:r>
      <w:r>
        <w:rPr>
          <w:spacing w:val="-3"/>
        </w:rPr>
        <w:t>取值范围为</w:t>
      </w:r>
      <w:r>
        <w:rPr>
          <w:spacing w:val="-49"/>
        </w:rPr>
        <w:t xml:space="preserve"> </w:t>
      </w:r>
      <w:r>
        <w:rPr>
          <w:spacing w:val="-3"/>
        </w:rPr>
        <w:t>0.10、0.15、</w:t>
      </w:r>
      <w:r>
        <w:rPr>
          <w:spacing w:val="-4"/>
        </w:rPr>
        <w:t>0.20、0.25、0.30。将编号为</w:t>
      </w:r>
      <w:r>
        <w:rPr>
          <w:spacing w:val="-32"/>
        </w:rPr>
        <w:t xml:space="preserve"> </w:t>
      </w:r>
      <w:r>
        <w:rPr>
          <w:spacing w:val="-4"/>
        </w:rPr>
        <w:t>1～5</w:t>
      </w:r>
      <w:r>
        <w:rPr>
          <w:spacing w:val="2"/>
        </w:rPr>
        <w:t>的代码球放入抽取器具，由抽取器具随机抽取</w:t>
      </w:r>
      <w:r>
        <w:rPr>
          <w:spacing w:val="-30"/>
        </w:rPr>
        <w:t xml:space="preserve"> </w:t>
      </w:r>
      <w:r>
        <w:rPr>
          <w:spacing w:val="2"/>
        </w:rPr>
        <w:t>1</w:t>
      </w:r>
      <w:r>
        <w:rPr>
          <w:spacing w:val="-51"/>
        </w:rPr>
        <w:t xml:space="preserve"> </w:t>
      </w:r>
      <w:r>
        <w:rPr>
          <w:spacing w:val="2"/>
        </w:rPr>
        <w:t>个代码球，1</w:t>
      </w:r>
      <w:r>
        <w:rPr>
          <w:spacing w:val="-43"/>
        </w:rPr>
        <w:t xml:space="preserve"> </w:t>
      </w:r>
      <w:r>
        <w:rPr>
          <w:spacing w:val="2"/>
        </w:rPr>
        <w:t>号</w:t>
      </w:r>
      <w:r>
        <w:rPr>
          <w:spacing w:val="1"/>
        </w:rPr>
        <w:t>球代表K2</w:t>
      </w:r>
      <w:r>
        <w:rPr>
          <w:spacing w:val="-45"/>
        </w:rPr>
        <w:t xml:space="preserve"> </w:t>
      </w:r>
      <w:r>
        <w:rPr>
          <w:spacing w:val="1"/>
        </w:rPr>
        <w:t>值为</w:t>
      </w:r>
      <w:r>
        <w:rPr>
          <w:spacing w:val="-2"/>
        </w:rPr>
        <w:t>0.10；2</w:t>
      </w:r>
      <w:r>
        <w:rPr>
          <w:spacing w:val="-31"/>
        </w:rPr>
        <w:t xml:space="preserve"> </w:t>
      </w:r>
      <w:r>
        <w:rPr>
          <w:spacing w:val="-2"/>
        </w:rPr>
        <w:t>号球代表</w:t>
      </w:r>
      <w:r>
        <w:rPr>
          <w:spacing w:val="-52"/>
        </w:rPr>
        <w:t xml:space="preserve"> </w:t>
      </w:r>
      <w:r>
        <w:rPr>
          <w:spacing w:val="-2"/>
        </w:rPr>
        <w:t>K2</w:t>
      </w:r>
      <w:r>
        <w:rPr>
          <w:spacing w:val="-46"/>
        </w:rPr>
        <w:t xml:space="preserve"> </w:t>
      </w:r>
      <w:r>
        <w:rPr>
          <w:spacing w:val="-2"/>
        </w:rPr>
        <w:t>值为</w:t>
      </w:r>
      <w:r>
        <w:rPr>
          <w:spacing w:val="-46"/>
        </w:rPr>
        <w:t xml:space="preserve"> </w:t>
      </w:r>
      <w:r>
        <w:rPr>
          <w:spacing w:val="-2"/>
        </w:rPr>
        <w:t>0.15；3</w:t>
      </w:r>
      <w:r>
        <w:rPr>
          <w:spacing w:val="-43"/>
        </w:rPr>
        <w:t xml:space="preserve"> </w:t>
      </w:r>
      <w:r>
        <w:rPr>
          <w:spacing w:val="-2"/>
        </w:rPr>
        <w:t>号球代表</w:t>
      </w:r>
      <w:r>
        <w:rPr>
          <w:spacing w:val="-52"/>
        </w:rPr>
        <w:t xml:space="preserve"> </w:t>
      </w:r>
      <w:r>
        <w:rPr>
          <w:spacing w:val="-2"/>
        </w:rPr>
        <w:t>K2</w:t>
      </w:r>
      <w:r>
        <w:rPr>
          <w:spacing w:val="-48"/>
        </w:rPr>
        <w:t xml:space="preserve"> </w:t>
      </w:r>
      <w:r>
        <w:rPr>
          <w:spacing w:val="-2"/>
        </w:rPr>
        <w:t>值为</w:t>
      </w:r>
      <w:r>
        <w:rPr>
          <w:spacing w:val="-44"/>
        </w:rPr>
        <w:t xml:space="preserve"> </w:t>
      </w:r>
      <w:r>
        <w:rPr>
          <w:spacing w:val="-2"/>
        </w:rPr>
        <w:t>0.20；4</w:t>
      </w:r>
      <w:r>
        <w:rPr>
          <w:spacing w:val="-43"/>
        </w:rPr>
        <w:t xml:space="preserve"> </w:t>
      </w:r>
      <w:r>
        <w:rPr>
          <w:spacing w:val="-2"/>
        </w:rPr>
        <w:t>号球代表</w:t>
      </w:r>
      <w:r>
        <w:rPr>
          <w:spacing w:val="-52"/>
        </w:rPr>
        <w:t xml:space="preserve"> </w:t>
      </w:r>
      <w:r>
        <w:rPr>
          <w:spacing w:val="-2"/>
        </w:rPr>
        <w:t>K2</w:t>
      </w:r>
      <w:r>
        <w:rPr>
          <w:spacing w:val="-45"/>
        </w:rPr>
        <w:t xml:space="preserve"> </w:t>
      </w:r>
      <w:r>
        <w:rPr>
          <w:spacing w:val="-2"/>
        </w:rPr>
        <w:t>值为</w:t>
      </w:r>
      <w:r>
        <w:rPr>
          <w:spacing w:val="-1"/>
        </w:rPr>
        <w:t>0.25；5</w:t>
      </w:r>
      <w:r>
        <w:rPr>
          <w:spacing w:val="-36"/>
        </w:rPr>
        <w:t xml:space="preserve"> </w:t>
      </w:r>
      <w:r>
        <w:rPr>
          <w:spacing w:val="-1"/>
        </w:rPr>
        <w:t>号球代表</w:t>
      </w:r>
      <w:r>
        <w:rPr>
          <w:spacing w:val="-54"/>
        </w:rPr>
        <w:t xml:space="preserve"> </w:t>
      </w:r>
      <w:r>
        <w:rPr>
          <w:spacing w:val="-1"/>
        </w:rPr>
        <w:t>K2</w:t>
      </w:r>
      <w:r>
        <w:rPr>
          <w:spacing w:val="-51"/>
        </w:rPr>
        <w:t xml:space="preserve"> </w:t>
      </w:r>
      <w:r>
        <w:rPr>
          <w:spacing w:val="-1"/>
        </w:rPr>
        <w:t>值为</w:t>
      </w:r>
      <w:r>
        <w:rPr>
          <w:spacing w:val="-46"/>
        </w:rPr>
        <w:t xml:space="preserve"> </w:t>
      </w:r>
      <w:r>
        <w:rPr>
          <w:spacing w:val="-1"/>
        </w:rPr>
        <w:t>0.30。在投标文件第一信封（商务及技术文件）开标</w:t>
      </w:r>
      <w:r>
        <w:rPr>
          <w:spacing w:val="1"/>
        </w:rPr>
        <w:t>现场通过随机抽取方式确定一个最高投标限价所占比例系数K2，并当场公布。</w:t>
      </w:r>
    </w:p>
    <w:p w14:paraId="31646083">
      <w:pPr>
        <w:pStyle w:val="2"/>
        <w:spacing w:before="1" w:line="217" w:lineRule="auto"/>
        <w:ind w:left="508"/>
      </w:pPr>
      <w:r>
        <w:rPr>
          <w:spacing w:val="-1"/>
        </w:rPr>
        <w:t>3、如果抽取的评标基准价计算方法为方法</w:t>
      </w:r>
      <w:r>
        <w:rPr>
          <w:spacing w:val="-46"/>
        </w:rPr>
        <w:t xml:space="preserve"> </w:t>
      </w:r>
      <w:r>
        <w:rPr>
          <w:spacing w:val="-1"/>
        </w:rPr>
        <w:t>3，则不需要抽取系数。</w:t>
      </w:r>
    </w:p>
    <w:p w14:paraId="032F7736">
      <w:pPr>
        <w:pStyle w:val="2"/>
        <w:spacing w:before="184" w:line="360" w:lineRule="auto"/>
        <w:ind w:left="27" w:firstLine="476"/>
        <w:jc w:val="both"/>
      </w:pPr>
      <w:r>
        <w:rPr>
          <w:b/>
          <w:bCs/>
          <w:spacing w:val="-3"/>
        </w:rPr>
        <w:t>三、</w:t>
      </w:r>
      <w:r>
        <w:rPr>
          <w:spacing w:val="-3"/>
        </w:rPr>
        <w:t>如果遇到抽取器具发生故障，导致随机确</w:t>
      </w:r>
      <w:r>
        <w:rPr>
          <w:spacing w:val="-4"/>
        </w:rPr>
        <w:t>定评标基准价计算方法过程中断时，招标人应及时宣布发生故障之前的随机确定评标基准价计算方法结</w:t>
      </w:r>
      <w:r>
        <w:rPr>
          <w:spacing w:val="-5"/>
        </w:rPr>
        <w:t>果有效。</w:t>
      </w:r>
      <w:r>
        <w:rPr>
          <w:spacing w:val="-3"/>
        </w:rPr>
        <w:t>宣布前任何人不得随意处理抽取器具，并请招标人、监督人员对故障发生</w:t>
      </w:r>
      <w:r>
        <w:rPr>
          <w:spacing w:val="-4"/>
        </w:rPr>
        <w:t>情况进</w:t>
      </w:r>
    </w:p>
    <w:p w14:paraId="138EDF82">
      <w:pPr>
        <w:pStyle w:val="2"/>
        <w:spacing w:line="218" w:lineRule="auto"/>
        <w:ind w:left="27"/>
        <w:outlineLvl w:val="0"/>
      </w:pPr>
      <w:r>
        <w:t>行书面确认。故障排除或更换抽取器具后，招</w:t>
      </w:r>
      <w:r>
        <w:rPr>
          <w:spacing w:val="-1"/>
        </w:rPr>
        <w:t>标人应宣布继续后续的抽取程序。</w:t>
      </w:r>
    </w:p>
    <w:p w14:paraId="0204A599">
      <w:pPr>
        <w:spacing w:line="218" w:lineRule="auto"/>
        <w:sectPr>
          <w:footerReference r:id="rId15" w:type="default"/>
          <w:pgSz w:w="11906" w:h="16839"/>
          <w:pgMar w:top="400" w:right="1599" w:bottom="1378" w:left="1785" w:header="0" w:footer="1212" w:gutter="0"/>
          <w:cols w:space="720" w:num="1"/>
        </w:sectPr>
      </w:pPr>
    </w:p>
    <w:p w14:paraId="38B3B72B">
      <w:pPr>
        <w:spacing w:line="259" w:lineRule="auto"/>
        <w:rPr>
          <w:rFonts w:ascii="Arial"/>
          <w:sz w:val="21"/>
        </w:rPr>
      </w:pPr>
    </w:p>
    <w:p w14:paraId="1D57F178">
      <w:pPr>
        <w:spacing w:line="259" w:lineRule="auto"/>
        <w:rPr>
          <w:rFonts w:ascii="Arial"/>
          <w:sz w:val="21"/>
        </w:rPr>
      </w:pPr>
    </w:p>
    <w:p w14:paraId="1057A2FD">
      <w:pPr>
        <w:spacing w:line="259" w:lineRule="auto"/>
        <w:rPr>
          <w:rFonts w:ascii="Arial"/>
          <w:sz w:val="21"/>
        </w:rPr>
      </w:pPr>
    </w:p>
    <w:p w14:paraId="37F2F950">
      <w:pPr>
        <w:spacing w:line="260" w:lineRule="auto"/>
        <w:rPr>
          <w:rFonts w:ascii="Arial"/>
          <w:sz w:val="21"/>
        </w:rPr>
      </w:pPr>
    </w:p>
    <w:p w14:paraId="6E689279">
      <w:pPr>
        <w:pStyle w:val="2"/>
        <w:spacing w:before="78" w:line="219" w:lineRule="auto"/>
        <w:ind w:left="83"/>
      </w:pPr>
      <w:r>
        <w:rPr>
          <w:b/>
          <w:bCs/>
          <w:spacing w:val="-7"/>
        </w:rPr>
        <w:t>附件</w:t>
      </w:r>
      <w:r>
        <w:rPr>
          <w:spacing w:val="-46"/>
        </w:rPr>
        <w:t xml:space="preserve"> </w:t>
      </w:r>
      <w:r>
        <w:rPr>
          <w:b/>
          <w:bCs/>
          <w:spacing w:val="-7"/>
        </w:rPr>
        <w:t>3：评标办法</w:t>
      </w:r>
    </w:p>
    <w:p w14:paraId="27C856BC">
      <w:pPr>
        <w:pStyle w:val="2"/>
        <w:spacing w:before="207" w:line="219" w:lineRule="auto"/>
        <w:ind w:left="2110"/>
        <w:rPr>
          <w:sz w:val="28"/>
          <w:szCs w:val="28"/>
        </w:rPr>
      </w:pPr>
      <w:r>
        <w:rPr>
          <w:b/>
          <w:bCs/>
          <w:spacing w:val="-3"/>
          <w:sz w:val="28"/>
          <w:szCs w:val="28"/>
        </w:rPr>
        <w:t>评标办法（技术评分合理低价法）</w:t>
      </w:r>
    </w:p>
    <w:p w14:paraId="1C67CB2E">
      <w:pPr>
        <w:pStyle w:val="2"/>
        <w:spacing w:before="277" w:line="213" w:lineRule="auto"/>
        <w:ind w:left="64"/>
      </w:pPr>
      <w:r>
        <w:rPr>
          <w:b/>
          <w:bCs/>
          <w:spacing w:val="-4"/>
        </w:rPr>
        <w:t>评标办法前附表</w:t>
      </w:r>
    </w:p>
    <w:tbl>
      <w:tblPr>
        <w:tblStyle w:val="5"/>
        <w:tblW w:w="8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644"/>
        <w:gridCol w:w="7039"/>
      </w:tblGrid>
      <w:tr w14:paraId="52D90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29" w:type="dxa"/>
            <w:vAlign w:val="top"/>
          </w:tcPr>
          <w:p w14:paraId="5938C782">
            <w:pPr>
              <w:spacing w:line="244" w:lineRule="auto"/>
              <w:rPr>
                <w:rFonts w:ascii="Arial"/>
                <w:sz w:val="21"/>
              </w:rPr>
            </w:pPr>
          </w:p>
          <w:p w14:paraId="54F39177">
            <w:pPr>
              <w:pStyle w:val="6"/>
              <w:spacing w:before="65" w:line="228" w:lineRule="auto"/>
              <w:ind w:left="55"/>
            </w:pPr>
            <w:r>
              <w:rPr>
                <w:b/>
                <w:bCs/>
                <w:spacing w:val="5"/>
              </w:rPr>
              <w:t>条款号</w:t>
            </w:r>
          </w:p>
        </w:tc>
        <w:tc>
          <w:tcPr>
            <w:tcW w:w="644" w:type="dxa"/>
            <w:vAlign w:val="top"/>
          </w:tcPr>
          <w:p w14:paraId="0F66DDFA">
            <w:pPr>
              <w:pStyle w:val="6"/>
              <w:spacing w:before="174" w:line="255" w:lineRule="auto"/>
              <w:ind w:left="116" w:right="112"/>
            </w:pPr>
            <w:r>
              <w:rPr>
                <w:b/>
                <w:bCs/>
                <w:spacing w:val="3"/>
              </w:rPr>
              <w:t>条款</w:t>
            </w:r>
            <w:r>
              <w:rPr>
                <w:b/>
                <w:bCs/>
                <w:spacing w:val="2"/>
              </w:rPr>
              <w:t>名称</w:t>
            </w:r>
          </w:p>
        </w:tc>
        <w:tc>
          <w:tcPr>
            <w:tcW w:w="7039" w:type="dxa"/>
            <w:vAlign w:val="top"/>
          </w:tcPr>
          <w:p w14:paraId="1363FDF6">
            <w:pPr>
              <w:spacing w:line="244" w:lineRule="auto"/>
              <w:rPr>
                <w:rFonts w:ascii="Arial"/>
                <w:sz w:val="21"/>
              </w:rPr>
            </w:pPr>
          </w:p>
          <w:p w14:paraId="2427A067">
            <w:pPr>
              <w:pStyle w:val="6"/>
              <w:spacing w:before="65" w:line="228" w:lineRule="auto"/>
              <w:ind w:left="2573"/>
            </w:pPr>
            <w:r>
              <w:rPr>
                <w:b/>
                <w:bCs/>
                <w:spacing w:val="7"/>
              </w:rPr>
              <w:t>评审因素与评审标准</w:t>
            </w:r>
          </w:p>
        </w:tc>
      </w:tr>
      <w:tr w14:paraId="4058F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9" w:hRule="atLeast"/>
        </w:trPr>
        <w:tc>
          <w:tcPr>
            <w:tcW w:w="729" w:type="dxa"/>
            <w:vAlign w:val="top"/>
          </w:tcPr>
          <w:p w14:paraId="4BD50249">
            <w:pPr>
              <w:spacing w:line="249" w:lineRule="auto"/>
              <w:rPr>
                <w:rFonts w:ascii="Arial"/>
                <w:sz w:val="21"/>
              </w:rPr>
            </w:pPr>
          </w:p>
          <w:p w14:paraId="104797F9">
            <w:pPr>
              <w:spacing w:line="249" w:lineRule="auto"/>
              <w:rPr>
                <w:rFonts w:ascii="Arial"/>
                <w:sz w:val="21"/>
              </w:rPr>
            </w:pPr>
          </w:p>
          <w:p w14:paraId="74820CD0">
            <w:pPr>
              <w:spacing w:line="249" w:lineRule="auto"/>
              <w:rPr>
                <w:rFonts w:ascii="Arial"/>
                <w:sz w:val="21"/>
              </w:rPr>
            </w:pPr>
          </w:p>
          <w:p w14:paraId="7B9F827F">
            <w:pPr>
              <w:spacing w:line="249" w:lineRule="auto"/>
              <w:rPr>
                <w:rFonts w:ascii="Arial"/>
                <w:sz w:val="21"/>
              </w:rPr>
            </w:pPr>
          </w:p>
          <w:p w14:paraId="4CB8EB46">
            <w:pPr>
              <w:spacing w:line="249" w:lineRule="auto"/>
              <w:rPr>
                <w:rFonts w:ascii="Arial"/>
                <w:sz w:val="21"/>
              </w:rPr>
            </w:pPr>
          </w:p>
          <w:p w14:paraId="57700A60">
            <w:pPr>
              <w:spacing w:line="249" w:lineRule="auto"/>
              <w:rPr>
                <w:rFonts w:ascii="Arial"/>
                <w:sz w:val="21"/>
              </w:rPr>
            </w:pPr>
          </w:p>
          <w:p w14:paraId="59168A61">
            <w:pPr>
              <w:spacing w:line="249" w:lineRule="auto"/>
              <w:rPr>
                <w:rFonts w:ascii="Arial"/>
                <w:sz w:val="21"/>
              </w:rPr>
            </w:pPr>
          </w:p>
          <w:p w14:paraId="042859BA">
            <w:pPr>
              <w:spacing w:line="250" w:lineRule="auto"/>
              <w:rPr>
                <w:rFonts w:ascii="Arial"/>
                <w:sz w:val="21"/>
              </w:rPr>
            </w:pPr>
          </w:p>
          <w:p w14:paraId="2032EAEA">
            <w:pPr>
              <w:spacing w:line="250" w:lineRule="auto"/>
              <w:rPr>
                <w:rFonts w:ascii="Arial"/>
                <w:sz w:val="21"/>
              </w:rPr>
            </w:pPr>
          </w:p>
          <w:p w14:paraId="505CA287">
            <w:pPr>
              <w:pStyle w:val="6"/>
              <w:spacing w:before="65" w:line="270" w:lineRule="exact"/>
              <w:ind w:left="333"/>
            </w:pPr>
            <w:r>
              <w:rPr>
                <w:position w:val="1"/>
              </w:rPr>
              <w:t>1</w:t>
            </w:r>
          </w:p>
        </w:tc>
        <w:tc>
          <w:tcPr>
            <w:tcW w:w="644" w:type="dxa"/>
            <w:vAlign w:val="top"/>
          </w:tcPr>
          <w:p w14:paraId="3975C8DE">
            <w:pPr>
              <w:spacing w:line="263" w:lineRule="auto"/>
              <w:rPr>
                <w:rFonts w:ascii="Arial"/>
                <w:sz w:val="21"/>
              </w:rPr>
            </w:pPr>
          </w:p>
          <w:p w14:paraId="4BEC69D6">
            <w:pPr>
              <w:spacing w:line="263" w:lineRule="auto"/>
              <w:rPr>
                <w:rFonts w:ascii="Arial"/>
                <w:sz w:val="21"/>
              </w:rPr>
            </w:pPr>
          </w:p>
          <w:p w14:paraId="71721018">
            <w:pPr>
              <w:spacing w:line="263" w:lineRule="auto"/>
              <w:rPr>
                <w:rFonts w:ascii="Arial"/>
                <w:sz w:val="21"/>
              </w:rPr>
            </w:pPr>
          </w:p>
          <w:p w14:paraId="6A4465F2">
            <w:pPr>
              <w:spacing w:line="263" w:lineRule="auto"/>
              <w:rPr>
                <w:rFonts w:ascii="Arial"/>
                <w:sz w:val="21"/>
              </w:rPr>
            </w:pPr>
          </w:p>
          <w:p w14:paraId="06C39997">
            <w:pPr>
              <w:spacing w:line="263" w:lineRule="auto"/>
              <w:rPr>
                <w:rFonts w:ascii="Arial"/>
                <w:sz w:val="21"/>
              </w:rPr>
            </w:pPr>
          </w:p>
          <w:p w14:paraId="1EE4361F">
            <w:pPr>
              <w:spacing w:line="264" w:lineRule="auto"/>
              <w:rPr>
                <w:rFonts w:ascii="Arial"/>
                <w:sz w:val="21"/>
              </w:rPr>
            </w:pPr>
          </w:p>
          <w:p w14:paraId="40CC89EA">
            <w:pPr>
              <w:spacing w:line="264" w:lineRule="auto"/>
              <w:rPr>
                <w:rFonts w:ascii="Arial"/>
                <w:sz w:val="21"/>
              </w:rPr>
            </w:pPr>
          </w:p>
          <w:p w14:paraId="0D78BFBB">
            <w:pPr>
              <w:spacing w:line="264" w:lineRule="auto"/>
              <w:rPr>
                <w:rFonts w:ascii="Arial"/>
                <w:sz w:val="21"/>
              </w:rPr>
            </w:pPr>
          </w:p>
          <w:p w14:paraId="177962D3">
            <w:pPr>
              <w:pStyle w:val="6"/>
              <w:spacing w:before="65" w:line="254" w:lineRule="auto"/>
              <w:ind w:left="118" w:right="114" w:hanging="5"/>
            </w:pPr>
            <w:r>
              <w:rPr>
                <w:spacing w:val="5"/>
              </w:rPr>
              <w:t>评标</w:t>
            </w:r>
            <w:r>
              <w:rPr>
                <w:spacing w:val="2"/>
              </w:rPr>
              <w:t>办法</w:t>
            </w:r>
          </w:p>
        </w:tc>
        <w:tc>
          <w:tcPr>
            <w:tcW w:w="7039" w:type="dxa"/>
            <w:vAlign w:val="top"/>
          </w:tcPr>
          <w:p w14:paraId="4F5C7D8D">
            <w:pPr>
              <w:pStyle w:val="6"/>
              <w:spacing w:before="143" w:line="226" w:lineRule="auto"/>
              <w:ind w:left="383"/>
            </w:pPr>
            <w:r>
              <w:rPr>
                <w:spacing w:val="9"/>
              </w:rPr>
              <w:t>本次评标采用技术评分合理低价法，双信封形式。</w:t>
            </w:r>
          </w:p>
          <w:p w14:paraId="1BC40FB3">
            <w:pPr>
              <w:pStyle w:val="6"/>
              <w:spacing w:before="30" w:line="251" w:lineRule="auto"/>
              <w:ind w:left="55" w:right="49" w:firstLine="326"/>
            </w:pPr>
            <w:r>
              <w:rPr>
                <w:spacing w:val="13"/>
              </w:rPr>
              <w:t>评标委员会对通过第一信封初步评审的投标文件的承包人建议书、</w:t>
            </w:r>
            <w:r>
              <w:rPr>
                <w:spacing w:val="12"/>
              </w:rPr>
              <w:t>承包</w:t>
            </w:r>
            <w:r>
              <w:rPr>
                <w:spacing w:val="10"/>
              </w:rPr>
              <w:t>人实施方案、其他因素（资信业绩）等因素进行评分，按照综合</w:t>
            </w:r>
            <w:r>
              <w:rPr>
                <w:spacing w:val="9"/>
              </w:rPr>
              <w:t>得分由高到</w:t>
            </w:r>
            <w:r>
              <w:rPr>
                <w:spacing w:val="8"/>
              </w:rPr>
              <w:t>低排序，确定前</w:t>
            </w:r>
            <w:r>
              <w:rPr>
                <w:spacing w:val="-35"/>
              </w:rPr>
              <w:t xml:space="preserve"> </w:t>
            </w:r>
            <w:r>
              <w:rPr>
                <w:spacing w:val="8"/>
              </w:rPr>
              <w:t>5</w:t>
            </w:r>
            <w:r>
              <w:rPr>
                <w:spacing w:val="-36"/>
              </w:rPr>
              <w:t xml:space="preserve"> </w:t>
            </w:r>
            <w:r>
              <w:rPr>
                <w:spacing w:val="8"/>
              </w:rPr>
              <w:t>名投标人进入第二个信封评审。综合</w:t>
            </w:r>
            <w:r>
              <w:rPr>
                <w:spacing w:val="7"/>
              </w:rPr>
              <w:t>得分相等时，</w:t>
            </w:r>
            <w:r>
              <w:rPr>
                <w:spacing w:val="-59"/>
              </w:rPr>
              <w:t xml:space="preserve"> </w:t>
            </w:r>
            <w:r>
              <w:rPr>
                <w:spacing w:val="7"/>
              </w:rPr>
              <w:t>以承包</w:t>
            </w:r>
            <w:r>
              <w:rPr>
                <w:spacing w:val="10"/>
              </w:rPr>
              <w:t>人实施方案得分较高的投标人优先。承包人实施方案得分也相等</w:t>
            </w:r>
            <w:r>
              <w:rPr>
                <w:spacing w:val="9"/>
              </w:rPr>
              <w:t>时，以满足</w:t>
            </w:r>
            <w:r>
              <w:rPr>
                <w:spacing w:val="10"/>
              </w:rPr>
              <w:t>资格审查条件（业绩最低要求）要求的业绩累计合同额高的优先</w:t>
            </w:r>
            <w:r>
              <w:rPr>
                <w:spacing w:val="9"/>
              </w:rPr>
              <w:t>。未通过第一个信封初步评审、详细评审或综合得分未进入前</w:t>
            </w:r>
            <w:r>
              <w:rPr>
                <w:spacing w:val="-35"/>
              </w:rPr>
              <w:t xml:space="preserve"> </w:t>
            </w:r>
            <w:r>
              <w:rPr>
                <w:spacing w:val="9"/>
              </w:rPr>
              <w:t>5</w:t>
            </w:r>
            <w:r>
              <w:rPr>
                <w:spacing w:val="-35"/>
              </w:rPr>
              <w:t xml:space="preserve"> </w:t>
            </w:r>
            <w:r>
              <w:rPr>
                <w:spacing w:val="9"/>
              </w:rPr>
              <w:t>名的投标人，其第</w:t>
            </w:r>
            <w:r>
              <w:rPr>
                <w:spacing w:val="8"/>
              </w:rPr>
              <w:t>二个</w:t>
            </w:r>
            <w:r>
              <w:rPr>
                <w:spacing w:val="7"/>
              </w:rPr>
              <w:t>信封不予开封。</w:t>
            </w:r>
          </w:p>
          <w:p w14:paraId="3E7156A6">
            <w:pPr>
              <w:pStyle w:val="6"/>
              <w:spacing w:line="251" w:lineRule="auto"/>
              <w:ind w:left="59" w:right="52" w:firstLine="336"/>
            </w:pPr>
            <w:r>
              <w:rPr>
                <w:spacing w:val="10"/>
              </w:rPr>
              <w:t>当通过第一个信封初步评审的投标人为</w:t>
            </w:r>
            <w:r>
              <w:rPr>
                <w:spacing w:val="-22"/>
              </w:rPr>
              <w:t xml:space="preserve"> </w:t>
            </w:r>
            <w:r>
              <w:rPr>
                <w:spacing w:val="10"/>
              </w:rPr>
              <w:t>5</w:t>
            </w:r>
            <w:r>
              <w:rPr>
                <w:spacing w:val="-35"/>
              </w:rPr>
              <w:t xml:space="preserve"> </w:t>
            </w:r>
            <w:r>
              <w:rPr>
                <w:spacing w:val="10"/>
              </w:rPr>
              <w:t>个或少于</w:t>
            </w:r>
            <w:r>
              <w:rPr>
                <w:spacing w:val="-33"/>
              </w:rPr>
              <w:t xml:space="preserve"> </w:t>
            </w:r>
            <w:r>
              <w:rPr>
                <w:spacing w:val="10"/>
              </w:rPr>
              <w:t>5</w:t>
            </w:r>
            <w:r>
              <w:rPr>
                <w:spacing w:val="-35"/>
              </w:rPr>
              <w:t xml:space="preserve"> </w:t>
            </w:r>
            <w:r>
              <w:rPr>
                <w:spacing w:val="10"/>
              </w:rPr>
              <w:t>个时，评标委员会</w:t>
            </w:r>
            <w:r>
              <w:rPr>
                <w:spacing w:val="8"/>
              </w:rPr>
              <w:t>不再进行打分，均进入第二个信封评审。</w:t>
            </w:r>
          </w:p>
          <w:p w14:paraId="59AC82CF">
            <w:pPr>
              <w:pStyle w:val="6"/>
              <w:spacing w:before="1" w:line="251" w:lineRule="auto"/>
              <w:ind w:left="57" w:right="49" w:firstLine="324"/>
            </w:pPr>
            <w:r>
              <w:rPr>
                <w:spacing w:val="12"/>
              </w:rPr>
              <w:t>评标委员会按第二信封通过初步评审的评标</w:t>
            </w:r>
            <w:r>
              <w:rPr>
                <w:spacing w:val="11"/>
              </w:rPr>
              <w:t>价得分由高到低的顺序，</w:t>
            </w:r>
            <w:r>
              <w:rPr>
                <w:spacing w:val="-59"/>
              </w:rPr>
              <w:t xml:space="preserve"> </w:t>
            </w:r>
            <w:r>
              <w:rPr>
                <w:spacing w:val="11"/>
              </w:rPr>
              <w:t>向</w:t>
            </w:r>
            <w:r>
              <w:rPr>
                <w:spacing w:val="5"/>
              </w:rPr>
              <w:t>招标人推荐</w:t>
            </w:r>
            <w:r>
              <w:rPr>
                <w:spacing w:val="-21"/>
              </w:rPr>
              <w:t xml:space="preserve"> </w:t>
            </w:r>
            <w:r>
              <w:rPr>
                <w:spacing w:val="5"/>
              </w:rPr>
              <w:t>1-3</w:t>
            </w:r>
            <w:r>
              <w:rPr>
                <w:spacing w:val="-38"/>
              </w:rPr>
              <w:t xml:space="preserve"> </w:t>
            </w:r>
            <w:r>
              <w:rPr>
                <w:spacing w:val="5"/>
              </w:rPr>
              <w:t>名中标候选人。</w:t>
            </w:r>
          </w:p>
          <w:p w14:paraId="686EEE97">
            <w:pPr>
              <w:pStyle w:val="6"/>
              <w:spacing w:line="226" w:lineRule="auto"/>
              <w:jc w:val="right"/>
            </w:pPr>
            <w:r>
              <w:rPr>
                <w:spacing w:val="8"/>
              </w:rPr>
              <w:t>评标价得分相等时，评标委员会依次按照以下优先顺序推荐中</w:t>
            </w:r>
            <w:r>
              <w:rPr>
                <w:spacing w:val="7"/>
              </w:rPr>
              <w:t>标候选人：</w:t>
            </w:r>
          </w:p>
          <w:p w14:paraId="4496ECEC">
            <w:pPr>
              <w:pStyle w:val="6"/>
              <w:spacing w:before="26" w:line="226" w:lineRule="auto"/>
              <w:ind w:left="392"/>
            </w:pPr>
            <w:r>
              <w:rPr>
                <w:spacing w:val="7"/>
              </w:rPr>
              <w:t>（1）评标价较低的投标人优先；</w:t>
            </w:r>
          </w:p>
          <w:p w14:paraId="3F932F54">
            <w:pPr>
              <w:pStyle w:val="6"/>
              <w:spacing w:before="29" w:line="228" w:lineRule="auto"/>
              <w:ind w:left="392"/>
            </w:pPr>
            <w:r>
              <w:rPr>
                <w:spacing w:val="8"/>
              </w:rPr>
              <w:t>（2）承包人实施方案得分较高的投标人优先；</w:t>
            </w:r>
          </w:p>
          <w:p w14:paraId="742908EE">
            <w:pPr>
              <w:pStyle w:val="6"/>
              <w:spacing w:before="24" w:line="254" w:lineRule="auto"/>
              <w:ind w:left="60" w:right="52" w:firstLine="332"/>
            </w:pPr>
            <w:r>
              <w:rPr>
                <w:spacing w:val="9"/>
              </w:rPr>
              <w:t>（3）满足资格审查条件（业绩最低要求）要求的业绩累计合同额高的优</w:t>
            </w:r>
            <w:r>
              <w:rPr>
                <w:spacing w:val="-2"/>
              </w:rPr>
              <w:t>先。</w:t>
            </w:r>
          </w:p>
        </w:tc>
      </w:tr>
      <w:tr w14:paraId="10D9E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3" w:hRule="atLeast"/>
        </w:trPr>
        <w:tc>
          <w:tcPr>
            <w:tcW w:w="729" w:type="dxa"/>
            <w:vAlign w:val="top"/>
          </w:tcPr>
          <w:p w14:paraId="767FB4CA">
            <w:pPr>
              <w:spacing w:line="243" w:lineRule="auto"/>
              <w:rPr>
                <w:rFonts w:ascii="Arial"/>
                <w:sz w:val="21"/>
              </w:rPr>
            </w:pPr>
          </w:p>
          <w:p w14:paraId="6E77C284">
            <w:pPr>
              <w:spacing w:line="243" w:lineRule="auto"/>
              <w:rPr>
                <w:rFonts w:ascii="Arial"/>
                <w:sz w:val="21"/>
              </w:rPr>
            </w:pPr>
          </w:p>
          <w:p w14:paraId="2D6C3C09">
            <w:pPr>
              <w:spacing w:line="243" w:lineRule="auto"/>
              <w:rPr>
                <w:rFonts w:ascii="Arial"/>
                <w:sz w:val="21"/>
              </w:rPr>
            </w:pPr>
          </w:p>
          <w:p w14:paraId="41911101">
            <w:pPr>
              <w:spacing w:line="243" w:lineRule="auto"/>
              <w:rPr>
                <w:rFonts w:ascii="Arial"/>
                <w:sz w:val="21"/>
              </w:rPr>
            </w:pPr>
          </w:p>
          <w:p w14:paraId="4CFE89B7">
            <w:pPr>
              <w:spacing w:line="243" w:lineRule="auto"/>
              <w:rPr>
                <w:rFonts w:ascii="Arial"/>
                <w:sz w:val="21"/>
              </w:rPr>
            </w:pPr>
          </w:p>
          <w:p w14:paraId="22521FEB">
            <w:pPr>
              <w:spacing w:line="243" w:lineRule="auto"/>
              <w:rPr>
                <w:rFonts w:ascii="Arial"/>
                <w:sz w:val="21"/>
              </w:rPr>
            </w:pPr>
          </w:p>
          <w:p w14:paraId="796B6BE3">
            <w:pPr>
              <w:spacing w:line="244" w:lineRule="auto"/>
              <w:rPr>
                <w:rFonts w:ascii="Arial"/>
                <w:sz w:val="21"/>
              </w:rPr>
            </w:pPr>
          </w:p>
          <w:p w14:paraId="690AD022">
            <w:pPr>
              <w:spacing w:line="244" w:lineRule="auto"/>
              <w:rPr>
                <w:rFonts w:ascii="Arial"/>
                <w:sz w:val="21"/>
              </w:rPr>
            </w:pPr>
          </w:p>
          <w:p w14:paraId="48C54720">
            <w:pPr>
              <w:spacing w:line="244" w:lineRule="auto"/>
              <w:rPr>
                <w:rFonts w:ascii="Arial"/>
                <w:sz w:val="21"/>
              </w:rPr>
            </w:pPr>
          </w:p>
          <w:p w14:paraId="04EF6D78">
            <w:pPr>
              <w:spacing w:line="244" w:lineRule="auto"/>
              <w:rPr>
                <w:rFonts w:ascii="Arial"/>
                <w:sz w:val="21"/>
              </w:rPr>
            </w:pPr>
          </w:p>
          <w:p w14:paraId="74AB462B">
            <w:pPr>
              <w:spacing w:line="244" w:lineRule="auto"/>
              <w:rPr>
                <w:rFonts w:ascii="Arial"/>
                <w:sz w:val="21"/>
              </w:rPr>
            </w:pPr>
          </w:p>
          <w:p w14:paraId="02AF46B2">
            <w:pPr>
              <w:spacing w:line="244" w:lineRule="auto"/>
              <w:rPr>
                <w:rFonts w:ascii="Arial"/>
                <w:sz w:val="21"/>
              </w:rPr>
            </w:pPr>
          </w:p>
          <w:p w14:paraId="44E8A08E">
            <w:pPr>
              <w:pStyle w:val="6"/>
              <w:spacing w:before="65" w:line="267" w:lineRule="exact"/>
              <w:ind w:left="109"/>
            </w:pPr>
            <w:r>
              <w:rPr>
                <w:spacing w:val="2"/>
                <w:position w:val="1"/>
              </w:rPr>
              <w:t>2.1.1</w:t>
            </w:r>
          </w:p>
          <w:p w14:paraId="3FFD30A0">
            <w:pPr>
              <w:pStyle w:val="6"/>
              <w:spacing w:before="3" w:line="268" w:lineRule="exact"/>
              <w:ind w:left="109"/>
            </w:pPr>
            <w:r>
              <w:rPr>
                <w:spacing w:val="2"/>
                <w:position w:val="1"/>
              </w:rPr>
              <w:t>2.1.3</w:t>
            </w:r>
          </w:p>
        </w:tc>
        <w:tc>
          <w:tcPr>
            <w:tcW w:w="644" w:type="dxa"/>
            <w:vAlign w:val="top"/>
          </w:tcPr>
          <w:p w14:paraId="5181DCDA">
            <w:pPr>
              <w:spacing w:line="264" w:lineRule="auto"/>
              <w:rPr>
                <w:rFonts w:ascii="Arial"/>
                <w:sz w:val="21"/>
              </w:rPr>
            </w:pPr>
          </w:p>
          <w:p w14:paraId="26720918">
            <w:pPr>
              <w:spacing w:line="264" w:lineRule="auto"/>
              <w:rPr>
                <w:rFonts w:ascii="Arial"/>
                <w:sz w:val="21"/>
              </w:rPr>
            </w:pPr>
          </w:p>
          <w:p w14:paraId="7E81FF53">
            <w:pPr>
              <w:spacing w:line="264" w:lineRule="auto"/>
              <w:rPr>
                <w:rFonts w:ascii="Arial"/>
                <w:sz w:val="21"/>
              </w:rPr>
            </w:pPr>
          </w:p>
          <w:p w14:paraId="3FA9BA4E">
            <w:pPr>
              <w:spacing w:line="264" w:lineRule="auto"/>
              <w:rPr>
                <w:rFonts w:ascii="Arial"/>
                <w:sz w:val="21"/>
              </w:rPr>
            </w:pPr>
          </w:p>
          <w:p w14:paraId="315EC9CD">
            <w:pPr>
              <w:spacing w:line="264" w:lineRule="auto"/>
              <w:rPr>
                <w:rFonts w:ascii="Arial"/>
                <w:sz w:val="21"/>
              </w:rPr>
            </w:pPr>
          </w:p>
          <w:p w14:paraId="596B777D">
            <w:pPr>
              <w:spacing w:line="264" w:lineRule="auto"/>
              <w:rPr>
                <w:rFonts w:ascii="Arial"/>
                <w:sz w:val="21"/>
              </w:rPr>
            </w:pPr>
          </w:p>
          <w:p w14:paraId="222AD0B2">
            <w:pPr>
              <w:spacing w:line="265" w:lineRule="auto"/>
              <w:rPr>
                <w:rFonts w:ascii="Arial"/>
                <w:sz w:val="21"/>
              </w:rPr>
            </w:pPr>
          </w:p>
          <w:p w14:paraId="5AC2CBD4">
            <w:pPr>
              <w:spacing w:line="265" w:lineRule="auto"/>
              <w:rPr>
                <w:rFonts w:ascii="Arial"/>
                <w:sz w:val="21"/>
              </w:rPr>
            </w:pPr>
          </w:p>
          <w:p w14:paraId="357C8E0D">
            <w:pPr>
              <w:spacing w:line="265" w:lineRule="auto"/>
              <w:rPr>
                <w:rFonts w:ascii="Arial"/>
                <w:sz w:val="21"/>
              </w:rPr>
            </w:pPr>
          </w:p>
          <w:p w14:paraId="136405BA">
            <w:pPr>
              <w:pStyle w:val="6"/>
              <w:spacing w:before="65" w:line="252" w:lineRule="auto"/>
              <w:ind w:left="113" w:right="114" w:firstLine="3"/>
              <w:jc w:val="both"/>
            </w:pPr>
            <w:r>
              <w:rPr>
                <w:spacing w:val="3"/>
              </w:rPr>
              <w:t>形式</w:t>
            </w:r>
            <w:r>
              <w:rPr>
                <w:spacing w:val="5"/>
              </w:rPr>
              <w:t>评审与响应性评审标准</w:t>
            </w:r>
          </w:p>
        </w:tc>
        <w:tc>
          <w:tcPr>
            <w:tcW w:w="7039" w:type="dxa"/>
            <w:vAlign w:val="top"/>
          </w:tcPr>
          <w:p w14:paraId="10042649">
            <w:pPr>
              <w:pStyle w:val="6"/>
              <w:spacing w:before="146" w:line="228" w:lineRule="auto"/>
              <w:ind w:left="56"/>
            </w:pPr>
            <w:r>
              <w:rPr>
                <w:b/>
                <w:bCs/>
                <w:spacing w:val="9"/>
              </w:rPr>
              <w:t>第一个信封（商务文件）评审标准:</w:t>
            </w:r>
          </w:p>
          <w:p w14:paraId="3B14BB5A">
            <w:pPr>
              <w:pStyle w:val="6"/>
              <w:spacing w:before="74" w:line="228" w:lineRule="auto"/>
              <w:ind w:left="452"/>
            </w:pPr>
            <w:r>
              <w:rPr>
                <w:spacing w:val="9"/>
              </w:rPr>
              <w:t>（1）投标文件按照招标文件规定的格式、内容填写，</w:t>
            </w:r>
            <w:r>
              <w:rPr>
                <w:spacing w:val="8"/>
              </w:rPr>
              <w:t>字迹清晰可辨：</w:t>
            </w:r>
          </w:p>
          <w:p w14:paraId="4DF7B7F2">
            <w:pPr>
              <w:pStyle w:val="6"/>
              <w:spacing w:before="126" w:line="346" w:lineRule="auto"/>
              <w:ind w:left="56" w:right="52" w:firstLine="387"/>
            </w:pPr>
            <w:r>
              <w:rPr>
                <w:spacing w:val="4"/>
              </w:rPr>
              <w:t>a.投标函按招标文件规定填报了项目名称、补遗书编号（如有）、工程质量、安全目标、工期、项目经理（兼施工负责人）</w:t>
            </w:r>
            <w:r>
              <w:rPr>
                <w:spacing w:val="3"/>
              </w:rPr>
              <w:t>、项目总工和设计负责人信</w:t>
            </w:r>
            <w:r>
              <w:rPr>
                <w:spacing w:val="8"/>
              </w:rPr>
              <w:t>息，未对招标人名称进行修改</w:t>
            </w:r>
            <w:r>
              <w:rPr>
                <w:spacing w:val="-51"/>
              </w:rPr>
              <w:t xml:space="preserve"> </w:t>
            </w:r>
            <w:r>
              <w:rPr>
                <w:spacing w:val="8"/>
              </w:rPr>
              <w:t>;</w:t>
            </w:r>
          </w:p>
          <w:p w14:paraId="5087D58B">
            <w:pPr>
              <w:pStyle w:val="6"/>
              <w:spacing w:line="226" w:lineRule="auto"/>
              <w:ind w:left="439"/>
            </w:pPr>
            <w:r>
              <w:rPr>
                <w:spacing w:val="8"/>
              </w:rPr>
              <w:t>b.投标函附录的所有数据均符合招标文件规定；</w:t>
            </w:r>
          </w:p>
          <w:p w14:paraId="2EC81F7D">
            <w:pPr>
              <w:pStyle w:val="6"/>
              <w:spacing w:before="128" w:line="228" w:lineRule="auto"/>
              <w:ind w:left="446"/>
            </w:pPr>
            <w:r>
              <w:rPr>
                <w:spacing w:val="8"/>
              </w:rPr>
              <w:t>c.投标文件组成齐全完整，内容均按规定填写。</w:t>
            </w:r>
          </w:p>
          <w:p w14:paraId="0FA1782C">
            <w:pPr>
              <w:pStyle w:val="6"/>
              <w:spacing w:before="127" w:line="346" w:lineRule="auto"/>
              <w:ind w:left="63" w:right="52" w:firstLine="389"/>
            </w:pPr>
            <w:r>
              <w:rPr>
                <w:spacing w:val="7"/>
              </w:rPr>
              <w:t>（2）投标文件上法定代表人或其授权代理人的签字、投标人的单位章盖章齐全，符合招标文件规定。</w:t>
            </w:r>
          </w:p>
          <w:p w14:paraId="37E38390">
            <w:pPr>
              <w:pStyle w:val="6"/>
              <w:spacing w:before="1" w:line="345" w:lineRule="auto"/>
              <w:ind w:left="59" w:right="52" w:firstLine="393"/>
            </w:pPr>
            <w:r>
              <w:rPr>
                <w:spacing w:val="7"/>
              </w:rPr>
              <w:t>（3）投标人按照招标文件的规定提供了投标保证金，并符合投标人须知</w:t>
            </w:r>
            <w:r>
              <w:rPr>
                <w:spacing w:val="5"/>
              </w:rPr>
              <w:t>前附表</w:t>
            </w:r>
            <w:r>
              <w:rPr>
                <w:spacing w:val="-36"/>
              </w:rPr>
              <w:t xml:space="preserve"> </w:t>
            </w:r>
            <w:r>
              <w:rPr>
                <w:spacing w:val="5"/>
              </w:rPr>
              <w:t>3.4.1</w:t>
            </w:r>
            <w:r>
              <w:rPr>
                <w:spacing w:val="-34"/>
              </w:rPr>
              <w:t xml:space="preserve"> </w:t>
            </w:r>
            <w:r>
              <w:rPr>
                <w:spacing w:val="5"/>
              </w:rPr>
              <w:t>项的相关规定。</w:t>
            </w:r>
          </w:p>
          <w:p w14:paraId="71D489E3">
            <w:pPr>
              <w:pStyle w:val="6"/>
              <w:spacing w:before="2" w:line="346" w:lineRule="auto"/>
              <w:ind w:left="56" w:right="52" w:firstLine="396"/>
            </w:pPr>
            <w:r>
              <w:rPr>
                <w:spacing w:val="7"/>
              </w:rPr>
              <w:t>（4）投标人法定代表人授权委托代理人签署投标文件的，须提交授权委</w:t>
            </w:r>
            <w:r>
              <w:rPr>
                <w:spacing w:val="8"/>
              </w:rPr>
              <w:t>托书，授权委托书符合招标文件规定。</w:t>
            </w:r>
          </w:p>
          <w:p w14:paraId="34AB239B">
            <w:pPr>
              <w:pStyle w:val="6"/>
              <w:spacing w:before="1" w:line="344" w:lineRule="auto"/>
              <w:ind w:left="75" w:right="52" w:firstLine="376"/>
            </w:pPr>
            <w:r>
              <w:rPr>
                <w:spacing w:val="7"/>
              </w:rPr>
              <w:t>（5）投标人法定代表人亲自签署投标文件的，须提供法定代表人身份证</w:t>
            </w:r>
            <w:r>
              <w:rPr>
                <w:spacing w:val="8"/>
              </w:rPr>
              <w:t>明，法定代表人身份证明符合招标文件规定。</w:t>
            </w:r>
          </w:p>
          <w:p w14:paraId="6B385644">
            <w:pPr>
              <w:pStyle w:val="6"/>
              <w:spacing w:before="1" w:line="227" w:lineRule="auto"/>
              <w:ind w:left="452"/>
            </w:pPr>
            <w:r>
              <w:rPr>
                <w:spacing w:val="9"/>
              </w:rPr>
              <w:t>（6）投标人以联合体形式投标时，联合体满</w:t>
            </w:r>
            <w:r>
              <w:rPr>
                <w:spacing w:val="8"/>
              </w:rPr>
              <w:t>足招标文件的要求。</w:t>
            </w:r>
          </w:p>
          <w:p w14:paraId="76CBD9EF">
            <w:pPr>
              <w:pStyle w:val="6"/>
              <w:spacing w:before="127" w:line="227" w:lineRule="auto"/>
              <w:ind w:left="452"/>
            </w:pPr>
            <w:r>
              <w:rPr>
                <w:spacing w:val="8"/>
              </w:rPr>
              <w:t>（7）同一投标人未对本项目提交两个以上不同的投标文件。</w:t>
            </w:r>
          </w:p>
        </w:tc>
      </w:tr>
    </w:tbl>
    <w:p w14:paraId="0C7DD85B">
      <w:pPr>
        <w:rPr>
          <w:rFonts w:ascii="Arial"/>
          <w:sz w:val="21"/>
        </w:rPr>
      </w:pPr>
    </w:p>
    <w:p w14:paraId="22EBA1B2">
      <w:pPr>
        <w:rPr>
          <w:rFonts w:ascii="Arial" w:hAnsi="Arial" w:eastAsia="Arial" w:cs="Arial"/>
          <w:sz w:val="21"/>
          <w:szCs w:val="21"/>
        </w:rPr>
        <w:sectPr>
          <w:footerReference r:id="rId16" w:type="default"/>
          <w:pgSz w:w="11906" w:h="16839"/>
          <w:pgMar w:top="400" w:right="1744" w:bottom="1378" w:left="1744" w:header="0" w:footer="1212" w:gutter="0"/>
          <w:cols w:space="720" w:num="1"/>
        </w:sectPr>
      </w:pPr>
    </w:p>
    <w:p w14:paraId="05386C7D">
      <w:pPr>
        <w:spacing w:before="19"/>
      </w:pPr>
    </w:p>
    <w:p w14:paraId="0F9F5F65">
      <w:pPr>
        <w:spacing w:before="19"/>
      </w:pPr>
    </w:p>
    <w:p w14:paraId="0904E452">
      <w:pPr>
        <w:spacing w:before="18"/>
      </w:pPr>
    </w:p>
    <w:p w14:paraId="701E1DA5">
      <w:pPr>
        <w:spacing w:before="18"/>
      </w:pPr>
    </w:p>
    <w:tbl>
      <w:tblPr>
        <w:tblStyle w:val="5"/>
        <w:tblW w:w="8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644"/>
        <w:gridCol w:w="7039"/>
      </w:tblGrid>
      <w:tr w14:paraId="54A3D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29" w:type="dxa"/>
            <w:vAlign w:val="top"/>
          </w:tcPr>
          <w:p w14:paraId="0ADB23AC">
            <w:pPr>
              <w:spacing w:line="246" w:lineRule="auto"/>
              <w:rPr>
                <w:rFonts w:ascii="Arial"/>
                <w:sz w:val="21"/>
              </w:rPr>
            </w:pPr>
          </w:p>
          <w:p w14:paraId="7225B7A3">
            <w:pPr>
              <w:pStyle w:val="6"/>
              <w:spacing w:before="65" w:line="228" w:lineRule="auto"/>
              <w:ind w:left="55"/>
            </w:pPr>
            <w:r>
              <w:rPr>
                <w:b/>
                <w:bCs/>
                <w:spacing w:val="5"/>
              </w:rPr>
              <w:t>条款号</w:t>
            </w:r>
          </w:p>
        </w:tc>
        <w:tc>
          <w:tcPr>
            <w:tcW w:w="644" w:type="dxa"/>
            <w:vAlign w:val="top"/>
          </w:tcPr>
          <w:p w14:paraId="707B2D02">
            <w:pPr>
              <w:pStyle w:val="6"/>
              <w:spacing w:before="176" w:line="253" w:lineRule="auto"/>
              <w:ind w:left="116" w:right="112"/>
            </w:pPr>
            <w:r>
              <w:rPr>
                <w:b/>
                <w:bCs/>
                <w:spacing w:val="3"/>
              </w:rPr>
              <w:t>条款</w:t>
            </w:r>
            <w:r>
              <w:rPr>
                <w:b/>
                <w:bCs/>
                <w:spacing w:val="2"/>
              </w:rPr>
              <w:t>名称</w:t>
            </w:r>
          </w:p>
        </w:tc>
        <w:tc>
          <w:tcPr>
            <w:tcW w:w="7039" w:type="dxa"/>
            <w:vAlign w:val="top"/>
          </w:tcPr>
          <w:p w14:paraId="15B1CDDF">
            <w:pPr>
              <w:spacing w:line="246" w:lineRule="auto"/>
              <w:rPr>
                <w:rFonts w:ascii="Arial"/>
                <w:sz w:val="21"/>
              </w:rPr>
            </w:pPr>
          </w:p>
          <w:p w14:paraId="087AC474">
            <w:pPr>
              <w:pStyle w:val="6"/>
              <w:spacing w:before="65" w:line="228" w:lineRule="auto"/>
              <w:ind w:left="2573"/>
            </w:pPr>
            <w:r>
              <w:rPr>
                <w:b/>
                <w:bCs/>
                <w:spacing w:val="7"/>
              </w:rPr>
              <w:t>评审因素与评审标准</w:t>
            </w:r>
          </w:p>
        </w:tc>
      </w:tr>
      <w:tr w14:paraId="6DDEB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723" w:hRule="atLeast"/>
        </w:trPr>
        <w:tc>
          <w:tcPr>
            <w:tcW w:w="729" w:type="dxa"/>
            <w:vAlign w:val="top"/>
          </w:tcPr>
          <w:p w14:paraId="42476151">
            <w:pPr>
              <w:rPr>
                <w:rFonts w:ascii="Arial"/>
                <w:sz w:val="21"/>
              </w:rPr>
            </w:pPr>
          </w:p>
        </w:tc>
        <w:tc>
          <w:tcPr>
            <w:tcW w:w="644" w:type="dxa"/>
            <w:vAlign w:val="top"/>
          </w:tcPr>
          <w:p w14:paraId="39D626CA">
            <w:pPr>
              <w:rPr>
                <w:rFonts w:ascii="Arial"/>
                <w:sz w:val="21"/>
              </w:rPr>
            </w:pPr>
          </w:p>
        </w:tc>
        <w:tc>
          <w:tcPr>
            <w:tcW w:w="7039" w:type="dxa"/>
            <w:vAlign w:val="top"/>
          </w:tcPr>
          <w:p w14:paraId="3C0DE4D7">
            <w:pPr>
              <w:pStyle w:val="6"/>
              <w:spacing w:before="194" w:line="346" w:lineRule="auto"/>
              <w:ind w:left="81" w:right="52" w:firstLine="371"/>
            </w:pPr>
            <w:r>
              <w:rPr>
                <w:spacing w:val="7"/>
              </w:rPr>
              <w:t>（8）投标文件第一个信封（商务及技术文件）中未出现有关投标报价的</w:t>
            </w:r>
            <w:r>
              <w:rPr>
                <w:spacing w:val="-6"/>
              </w:rPr>
              <w:t>内容。</w:t>
            </w:r>
          </w:p>
          <w:p w14:paraId="393212BC">
            <w:pPr>
              <w:pStyle w:val="6"/>
              <w:spacing w:line="227" w:lineRule="auto"/>
              <w:ind w:left="452"/>
            </w:pPr>
            <w:r>
              <w:rPr>
                <w:spacing w:val="9"/>
              </w:rPr>
              <w:t>（9）投标文件载明的招标项目完成期限，</w:t>
            </w:r>
            <w:r>
              <w:rPr>
                <w:spacing w:val="8"/>
              </w:rPr>
              <w:t>符合招标文件规定。</w:t>
            </w:r>
          </w:p>
          <w:p w14:paraId="6BECAADE">
            <w:pPr>
              <w:pStyle w:val="6"/>
              <w:spacing w:before="127" w:line="228" w:lineRule="auto"/>
              <w:ind w:left="452"/>
            </w:pPr>
            <w:r>
              <w:rPr>
                <w:spacing w:val="8"/>
              </w:rPr>
              <w:t>（10）投标文件对招标文件的实质性要求和条件作出响应。</w:t>
            </w:r>
          </w:p>
          <w:p w14:paraId="7BA75D49">
            <w:pPr>
              <w:pStyle w:val="6"/>
              <w:spacing w:before="127" w:line="228" w:lineRule="auto"/>
              <w:ind w:left="452"/>
            </w:pPr>
            <w:r>
              <w:rPr>
                <w:spacing w:val="7"/>
              </w:rPr>
              <w:t>（11）权利义务符合招标文件规定：</w:t>
            </w:r>
          </w:p>
          <w:p w14:paraId="17C59C52">
            <w:pPr>
              <w:pStyle w:val="6"/>
              <w:spacing w:before="127" w:line="346" w:lineRule="auto"/>
              <w:ind w:left="57" w:right="93" w:firstLine="386"/>
            </w:pPr>
            <w:r>
              <w:rPr>
                <w:spacing w:val="9"/>
              </w:rPr>
              <w:t>a.投标人应接受招标文件规定的风险划分原则，未提出新的风险划分办</w:t>
            </w:r>
            <w:r>
              <w:t>法；</w:t>
            </w:r>
          </w:p>
          <w:p w14:paraId="186140DE">
            <w:pPr>
              <w:pStyle w:val="6"/>
              <w:spacing w:line="227" w:lineRule="auto"/>
              <w:ind w:left="439"/>
            </w:pPr>
            <w:r>
              <w:rPr>
                <w:spacing w:val="9"/>
              </w:rPr>
              <w:t>b.投标人未增加发包人的责任范围，或减少投标人</w:t>
            </w:r>
            <w:r>
              <w:rPr>
                <w:spacing w:val="8"/>
              </w:rPr>
              <w:t>义务；</w:t>
            </w:r>
          </w:p>
          <w:p w14:paraId="3A7FB001">
            <w:pPr>
              <w:pStyle w:val="6"/>
              <w:spacing w:before="128" w:line="228" w:lineRule="auto"/>
              <w:ind w:left="446"/>
            </w:pPr>
            <w:r>
              <w:rPr>
                <w:spacing w:val="7"/>
              </w:rPr>
              <w:t>c.投标人未提出不同的支付办法；</w:t>
            </w:r>
          </w:p>
          <w:p w14:paraId="08518847">
            <w:pPr>
              <w:pStyle w:val="6"/>
              <w:spacing w:before="127" w:line="228" w:lineRule="auto"/>
              <w:ind w:left="446"/>
            </w:pPr>
            <w:r>
              <w:rPr>
                <w:spacing w:val="8"/>
              </w:rPr>
              <w:t>d.投标人对合同纠纷、事故处理办法未提出异议；</w:t>
            </w:r>
          </w:p>
          <w:p w14:paraId="7913A282">
            <w:pPr>
              <w:pStyle w:val="6"/>
              <w:spacing w:before="128" w:line="228" w:lineRule="auto"/>
              <w:ind w:left="447"/>
            </w:pPr>
            <w:r>
              <w:rPr>
                <w:spacing w:val="7"/>
              </w:rPr>
              <w:t>e.投标人在投标活动中无欺诈行为；</w:t>
            </w:r>
          </w:p>
          <w:p w14:paraId="7898C23D">
            <w:pPr>
              <w:pStyle w:val="6"/>
              <w:spacing w:before="170" w:line="228" w:lineRule="auto"/>
              <w:ind w:left="479"/>
            </w:pPr>
            <w:r>
              <w:rPr>
                <w:spacing w:val="7"/>
              </w:rPr>
              <w:t>f.投标人未对合同条款有重要保留。</w:t>
            </w:r>
          </w:p>
          <w:p w14:paraId="4C366CA0">
            <w:pPr>
              <w:pStyle w:val="6"/>
              <w:spacing w:before="89" w:line="228" w:lineRule="auto"/>
              <w:ind w:left="56"/>
            </w:pPr>
            <w:r>
              <w:rPr>
                <w:b/>
                <w:bCs/>
                <w:spacing w:val="9"/>
              </w:rPr>
              <w:t>第一个信封（技术文件）评审标准:</w:t>
            </w:r>
          </w:p>
          <w:p w14:paraId="194C2B1C">
            <w:pPr>
              <w:pStyle w:val="6"/>
              <w:spacing w:before="127" w:line="346" w:lineRule="auto"/>
              <w:ind w:left="59" w:right="52" w:firstLine="426"/>
            </w:pPr>
            <w:r>
              <w:rPr>
                <w:spacing w:val="9"/>
              </w:rPr>
              <w:t>（1）承包人建议书（暗标</w:t>
            </w:r>
            <w:r>
              <w:rPr>
                <w:spacing w:val="-37"/>
              </w:rPr>
              <w:t>），</w:t>
            </w:r>
            <w:r>
              <w:rPr>
                <w:spacing w:val="9"/>
              </w:rPr>
              <w:t>承包人实施方案（暗标）符合招标</w:t>
            </w:r>
            <w:r>
              <w:rPr>
                <w:spacing w:val="8"/>
              </w:rPr>
              <w:t>文件第</w:t>
            </w:r>
            <w:r>
              <w:rPr>
                <w:spacing w:val="5"/>
              </w:rPr>
              <w:t>二章“投标人须知前附表</w:t>
            </w:r>
            <w:r>
              <w:rPr>
                <w:spacing w:val="-53"/>
              </w:rPr>
              <w:t xml:space="preserve"> </w:t>
            </w:r>
            <w:r>
              <w:rPr>
                <w:spacing w:val="5"/>
              </w:rPr>
              <w:t>”第</w:t>
            </w:r>
            <w:r>
              <w:rPr>
                <w:spacing w:val="-39"/>
              </w:rPr>
              <w:t xml:space="preserve"> </w:t>
            </w:r>
            <w:r>
              <w:rPr>
                <w:spacing w:val="5"/>
              </w:rPr>
              <w:t>9.2</w:t>
            </w:r>
            <w:r>
              <w:rPr>
                <w:spacing w:val="-39"/>
              </w:rPr>
              <w:t xml:space="preserve"> </w:t>
            </w:r>
            <w:r>
              <w:rPr>
                <w:spacing w:val="5"/>
              </w:rPr>
              <w:t>款的规定。</w:t>
            </w:r>
          </w:p>
          <w:p w14:paraId="2CAB7742">
            <w:pPr>
              <w:pStyle w:val="6"/>
              <w:spacing w:line="226" w:lineRule="auto"/>
              <w:ind w:left="56"/>
            </w:pPr>
            <w:r>
              <w:rPr>
                <w:b/>
                <w:bCs/>
                <w:spacing w:val="7"/>
              </w:rPr>
              <w:t>第二个信封（报价文件）评审标准：</w:t>
            </w:r>
          </w:p>
          <w:p w14:paraId="13D97FC2">
            <w:pPr>
              <w:pStyle w:val="6"/>
              <w:spacing w:before="129" w:line="228" w:lineRule="auto"/>
              <w:ind w:left="452"/>
            </w:pPr>
            <w:r>
              <w:rPr>
                <w:spacing w:val="9"/>
              </w:rPr>
              <w:t>（1）投标文件按照招标文件规定的格式、内容填写，</w:t>
            </w:r>
            <w:r>
              <w:rPr>
                <w:spacing w:val="8"/>
              </w:rPr>
              <w:t>字迹清晰可辨：</w:t>
            </w:r>
          </w:p>
          <w:p w14:paraId="5944BF46">
            <w:pPr>
              <w:pStyle w:val="6"/>
              <w:spacing w:before="129" w:line="346" w:lineRule="auto"/>
              <w:ind w:left="57" w:right="52" w:firstLine="386"/>
            </w:pPr>
            <w:r>
              <w:rPr>
                <w:spacing w:val="4"/>
              </w:rPr>
              <w:t>a.投标函按招标文件规定填报了项目名称、补遗书编号（如有）、投标报</w:t>
            </w:r>
            <w:r>
              <w:rPr>
                <w:spacing w:val="8"/>
              </w:rPr>
              <w:t>价（包括大写金额和小写金额</w:t>
            </w:r>
            <w:r>
              <w:rPr>
                <w:spacing w:val="-28"/>
              </w:rPr>
              <w:t>），</w:t>
            </w:r>
            <w:r>
              <w:rPr>
                <w:spacing w:val="8"/>
              </w:rPr>
              <w:t>未对招标人名称进行修改</w:t>
            </w:r>
            <w:r>
              <w:rPr>
                <w:spacing w:val="-58"/>
              </w:rPr>
              <w:t xml:space="preserve"> </w:t>
            </w:r>
            <w:r>
              <w:rPr>
                <w:spacing w:val="8"/>
              </w:rPr>
              <w:t>;</w:t>
            </w:r>
          </w:p>
          <w:p w14:paraId="69190E8B">
            <w:pPr>
              <w:pStyle w:val="6"/>
              <w:spacing w:before="1" w:line="226" w:lineRule="auto"/>
              <w:ind w:left="439"/>
            </w:pPr>
            <w:r>
              <w:rPr>
                <w:spacing w:val="9"/>
              </w:rPr>
              <w:t>b.价格清单说明文字与招标文件规定一致，未进行实质性修改和删减；</w:t>
            </w:r>
          </w:p>
          <w:p w14:paraId="092FE3DD">
            <w:pPr>
              <w:pStyle w:val="6"/>
              <w:spacing w:before="126" w:line="228" w:lineRule="auto"/>
              <w:ind w:left="446"/>
            </w:pPr>
            <w:r>
              <w:rPr>
                <w:spacing w:val="8"/>
              </w:rPr>
              <w:t>c.投标文件组成齐全完整，内容均按规定填写。</w:t>
            </w:r>
          </w:p>
          <w:p w14:paraId="57692190">
            <w:pPr>
              <w:pStyle w:val="6"/>
              <w:spacing w:before="127" w:line="346" w:lineRule="auto"/>
              <w:ind w:left="63" w:right="52" w:firstLine="389"/>
            </w:pPr>
            <w:r>
              <w:rPr>
                <w:spacing w:val="7"/>
              </w:rPr>
              <w:t>（2）投标文件上法定代表人或其授权代理人的签字、投标人的单位章盖章齐全，符合招标文件规定。</w:t>
            </w:r>
          </w:p>
          <w:p w14:paraId="70C63B7C">
            <w:pPr>
              <w:pStyle w:val="6"/>
              <w:spacing w:before="1" w:line="226" w:lineRule="auto"/>
              <w:ind w:left="452"/>
            </w:pPr>
            <w:r>
              <w:rPr>
                <w:spacing w:val="9"/>
              </w:rPr>
              <w:t>（3）投标报价未超过招标文件设定的最高投标限价或</w:t>
            </w:r>
            <w:r>
              <w:rPr>
                <w:spacing w:val="8"/>
              </w:rPr>
              <w:t>分项最高限价。</w:t>
            </w:r>
          </w:p>
          <w:p w14:paraId="030E3E12">
            <w:pPr>
              <w:pStyle w:val="6"/>
              <w:spacing w:before="132" w:line="226" w:lineRule="auto"/>
              <w:ind w:left="452"/>
            </w:pPr>
            <w:r>
              <w:rPr>
                <w:spacing w:val="8"/>
              </w:rPr>
              <w:t>（4）投标报价的大写金额能够确定具体数值。</w:t>
            </w:r>
          </w:p>
          <w:p w14:paraId="67E46FD3">
            <w:pPr>
              <w:pStyle w:val="6"/>
              <w:spacing w:before="127" w:line="226" w:lineRule="auto"/>
              <w:ind w:left="452"/>
            </w:pPr>
            <w:r>
              <w:rPr>
                <w:spacing w:val="8"/>
              </w:rPr>
              <w:t>（5）同一投标人未提交两个以上不同的投标报价。</w:t>
            </w:r>
          </w:p>
          <w:p w14:paraId="68A74F5A">
            <w:pPr>
              <w:pStyle w:val="6"/>
              <w:spacing w:before="132" w:line="226" w:lineRule="auto"/>
              <w:ind w:left="452"/>
            </w:pPr>
            <w:r>
              <w:rPr>
                <w:spacing w:val="7"/>
              </w:rPr>
              <w:t>（6）投标人未提交调价函。</w:t>
            </w:r>
          </w:p>
          <w:p w14:paraId="13171B31">
            <w:pPr>
              <w:pStyle w:val="6"/>
              <w:spacing w:before="170" w:line="226" w:lineRule="auto"/>
              <w:ind w:left="486"/>
            </w:pPr>
            <w:r>
              <w:rPr>
                <w:spacing w:val="9"/>
              </w:rPr>
              <w:t>（7）价格清单中的投标报价和投标函投标报</w:t>
            </w:r>
            <w:r>
              <w:rPr>
                <w:spacing w:val="8"/>
              </w:rPr>
              <w:t>价大写金额一致。</w:t>
            </w:r>
          </w:p>
        </w:tc>
      </w:tr>
    </w:tbl>
    <w:p w14:paraId="76BCAEED">
      <w:pPr>
        <w:rPr>
          <w:rFonts w:ascii="Arial"/>
          <w:sz w:val="21"/>
        </w:rPr>
      </w:pPr>
    </w:p>
    <w:p w14:paraId="615B3A11">
      <w:pPr>
        <w:rPr>
          <w:rFonts w:ascii="Arial" w:hAnsi="Arial" w:eastAsia="Arial" w:cs="Arial"/>
          <w:sz w:val="21"/>
          <w:szCs w:val="21"/>
        </w:rPr>
        <w:sectPr>
          <w:footerReference r:id="rId17" w:type="default"/>
          <w:pgSz w:w="11906" w:h="16839"/>
          <w:pgMar w:top="400" w:right="1744" w:bottom="1377" w:left="1744" w:header="0" w:footer="1212" w:gutter="0"/>
          <w:cols w:space="720" w:num="1"/>
        </w:sectPr>
      </w:pPr>
    </w:p>
    <w:p w14:paraId="09DA7DE0">
      <w:pPr>
        <w:spacing w:before="19"/>
      </w:pPr>
    </w:p>
    <w:p w14:paraId="05580F5A">
      <w:pPr>
        <w:spacing w:before="19"/>
      </w:pPr>
    </w:p>
    <w:p w14:paraId="1B220D12">
      <w:pPr>
        <w:spacing w:before="18"/>
      </w:pPr>
    </w:p>
    <w:p w14:paraId="37D6016C">
      <w:pPr>
        <w:spacing w:before="18"/>
      </w:pPr>
    </w:p>
    <w:tbl>
      <w:tblPr>
        <w:tblStyle w:val="5"/>
        <w:tblW w:w="84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644"/>
        <w:gridCol w:w="7041"/>
      </w:tblGrid>
      <w:tr w14:paraId="79349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29" w:type="dxa"/>
            <w:vAlign w:val="top"/>
          </w:tcPr>
          <w:p w14:paraId="0C00FC3E">
            <w:pPr>
              <w:spacing w:line="246" w:lineRule="auto"/>
              <w:rPr>
                <w:rFonts w:ascii="Arial"/>
                <w:sz w:val="21"/>
              </w:rPr>
            </w:pPr>
          </w:p>
          <w:p w14:paraId="29C6246E">
            <w:pPr>
              <w:pStyle w:val="6"/>
              <w:spacing w:before="65" w:line="228" w:lineRule="auto"/>
              <w:ind w:left="55"/>
            </w:pPr>
            <w:r>
              <w:rPr>
                <w:b/>
                <w:bCs/>
                <w:spacing w:val="5"/>
              </w:rPr>
              <w:t>条款号</w:t>
            </w:r>
          </w:p>
        </w:tc>
        <w:tc>
          <w:tcPr>
            <w:tcW w:w="644" w:type="dxa"/>
            <w:vAlign w:val="top"/>
          </w:tcPr>
          <w:p w14:paraId="203825FB">
            <w:pPr>
              <w:pStyle w:val="6"/>
              <w:spacing w:before="176" w:line="253" w:lineRule="auto"/>
              <w:ind w:left="116" w:right="112"/>
            </w:pPr>
            <w:r>
              <w:rPr>
                <w:b/>
                <w:bCs/>
                <w:spacing w:val="3"/>
              </w:rPr>
              <w:t>条款</w:t>
            </w:r>
            <w:r>
              <w:rPr>
                <w:b/>
                <w:bCs/>
                <w:spacing w:val="2"/>
              </w:rPr>
              <w:t>名称</w:t>
            </w:r>
          </w:p>
        </w:tc>
        <w:tc>
          <w:tcPr>
            <w:tcW w:w="7041" w:type="dxa"/>
            <w:vAlign w:val="top"/>
          </w:tcPr>
          <w:p w14:paraId="3E7740EF">
            <w:pPr>
              <w:spacing w:line="246" w:lineRule="auto"/>
              <w:rPr>
                <w:rFonts w:ascii="Arial"/>
                <w:sz w:val="21"/>
              </w:rPr>
            </w:pPr>
          </w:p>
          <w:p w14:paraId="406E5847">
            <w:pPr>
              <w:pStyle w:val="6"/>
              <w:spacing w:before="65" w:line="228" w:lineRule="auto"/>
              <w:ind w:left="2573"/>
            </w:pPr>
            <w:r>
              <w:rPr>
                <w:b/>
                <w:bCs/>
                <w:spacing w:val="7"/>
              </w:rPr>
              <w:t>评审因素与评审标准</w:t>
            </w:r>
          </w:p>
        </w:tc>
      </w:tr>
      <w:tr w14:paraId="67AB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1" w:hRule="atLeast"/>
        </w:trPr>
        <w:tc>
          <w:tcPr>
            <w:tcW w:w="729" w:type="dxa"/>
            <w:vAlign w:val="top"/>
          </w:tcPr>
          <w:p w14:paraId="401B38E5">
            <w:pPr>
              <w:spacing w:line="254" w:lineRule="auto"/>
              <w:rPr>
                <w:rFonts w:ascii="Arial"/>
                <w:sz w:val="21"/>
              </w:rPr>
            </w:pPr>
          </w:p>
          <w:p w14:paraId="257B5CF2">
            <w:pPr>
              <w:spacing w:line="254" w:lineRule="auto"/>
              <w:rPr>
                <w:rFonts w:ascii="Arial"/>
                <w:sz w:val="21"/>
              </w:rPr>
            </w:pPr>
          </w:p>
          <w:p w14:paraId="7626E389">
            <w:pPr>
              <w:spacing w:line="254" w:lineRule="auto"/>
              <w:rPr>
                <w:rFonts w:ascii="Arial"/>
                <w:sz w:val="21"/>
              </w:rPr>
            </w:pPr>
          </w:p>
          <w:p w14:paraId="01D1DB7E">
            <w:pPr>
              <w:spacing w:line="254" w:lineRule="auto"/>
              <w:rPr>
                <w:rFonts w:ascii="Arial"/>
                <w:sz w:val="21"/>
              </w:rPr>
            </w:pPr>
          </w:p>
          <w:p w14:paraId="6CFBE6A0">
            <w:pPr>
              <w:spacing w:line="254" w:lineRule="auto"/>
              <w:rPr>
                <w:rFonts w:ascii="Arial"/>
                <w:sz w:val="21"/>
              </w:rPr>
            </w:pPr>
          </w:p>
          <w:p w14:paraId="04C3E769">
            <w:pPr>
              <w:spacing w:line="254" w:lineRule="auto"/>
              <w:rPr>
                <w:rFonts w:ascii="Arial"/>
                <w:sz w:val="21"/>
              </w:rPr>
            </w:pPr>
          </w:p>
          <w:p w14:paraId="21A03C9C">
            <w:pPr>
              <w:spacing w:line="254" w:lineRule="auto"/>
              <w:rPr>
                <w:rFonts w:ascii="Arial"/>
                <w:sz w:val="21"/>
              </w:rPr>
            </w:pPr>
          </w:p>
          <w:p w14:paraId="6453CAA5">
            <w:pPr>
              <w:pStyle w:val="6"/>
              <w:spacing w:before="65" w:line="267" w:lineRule="exact"/>
              <w:ind w:left="109"/>
            </w:pPr>
            <w:r>
              <w:rPr>
                <w:spacing w:val="2"/>
                <w:position w:val="1"/>
              </w:rPr>
              <w:t>2.1.2</w:t>
            </w:r>
          </w:p>
        </w:tc>
        <w:tc>
          <w:tcPr>
            <w:tcW w:w="644" w:type="dxa"/>
            <w:vAlign w:val="top"/>
          </w:tcPr>
          <w:p w14:paraId="7CE68880">
            <w:pPr>
              <w:spacing w:line="250" w:lineRule="auto"/>
              <w:rPr>
                <w:rFonts w:ascii="Arial"/>
                <w:sz w:val="21"/>
              </w:rPr>
            </w:pPr>
          </w:p>
          <w:p w14:paraId="42CF799C">
            <w:pPr>
              <w:spacing w:line="250" w:lineRule="auto"/>
              <w:rPr>
                <w:rFonts w:ascii="Arial"/>
                <w:sz w:val="21"/>
              </w:rPr>
            </w:pPr>
          </w:p>
          <w:p w14:paraId="3E2BF24D">
            <w:pPr>
              <w:spacing w:line="251" w:lineRule="auto"/>
              <w:rPr>
                <w:rFonts w:ascii="Arial"/>
                <w:sz w:val="21"/>
              </w:rPr>
            </w:pPr>
          </w:p>
          <w:p w14:paraId="1428A0DE">
            <w:pPr>
              <w:spacing w:line="251" w:lineRule="auto"/>
              <w:rPr>
                <w:rFonts w:ascii="Arial"/>
                <w:sz w:val="21"/>
              </w:rPr>
            </w:pPr>
          </w:p>
          <w:p w14:paraId="571F113C">
            <w:pPr>
              <w:spacing w:line="251" w:lineRule="auto"/>
              <w:rPr>
                <w:rFonts w:ascii="Arial"/>
                <w:sz w:val="21"/>
              </w:rPr>
            </w:pPr>
          </w:p>
          <w:p w14:paraId="6A2F7EDE">
            <w:pPr>
              <w:spacing w:line="251" w:lineRule="auto"/>
              <w:rPr>
                <w:rFonts w:ascii="Arial"/>
                <w:sz w:val="21"/>
              </w:rPr>
            </w:pPr>
          </w:p>
          <w:p w14:paraId="5AB64424">
            <w:pPr>
              <w:pStyle w:val="6"/>
              <w:spacing w:before="65" w:line="253" w:lineRule="auto"/>
              <w:ind w:left="113" w:right="114" w:firstLine="9"/>
              <w:jc w:val="both"/>
            </w:pPr>
            <w:r>
              <w:t>资格</w:t>
            </w:r>
            <w:r>
              <w:rPr>
                <w:spacing w:val="5"/>
              </w:rPr>
              <w:t>评审标准</w:t>
            </w:r>
          </w:p>
        </w:tc>
        <w:tc>
          <w:tcPr>
            <w:tcW w:w="7041" w:type="dxa"/>
            <w:vAlign w:val="top"/>
          </w:tcPr>
          <w:p w14:paraId="59EC87C3">
            <w:pPr>
              <w:pStyle w:val="6"/>
              <w:spacing w:before="161" w:line="264" w:lineRule="auto"/>
              <w:ind w:left="57" w:right="54" w:firstLine="395"/>
            </w:pPr>
            <w:r>
              <w:rPr>
                <w:spacing w:val="7"/>
              </w:rPr>
              <w:t>（1）投标人具备有效的营业执照、资质证书、安全生产许可证和基本账</w:t>
            </w:r>
            <w:r>
              <w:rPr>
                <w:spacing w:val="4"/>
              </w:rPr>
              <w:t>户开户许可证（或基本存款账户信息）。</w:t>
            </w:r>
          </w:p>
          <w:p w14:paraId="371249C9">
            <w:pPr>
              <w:pStyle w:val="6"/>
              <w:spacing w:line="227" w:lineRule="auto"/>
              <w:ind w:left="452"/>
            </w:pPr>
            <w:r>
              <w:rPr>
                <w:spacing w:val="8"/>
              </w:rPr>
              <w:t>（2）投标人的资质等级符合招标文件规定。</w:t>
            </w:r>
          </w:p>
          <w:p w14:paraId="520A2B6C">
            <w:pPr>
              <w:pStyle w:val="6"/>
              <w:spacing w:before="40" w:line="228" w:lineRule="auto"/>
              <w:ind w:left="452"/>
            </w:pPr>
            <w:r>
              <w:rPr>
                <w:spacing w:val="8"/>
              </w:rPr>
              <w:t>（3）投标人的财务状况符合招标文件规定。</w:t>
            </w:r>
          </w:p>
          <w:p w14:paraId="26CFB6BB">
            <w:pPr>
              <w:pStyle w:val="6"/>
              <w:spacing w:before="38" w:line="228" w:lineRule="auto"/>
              <w:ind w:left="452"/>
            </w:pPr>
            <w:r>
              <w:rPr>
                <w:spacing w:val="8"/>
              </w:rPr>
              <w:t>（4）投标人的业绩符合招标文件规定。</w:t>
            </w:r>
          </w:p>
          <w:p w14:paraId="2462AA9C">
            <w:pPr>
              <w:pStyle w:val="6"/>
              <w:spacing w:before="39" w:line="227" w:lineRule="auto"/>
              <w:ind w:left="452"/>
            </w:pPr>
            <w:r>
              <w:rPr>
                <w:spacing w:val="8"/>
              </w:rPr>
              <w:t>（5）投标人的信誉符合招标文件规定。</w:t>
            </w:r>
          </w:p>
          <w:p w14:paraId="56A4F0A0">
            <w:pPr>
              <w:pStyle w:val="6"/>
              <w:spacing w:before="39" w:line="264" w:lineRule="auto"/>
              <w:ind w:left="57" w:right="92" w:firstLine="395"/>
            </w:pPr>
            <w:r>
              <w:rPr>
                <w:spacing w:val="6"/>
              </w:rPr>
              <w:t>（6）投标人的项目经理（兼施工负责人）、项目总工、设计负责</w:t>
            </w:r>
            <w:r>
              <w:rPr>
                <w:spacing w:val="5"/>
              </w:rPr>
              <w:t>人符合</w:t>
            </w:r>
            <w:r>
              <w:rPr>
                <w:spacing w:val="6"/>
              </w:rPr>
              <w:t>招标文件规定。</w:t>
            </w:r>
          </w:p>
          <w:p w14:paraId="1D9EF258">
            <w:pPr>
              <w:pStyle w:val="6"/>
              <w:spacing w:before="2" w:line="264" w:lineRule="auto"/>
              <w:ind w:left="73" w:firstLine="379"/>
            </w:pPr>
            <w:r>
              <w:rPr>
                <w:spacing w:val="5"/>
              </w:rPr>
              <w:t>（7）投标人不存在第二章“投标人须知</w:t>
            </w:r>
            <w:r>
              <w:rPr>
                <w:spacing w:val="-70"/>
              </w:rPr>
              <w:t xml:space="preserve"> </w:t>
            </w:r>
            <w:r>
              <w:rPr>
                <w:spacing w:val="5"/>
              </w:rPr>
              <w:t>”第</w:t>
            </w:r>
            <w:r>
              <w:rPr>
                <w:spacing w:val="-22"/>
              </w:rPr>
              <w:t xml:space="preserve"> </w:t>
            </w:r>
            <w:r>
              <w:rPr>
                <w:spacing w:val="5"/>
              </w:rPr>
              <w:t>1.4.3</w:t>
            </w:r>
            <w:r>
              <w:rPr>
                <w:spacing w:val="-37"/>
              </w:rPr>
              <w:t xml:space="preserve"> </w:t>
            </w:r>
            <w:r>
              <w:rPr>
                <w:spacing w:val="4"/>
              </w:rPr>
              <w:t>项、第</w:t>
            </w:r>
            <w:r>
              <w:rPr>
                <w:spacing w:val="-23"/>
              </w:rPr>
              <w:t xml:space="preserve"> </w:t>
            </w:r>
            <w:r>
              <w:rPr>
                <w:spacing w:val="4"/>
              </w:rPr>
              <w:t>1.4.5</w:t>
            </w:r>
            <w:r>
              <w:rPr>
                <w:spacing w:val="-35"/>
              </w:rPr>
              <w:t xml:space="preserve"> </w:t>
            </w:r>
            <w:r>
              <w:rPr>
                <w:spacing w:val="4"/>
              </w:rPr>
              <w:t>项规定</w:t>
            </w:r>
            <w:r>
              <w:rPr>
                <w:spacing w:val="5"/>
              </w:rPr>
              <w:t>的任何一种情形。</w:t>
            </w:r>
          </w:p>
          <w:p w14:paraId="55D54311">
            <w:pPr>
              <w:pStyle w:val="6"/>
              <w:spacing w:before="1" w:line="226" w:lineRule="auto"/>
              <w:ind w:left="452"/>
            </w:pPr>
            <w:r>
              <w:rPr>
                <w:spacing w:val="5"/>
              </w:rPr>
              <w:t>（8）投标人符合第二章“投标人须知</w:t>
            </w:r>
            <w:r>
              <w:rPr>
                <w:spacing w:val="-58"/>
              </w:rPr>
              <w:t xml:space="preserve"> </w:t>
            </w:r>
            <w:r>
              <w:rPr>
                <w:spacing w:val="5"/>
              </w:rPr>
              <w:t>”第</w:t>
            </w:r>
            <w:r>
              <w:rPr>
                <w:spacing w:val="-24"/>
              </w:rPr>
              <w:t xml:space="preserve"> </w:t>
            </w:r>
            <w:r>
              <w:rPr>
                <w:spacing w:val="5"/>
              </w:rPr>
              <w:t>1.4.6</w:t>
            </w:r>
            <w:r>
              <w:rPr>
                <w:spacing w:val="-34"/>
              </w:rPr>
              <w:t xml:space="preserve"> </w:t>
            </w:r>
            <w:r>
              <w:rPr>
                <w:spacing w:val="5"/>
              </w:rPr>
              <w:t>项规定。</w:t>
            </w:r>
          </w:p>
          <w:p w14:paraId="1DB2EE76">
            <w:pPr>
              <w:pStyle w:val="6"/>
              <w:spacing w:before="23" w:line="252" w:lineRule="auto"/>
              <w:ind w:left="56" w:right="54" w:firstLine="430"/>
            </w:pPr>
            <w:r>
              <w:rPr>
                <w:spacing w:val="6"/>
              </w:rPr>
              <w:t>（9）以联合体形式参与投标的，联合体各方均未再以自己名义单独或参</w:t>
            </w:r>
            <w:r>
              <w:rPr>
                <w:spacing w:val="9"/>
              </w:rPr>
              <w:t>加其他联合体的投标；独立参与投标的，投标人未同时参加联合体的投标。</w:t>
            </w:r>
          </w:p>
        </w:tc>
      </w:tr>
      <w:tr w14:paraId="60089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1" w:hRule="atLeast"/>
        </w:trPr>
        <w:tc>
          <w:tcPr>
            <w:tcW w:w="729" w:type="dxa"/>
            <w:vAlign w:val="top"/>
          </w:tcPr>
          <w:p w14:paraId="72B2E497">
            <w:pPr>
              <w:spacing w:line="290" w:lineRule="auto"/>
              <w:rPr>
                <w:rFonts w:ascii="Arial"/>
                <w:sz w:val="21"/>
              </w:rPr>
            </w:pPr>
          </w:p>
          <w:p w14:paraId="25E72060">
            <w:pPr>
              <w:spacing w:line="291" w:lineRule="auto"/>
              <w:rPr>
                <w:rFonts w:ascii="Arial"/>
                <w:sz w:val="21"/>
              </w:rPr>
            </w:pPr>
          </w:p>
          <w:p w14:paraId="2D5F34D6">
            <w:pPr>
              <w:spacing w:line="291" w:lineRule="auto"/>
              <w:rPr>
                <w:rFonts w:ascii="Arial"/>
                <w:sz w:val="21"/>
              </w:rPr>
            </w:pPr>
          </w:p>
          <w:p w14:paraId="5A71FBD9">
            <w:pPr>
              <w:spacing w:line="291" w:lineRule="auto"/>
              <w:rPr>
                <w:rFonts w:ascii="Arial"/>
                <w:sz w:val="21"/>
              </w:rPr>
            </w:pPr>
          </w:p>
          <w:p w14:paraId="1E12745F">
            <w:pPr>
              <w:pStyle w:val="6"/>
              <w:spacing w:before="65" w:line="267" w:lineRule="exact"/>
              <w:ind w:left="109"/>
            </w:pPr>
            <w:r>
              <w:rPr>
                <w:spacing w:val="2"/>
                <w:position w:val="1"/>
              </w:rPr>
              <w:t>2.2.1</w:t>
            </w:r>
          </w:p>
        </w:tc>
        <w:tc>
          <w:tcPr>
            <w:tcW w:w="644" w:type="dxa"/>
            <w:vAlign w:val="top"/>
          </w:tcPr>
          <w:p w14:paraId="45B79325">
            <w:pPr>
              <w:pStyle w:val="6"/>
              <w:spacing w:before="145" w:line="228" w:lineRule="auto"/>
              <w:ind w:left="114"/>
            </w:pPr>
            <w:r>
              <w:rPr>
                <w:spacing w:val="6"/>
              </w:rPr>
              <w:t>第一</w:t>
            </w:r>
          </w:p>
          <w:p w14:paraId="291911D5">
            <w:pPr>
              <w:pStyle w:val="6"/>
              <w:spacing w:before="24" w:line="228" w:lineRule="auto"/>
              <w:ind w:left="114"/>
            </w:pPr>
            <w:r>
              <w:rPr>
                <w:spacing w:val="4"/>
              </w:rPr>
              <w:t>个信</w:t>
            </w:r>
          </w:p>
          <w:p w14:paraId="00305765">
            <w:pPr>
              <w:pStyle w:val="6"/>
              <w:spacing w:before="27" w:line="228" w:lineRule="auto"/>
              <w:ind w:left="113"/>
            </w:pPr>
            <w:r>
              <w:rPr>
                <w:spacing w:val="5"/>
              </w:rPr>
              <w:t>封评</w:t>
            </w:r>
          </w:p>
          <w:p w14:paraId="6D8B434B">
            <w:pPr>
              <w:pStyle w:val="6"/>
              <w:spacing w:before="24" w:line="228" w:lineRule="auto"/>
              <w:ind w:left="117"/>
            </w:pPr>
            <w:r>
              <w:rPr>
                <w:spacing w:val="4"/>
              </w:rPr>
              <w:t>分分</w:t>
            </w:r>
          </w:p>
          <w:p w14:paraId="3CF705CA">
            <w:pPr>
              <w:pStyle w:val="6"/>
              <w:tabs>
                <w:tab w:val="left" w:pos="185"/>
              </w:tabs>
              <w:spacing w:before="24" w:line="252" w:lineRule="auto"/>
              <w:ind w:left="56" w:right="49" w:firstLine="58"/>
              <w:jc w:val="right"/>
            </w:pPr>
            <w:r>
              <w:rPr>
                <w:spacing w:val="4"/>
              </w:rPr>
              <w:t>值构</w:t>
            </w:r>
            <w:r>
              <w:rPr>
                <w:spacing w:val="-23"/>
              </w:rPr>
              <w:t>成（总</w:t>
            </w:r>
            <w:r>
              <w:rPr>
                <w:spacing w:val="35"/>
              </w:rPr>
              <w:t>分值</w:t>
            </w:r>
            <w:r>
              <w:tab/>
            </w:r>
            <w:r>
              <w:rPr>
                <w:spacing w:val="-4"/>
              </w:rPr>
              <w:t>100</w:t>
            </w:r>
            <w:r>
              <w:rPr>
                <w:spacing w:val="-1"/>
              </w:rPr>
              <w:t>分）</w:t>
            </w:r>
          </w:p>
        </w:tc>
        <w:tc>
          <w:tcPr>
            <w:tcW w:w="7041" w:type="dxa"/>
            <w:vAlign w:val="top"/>
          </w:tcPr>
          <w:p w14:paraId="4F71D193">
            <w:pPr>
              <w:spacing w:line="286" w:lineRule="auto"/>
              <w:rPr>
                <w:rFonts w:ascii="Arial"/>
                <w:sz w:val="21"/>
              </w:rPr>
            </w:pPr>
          </w:p>
          <w:p w14:paraId="009A3C7E">
            <w:pPr>
              <w:spacing w:line="287" w:lineRule="auto"/>
              <w:rPr>
                <w:rFonts w:ascii="Arial"/>
                <w:sz w:val="21"/>
              </w:rPr>
            </w:pPr>
          </w:p>
          <w:p w14:paraId="0A3C1D6E">
            <w:pPr>
              <w:pStyle w:val="6"/>
              <w:spacing w:before="65" w:line="227" w:lineRule="auto"/>
              <w:ind w:left="452"/>
            </w:pPr>
            <w:r>
              <w:rPr>
                <w:spacing w:val="6"/>
              </w:rPr>
              <w:t>（1）承包人建议书（暗标</w:t>
            </w:r>
            <w:r>
              <w:rPr>
                <w:spacing w:val="-36"/>
              </w:rPr>
              <w:t>）：</w:t>
            </w:r>
            <w:r>
              <w:rPr>
                <w:spacing w:val="6"/>
              </w:rPr>
              <w:t>30</w:t>
            </w:r>
            <w:r>
              <w:rPr>
                <w:spacing w:val="-37"/>
              </w:rPr>
              <w:t xml:space="preserve"> </w:t>
            </w:r>
            <w:r>
              <w:rPr>
                <w:spacing w:val="6"/>
              </w:rPr>
              <w:t>分</w:t>
            </w:r>
          </w:p>
          <w:p w14:paraId="5B933536">
            <w:pPr>
              <w:pStyle w:val="6"/>
              <w:spacing w:before="128" w:line="228" w:lineRule="auto"/>
              <w:ind w:left="452"/>
            </w:pPr>
            <w:r>
              <w:rPr>
                <w:spacing w:val="6"/>
              </w:rPr>
              <w:t>（2）其他因素（资信业绩</w:t>
            </w:r>
            <w:r>
              <w:rPr>
                <w:spacing w:val="-36"/>
              </w:rPr>
              <w:t>）：</w:t>
            </w:r>
            <w:r>
              <w:rPr>
                <w:spacing w:val="6"/>
              </w:rPr>
              <w:t>30</w:t>
            </w:r>
            <w:r>
              <w:rPr>
                <w:spacing w:val="-37"/>
              </w:rPr>
              <w:t xml:space="preserve"> </w:t>
            </w:r>
            <w:r>
              <w:rPr>
                <w:spacing w:val="6"/>
              </w:rPr>
              <w:t>分</w:t>
            </w:r>
          </w:p>
          <w:p w14:paraId="22487C28">
            <w:pPr>
              <w:pStyle w:val="6"/>
              <w:spacing w:before="127" w:line="228" w:lineRule="auto"/>
              <w:ind w:left="452"/>
            </w:pPr>
            <w:r>
              <w:rPr>
                <w:spacing w:val="6"/>
              </w:rPr>
              <w:t>（3）承包人实施方案（暗标</w:t>
            </w:r>
            <w:r>
              <w:rPr>
                <w:spacing w:val="-33"/>
              </w:rPr>
              <w:t>）：</w:t>
            </w:r>
            <w:r>
              <w:rPr>
                <w:spacing w:val="6"/>
              </w:rPr>
              <w:t>40</w:t>
            </w:r>
            <w:r>
              <w:rPr>
                <w:spacing w:val="-38"/>
              </w:rPr>
              <w:t xml:space="preserve"> </w:t>
            </w:r>
            <w:r>
              <w:rPr>
                <w:spacing w:val="6"/>
              </w:rPr>
              <w:t>分</w:t>
            </w:r>
          </w:p>
        </w:tc>
      </w:tr>
      <w:tr w14:paraId="5D08D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7" w:hRule="atLeast"/>
        </w:trPr>
        <w:tc>
          <w:tcPr>
            <w:tcW w:w="729" w:type="dxa"/>
            <w:vAlign w:val="top"/>
          </w:tcPr>
          <w:p w14:paraId="09187454">
            <w:pPr>
              <w:spacing w:line="244" w:lineRule="auto"/>
              <w:rPr>
                <w:rFonts w:ascii="Arial"/>
                <w:sz w:val="21"/>
              </w:rPr>
            </w:pPr>
          </w:p>
          <w:p w14:paraId="74A8BA4D">
            <w:pPr>
              <w:spacing w:line="244" w:lineRule="auto"/>
              <w:rPr>
                <w:rFonts w:ascii="Arial"/>
                <w:sz w:val="21"/>
              </w:rPr>
            </w:pPr>
          </w:p>
          <w:p w14:paraId="264FCCD2">
            <w:pPr>
              <w:spacing w:line="244" w:lineRule="auto"/>
              <w:rPr>
                <w:rFonts w:ascii="Arial"/>
                <w:sz w:val="21"/>
              </w:rPr>
            </w:pPr>
          </w:p>
          <w:p w14:paraId="244821D4">
            <w:pPr>
              <w:spacing w:line="244" w:lineRule="auto"/>
              <w:rPr>
                <w:rFonts w:ascii="Arial"/>
                <w:sz w:val="21"/>
              </w:rPr>
            </w:pPr>
          </w:p>
          <w:p w14:paraId="200B5115">
            <w:pPr>
              <w:spacing w:line="244" w:lineRule="auto"/>
              <w:rPr>
                <w:rFonts w:ascii="Arial"/>
                <w:sz w:val="21"/>
              </w:rPr>
            </w:pPr>
          </w:p>
          <w:p w14:paraId="168A3010">
            <w:pPr>
              <w:spacing w:line="244" w:lineRule="auto"/>
              <w:rPr>
                <w:rFonts w:ascii="Arial"/>
                <w:sz w:val="21"/>
              </w:rPr>
            </w:pPr>
          </w:p>
          <w:p w14:paraId="18305A7E">
            <w:pPr>
              <w:spacing w:line="244" w:lineRule="auto"/>
              <w:rPr>
                <w:rFonts w:ascii="Arial"/>
                <w:sz w:val="21"/>
              </w:rPr>
            </w:pPr>
          </w:p>
          <w:p w14:paraId="314F2D21">
            <w:pPr>
              <w:spacing w:line="244" w:lineRule="auto"/>
              <w:rPr>
                <w:rFonts w:ascii="Arial"/>
                <w:sz w:val="21"/>
              </w:rPr>
            </w:pPr>
          </w:p>
          <w:p w14:paraId="30E72000">
            <w:pPr>
              <w:spacing w:line="244" w:lineRule="auto"/>
              <w:rPr>
                <w:rFonts w:ascii="Arial"/>
                <w:sz w:val="21"/>
              </w:rPr>
            </w:pPr>
          </w:p>
          <w:p w14:paraId="7FEB155B">
            <w:pPr>
              <w:spacing w:line="244" w:lineRule="auto"/>
              <w:rPr>
                <w:rFonts w:ascii="Arial"/>
                <w:sz w:val="21"/>
              </w:rPr>
            </w:pPr>
          </w:p>
          <w:p w14:paraId="57466E26">
            <w:pPr>
              <w:spacing w:line="245" w:lineRule="auto"/>
              <w:rPr>
                <w:rFonts w:ascii="Arial"/>
                <w:sz w:val="21"/>
              </w:rPr>
            </w:pPr>
          </w:p>
          <w:p w14:paraId="6D704686">
            <w:pPr>
              <w:spacing w:line="245" w:lineRule="auto"/>
              <w:rPr>
                <w:rFonts w:ascii="Arial"/>
                <w:sz w:val="21"/>
              </w:rPr>
            </w:pPr>
          </w:p>
          <w:p w14:paraId="77EF4A21">
            <w:pPr>
              <w:pStyle w:val="6"/>
              <w:spacing w:before="65" w:line="267" w:lineRule="exact"/>
              <w:ind w:left="109"/>
            </w:pPr>
            <w:r>
              <w:rPr>
                <w:spacing w:val="2"/>
                <w:position w:val="1"/>
              </w:rPr>
              <w:t>2.2.3</w:t>
            </w:r>
          </w:p>
        </w:tc>
        <w:tc>
          <w:tcPr>
            <w:tcW w:w="644" w:type="dxa"/>
            <w:vAlign w:val="top"/>
          </w:tcPr>
          <w:p w14:paraId="30890251">
            <w:pPr>
              <w:spacing w:line="250" w:lineRule="auto"/>
              <w:rPr>
                <w:rFonts w:ascii="Arial"/>
                <w:sz w:val="21"/>
              </w:rPr>
            </w:pPr>
          </w:p>
          <w:p w14:paraId="5BC3890C">
            <w:pPr>
              <w:spacing w:line="250" w:lineRule="auto"/>
              <w:rPr>
                <w:rFonts w:ascii="Arial"/>
                <w:sz w:val="21"/>
              </w:rPr>
            </w:pPr>
          </w:p>
          <w:p w14:paraId="79B54A45">
            <w:pPr>
              <w:spacing w:line="250" w:lineRule="auto"/>
              <w:rPr>
                <w:rFonts w:ascii="Arial"/>
                <w:sz w:val="21"/>
              </w:rPr>
            </w:pPr>
          </w:p>
          <w:p w14:paraId="52041FC5">
            <w:pPr>
              <w:spacing w:line="250" w:lineRule="auto"/>
              <w:rPr>
                <w:rFonts w:ascii="Arial"/>
                <w:sz w:val="21"/>
              </w:rPr>
            </w:pPr>
          </w:p>
          <w:p w14:paraId="0AD8657F">
            <w:pPr>
              <w:spacing w:line="250" w:lineRule="auto"/>
              <w:rPr>
                <w:rFonts w:ascii="Arial"/>
                <w:sz w:val="21"/>
              </w:rPr>
            </w:pPr>
          </w:p>
          <w:p w14:paraId="581A85A7">
            <w:pPr>
              <w:spacing w:line="250" w:lineRule="auto"/>
              <w:rPr>
                <w:rFonts w:ascii="Arial"/>
                <w:sz w:val="21"/>
              </w:rPr>
            </w:pPr>
          </w:p>
          <w:p w14:paraId="5CF36AE4">
            <w:pPr>
              <w:spacing w:line="250" w:lineRule="auto"/>
              <w:rPr>
                <w:rFonts w:ascii="Arial"/>
                <w:sz w:val="21"/>
              </w:rPr>
            </w:pPr>
          </w:p>
          <w:p w14:paraId="43975FEC">
            <w:pPr>
              <w:spacing w:line="251" w:lineRule="auto"/>
              <w:rPr>
                <w:rFonts w:ascii="Arial"/>
                <w:sz w:val="21"/>
              </w:rPr>
            </w:pPr>
          </w:p>
          <w:p w14:paraId="3F9A10EA">
            <w:pPr>
              <w:spacing w:line="251" w:lineRule="auto"/>
              <w:rPr>
                <w:rFonts w:ascii="Arial"/>
                <w:sz w:val="21"/>
              </w:rPr>
            </w:pPr>
          </w:p>
          <w:p w14:paraId="45C74497">
            <w:pPr>
              <w:pStyle w:val="6"/>
              <w:spacing w:before="65" w:line="252" w:lineRule="auto"/>
              <w:ind w:left="113" w:right="114"/>
              <w:jc w:val="both"/>
            </w:pPr>
            <w:r>
              <w:rPr>
                <w:spacing w:val="4"/>
              </w:rPr>
              <w:t>第二</w:t>
            </w:r>
            <w:r>
              <w:rPr>
                <w:spacing w:val="5"/>
              </w:rPr>
              <w:t>个信封详细评审标</w:t>
            </w:r>
            <w:r>
              <w:rPr>
                <w:spacing w:val="37"/>
                <w:w w:val="135"/>
              </w:rPr>
              <w:t>准</w:t>
            </w:r>
          </w:p>
        </w:tc>
        <w:tc>
          <w:tcPr>
            <w:tcW w:w="7041" w:type="dxa"/>
            <w:vAlign w:val="top"/>
          </w:tcPr>
          <w:p w14:paraId="27E2334E">
            <w:pPr>
              <w:pStyle w:val="6"/>
              <w:spacing w:before="164" w:line="226" w:lineRule="auto"/>
              <w:ind w:left="458"/>
            </w:pPr>
            <w:r>
              <w:rPr>
                <w:spacing w:val="8"/>
              </w:rPr>
              <w:t>1、第二个信封（报价文件）评分分值构成：</w:t>
            </w:r>
            <w:r>
              <w:rPr>
                <w:spacing w:val="7"/>
              </w:rPr>
              <w:t>评标价：100</w:t>
            </w:r>
            <w:r>
              <w:rPr>
                <w:spacing w:val="-38"/>
              </w:rPr>
              <w:t xml:space="preserve"> </w:t>
            </w:r>
            <w:r>
              <w:rPr>
                <w:spacing w:val="7"/>
              </w:rPr>
              <w:t>分。</w:t>
            </w:r>
          </w:p>
          <w:p w14:paraId="060AB4F2">
            <w:pPr>
              <w:pStyle w:val="6"/>
              <w:spacing w:before="40" w:line="226" w:lineRule="auto"/>
              <w:ind w:left="445"/>
            </w:pPr>
            <w:r>
              <w:rPr>
                <w:spacing w:val="6"/>
              </w:rPr>
              <w:t>2、</w:t>
            </w:r>
            <w:r>
              <w:rPr>
                <w:b/>
                <w:bCs/>
                <w:spacing w:val="6"/>
              </w:rPr>
              <w:t>评标基准价计算方法：</w:t>
            </w:r>
          </w:p>
          <w:p w14:paraId="3BCBF3A9">
            <w:pPr>
              <w:pStyle w:val="6"/>
              <w:spacing w:before="40" w:line="226" w:lineRule="auto"/>
              <w:ind w:left="441"/>
            </w:pPr>
            <w:r>
              <w:rPr>
                <w:spacing w:val="9"/>
              </w:rPr>
              <w:t>在第二个信封开标现场，招标人将当场计算并宣布评标基准价。</w:t>
            </w:r>
          </w:p>
          <w:p w14:paraId="58EB61C8">
            <w:pPr>
              <w:pStyle w:val="6"/>
              <w:spacing w:before="40" w:line="226" w:lineRule="auto"/>
              <w:ind w:left="458"/>
            </w:pPr>
            <w:r>
              <w:rPr>
                <w:spacing w:val="8"/>
              </w:rPr>
              <w:t>1）评标价的确定：评标价＝投标函文字报价。</w:t>
            </w:r>
          </w:p>
          <w:p w14:paraId="6871C9E0">
            <w:pPr>
              <w:pStyle w:val="6"/>
              <w:spacing w:before="41" w:line="226" w:lineRule="auto"/>
              <w:ind w:left="445"/>
            </w:pPr>
            <w:r>
              <w:rPr>
                <w:spacing w:val="7"/>
              </w:rPr>
              <w:t>2）评标价平均值的计算：</w:t>
            </w:r>
          </w:p>
          <w:p w14:paraId="3F81D8CA">
            <w:pPr>
              <w:pStyle w:val="6"/>
              <w:spacing w:before="42" w:line="264" w:lineRule="auto"/>
              <w:ind w:left="57" w:right="61" w:firstLine="397"/>
              <w:jc w:val="both"/>
            </w:pPr>
            <w:r>
              <w:rPr>
                <w:spacing w:val="7"/>
              </w:rPr>
              <w:t>除按第二章“投标人须知</w:t>
            </w:r>
            <w:r>
              <w:rPr>
                <w:spacing w:val="-72"/>
              </w:rPr>
              <w:t xml:space="preserve"> </w:t>
            </w:r>
            <w:r>
              <w:rPr>
                <w:spacing w:val="7"/>
              </w:rPr>
              <w:t>”第</w:t>
            </w:r>
            <w:r>
              <w:rPr>
                <w:spacing w:val="-35"/>
              </w:rPr>
              <w:t xml:space="preserve"> </w:t>
            </w:r>
            <w:r>
              <w:rPr>
                <w:spacing w:val="7"/>
              </w:rPr>
              <w:t>5.2.4</w:t>
            </w:r>
            <w:r>
              <w:rPr>
                <w:spacing w:val="-35"/>
              </w:rPr>
              <w:t xml:space="preserve"> </w:t>
            </w:r>
            <w:r>
              <w:rPr>
                <w:spacing w:val="7"/>
              </w:rPr>
              <w:t>项规定不进入评标基准价计算</w:t>
            </w:r>
            <w:r>
              <w:rPr>
                <w:spacing w:val="6"/>
              </w:rPr>
              <w:t>的投</w:t>
            </w:r>
            <w:r>
              <w:rPr>
                <w:spacing w:val="10"/>
              </w:rPr>
              <w:t>标报价之外，所有通过第二信封初步评审的</w:t>
            </w:r>
            <w:r>
              <w:rPr>
                <w:spacing w:val="9"/>
              </w:rPr>
              <w:t>投标人的评标价的算术平均值即</w:t>
            </w:r>
            <w:r>
              <w:rPr>
                <w:spacing w:val="6"/>
              </w:rPr>
              <w:t>为评标价平值。</w:t>
            </w:r>
          </w:p>
          <w:p w14:paraId="4261ADF6">
            <w:pPr>
              <w:pStyle w:val="6"/>
              <w:spacing w:line="226" w:lineRule="auto"/>
              <w:ind w:left="446"/>
            </w:pPr>
            <w:r>
              <w:rPr>
                <w:spacing w:val="7"/>
              </w:rPr>
              <w:t>3）评标基准价的计算：</w:t>
            </w:r>
          </w:p>
          <w:p w14:paraId="05A2D284">
            <w:pPr>
              <w:pStyle w:val="6"/>
              <w:spacing w:before="41" w:line="264" w:lineRule="auto"/>
              <w:ind w:left="56" w:right="59" w:firstLine="387"/>
              <w:jc w:val="both"/>
            </w:pPr>
            <w:r>
              <w:rPr>
                <w:spacing w:val="10"/>
              </w:rPr>
              <w:t>本次招标共设置以下三种评标基准价计算方</w:t>
            </w:r>
            <w:r>
              <w:rPr>
                <w:spacing w:val="9"/>
              </w:rPr>
              <w:t>法，在第一信封（商务及技</w:t>
            </w:r>
            <w:r>
              <w:rPr>
                <w:spacing w:val="10"/>
              </w:rPr>
              <w:t>术文件）开标现场随机确定一种评标基准价计算方</w:t>
            </w:r>
            <w:r>
              <w:rPr>
                <w:spacing w:val="9"/>
              </w:rPr>
              <w:t>法，作为本次评标的评标</w:t>
            </w:r>
            <w:r>
              <w:rPr>
                <w:spacing w:val="7"/>
              </w:rPr>
              <w:t>基准价计算方法。</w:t>
            </w:r>
          </w:p>
          <w:p w14:paraId="34226E9E">
            <w:pPr>
              <w:pStyle w:val="6"/>
              <w:spacing w:before="1" w:line="226" w:lineRule="auto"/>
              <w:ind w:left="458"/>
            </w:pPr>
            <w:r>
              <w:rPr>
                <w:spacing w:val="8"/>
              </w:rPr>
              <w:t>1．方法</w:t>
            </w:r>
            <w:r>
              <w:rPr>
                <w:spacing w:val="-8"/>
              </w:rPr>
              <w:t xml:space="preserve"> </w:t>
            </w:r>
            <w:r>
              <w:rPr>
                <w:spacing w:val="8"/>
              </w:rPr>
              <w:t>1：评标基准价</w:t>
            </w:r>
            <w:r>
              <w:rPr>
                <w:spacing w:val="-40"/>
              </w:rPr>
              <w:t xml:space="preserve"> </w:t>
            </w:r>
            <w:r>
              <w:rPr>
                <w:spacing w:val="8"/>
              </w:rPr>
              <w:t>P=评标价平均值×评标基准价系数K1。</w:t>
            </w:r>
          </w:p>
          <w:p w14:paraId="05882AF9">
            <w:pPr>
              <w:pStyle w:val="6"/>
              <w:spacing w:before="40" w:line="264" w:lineRule="auto"/>
              <w:ind w:left="58" w:right="24" w:firstLine="381"/>
            </w:pPr>
            <w:r>
              <w:rPr>
                <w:spacing w:val="7"/>
              </w:rPr>
              <w:t>K1</w:t>
            </w:r>
            <w:r>
              <w:rPr>
                <w:spacing w:val="-38"/>
              </w:rPr>
              <w:t xml:space="preserve"> </w:t>
            </w:r>
            <w:r>
              <w:rPr>
                <w:spacing w:val="7"/>
              </w:rPr>
              <w:t>为开标现场随机确定的评标基准价系数，取值范围</w:t>
            </w:r>
            <w:r>
              <w:rPr>
                <w:spacing w:val="6"/>
              </w:rPr>
              <w:t>为</w:t>
            </w:r>
            <w:r>
              <w:rPr>
                <w:spacing w:val="-37"/>
              </w:rPr>
              <w:t xml:space="preserve"> </w:t>
            </w:r>
            <w:r>
              <w:rPr>
                <w:spacing w:val="6"/>
              </w:rPr>
              <w:t>0.980、0.985、</w:t>
            </w:r>
            <w:r>
              <w:t xml:space="preserve"> </w:t>
            </w:r>
            <w:r>
              <w:rPr>
                <w:spacing w:val="4"/>
              </w:rPr>
              <w:t>0.990、0.995、1.000。</w:t>
            </w:r>
          </w:p>
          <w:p w14:paraId="15D779D7">
            <w:pPr>
              <w:pStyle w:val="6"/>
              <w:spacing w:before="1" w:line="263" w:lineRule="auto"/>
              <w:ind w:left="439" w:right="24" w:firstLine="5"/>
            </w:pPr>
            <w:r>
              <w:rPr>
                <w:spacing w:val="4"/>
              </w:rPr>
              <w:t>2．方法</w:t>
            </w:r>
            <w:r>
              <w:rPr>
                <w:spacing w:val="-35"/>
              </w:rPr>
              <w:t xml:space="preserve"> </w:t>
            </w:r>
            <w:r>
              <w:rPr>
                <w:spacing w:val="4"/>
              </w:rPr>
              <w:t>2：评标基准价</w:t>
            </w:r>
            <w:r>
              <w:rPr>
                <w:spacing w:val="-40"/>
              </w:rPr>
              <w:t xml:space="preserve"> </w:t>
            </w:r>
            <w:r>
              <w:rPr>
                <w:spacing w:val="4"/>
              </w:rPr>
              <w:t>P=最高投标限价×K2+评标价平均值</w:t>
            </w:r>
            <w:r>
              <w:rPr>
                <w:spacing w:val="3"/>
              </w:rPr>
              <w:t>×（1-K2）。</w:t>
            </w:r>
            <w:r>
              <w:t xml:space="preserve"> </w:t>
            </w:r>
            <w:r>
              <w:rPr>
                <w:spacing w:val="9"/>
              </w:rPr>
              <w:t>K2</w:t>
            </w:r>
            <w:r>
              <w:rPr>
                <w:spacing w:val="-37"/>
              </w:rPr>
              <w:t xml:space="preserve"> </w:t>
            </w:r>
            <w:r>
              <w:rPr>
                <w:spacing w:val="9"/>
              </w:rPr>
              <w:t>为开标现场随机确定的最高投标限价所占比例系数，取值范围为</w:t>
            </w:r>
          </w:p>
          <w:p w14:paraId="011C295E">
            <w:pPr>
              <w:pStyle w:val="6"/>
              <w:spacing w:line="264" w:lineRule="exact"/>
              <w:ind w:left="58"/>
            </w:pPr>
            <w:r>
              <w:rPr>
                <w:spacing w:val="5"/>
                <w:position w:val="1"/>
              </w:rPr>
              <w:t>0.10、0.15、0.20、0.25、0.30。</w:t>
            </w:r>
          </w:p>
          <w:p w14:paraId="03D916D8">
            <w:pPr>
              <w:pStyle w:val="6"/>
              <w:spacing w:before="23" w:line="264" w:lineRule="auto"/>
              <w:ind w:left="57" w:right="54" w:firstLine="389"/>
            </w:pPr>
            <w:r>
              <w:rPr>
                <w:spacing w:val="8"/>
              </w:rPr>
              <w:t>3．方法</w:t>
            </w:r>
            <w:r>
              <w:rPr>
                <w:spacing w:val="-23"/>
              </w:rPr>
              <w:t xml:space="preserve"> </w:t>
            </w:r>
            <w:r>
              <w:rPr>
                <w:spacing w:val="8"/>
              </w:rPr>
              <w:t>3：评标价平均值与投标人报价的中位数的平均值作为评标基准</w:t>
            </w:r>
            <w:r>
              <w:t>价。</w:t>
            </w:r>
          </w:p>
          <w:p w14:paraId="2C8B4E39">
            <w:pPr>
              <w:pStyle w:val="6"/>
              <w:spacing w:before="1" w:line="226" w:lineRule="auto"/>
              <w:ind w:left="462"/>
            </w:pPr>
            <w:r>
              <w:rPr>
                <w:spacing w:val="9"/>
              </w:rPr>
              <w:t>中位数：把所有评标价按高低排序后找出正中间的一个作为中位数。如</w:t>
            </w:r>
          </w:p>
        </w:tc>
      </w:tr>
    </w:tbl>
    <w:p w14:paraId="167D7B3C">
      <w:pPr>
        <w:rPr>
          <w:rFonts w:ascii="Arial"/>
          <w:sz w:val="21"/>
        </w:rPr>
      </w:pPr>
    </w:p>
    <w:p w14:paraId="74E47707">
      <w:pPr>
        <w:rPr>
          <w:rFonts w:ascii="Arial" w:hAnsi="Arial" w:eastAsia="Arial" w:cs="Arial"/>
          <w:sz w:val="21"/>
          <w:szCs w:val="21"/>
        </w:rPr>
        <w:sectPr>
          <w:footerReference r:id="rId18" w:type="default"/>
          <w:pgSz w:w="11906" w:h="16839"/>
          <w:pgMar w:top="400" w:right="1741" w:bottom="1378" w:left="1744" w:header="0" w:footer="1212" w:gutter="0"/>
          <w:cols w:space="720" w:num="1"/>
        </w:sectPr>
      </w:pPr>
    </w:p>
    <w:p w14:paraId="677D07FF">
      <w:pPr>
        <w:spacing w:before="19"/>
      </w:pPr>
    </w:p>
    <w:p w14:paraId="380E2A29">
      <w:pPr>
        <w:spacing w:before="19"/>
      </w:pPr>
    </w:p>
    <w:p w14:paraId="5E1CBB7A">
      <w:pPr>
        <w:spacing w:before="18"/>
      </w:pPr>
    </w:p>
    <w:p w14:paraId="220C6B08">
      <w:pPr>
        <w:spacing w:before="18"/>
      </w:pPr>
    </w:p>
    <w:tbl>
      <w:tblPr>
        <w:tblStyle w:val="5"/>
        <w:tblW w:w="8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644"/>
        <w:gridCol w:w="7039"/>
      </w:tblGrid>
      <w:tr w14:paraId="51BC5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29" w:type="dxa"/>
            <w:vAlign w:val="top"/>
          </w:tcPr>
          <w:p w14:paraId="6B292186">
            <w:pPr>
              <w:spacing w:line="246" w:lineRule="auto"/>
              <w:rPr>
                <w:rFonts w:ascii="Arial"/>
                <w:sz w:val="21"/>
              </w:rPr>
            </w:pPr>
          </w:p>
          <w:p w14:paraId="492A4620">
            <w:pPr>
              <w:pStyle w:val="6"/>
              <w:spacing w:before="65" w:line="228" w:lineRule="auto"/>
              <w:ind w:left="55"/>
            </w:pPr>
            <w:r>
              <w:rPr>
                <w:b/>
                <w:bCs/>
                <w:spacing w:val="5"/>
              </w:rPr>
              <w:t>条款号</w:t>
            </w:r>
          </w:p>
        </w:tc>
        <w:tc>
          <w:tcPr>
            <w:tcW w:w="644" w:type="dxa"/>
            <w:vAlign w:val="top"/>
          </w:tcPr>
          <w:p w14:paraId="7C542205">
            <w:pPr>
              <w:pStyle w:val="6"/>
              <w:spacing w:before="176" w:line="253" w:lineRule="auto"/>
              <w:ind w:left="116" w:right="112"/>
            </w:pPr>
            <w:r>
              <w:rPr>
                <w:b/>
                <w:bCs/>
                <w:spacing w:val="3"/>
              </w:rPr>
              <w:t>条款</w:t>
            </w:r>
            <w:r>
              <w:rPr>
                <w:b/>
                <w:bCs/>
                <w:spacing w:val="2"/>
              </w:rPr>
              <w:t>名称</w:t>
            </w:r>
          </w:p>
        </w:tc>
        <w:tc>
          <w:tcPr>
            <w:tcW w:w="7039" w:type="dxa"/>
            <w:vAlign w:val="top"/>
          </w:tcPr>
          <w:p w14:paraId="4284DA30">
            <w:pPr>
              <w:spacing w:line="246" w:lineRule="auto"/>
              <w:rPr>
                <w:rFonts w:ascii="Arial"/>
                <w:sz w:val="21"/>
              </w:rPr>
            </w:pPr>
          </w:p>
          <w:p w14:paraId="168B0935">
            <w:pPr>
              <w:pStyle w:val="6"/>
              <w:spacing w:before="65" w:line="228" w:lineRule="auto"/>
              <w:ind w:left="2573"/>
            </w:pPr>
            <w:r>
              <w:rPr>
                <w:b/>
                <w:bCs/>
                <w:spacing w:val="7"/>
              </w:rPr>
              <w:t>评审因素与评审标准</w:t>
            </w:r>
          </w:p>
        </w:tc>
      </w:tr>
      <w:tr w14:paraId="1194B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9" w:hRule="atLeast"/>
        </w:trPr>
        <w:tc>
          <w:tcPr>
            <w:tcW w:w="729" w:type="dxa"/>
            <w:vAlign w:val="top"/>
          </w:tcPr>
          <w:p w14:paraId="181463BD">
            <w:pPr>
              <w:rPr>
                <w:rFonts w:ascii="Arial"/>
                <w:sz w:val="21"/>
              </w:rPr>
            </w:pPr>
          </w:p>
        </w:tc>
        <w:tc>
          <w:tcPr>
            <w:tcW w:w="644" w:type="dxa"/>
            <w:vAlign w:val="top"/>
          </w:tcPr>
          <w:p w14:paraId="4FF77230">
            <w:pPr>
              <w:rPr>
                <w:rFonts w:ascii="Arial"/>
                <w:sz w:val="21"/>
              </w:rPr>
            </w:pPr>
          </w:p>
        </w:tc>
        <w:tc>
          <w:tcPr>
            <w:tcW w:w="7039" w:type="dxa"/>
            <w:vAlign w:val="top"/>
          </w:tcPr>
          <w:p w14:paraId="3AAC98D1">
            <w:pPr>
              <w:pStyle w:val="6"/>
              <w:spacing w:before="161" w:line="264" w:lineRule="auto"/>
              <w:ind w:left="71" w:right="57" w:hanging="11"/>
            </w:pPr>
            <w:r>
              <w:rPr>
                <w:spacing w:val="9"/>
              </w:rPr>
              <w:t>果评标价有偶数个，取最中间的两个数值的平均值作为中位数（平均值均保</w:t>
            </w:r>
            <w:r>
              <w:rPr>
                <w:spacing w:val="-10"/>
              </w:rPr>
              <w:t>留</w:t>
            </w:r>
            <w:r>
              <w:rPr>
                <w:spacing w:val="-34"/>
              </w:rPr>
              <w:t xml:space="preserve"> </w:t>
            </w:r>
            <w:r>
              <w:rPr>
                <w:spacing w:val="-10"/>
              </w:rPr>
              <w:t>2</w:t>
            </w:r>
            <w:r>
              <w:rPr>
                <w:spacing w:val="-38"/>
              </w:rPr>
              <w:t xml:space="preserve"> </w:t>
            </w:r>
            <w:r>
              <w:rPr>
                <w:spacing w:val="-10"/>
              </w:rPr>
              <w:t>位小数）。</w:t>
            </w:r>
          </w:p>
          <w:p w14:paraId="69E6B680">
            <w:pPr>
              <w:pStyle w:val="6"/>
              <w:spacing w:before="1" w:line="264" w:lineRule="auto"/>
              <w:ind w:left="55" w:right="57" w:firstLine="386"/>
              <w:jc w:val="both"/>
            </w:pPr>
            <w:r>
              <w:rPr>
                <w:spacing w:val="10"/>
              </w:rPr>
              <w:t>在评标过程中，评标委员会应对招标人计算的评</w:t>
            </w:r>
            <w:r>
              <w:rPr>
                <w:spacing w:val="9"/>
              </w:rPr>
              <w:t>标基准价进行复核，存</w:t>
            </w:r>
            <w:r>
              <w:rPr>
                <w:spacing w:val="10"/>
              </w:rPr>
              <w:t>在计算错误的应予以修正并在评标报告中作出说明。</w:t>
            </w:r>
            <w:r>
              <w:rPr>
                <w:spacing w:val="9"/>
              </w:rPr>
              <w:t>除此之外，评标基准价在整个评标期间保持不变，不随任何因素发生变化。</w:t>
            </w:r>
          </w:p>
          <w:p w14:paraId="0888D483">
            <w:pPr>
              <w:pStyle w:val="6"/>
              <w:spacing w:line="226" w:lineRule="auto"/>
              <w:ind w:left="446"/>
            </w:pPr>
            <w:r>
              <w:rPr>
                <w:b/>
                <w:bCs/>
                <w:spacing w:val="6"/>
              </w:rPr>
              <w:t>3、评标价的偏差率计算公式：</w:t>
            </w:r>
          </w:p>
          <w:p w14:paraId="749355DC">
            <w:pPr>
              <w:pStyle w:val="6"/>
              <w:spacing w:before="40" w:line="226" w:lineRule="auto"/>
              <w:ind w:left="442"/>
            </w:pPr>
            <w:r>
              <w:rPr>
                <w:spacing w:val="8"/>
              </w:rPr>
              <w:t>偏差率=100%×（评标价－评标基准价）/评标基准价</w:t>
            </w:r>
          </w:p>
          <w:p w14:paraId="55CE16CE">
            <w:pPr>
              <w:pStyle w:val="6"/>
              <w:spacing w:before="40" w:line="226" w:lineRule="auto"/>
              <w:ind w:left="441"/>
            </w:pPr>
            <w:r>
              <w:rPr>
                <w:b/>
                <w:bCs/>
                <w:spacing w:val="6"/>
              </w:rPr>
              <w:t>4、评标价得分计算公式：</w:t>
            </w:r>
          </w:p>
          <w:p w14:paraId="26964604">
            <w:pPr>
              <w:pStyle w:val="6"/>
              <w:spacing w:before="40" w:line="265" w:lineRule="auto"/>
              <w:ind w:left="85" w:right="90" w:firstLine="367"/>
            </w:pPr>
            <w:r>
              <w:rPr>
                <w:spacing w:val="9"/>
              </w:rPr>
              <w:t>（1）如果投标人的评标价＞评标基准价，则评标价得分</w:t>
            </w:r>
            <w:r>
              <w:rPr>
                <w:spacing w:val="8"/>
              </w:rPr>
              <w:t>＝100－偏差率</w:t>
            </w:r>
            <w:r>
              <w:rPr>
                <w:spacing w:val="-3"/>
              </w:rPr>
              <w:t>×</w:t>
            </w:r>
            <w:r>
              <w:rPr>
                <w:spacing w:val="-71"/>
              </w:rPr>
              <w:t xml:space="preserve"> </w:t>
            </w:r>
            <w:r>
              <w:rPr>
                <w:spacing w:val="-3"/>
              </w:rPr>
              <w:t>100×E1；</w:t>
            </w:r>
          </w:p>
          <w:p w14:paraId="3A076764">
            <w:pPr>
              <w:pStyle w:val="6"/>
              <w:spacing w:before="1" w:line="263" w:lineRule="auto"/>
              <w:ind w:left="85" w:right="92" w:firstLine="367"/>
            </w:pPr>
            <w:r>
              <w:rPr>
                <w:spacing w:val="9"/>
              </w:rPr>
              <w:t>（2）如果投标人的评标价≤评标基准价，则评标价</w:t>
            </w:r>
            <w:r>
              <w:rPr>
                <w:spacing w:val="8"/>
              </w:rPr>
              <w:t>得分＝100＋偏差率</w:t>
            </w:r>
            <w:r>
              <w:rPr>
                <w:spacing w:val="-3"/>
              </w:rPr>
              <w:t>×</w:t>
            </w:r>
            <w:r>
              <w:rPr>
                <w:spacing w:val="-71"/>
              </w:rPr>
              <w:t xml:space="preserve"> </w:t>
            </w:r>
            <w:r>
              <w:rPr>
                <w:spacing w:val="-3"/>
              </w:rPr>
              <w:t>100×E2；</w:t>
            </w:r>
          </w:p>
          <w:p w14:paraId="16F02E37">
            <w:pPr>
              <w:pStyle w:val="6"/>
              <w:spacing w:before="1" w:line="263" w:lineRule="auto"/>
              <w:ind w:left="59" w:right="144" w:firstLine="383"/>
            </w:pPr>
            <w:r>
              <w:rPr>
                <w:spacing w:val="8"/>
              </w:rPr>
              <w:t>其中，E1</w:t>
            </w:r>
            <w:r>
              <w:rPr>
                <w:spacing w:val="-28"/>
              </w:rPr>
              <w:t xml:space="preserve"> </w:t>
            </w:r>
            <w:r>
              <w:rPr>
                <w:spacing w:val="8"/>
              </w:rPr>
              <w:t>是评标价每高于评标基准价一个百分点的扣分值，E1＝2；E2是评标价每低于评标基准价一个百分点的扣分值，E2＝1。</w:t>
            </w:r>
          </w:p>
          <w:p w14:paraId="5F47CC7F">
            <w:pPr>
              <w:pStyle w:val="6"/>
              <w:spacing w:before="1" w:line="226" w:lineRule="auto"/>
              <w:ind w:left="441"/>
            </w:pPr>
            <w:r>
              <w:rPr>
                <w:spacing w:val="10"/>
              </w:rPr>
              <w:t>评标价最低得分为0</w:t>
            </w:r>
            <w:r>
              <w:rPr>
                <w:spacing w:val="-21"/>
              </w:rPr>
              <w:t xml:space="preserve"> </w:t>
            </w:r>
            <w:r>
              <w:rPr>
                <w:spacing w:val="10"/>
              </w:rPr>
              <w:t>分，评标价得分保留两位小数，第三位四舍五入。</w:t>
            </w:r>
          </w:p>
        </w:tc>
      </w:tr>
      <w:tr w14:paraId="2BCF5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729" w:type="dxa"/>
            <w:vAlign w:val="top"/>
          </w:tcPr>
          <w:p w14:paraId="5DE579AA">
            <w:pPr>
              <w:spacing w:line="461" w:lineRule="auto"/>
              <w:rPr>
                <w:rFonts w:ascii="Arial"/>
                <w:sz w:val="21"/>
              </w:rPr>
            </w:pPr>
          </w:p>
          <w:p w14:paraId="5ECA5D9A">
            <w:pPr>
              <w:pStyle w:val="6"/>
              <w:spacing w:before="65" w:line="268" w:lineRule="exact"/>
              <w:ind w:left="109"/>
            </w:pPr>
            <w:r>
              <w:rPr>
                <w:spacing w:val="3"/>
                <w:position w:val="1"/>
              </w:rPr>
              <w:t>2.2.4</w:t>
            </w:r>
          </w:p>
        </w:tc>
        <w:tc>
          <w:tcPr>
            <w:tcW w:w="644" w:type="dxa"/>
            <w:vAlign w:val="top"/>
          </w:tcPr>
          <w:p w14:paraId="3CBE01B5">
            <w:pPr>
              <w:spacing w:line="328" w:lineRule="auto"/>
              <w:rPr>
                <w:rFonts w:ascii="Arial"/>
                <w:sz w:val="21"/>
              </w:rPr>
            </w:pPr>
          </w:p>
          <w:p w14:paraId="16F40DCD">
            <w:pPr>
              <w:pStyle w:val="6"/>
              <w:spacing w:before="65" w:line="252" w:lineRule="auto"/>
              <w:ind w:left="114" w:right="114" w:hanging="1"/>
            </w:pPr>
            <w:r>
              <w:rPr>
                <w:spacing w:val="5"/>
              </w:rPr>
              <w:t>评分</w:t>
            </w:r>
            <w:r>
              <w:rPr>
                <w:spacing w:val="4"/>
              </w:rPr>
              <w:t>标准</w:t>
            </w:r>
          </w:p>
        </w:tc>
        <w:tc>
          <w:tcPr>
            <w:tcW w:w="7039" w:type="dxa"/>
            <w:vAlign w:val="top"/>
          </w:tcPr>
          <w:p w14:paraId="71FB10A0">
            <w:pPr>
              <w:pStyle w:val="6"/>
              <w:spacing w:before="255" w:line="227" w:lineRule="auto"/>
              <w:ind w:left="452"/>
            </w:pPr>
            <w:r>
              <w:rPr>
                <w:spacing w:val="8"/>
              </w:rPr>
              <w:t>（1）承包人建议书标准：见本表后具体评分标准；</w:t>
            </w:r>
          </w:p>
          <w:p w14:paraId="47716255">
            <w:pPr>
              <w:pStyle w:val="6"/>
              <w:spacing w:before="39" w:line="227" w:lineRule="auto"/>
              <w:ind w:left="452"/>
            </w:pPr>
            <w:r>
              <w:rPr>
                <w:spacing w:val="8"/>
              </w:rPr>
              <w:t>（2）承包人实施方案标准：见本表后具体评分标准；</w:t>
            </w:r>
          </w:p>
          <w:p w14:paraId="6657340C">
            <w:pPr>
              <w:pStyle w:val="6"/>
              <w:spacing w:before="39" w:line="227" w:lineRule="auto"/>
              <w:ind w:left="452"/>
            </w:pPr>
            <w:r>
              <w:rPr>
                <w:spacing w:val="8"/>
              </w:rPr>
              <w:t>（3）其他因素标准：见本表后具体评分标准；</w:t>
            </w:r>
          </w:p>
        </w:tc>
      </w:tr>
      <w:tr w14:paraId="6FEFE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0" w:hRule="atLeast"/>
        </w:trPr>
        <w:tc>
          <w:tcPr>
            <w:tcW w:w="729" w:type="dxa"/>
            <w:vAlign w:val="top"/>
          </w:tcPr>
          <w:p w14:paraId="46438798">
            <w:pPr>
              <w:spacing w:line="256" w:lineRule="auto"/>
              <w:rPr>
                <w:rFonts w:ascii="Arial"/>
                <w:sz w:val="21"/>
              </w:rPr>
            </w:pPr>
          </w:p>
          <w:p w14:paraId="2355B55C">
            <w:pPr>
              <w:spacing w:line="256" w:lineRule="auto"/>
              <w:rPr>
                <w:rFonts w:ascii="Arial"/>
                <w:sz w:val="21"/>
              </w:rPr>
            </w:pPr>
          </w:p>
          <w:p w14:paraId="682D8C53">
            <w:pPr>
              <w:spacing w:line="256" w:lineRule="auto"/>
              <w:rPr>
                <w:rFonts w:ascii="Arial"/>
                <w:sz w:val="21"/>
              </w:rPr>
            </w:pPr>
          </w:p>
          <w:p w14:paraId="40F4769D">
            <w:pPr>
              <w:spacing w:line="256" w:lineRule="auto"/>
              <w:rPr>
                <w:rFonts w:ascii="Arial"/>
                <w:sz w:val="21"/>
              </w:rPr>
            </w:pPr>
          </w:p>
          <w:p w14:paraId="1D3F3D89">
            <w:pPr>
              <w:spacing w:line="256" w:lineRule="auto"/>
              <w:rPr>
                <w:rFonts w:ascii="Arial"/>
                <w:sz w:val="21"/>
              </w:rPr>
            </w:pPr>
          </w:p>
          <w:p w14:paraId="4CCF8FA8">
            <w:pPr>
              <w:spacing w:line="256" w:lineRule="auto"/>
              <w:rPr>
                <w:rFonts w:ascii="Arial"/>
                <w:sz w:val="21"/>
              </w:rPr>
            </w:pPr>
          </w:p>
          <w:p w14:paraId="1D17BC60">
            <w:pPr>
              <w:spacing w:line="256" w:lineRule="auto"/>
              <w:rPr>
                <w:rFonts w:ascii="Arial"/>
                <w:sz w:val="21"/>
              </w:rPr>
            </w:pPr>
          </w:p>
          <w:p w14:paraId="5FDE6A70">
            <w:pPr>
              <w:spacing w:line="256" w:lineRule="auto"/>
              <w:rPr>
                <w:rFonts w:ascii="Arial"/>
                <w:sz w:val="21"/>
              </w:rPr>
            </w:pPr>
          </w:p>
          <w:p w14:paraId="5C87AF9E">
            <w:pPr>
              <w:spacing w:line="256" w:lineRule="auto"/>
              <w:rPr>
                <w:rFonts w:ascii="Arial"/>
                <w:sz w:val="21"/>
              </w:rPr>
            </w:pPr>
          </w:p>
          <w:p w14:paraId="4DB9DB70">
            <w:pPr>
              <w:spacing w:line="256" w:lineRule="auto"/>
              <w:rPr>
                <w:rFonts w:ascii="Arial"/>
                <w:sz w:val="21"/>
              </w:rPr>
            </w:pPr>
          </w:p>
          <w:p w14:paraId="6AC4A14E">
            <w:pPr>
              <w:spacing w:line="256" w:lineRule="auto"/>
              <w:rPr>
                <w:rFonts w:ascii="Arial"/>
                <w:sz w:val="21"/>
              </w:rPr>
            </w:pPr>
          </w:p>
          <w:p w14:paraId="12F4F260">
            <w:pPr>
              <w:spacing w:line="256" w:lineRule="auto"/>
              <w:rPr>
                <w:rFonts w:ascii="Arial"/>
                <w:sz w:val="21"/>
              </w:rPr>
            </w:pPr>
          </w:p>
          <w:p w14:paraId="52E0480D">
            <w:pPr>
              <w:spacing w:line="257" w:lineRule="auto"/>
              <w:rPr>
                <w:rFonts w:ascii="Arial"/>
                <w:sz w:val="21"/>
              </w:rPr>
            </w:pPr>
          </w:p>
          <w:p w14:paraId="39458663">
            <w:pPr>
              <w:pStyle w:val="6"/>
              <w:spacing w:before="65" w:line="268" w:lineRule="exact"/>
              <w:ind w:left="322"/>
            </w:pPr>
            <w:r>
              <w:rPr>
                <w:position w:val="1"/>
              </w:rPr>
              <w:t>3</w:t>
            </w:r>
          </w:p>
        </w:tc>
        <w:tc>
          <w:tcPr>
            <w:tcW w:w="644" w:type="dxa"/>
            <w:vAlign w:val="top"/>
          </w:tcPr>
          <w:p w14:paraId="399FC809">
            <w:pPr>
              <w:spacing w:line="245" w:lineRule="auto"/>
              <w:rPr>
                <w:rFonts w:ascii="Arial"/>
                <w:sz w:val="21"/>
              </w:rPr>
            </w:pPr>
          </w:p>
          <w:p w14:paraId="482221AF">
            <w:pPr>
              <w:spacing w:line="245" w:lineRule="auto"/>
              <w:rPr>
                <w:rFonts w:ascii="Arial"/>
                <w:sz w:val="21"/>
              </w:rPr>
            </w:pPr>
          </w:p>
          <w:p w14:paraId="32B880F9">
            <w:pPr>
              <w:spacing w:line="245" w:lineRule="auto"/>
              <w:rPr>
                <w:rFonts w:ascii="Arial"/>
                <w:sz w:val="21"/>
              </w:rPr>
            </w:pPr>
          </w:p>
          <w:p w14:paraId="4EE3B316">
            <w:pPr>
              <w:spacing w:line="245" w:lineRule="auto"/>
              <w:rPr>
                <w:rFonts w:ascii="Arial"/>
                <w:sz w:val="21"/>
              </w:rPr>
            </w:pPr>
          </w:p>
          <w:p w14:paraId="2BEB784E">
            <w:pPr>
              <w:spacing w:line="245" w:lineRule="auto"/>
              <w:rPr>
                <w:rFonts w:ascii="Arial"/>
                <w:sz w:val="21"/>
              </w:rPr>
            </w:pPr>
          </w:p>
          <w:p w14:paraId="14E91FDB">
            <w:pPr>
              <w:spacing w:line="246" w:lineRule="auto"/>
              <w:rPr>
                <w:rFonts w:ascii="Arial"/>
                <w:sz w:val="21"/>
              </w:rPr>
            </w:pPr>
          </w:p>
          <w:p w14:paraId="36012E80">
            <w:pPr>
              <w:spacing w:line="246" w:lineRule="auto"/>
              <w:rPr>
                <w:rFonts w:ascii="Arial"/>
                <w:sz w:val="21"/>
              </w:rPr>
            </w:pPr>
          </w:p>
          <w:p w14:paraId="35F65A5D">
            <w:pPr>
              <w:spacing w:line="246" w:lineRule="auto"/>
              <w:rPr>
                <w:rFonts w:ascii="Arial"/>
                <w:sz w:val="21"/>
              </w:rPr>
            </w:pPr>
          </w:p>
          <w:p w14:paraId="30FBDF22">
            <w:pPr>
              <w:spacing w:line="246" w:lineRule="auto"/>
              <w:rPr>
                <w:rFonts w:ascii="Arial"/>
                <w:sz w:val="21"/>
              </w:rPr>
            </w:pPr>
          </w:p>
          <w:p w14:paraId="4F57AD62">
            <w:pPr>
              <w:spacing w:line="246" w:lineRule="auto"/>
              <w:rPr>
                <w:rFonts w:ascii="Arial"/>
                <w:sz w:val="21"/>
              </w:rPr>
            </w:pPr>
          </w:p>
          <w:p w14:paraId="1F04FA91">
            <w:pPr>
              <w:spacing w:line="246" w:lineRule="auto"/>
              <w:rPr>
                <w:rFonts w:ascii="Arial"/>
                <w:sz w:val="21"/>
              </w:rPr>
            </w:pPr>
          </w:p>
          <w:p w14:paraId="4B3EBB46">
            <w:pPr>
              <w:spacing w:line="246" w:lineRule="auto"/>
              <w:rPr>
                <w:rFonts w:ascii="Arial"/>
                <w:sz w:val="21"/>
              </w:rPr>
            </w:pPr>
          </w:p>
          <w:p w14:paraId="02CE8D5F">
            <w:pPr>
              <w:spacing w:line="246" w:lineRule="auto"/>
              <w:rPr>
                <w:rFonts w:ascii="Arial"/>
                <w:sz w:val="21"/>
              </w:rPr>
            </w:pPr>
          </w:p>
          <w:p w14:paraId="4D6F1038">
            <w:pPr>
              <w:pStyle w:val="6"/>
              <w:spacing w:before="65" w:line="252" w:lineRule="auto"/>
              <w:ind w:left="113" w:right="114"/>
            </w:pPr>
            <w:r>
              <w:rPr>
                <w:spacing w:val="5"/>
              </w:rPr>
              <w:t>评标程序</w:t>
            </w:r>
          </w:p>
        </w:tc>
        <w:tc>
          <w:tcPr>
            <w:tcW w:w="7039" w:type="dxa"/>
            <w:vAlign w:val="top"/>
          </w:tcPr>
          <w:p w14:paraId="3656F21C">
            <w:pPr>
              <w:pStyle w:val="6"/>
              <w:spacing w:before="148" w:line="227" w:lineRule="auto"/>
              <w:ind w:left="57"/>
            </w:pPr>
            <w:r>
              <w:rPr>
                <w:spacing w:val="6"/>
              </w:rPr>
              <w:t>本款修改为：</w:t>
            </w:r>
          </w:p>
          <w:p w14:paraId="6224414E">
            <w:pPr>
              <w:pStyle w:val="6"/>
              <w:spacing w:before="25" w:line="228" w:lineRule="auto"/>
              <w:ind w:left="60"/>
            </w:pPr>
            <w:r>
              <w:rPr>
                <w:b/>
                <w:bCs/>
                <w:spacing w:val="4"/>
              </w:rPr>
              <w:t>3.评标程序</w:t>
            </w:r>
          </w:p>
          <w:p w14:paraId="766E288E">
            <w:pPr>
              <w:pStyle w:val="6"/>
              <w:spacing w:before="78" w:line="228" w:lineRule="auto"/>
              <w:ind w:left="480"/>
            </w:pPr>
            <w:r>
              <w:rPr>
                <w:b/>
                <w:bCs/>
                <w:spacing w:val="5"/>
              </w:rPr>
              <w:t>3.1</w:t>
            </w:r>
            <w:r>
              <w:rPr>
                <w:spacing w:val="-33"/>
              </w:rPr>
              <w:t xml:space="preserve"> </w:t>
            </w:r>
            <w:r>
              <w:rPr>
                <w:b/>
                <w:bCs/>
                <w:spacing w:val="5"/>
              </w:rPr>
              <w:t>第一个信封初步评审</w:t>
            </w:r>
          </w:p>
          <w:p w14:paraId="6F09A1FD">
            <w:pPr>
              <w:pStyle w:val="6"/>
              <w:spacing w:before="79" w:line="302" w:lineRule="auto"/>
              <w:ind w:left="57" w:right="50" w:firstLine="423"/>
              <w:jc w:val="both"/>
            </w:pPr>
            <w:r>
              <w:rPr>
                <w:spacing w:val="10"/>
              </w:rPr>
              <w:t>3.1.1</w:t>
            </w:r>
            <w:r>
              <w:rPr>
                <w:spacing w:val="-36"/>
              </w:rPr>
              <w:t xml:space="preserve"> </w:t>
            </w:r>
            <w:r>
              <w:rPr>
                <w:spacing w:val="10"/>
              </w:rPr>
              <w:t>评标委员会可以要求投标人提交第</w:t>
            </w:r>
            <w:r>
              <w:rPr>
                <w:spacing w:val="9"/>
              </w:rPr>
              <w:t>二章“投标人须知</w:t>
            </w:r>
            <w:r>
              <w:rPr>
                <w:spacing w:val="-68"/>
              </w:rPr>
              <w:t xml:space="preserve"> </w:t>
            </w:r>
            <w:r>
              <w:rPr>
                <w:spacing w:val="9"/>
              </w:rPr>
              <w:t>”第</w:t>
            </w:r>
            <w:r>
              <w:rPr>
                <w:spacing w:val="-30"/>
              </w:rPr>
              <w:t xml:space="preserve"> </w:t>
            </w:r>
            <w:r>
              <w:rPr>
                <w:spacing w:val="9"/>
              </w:rPr>
              <w:t>3.5.1</w:t>
            </w:r>
            <w:r>
              <w:rPr>
                <w:spacing w:val="7"/>
              </w:rPr>
              <w:t>项至第</w:t>
            </w:r>
            <w:r>
              <w:rPr>
                <w:spacing w:val="-28"/>
              </w:rPr>
              <w:t xml:space="preserve"> </w:t>
            </w:r>
            <w:r>
              <w:rPr>
                <w:spacing w:val="7"/>
              </w:rPr>
              <w:t>3.5.6</w:t>
            </w:r>
            <w:r>
              <w:rPr>
                <w:spacing w:val="-34"/>
              </w:rPr>
              <w:t xml:space="preserve"> </w:t>
            </w:r>
            <w:r>
              <w:rPr>
                <w:spacing w:val="7"/>
              </w:rPr>
              <w:t>项规定的有关证明和证件的原件，</w:t>
            </w:r>
            <w:r>
              <w:rPr>
                <w:spacing w:val="-60"/>
              </w:rPr>
              <w:t xml:space="preserve"> </w:t>
            </w:r>
            <w:r>
              <w:rPr>
                <w:spacing w:val="7"/>
              </w:rPr>
              <w:t>以便核验。评标委员会依据</w:t>
            </w:r>
            <w:r>
              <w:rPr>
                <w:spacing w:val="9"/>
              </w:rPr>
              <w:t>本章第</w:t>
            </w:r>
            <w:r>
              <w:rPr>
                <w:spacing w:val="-36"/>
              </w:rPr>
              <w:t xml:space="preserve"> </w:t>
            </w:r>
            <w:r>
              <w:rPr>
                <w:spacing w:val="9"/>
              </w:rPr>
              <w:t>2.1</w:t>
            </w:r>
            <w:r>
              <w:rPr>
                <w:spacing w:val="-40"/>
              </w:rPr>
              <w:t xml:space="preserve"> </w:t>
            </w:r>
            <w:r>
              <w:rPr>
                <w:spacing w:val="9"/>
              </w:rPr>
              <w:t>款规定的标准对投标文件第一个信封（商务及技</w:t>
            </w:r>
            <w:r>
              <w:rPr>
                <w:spacing w:val="8"/>
              </w:rPr>
              <w:t>术文件）进行初</w:t>
            </w:r>
            <w:r>
              <w:rPr>
                <w:spacing w:val="9"/>
              </w:rPr>
              <w:t>步评审。有一项不符合评审标准的，评标委员会应否决其投标。</w:t>
            </w:r>
          </w:p>
          <w:p w14:paraId="59EEAE31">
            <w:pPr>
              <w:pStyle w:val="6"/>
              <w:spacing w:line="227" w:lineRule="auto"/>
              <w:ind w:left="480"/>
            </w:pPr>
            <w:r>
              <w:rPr>
                <w:b/>
                <w:bCs/>
                <w:spacing w:val="5"/>
              </w:rPr>
              <w:t>3.2</w:t>
            </w:r>
            <w:r>
              <w:rPr>
                <w:spacing w:val="-33"/>
              </w:rPr>
              <w:t xml:space="preserve"> </w:t>
            </w:r>
            <w:r>
              <w:rPr>
                <w:b/>
                <w:bCs/>
                <w:spacing w:val="5"/>
              </w:rPr>
              <w:t>第一个信封详细评审</w:t>
            </w:r>
          </w:p>
          <w:p w14:paraId="144EBFBA">
            <w:pPr>
              <w:pStyle w:val="6"/>
              <w:spacing w:before="80" w:line="301" w:lineRule="auto"/>
              <w:ind w:left="56" w:right="52" w:firstLine="424"/>
            </w:pPr>
            <w:r>
              <w:rPr>
                <w:spacing w:val="9"/>
              </w:rPr>
              <w:t>3.2.1</w:t>
            </w:r>
            <w:r>
              <w:rPr>
                <w:spacing w:val="-37"/>
              </w:rPr>
              <w:t xml:space="preserve"> </w:t>
            </w:r>
            <w:r>
              <w:rPr>
                <w:spacing w:val="9"/>
              </w:rPr>
              <w:t>评标委员会按本章第</w:t>
            </w:r>
            <w:r>
              <w:rPr>
                <w:spacing w:val="-32"/>
              </w:rPr>
              <w:t xml:space="preserve"> </w:t>
            </w:r>
            <w:r>
              <w:rPr>
                <w:spacing w:val="9"/>
              </w:rPr>
              <w:t>2.2</w:t>
            </w:r>
            <w:r>
              <w:rPr>
                <w:spacing w:val="-37"/>
              </w:rPr>
              <w:t xml:space="preserve"> </w:t>
            </w:r>
            <w:r>
              <w:rPr>
                <w:spacing w:val="9"/>
              </w:rPr>
              <w:t>款规定的量化因素和分值进行打分，并</w:t>
            </w:r>
            <w:r>
              <w:rPr>
                <w:spacing w:val="8"/>
              </w:rPr>
              <w:t>计算出各投标人的商务和技术得分。</w:t>
            </w:r>
          </w:p>
          <w:p w14:paraId="28B108BC">
            <w:pPr>
              <w:pStyle w:val="6"/>
              <w:spacing w:before="1" w:line="302" w:lineRule="auto"/>
              <w:ind w:left="58" w:right="52" w:firstLine="428"/>
            </w:pPr>
            <w:r>
              <w:rPr>
                <w:spacing w:val="8"/>
              </w:rPr>
              <w:t>（1）按本章第</w:t>
            </w:r>
            <w:r>
              <w:rPr>
                <w:spacing w:val="-34"/>
              </w:rPr>
              <w:t xml:space="preserve"> </w:t>
            </w:r>
            <w:r>
              <w:rPr>
                <w:spacing w:val="8"/>
              </w:rPr>
              <w:t>2.2.4（1）</w:t>
            </w:r>
            <w:r>
              <w:rPr>
                <w:spacing w:val="-37"/>
              </w:rPr>
              <w:t xml:space="preserve"> </w:t>
            </w:r>
            <w:r>
              <w:rPr>
                <w:spacing w:val="8"/>
              </w:rPr>
              <w:t>目规定的评审因素和分值对</w:t>
            </w:r>
            <w:r>
              <w:rPr>
                <w:spacing w:val="7"/>
              </w:rPr>
              <w:t>承包人建议书计</w:t>
            </w:r>
            <w:r>
              <w:rPr>
                <w:spacing w:val="5"/>
              </w:rPr>
              <w:t>算出得分</w:t>
            </w:r>
            <w:r>
              <w:rPr>
                <w:spacing w:val="-46"/>
              </w:rPr>
              <w:t xml:space="preserve"> </w:t>
            </w:r>
            <w:r>
              <w:rPr>
                <w:spacing w:val="5"/>
              </w:rPr>
              <w:t>A；</w:t>
            </w:r>
          </w:p>
          <w:p w14:paraId="5BA5EEF0">
            <w:pPr>
              <w:pStyle w:val="6"/>
              <w:spacing w:before="1" w:line="301" w:lineRule="auto"/>
              <w:ind w:left="58" w:right="52" w:firstLine="428"/>
            </w:pPr>
            <w:r>
              <w:rPr>
                <w:spacing w:val="8"/>
              </w:rPr>
              <w:t>（2）按本章第</w:t>
            </w:r>
            <w:r>
              <w:rPr>
                <w:spacing w:val="-34"/>
              </w:rPr>
              <w:t xml:space="preserve"> </w:t>
            </w:r>
            <w:r>
              <w:rPr>
                <w:spacing w:val="8"/>
              </w:rPr>
              <w:t>2.2.4（2）</w:t>
            </w:r>
            <w:r>
              <w:rPr>
                <w:spacing w:val="-37"/>
              </w:rPr>
              <w:t xml:space="preserve"> </w:t>
            </w:r>
            <w:r>
              <w:rPr>
                <w:spacing w:val="8"/>
              </w:rPr>
              <w:t>目规定的评审因素和分值对</w:t>
            </w:r>
            <w:r>
              <w:rPr>
                <w:spacing w:val="7"/>
              </w:rPr>
              <w:t>资信业绩部分计</w:t>
            </w:r>
            <w:r>
              <w:rPr>
                <w:spacing w:val="14"/>
              </w:rPr>
              <w:t>算出得分B；</w:t>
            </w:r>
          </w:p>
          <w:p w14:paraId="07A2251C">
            <w:pPr>
              <w:pStyle w:val="6"/>
              <w:spacing w:before="1" w:line="301" w:lineRule="auto"/>
              <w:ind w:left="56" w:right="52" w:firstLine="430"/>
            </w:pPr>
            <w:r>
              <w:rPr>
                <w:spacing w:val="8"/>
              </w:rPr>
              <w:t>（3）按本章第</w:t>
            </w:r>
            <w:r>
              <w:rPr>
                <w:spacing w:val="-34"/>
              </w:rPr>
              <w:t xml:space="preserve"> </w:t>
            </w:r>
            <w:r>
              <w:rPr>
                <w:spacing w:val="8"/>
              </w:rPr>
              <w:t>2.2.4（3）</w:t>
            </w:r>
            <w:r>
              <w:rPr>
                <w:spacing w:val="-37"/>
              </w:rPr>
              <w:t xml:space="preserve"> </w:t>
            </w:r>
            <w:r>
              <w:rPr>
                <w:spacing w:val="8"/>
              </w:rPr>
              <w:t>目规定的评审因素和分值对</w:t>
            </w:r>
            <w:r>
              <w:rPr>
                <w:spacing w:val="7"/>
              </w:rPr>
              <w:t>承包人实施方案</w:t>
            </w:r>
            <w:r>
              <w:rPr>
                <w:spacing w:val="13"/>
              </w:rPr>
              <w:t>计算出得分C；</w:t>
            </w:r>
          </w:p>
          <w:p w14:paraId="755BDD3E">
            <w:pPr>
              <w:pStyle w:val="6"/>
              <w:spacing w:line="302" w:lineRule="auto"/>
              <w:ind w:left="56" w:right="52" w:firstLine="424"/>
            </w:pPr>
            <w:r>
              <w:rPr>
                <w:spacing w:val="10"/>
              </w:rPr>
              <w:t>3.2.2</w:t>
            </w:r>
            <w:r>
              <w:rPr>
                <w:spacing w:val="-30"/>
              </w:rPr>
              <w:t xml:space="preserve"> </w:t>
            </w:r>
            <w:r>
              <w:rPr>
                <w:spacing w:val="10"/>
              </w:rPr>
              <w:t>投标人的商务和技术得分分值计算保留小数点后两位，小数点后</w:t>
            </w:r>
            <w:r>
              <w:rPr>
                <w:spacing w:val="2"/>
              </w:rPr>
              <w:t>第三位“</w:t>
            </w:r>
            <w:r>
              <w:rPr>
                <w:spacing w:val="-70"/>
              </w:rPr>
              <w:t xml:space="preserve"> </w:t>
            </w:r>
            <w:r>
              <w:rPr>
                <w:spacing w:val="2"/>
              </w:rPr>
              <w:t>四舍五入</w:t>
            </w:r>
            <w:r>
              <w:rPr>
                <w:spacing w:val="-70"/>
              </w:rPr>
              <w:t xml:space="preserve"> </w:t>
            </w:r>
            <w:r>
              <w:rPr>
                <w:spacing w:val="2"/>
              </w:rPr>
              <w:t>”。</w:t>
            </w:r>
          </w:p>
          <w:p w14:paraId="74F68C94">
            <w:pPr>
              <w:pStyle w:val="6"/>
              <w:spacing w:before="1" w:line="227" w:lineRule="auto"/>
              <w:ind w:left="480"/>
            </w:pPr>
            <w:r>
              <w:rPr>
                <w:spacing w:val="6"/>
              </w:rPr>
              <w:t>3.2.3</w:t>
            </w:r>
            <w:r>
              <w:rPr>
                <w:spacing w:val="-35"/>
              </w:rPr>
              <w:t xml:space="preserve"> </w:t>
            </w:r>
            <w:r>
              <w:rPr>
                <w:spacing w:val="6"/>
              </w:rPr>
              <w:t>投标人的商务和技术得分=A+B+C。</w:t>
            </w:r>
          </w:p>
          <w:p w14:paraId="6D968E27">
            <w:pPr>
              <w:pStyle w:val="6"/>
              <w:spacing w:before="79" w:line="303" w:lineRule="auto"/>
              <w:ind w:left="58" w:firstLine="420"/>
            </w:pPr>
            <w:r>
              <w:rPr>
                <w:spacing w:val="10"/>
              </w:rPr>
              <w:t>3.2.4</w:t>
            </w:r>
            <w:r>
              <w:rPr>
                <w:spacing w:val="-39"/>
              </w:rPr>
              <w:t xml:space="preserve"> </w:t>
            </w:r>
            <w:r>
              <w:rPr>
                <w:spacing w:val="10"/>
              </w:rPr>
              <w:t>评标委员会按照投标人的商务和技术得分由</w:t>
            </w:r>
            <w:r>
              <w:rPr>
                <w:spacing w:val="9"/>
              </w:rPr>
              <w:t>高到低排序，选择排</w:t>
            </w:r>
            <w:r>
              <w:rPr>
                <w:spacing w:val="4"/>
              </w:rPr>
              <w:t>名前</w:t>
            </w:r>
            <w:r>
              <w:rPr>
                <w:spacing w:val="-35"/>
              </w:rPr>
              <w:t xml:space="preserve"> </w:t>
            </w:r>
            <w:r>
              <w:rPr>
                <w:spacing w:val="4"/>
              </w:rPr>
              <w:t>5</w:t>
            </w:r>
            <w:r>
              <w:rPr>
                <w:spacing w:val="-21"/>
              </w:rPr>
              <w:t xml:space="preserve"> </w:t>
            </w:r>
            <w:r>
              <w:rPr>
                <w:spacing w:val="4"/>
              </w:rPr>
              <w:t>的投标人，其投标文件第一个信封（商务及技术文件）通</w:t>
            </w:r>
            <w:r>
              <w:rPr>
                <w:spacing w:val="3"/>
              </w:rPr>
              <w:t>过详细评审。</w:t>
            </w:r>
          </w:p>
        </w:tc>
      </w:tr>
    </w:tbl>
    <w:p w14:paraId="5A0DD88A">
      <w:pPr>
        <w:rPr>
          <w:rFonts w:ascii="Arial"/>
          <w:sz w:val="21"/>
        </w:rPr>
      </w:pPr>
    </w:p>
    <w:p w14:paraId="72A93983">
      <w:pPr>
        <w:rPr>
          <w:rFonts w:ascii="Arial" w:hAnsi="Arial" w:eastAsia="Arial" w:cs="Arial"/>
          <w:sz w:val="21"/>
          <w:szCs w:val="21"/>
        </w:rPr>
        <w:sectPr>
          <w:footerReference r:id="rId19" w:type="default"/>
          <w:pgSz w:w="11906" w:h="16839"/>
          <w:pgMar w:top="400" w:right="1744" w:bottom="1378" w:left="1744" w:header="0" w:footer="1212" w:gutter="0"/>
          <w:cols w:space="720" w:num="1"/>
        </w:sectPr>
      </w:pPr>
    </w:p>
    <w:p w14:paraId="3958B5ED">
      <w:pPr>
        <w:spacing w:before="19"/>
      </w:pPr>
    </w:p>
    <w:p w14:paraId="6E69F806">
      <w:pPr>
        <w:spacing w:before="19"/>
      </w:pPr>
    </w:p>
    <w:p w14:paraId="46A99101">
      <w:pPr>
        <w:spacing w:before="18"/>
      </w:pPr>
    </w:p>
    <w:p w14:paraId="65A4E30A">
      <w:pPr>
        <w:spacing w:before="18"/>
      </w:pPr>
    </w:p>
    <w:tbl>
      <w:tblPr>
        <w:tblStyle w:val="5"/>
        <w:tblW w:w="8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644"/>
        <w:gridCol w:w="7039"/>
      </w:tblGrid>
      <w:tr w14:paraId="1C977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29" w:type="dxa"/>
            <w:vAlign w:val="top"/>
          </w:tcPr>
          <w:p w14:paraId="44296147">
            <w:pPr>
              <w:spacing w:line="246" w:lineRule="auto"/>
              <w:rPr>
                <w:rFonts w:ascii="Arial"/>
                <w:sz w:val="21"/>
              </w:rPr>
            </w:pPr>
          </w:p>
          <w:p w14:paraId="5513F203">
            <w:pPr>
              <w:pStyle w:val="6"/>
              <w:spacing w:before="65" w:line="228" w:lineRule="auto"/>
              <w:ind w:left="55"/>
            </w:pPr>
            <w:r>
              <w:rPr>
                <w:b/>
                <w:bCs/>
                <w:spacing w:val="5"/>
              </w:rPr>
              <w:t>条款号</w:t>
            </w:r>
          </w:p>
        </w:tc>
        <w:tc>
          <w:tcPr>
            <w:tcW w:w="644" w:type="dxa"/>
            <w:vAlign w:val="top"/>
          </w:tcPr>
          <w:p w14:paraId="3DBB2684">
            <w:pPr>
              <w:pStyle w:val="6"/>
              <w:spacing w:before="176" w:line="253" w:lineRule="auto"/>
              <w:ind w:left="116" w:right="112"/>
            </w:pPr>
            <w:r>
              <w:rPr>
                <w:b/>
                <w:bCs/>
                <w:spacing w:val="3"/>
              </w:rPr>
              <w:t>条款</w:t>
            </w:r>
            <w:r>
              <w:rPr>
                <w:b/>
                <w:bCs/>
                <w:spacing w:val="2"/>
              </w:rPr>
              <w:t>名称</w:t>
            </w:r>
          </w:p>
        </w:tc>
        <w:tc>
          <w:tcPr>
            <w:tcW w:w="7039" w:type="dxa"/>
            <w:vAlign w:val="top"/>
          </w:tcPr>
          <w:p w14:paraId="0D01ED38">
            <w:pPr>
              <w:spacing w:line="246" w:lineRule="auto"/>
              <w:rPr>
                <w:rFonts w:ascii="Arial"/>
                <w:sz w:val="21"/>
              </w:rPr>
            </w:pPr>
          </w:p>
          <w:p w14:paraId="58988C61">
            <w:pPr>
              <w:pStyle w:val="6"/>
              <w:spacing w:before="65" w:line="228" w:lineRule="auto"/>
              <w:ind w:left="2573"/>
            </w:pPr>
            <w:r>
              <w:rPr>
                <w:b/>
                <w:bCs/>
                <w:spacing w:val="7"/>
              </w:rPr>
              <w:t>评审因素与评审标准</w:t>
            </w:r>
          </w:p>
        </w:tc>
      </w:tr>
      <w:tr w14:paraId="70941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5" w:hRule="atLeast"/>
        </w:trPr>
        <w:tc>
          <w:tcPr>
            <w:tcW w:w="729" w:type="dxa"/>
            <w:vAlign w:val="top"/>
          </w:tcPr>
          <w:p w14:paraId="20FE35C7">
            <w:pPr>
              <w:rPr>
                <w:rFonts w:ascii="Arial"/>
                <w:sz w:val="21"/>
              </w:rPr>
            </w:pPr>
          </w:p>
        </w:tc>
        <w:tc>
          <w:tcPr>
            <w:tcW w:w="644" w:type="dxa"/>
            <w:vAlign w:val="top"/>
          </w:tcPr>
          <w:p w14:paraId="1A55F07D">
            <w:pPr>
              <w:rPr>
                <w:rFonts w:ascii="Arial"/>
                <w:sz w:val="21"/>
              </w:rPr>
            </w:pPr>
          </w:p>
        </w:tc>
        <w:tc>
          <w:tcPr>
            <w:tcW w:w="7039" w:type="dxa"/>
            <w:vAlign w:val="top"/>
          </w:tcPr>
          <w:p w14:paraId="629E5CC9">
            <w:pPr>
              <w:pStyle w:val="6"/>
              <w:spacing w:before="146" w:line="301" w:lineRule="auto"/>
              <w:ind w:left="55" w:right="52" w:firstLine="425"/>
              <w:jc w:val="both"/>
            </w:pPr>
            <w:r>
              <w:rPr>
                <w:spacing w:val="10"/>
              </w:rPr>
              <w:t>3.2.5</w:t>
            </w:r>
            <w:r>
              <w:rPr>
                <w:spacing w:val="-30"/>
              </w:rPr>
              <w:t xml:space="preserve"> </w:t>
            </w:r>
            <w:r>
              <w:rPr>
                <w:spacing w:val="10"/>
              </w:rPr>
              <w:t>通过投标文件第一个信封（商务及技术文件）初步评审的投标人</w:t>
            </w:r>
            <w:r>
              <w:rPr>
                <w:spacing w:val="8"/>
              </w:rPr>
              <w:t>为</w:t>
            </w:r>
            <w:r>
              <w:rPr>
                <w:spacing w:val="-28"/>
              </w:rPr>
              <w:t xml:space="preserve"> </w:t>
            </w:r>
            <w:r>
              <w:rPr>
                <w:spacing w:val="8"/>
              </w:rPr>
              <w:t>5</w:t>
            </w:r>
            <w:r>
              <w:rPr>
                <w:spacing w:val="-38"/>
              </w:rPr>
              <w:t xml:space="preserve"> </w:t>
            </w:r>
            <w:r>
              <w:rPr>
                <w:spacing w:val="8"/>
              </w:rPr>
              <w:t>个或少于</w:t>
            </w:r>
            <w:r>
              <w:rPr>
                <w:spacing w:val="-35"/>
              </w:rPr>
              <w:t xml:space="preserve"> </w:t>
            </w:r>
            <w:r>
              <w:rPr>
                <w:spacing w:val="8"/>
              </w:rPr>
              <w:t>5</w:t>
            </w:r>
            <w:r>
              <w:rPr>
                <w:spacing w:val="-38"/>
              </w:rPr>
              <w:t xml:space="preserve"> </w:t>
            </w:r>
            <w:r>
              <w:rPr>
                <w:spacing w:val="8"/>
              </w:rPr>
              <w:t>个时，均通过投标文件第一个信封（商务及技术文件）详细</w:t>
            </w:r>
            <w:r>
              <w:rPr>
                <w:spacing w:val="9"/>
              </w:rPr>
              <w:t>评审，不再对投标人的商务和技术文件进行评分。</w:t>
            </w:r>
          </w:p>
          <w:p w14:paraId="61A290D1">
            <w:pPr>
              <w:pStyle w:val="6"/>
              <w:spacing w:line="227" w:lineRule="auto"/>
              <w:ind w:left="480"/>
            </w:pPr>
            <w:r>
              <w:rPr>
                <w:b/>
                <w:bCs/>
                <w:spacing w:val="5"/>
              </w:rPr>
              <w:t>3.3</w:t>
            </w:r>
            <w:r>
              <w:rPr>
                <w:spacing w:val="-41"/>
              </w:rPr>
              <w:t xml:space="preserve"> </w:t>
            </w:r>
            <w:r>
              <w:rPr>
                <w:b/>
                <w:bCs/>
                <w:spacing w:val="5"/>
              </w:rPr>
              <w:t>第二个信封开标</w:t>
            </w:r>
          </w:p>
          <w:p w14:paraId="3D21B828">
            <w:pPr>
              <w:pStyle w:val="6"/>
              <w:spacing w:before="83" w:line="301" w:lineRule="auto"/>
              <w:ind w:left="57" w:right="52" w:firstLine="419"/>
              <w:jc w:val="both"/>
            </w:pPr>
            <w:r>
              <w:rPr>
                <w:spacing w:val="10"/>
              </w:rPr>
              <w:t>第一个信封（商务及技术文件）评审结束后，招标人将按</w:t>
            </w:r>
            <w:r>
              <w:rPr>
                <w:spacing w:val="9"/>
              </w:rPr>
              <w:t>照第二章“投</w:t>
            </w:r>
            <w:r>
              <w:rPr>
                <w:spacing w:val="8"/>
              </w:rPr>
              <w:t>标人须知</w:t>
            </w:r>
            <w:r>
              <w:rPr>
                <w:spacing w:val="-73"/>
              </w:rPr>
              <w:t xml:space="preserve"> </w:t>
            </w:r>
            <w:r>
              <w:rPr>
                <w:spacing w:val="8"/>
              </w:rPr>
              <w:t>”第</w:t>
            </w:r>
            <w:r>
              <w:rPr>
                <w:spacing w:val="-32"/>
              </w:rPr>
              <w:t xml:space="preserve"> </w:t>
            </w:r>
            <w:r>
              <w:rPr>
                <w:spacing w:val="8"/>
              </w:rPr>
              <w:t>5.1</w:t>
            </w:r>
            <w:r>
              <w:rPr>
                <w:spacing w:val="-40"/>
              </w:rPr>
              <w:t xml:space="preserve"> </w:t>
            </w:r>
            <w:r>
              <w:rPr>
                <w:spacing w:val="8"/>
              </w:rPr>
              <w:t>款规定的时间和地点对通过投标文件第一个信封</w:t>
            </w:r>
            <w:r>
              <w:rPr>
                <w:spacing w:val="7"/>
              </w:rPr>
              <w:t>（商务及</w:t>
            </w:r>
            <w:r>
              <w:rPr>
                <w:spacing w:val="9"/>
              </w:rPr>
              <w:t>技术文件）评审的综合得分前</w:t>
            </w:r>
            <w:r>
              <w:rPr>
                <w:spacing w:val="-35"/>
              </w:rPr>
              <w:t xml:space="preserve"> </w:t>
            </w:r>
            <w:r>
              <w:rPr>
                <w:spacing w:val="9"/>
              </w:rPr>
              <w:t>5</w:t>
            </w:r>
            <w:r>
              <w:rPr>
                <w:spacing w:val="-36"/>
              </w:rPr>
              <w:t xml:space="preserve"> </w:t>
            </w:r>
            <w:r>
              <w:rPr>
                <w:spacing w:val="9"/>
              </w:rPr>
              <w:t>名的投标文件第二个信封（报价文件</w:t>
            </w:r>
            <w:r>
              <w:rPr>
                <w:spacing w:val="8"/>
              </w:rPr>
              <w:t>）进行</w:t>
            </w:r>
            <w:r>
              <w:rPr>
                <w:spacing w:val="2"/>
              </w:rPr>
              <w:t>开标。</w:t>
            </w:r>
          </w:p>
          <w:p w14:paraId="0DDB2BCF">
            <w:pPr>
              <w:pStyle w:val="6"/>
              <w:spacing w:line="227" w:lineRule="auto"/>
              <w:ind w:left="480"/>
            </w:pPr>
            <w:r>
              <w:rPr>
                <w:b/>
                <w:bCs/>
                <w:spacing w:val="5"/>
              </w:rPr>
              <w:t>3.4</w:t>
            </w:r>
            <w:r>
              <w:rPr>
                <w:spacing w:val="-33"/>
              </w:rPr>
              <w:t xml:space="preserve"> </w:t>
            </w:r>
            <w:r>
              <w:rPr>
                <w:b/>
                <w:bCs/>
                <w:spacing w:val="5"/>
              </w:rPr>
              <w:t>第二个信封初步评审</w:t>
            </w:r>
          </w:p>
          <w:p w14:paraId="19C027DB">
            <w:pPr>
              <w:pStyle w:val="6"/>
              <w:spacing w:before="79" w:line="302" w:lineRule="auto"/>
              <w:ind w:left="55" w:firstLine="424"/>
            </w:pPr>
            <w:r>
              <w:rPr>
                <w:spacing w:val="7"/>
              </w:rPr>
              <w:t>3.4.1</w:t>
            </w:r>
            <w:r>
              <w:rPr>
                <w:spacing w:val="-28"/>
              </w:rPr>
              <w:t xml:space="preserve"> </w:t>
            </w:r>
            <w:r>
              <w:rPr>
                <w:spacing w:val="7"/>
              </w:rPr>
              <w:t>评标委员会依据本章第</w:t>
            </w:r>
            <w:r>
              <w:rPr>
                <w:spacing w:val="-35"/>
              </w:rPr>
              <w:t xml:space="preserve"> </w:t>
            </w:r>
            <w:r>
              <w:rPr>
                <w:spacing w:val="7"/>
              </w:rPr>
              <w:t>2.1.1</w:t>
            </w:r>
            <w:r>
              <w:rPr>
                <w:spacing w:val="-32"/>
              </w:rPr>
              <w:t xml:space="preserve"> </w:t>
            </w:r>
            <w:r>
              <w:rPr>
                <w:spacing w:val="7"/>
              </w:rPr>
              <w:t>项、第</w:t>
            </w:r>
            <w:r>
              <w:rPr>
                <w:spacing w:val="-34"/>
              </w:rPr>
              <w:t xml:space="preserve"> </w:t>
            </w:r>
            <w:r>
              <w:rPr>
                <w:spacing w:val="7"/>
              </w:rPr>
              <w:t>2.1.3</w:t>
            </w:r>
            <w:r>
              <w:rPr>
                <w:spacing w:val="-32"/>
              </w:rPr>
              <w:t xml:space="preserve"> </w:t>
            </w:r>
            <w:r>
              <w:rPr>
                <w:spacing w:val="7"/>
              </w:rPr>
              <w:t>项规定的评审标准对</w:t>
            </w:r>
            <w:r>
              <w:rPr>
                <w:spacing w:val="5"/>
              </w:rPr>
              <w:t>投标文件第二个信封（报价文件）进行初步评审。有一项不符合评审标准的，</w:t>
            </w:r>
            <w:r>
              <w:rPr>
                <w:spacing w:val="8"/>
              </w:rPr>
              <w:t>评标委员会应否决其投标。</w:t>
            </w:r>
          </w:p>
          <w:p w14:paraId="54B141F7">
            <w:pPr>
              <w:pStyle w:val="6"/>
              <w:spacing w:before="4" w:line="301" w:lineRule="auto"/>
              <w:ind w:left="56" w:right="52" w:firstLine="424"/>
            </w:pPr>
            <w:r>
              <w:rPr>
                <w:spacing w:val="10"/>
              </w:rPr>
              <w:t>3.4.2</w:t>
            </w:r>
            <w:r>
              <w:rPr>
                <w:spacing w:val="-30"/>
              </w:rPr>
              <w:t xml:space="preserve"> </w:t>
            </w:r>
            <w:r>
              <w:rPr>
                <w:spacing w:val="10"/>
              </w:rPr>
              <w:t>投标报价有算术错误的，评标委员会按以下原则对投标报价进行修正，修正的价格经投标人书面确认后具有约束力。投标人不</w:t>
            </w:r>
            <w:r>
              <w:rPr>
                <w:spacing w:val="9"/>
              </w:rPr>
              <w:t>接受修正价格</w:t>
            </w:r>
            <w:r>
              <w:rPr>
                <w:spacing w:val="8"/>
              </w:rPr>
              <w:t>的，评标委员会应否决其投标。</w:t>
            </w:r>
          </w:p>
          <w:p w14:paraId="4C48E8E4">
            <w:pPr>
              <w:pStyle w:val="6"/>
              <w:spacing w:line="227" w:lineRule="auto"/>
              <w:ind w:left="486"/>
            </w:pPr>
            <w:r>
              <w:rPr>
                <w:spacing w:val="9"/>
              </w:rPr>
              <w:t>（1）投标文件中的大写金额与小写金额不一致的，以</w:t>
            </w:r>
            <w:r>
              <w:rPr>
                <w:spacing w:val="8"/>
              </w:rPr>
              <w:t>大写金额为准。</w:t>
            </w:r>
          </w:p>
          <w:p w14:paraId="46D488AE">
            <w:pPr>
              <w:pStyle w:val="6"/>
              <w:spacing w:before="81" w:line="301" w:lineRule="auto"/>
              <w:ind w:left="61" w:right="52" w:firstLine="424"/>
            </w:pPr>
            <w:r>
              <w:rPr>
                <w:spacing w:val="6"/>
              </w:rPr>
              <w:t>（2）总价金额与依据单价计算出的结果不一致的，以单价金额为准修正</w:t>
            </w:r>
            <w:r>
              <w:rPr>
                <w:spacing w:val="8"/>
              </w:rPr>
              <w:t>总价，但单价金额小数点有明显错误的除外。</w:t>
            </w:r>
          </w:p>
          <w:p w14:paraId="76BFBCAB">
            <w:pPr>
              <w:pStyle w:val="6"/>
              <w:spacing w:before="1" w:line="301" w:lineRule="auto"/>
              <w:ind w:left="61" w:right="52" w:firstLine="425"/>
            </w:pPr>
            <w:r>
              <w:rPr>
                <w:spacing w:val="6"/>
              </w:rPr>
              <w:t>（3）当单价与数量相乘不等于合价时，以单价计算为准，如果单价有明</w:t>
            </w:r>
            <w:r>
              <w:rPr>
                <w:spacing w:val="9"/>
              </w:rPr>
              <w:t>显的小数点位置差错，应以标出的合价为准，同时对单价予以修正；</w:t>
            </w:r>
          </w:p>
          <w:p w14:paraId="7C65D57D">
            <w:pPr>
              <w:pStyle w:val="6"/>
              <w:spacing w:line="301" w:lineRule="auto"/>
              <w:ind w:left="56" w:right="2" w:firstLine="430"/>
            </w:pPr>
            <w:r>
              <w:rPr>
                <w:spacing w:val="8"/>
              </w:rPr>
              <w:t>（4）当各子目的合价累计不等于总价时，应</w:t>
            </w:r>
            <w:r>
              <w:rPr>
                <w:spacing w:val="7"/>
              </w:rPr>
              <w:t>以各子目合价累计数为准，</w:t>
            </w:r>
            <w:r>
              <w:rPr>
                <w:spacing w:val="5"/>
              </w:rPr>
              <w:t>修正总价。</w:t>
            </w:r>
          </w:p>
          <w:p w14:paraId="19B1D70B">
            <w:pPr>
              <w:pStyle w:val="6"/>
              <w:spacing w:before="1" w:line="302" w:lineRule="auto"/>
              <w:ind w:left="58" w:right="52" w:firstLine="419"/>
            </w:pPr>
            <w:r>
              <w:rPr>
                <w:rFonts w:ascii="Calibri" w:hAnsi="Calibri" w:eastAsia="Calibri" w:cs="Calibri"/>
                <w:spacing w:val="7"/>
              </w:rPr>
              <w:t>3.4.3</w:t>
            </w:r>
            <w:r>
              <w:rPr>
                <w:rFonts w:ascii="Calibri" w:hAnsi="Calibri" w:eastAsia="Calibri" w:cs="Calibri"/>
                <w:spacing w:val="18"/>
                <w:w w:val="102"/>
              </w:rPr>
              <w:t xml:space="preserve"> </w:t>
            </w:r>
            <w:r>
              <w:rPr>
                <w:spacing w:val="7"/>
              </w:rPr>
              <w:t>修正后的最终投标报价若超过最高投标限价，评标委员</w:t>
            </w:r>
            <w:r>
              <w:rPr>
                <w:spacing w:val="6"/>
              </w:rPr>
              <w:t>会应否决其</w:t>
            </w:r>
            <w:r>
              <w:rPr>
                <w:spacing w:val="2"/>
              </w:rPr>
              <w:t>投标。</w:t>
            </w:r>
          </w:p>
          <w:p w14:paraId="3FCC7633">
            <w:pPr>
              <w:pStyle w:val="6"/>
              <w:spacing w:before="1" w:line="301" w:lineRule="auto"/>
              <w:ind w:left="57" w:right="52" w:firstLine="421"/>
            </w:pPr>
            <w:r>
              <w:rPr>
                <w:rFonts w:ascii="Calibri" w:hAnsi="Calibri" w:eastAsia="Calibri" w:cs="Calibri"/>
                <w:spacing w:val="7"/>
              </w:rPr>
              <w:t>3.4.4</w:t>
            </w:r>
            <w:r>
              <w:rPr>
                <w:rFonts w:ascii="Calibri" w:hAnsi="Calibri" w:eastAsia="Calibri" w:cs="Calibri"/>
                <w:spacing w:val="18"/>
              </w:rPr>
              <w:t xml:space="preserve"> </w:t>
            </w:r>
            <w:r>
              <w:rPr>
                <w:spacing w:val="7"/>
              </w:rPr>
              <w:t>修正后的最终投标报价仅作为签订合同的一个依据，不参</w:t>
            </w:r>
            <w:r>
              <w:rPr>
                <w:spacing w:val="6"/>
              </w:rPr>
              <w:t>与评标价得分的计算。</w:t>
            </w:r>
          </w:p>
          <w:p w14:paraId="6076CE86">
            <w:pPr>
              <w:pStyle w:val="6"/>
              <w:spacing w:line="227" w:lineRule="auto"/>
              <w:ind w:left="480"/>
            </w:pPr>
            <w:r>
              <w:rPr>
                <w:b/>
                <w:bCs/>
                <w:spacing w:val="5"/>
              </w:rPr>
              <w:t>3.5</w:t>
            </w:r>
            <w:r>
              <w:rPr>
                <w:spacing w:val="-33"/>
              </w:rPr>
              <w:t xml:space="preserve"> </w:t>
            </w:r>
            <w:r>
              <w:rPr>
                <w:b/>
                <w:bCs/>
                <w:spacing w:val="5"/>
              </w:rPr>
              <w:t>第二个信封详细评审</w:t>
            </w:r>
          </w:p>
          <w:p w14:paraId="2308C128">
            <w:pPr>
              <w:pStyle w:val="6"/>
              <w:spacing w:before="80" w:line="228" w:lineRule="auto"/>
              <w:ind w:left="480"/>
            </w:pPr>
            <w:r>
              <w:rPr>
                <w:spacing w:val="14"/>
              </w:rPr>
              <w:t>3.5.1</w:t>
            </w:r>
            <w:r>
              <w:rPr>
                <w:spacing w:val="-39"/>
              </w:rPr>
              <w:t xml:space="preserve"> </w:t>
            </w:r>
            <w:r>
              <w:rPr>
                <w:spacing w:val="14"/>
                <w:sz w:val="19"/>
                <w:szCs w:val="19"/>
              </w:rPr>
              <w:t>评标委员会按本章第</w:t>
            </w:r>
            <w:r>
              <w:rPr>
                <w:spacing w:val="-12"/>
                <w:sz w:val="19"/>
                <w:szCs w:val="19"/>
              </w:rPr>
              <w:t xml:space="preserve"> </w:t>
            </w:r>
            <w:r>
              <w:rPr>
                <w:rFonts w:ascii="Calibri" w:hAnsi="Calibri" w:eastAsia="Calibri" w:cs="Calibri"/>
                <w:spacing w:val="14"/>
                <w:sz w:val="19"/>
                <w:szCs w:val="19"/>
              </w:rPr>
              <w:t>2.2</w:t>
            </w:r>
            <w:r>
              <w:rPr>
                <w:rFonts w:ascii="Calibri" w:hAnsi="Calibri" w:eastAsia="Calibri" w:cs="Calibri"/>
                <w:spacing w:val="-16"/>
                <w:sz w:val="19"/>
                <w:szCs w:val="19"/>
              </w:rPr>
              <w:t xml:space="preserve"> </w:t>
            </w:r>
            <w:r>
              <w:rPr>
                <w:rFonts w:ascii="Calibri" w:hAnsi="Calibri" w:eastAsia="Calibri" w:cs="Calibri"/>
                <w:spacing w:val="14"/>
                <w:sz w:val="19"/>
                <w:szCs w:val="19"/>
              </w:rPr>
              <w:t>.3</w:t>
            </w:r>
            <w:r>
              <w:rPr>
                <w:spacing w:val="14"/>
                <w:sz w:val="19"/>
                <w:szCs w:val="19"/>
              </w:rPr>
              <w:t>款规定计算出评标价得分</w:t>
            </w:r>
            <w:r>
              <w:rPr>
                <w:spacing w:val="14"/>
              </w:rPr>
              <w:t>。</w:t>
            </w:r>
          </w:p>
          <w:p w14:paraId="57BA4AA0">
            <w:pPr>
              <w:pStyle w:val="6"/>
              <w:spacing w:before="82" w:line="227" w:lineRule="auto"/>
              <w:ind w:left="480"/>
            </w:pPr>
            <w:r>
              <w:rPr>
                <w:spacing w:val="4"/>
              </w:rPr>
              <w:t>3.5.2</w:t>
            </w:r>
            <w:r>
              <w:rPr>
                <w:spacing w:val="-33"/>
              </w:rPr>
              <w:t xml:space="preserve"> </w:t>
            </w:r>
            <w:r>
              <w:rPr>
                <w:spacing w:val="4"/>
              </w:rPr>
              <w:t>本款修改为：</w:t>
            </w:r>
          </w:p>
          <w:p w14:paraId="46C2E5C6">
            <w:pPr>
              <w:pStyle w:val="6"/>
              <w:spacing w:before="82" w:line="301" w:lineRule="auto"/>
              <w:ind w:left="57" w:right="52" w:firstLine="418"/>
              <w:jc w:val="both"/>
            </w:pPr>
            <w:r>
              <w:rPr>
                <w:spacing w:val="11"/>
              </w:rPr>
              <w:t>评标委员会发现投标人的投标报价低于最高投标</w:t>
            </w:r>
            <w:r>
              <w:rPr>
                <w:spacing w:val="10"/>
              </w:rPr>
              <w:t>限价的60</w:t>
            </w:r>
            <w:r>
              <w:rPr>
                <w:spacing w:val="-36"/>
              </w:rPr>
              <w:t xml:space="preserve"> </w:t>
            </w:r>
            <w:r>
              <w:rPr>
                <w:spacing w:val="10"/>
              </w:rPr>
              <w:t>%时，应当要求该投标人在规定时间内作出书面说明并提供相应的证明材</w:t>
            </w:r>
            <w:r>
              <w:rPr>
                <w:spacing w:val="9"/>
              </w:rPr>
              <w:t>料。投标人不能</w:t>
            </w:r>
            <w:r>
              <w:rPr>
                <w:spacing w:val="10"/>
              </w:rPr>
              <w:t>合理说明或者不能提供相应证明材料的，评标委员会应当认</w:t>
            </w:r>
            <w:r>
              <w:rPr>
                <w:spacing w:val="9"/>
              </w:rPr>
              <w:t>定该投标人以低于成本或者影响履约的异常低价竞标，并否决其投标。</w:t>
            </w:r>
          </w:p>
          <w:p w14:paraId="321FC241">
            <w:pPr>
              <w:pStyle w:val="6"/>
              <w:spacing w:line="227" w:lineRule="auto"/>
              <w:ind w:left="480"/>
            </w:pPr>
            <w:r>
              <w:rPr>
                <w:b/>
                <w:bCs/>
                <w:spacing w:val="5"/>
              </w:rPr>
              <w:t>3.6</w:t>
            </w:r>
            <w:r>
              <w:rPr>
                <w:spacing w:val="-28"/>
              </w:rPr>
              <w:t xml:space="preserve"> </w:t>
            </w:r>
            <w:r>
              <w:rPr>
                <w:b/>
                <w:bCs/>
                <w:spacing w:val="5"/>
              </w:rPr>
              <w:t>投标文件相关信息的核查</w:t>
            </w:r>
          </w:p>
          <w:p w14:paraId="2D439F04">
            <w:pPr>
              <w:pStyle w:val="6"/>
              <w:spacing w:before="83" w:line="227" w:lineRule="auto"/>
              <w:ind w:left="480"/>
            </w:pPr>
            <w:r>
              <w:rPr>
                <w:spacing w:val="7"/>
              </w:rPr>
              <w:t>3.6.1</w:t>
            </w:r>
            <w:r>
              <w:rPr>
                <w:b/>
                <w:bCs/>
                <w:spacing w:val="7"/>
              </w:rPr>
              <w:t>在评标过程中，评标委员会应对投标人以下信息进行查询：</w:t>
            </w:r>
          </w:p>
          <w:p w14:paraId="7F995F3A">
            <w:pPr>
              <w:pStyle w:val="6"/>
              <w:spacing w:before="81" w:line="301" w:lineRule="auto"/>
              <w:ind w:left="65" w:right="52" w:firstLine="421"/>
            </w:pPr>
            <w:r>
              <w:rPr>
                <w:spacing w:val="34"/>
              </w:rPr>
              <w:t>（</w:t>
            </w:r>
            <w:r>
              <w:rPr>
                <w:spacing w:val="-37"/>
              </w:rPr>
              <w:t xml:space="preserve"> </w:t>
            </w:r>
            <w:r>
              <w:rPr>
                <w:spacing w:val="34"/>
              </w:rPr>
              <w:t>1</w:t>
            </w:r>
            <w:r>
              <w:rPr>
                <w:spacing w:val="-32"/>
              </w:rPr>
              <w:t xml:space="preserve"> </w:t>
            </w:r>
            <w:r>
              <w:rPr>
                <w:spacing w:val="34"/>
              </w:rPr>
              <w:t>）</w:t>
            </w:r>
            <w:r>
              <w:rPr>
                <w:spacing w:val="-46"/>
              </w:rPr>
              <w:t xml:space="preserve"> </w:t>
            </w:r>
            <w:r>
              <w:rPr>
                <w:spacing w:val="34"/>
              </w:rPr>
              <w:t>投标人名称和资质与</w:t>
            </w:r>
            <w:r>
              <w:rPr>
                <w:spacing w:val="-53"/>
              </w:rPr>
              <w:t xml:space="preserve"> </w:t>
            </w:r>
            <w:r>
              <w:rPr>
                <w:spacing w:val="34"/>
              </w:rPr>
              <w:t>“</w:t>
            </w:r>
            <w:r>
              <w:rPr>
                <w:spacing w:val="-56"/>
              </w:rPr>
              <w:t xml:space="preserve"> </w:t>
            </w:r>
            <w:r>
              <w:rPr>
                <w:spacing w:val="34"/>
              </w:rPr>
              <w:t>全国公路建设市场监督管理系统</w:t>
            </w:r>
            <w:r>
              <w:rPr>
                <w:spacing w:val="8"/>
              </w:rPr>
              <w:t>(</w:t>
            </w:r>
            <w:r>
              <w:fldChar w:fldCharType="begin"/>
            </w:r>
            <w:r>
              <w:instrText xml:space="preserve"> HYPERLINK "https://hwdms.mot.gov.cn/BMWebSite/" </w:instrText>
            </w:r>
            <w:r>
              <w:fldChar w:fldCharType="separate"/>
            </w:r>
            <w:r>
              <w:t>https</w:t>
            </w:r>
            <w:r>
              <w:rPr>
                <w:spacing w:val="8"/>
              </w:rPr>
              <w:t>://</w:t>
            </w:r>
            <w:r>
              <w:t>hwdms</w:t>
            </w:r>
            <w:r>
              <w:rPr>
                <w:spacing w:val="8"/>
              </w:rPr>
              <w:t>.</w:t>
            </w:r>
            <w:r>
              <w:t>mot</w:t>
            </w:r>
            <w:r>
              <w:rPr>
                <w:spacing w:val="8"/>
              </w:rPr>
              <w:t>.</w:t>
            </w:r>
            <w:r>
              <w:t>gov</w:t>
            </w:r>
            <w:r>
              <w:rPr>
                <w:spacing w:val="8"/>
              </w:rPr>
              <w:t>.</w:t>
            </w:r>
            <w:r>
              <w:t>cn</w:t>
            </w:r>
            <w:r>
              <w:rPr>
                <w:spacing w:val="8"/>
              </w:rPr>
              <w:t>/</w:t>
            </w:r>
            <w:r>
              <w:t>BMWebSite</w:t>
            </w:r>
            <w:r>
              <w:rPr>
                <w:spacing w:val="8"/>
              </w:rPr>
              <w:t>/</w:t>
            </w:r>
            <w:r>
              <w:rPr>
                <w:spacing w:val="8"/>
              </w:rPr>
              <w:fldChar w:fldCharType="end"/>
            </w:r>
            <w:r>
              <w:rPr>
                <w:spacing w:val="8"/>
              </w:rPr>
              <w:t>)”的复核结果一致（工程设计综合</w:t>
            </w:r>
            <w:r>
              <w:rPr>
                <w:spacing w:val="6"/>
              </w:rPr>
              <w:t>资质不适用</w:t>
            </w:r>
            <w:r>
              <w:rPr>
                <w:spacing w:val="-54"/>
                <w:w w:val="99"/>
              </w:rPr>
              <w:t>）；</w:t>
            </w:r>
          </w:p>
          <w:p w14:paraId="16D92F79">
            <w:pPr>
              <w:pStyle w:val="6"/>
              <w:spacing w:before="1" w:line="226" w:lineRule="auto"/>
              <w:ind w:left="486"/>
            </w:pPr>
            <w:r>
              <w:rPr>
                <w:spacing w:val="6"/>
              </w:rPr>
              <w:t>（2）投标人的业绩符合招标文件规定，所附相关项目详细信息网页截图</w:t>
            </w:r>
          </w:p>
        </w:tc>
      </w:tr>
    </w:tbl>
    <w:p w14:paraId="7B72C79B">
      <w:pPr>
        <w:spacing w:line="175" w:lineRule="exact"/>
        <w:rPr>
          <w:rFonts w:ascii="Arial"/>
          <w:sz w:val="15"/>
        </w:rPr>
      </w:pPr>
    </w:p>
    <w:p w14:paraId="65B4BC9D">
      <w:pPr>
        <w:spacing w:line="175" w:lineRule="exact"/>
        <w:rPr>
          <w:rFonts w:ascii="Arial" w:hAnsi="Arial" w:eastAsia="Arial" w:cs="Arial"/>
          <w:sz w:val="15"/>
          <w:szCs w:val="15"/>
        </w:rPr>
        <w:sectPr>
          <w:footerReference r:id="rId20" w:type="default"/>
          <w:pgSz w:w="11906" w:h="16839"/>
          <w:pgMar w:top="400" w:right="1744" w:bottom="1377" w:left="1744" w:header="0" w:footer="1212" w:gutter="0"/>
          <w:cols w:space="720" w:num="1"/>
        </w:sectPr>
      </w:pPr>
    </w:p>
    <w:p w14:paraId="182A81F6">
      <w:pPr>
        <w:spacing w:before="19"/>
      </w:pPr>
    </w:p>
    <w:p w14:paraId="6ED216B4">
      <w:pPr>
        <w:spacing w:before="19"/>
      </w:pPr>
    </w:p>
    <w:p w14:paraId="3FB1C863">
      <w:pPr>
        <w:spacing w:before="18"/>
      </w:pPr>
    </w:p>
    <w:p w14:paraId="324660AD">
      <w:pPr>
        <w:spacing w:before="18"/>
      </w:pPr>
    </w:p>
    <w:tbl>
      <w:tblPr>
        <w:tblStyle w:val="5"/>
        <w:tblW w:w="8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644"/>
        <w:gridCol w:w="7082"/>
      </w:tblGrid>
      <w:tr w14:paraId="7C580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29" w:type="dxa"/>
            <w:vAlign w:val="top"/>
          </w:tcPr>
          <w:p w14:paraId="2A61E10C">
            <w:pPr>
              <w:spacing w:line="246" w:lineRule="auto"/>
              <w:rPr>
                <w:rFonts w:ascii="Arial"/>
                <w:sz w:val="21"/>
              </w:rPr>
            </w:pPr>
          </w:p>
          <w:p w14:paraId="0A6E01ED">
            <w:pPr>
              <w:pStyle w:val="6"/>
              <w:spacing w:before="65" w:line="228" w:lineRule="auto"/>
              <w:ind w:left="55"/>
            </w:pPr>
            <w:r>
              <w:rPr>
                <w:b/>
                <w:bCs/>
                <w:spacing w:val="5"/>
              </w:rPr>
              <w:t>条款号</w:t>
            </w:r>
          </w:p>
        </w:tc>
        <w:tc>
          <w:tcPr>
            <w:tcW w:w="644" w:type="dxa"/>
            <w:vAlign w:val="top"/>
          </w:tcPr>
          <w:p w14:paraId="49A0E21E">
            <w:pPr>
              <w:pStyle w:val="6"/>
              <w:spacing w:before="176" w:line="253" w:lineRule="auto"/>
              <w:ind w:left="116" w:right="112"/>
            </w:pPr>
            <w:r>
              <w:rPr>
                <w:b/>
                <w:bCs/>
                <w:spacing w:val="3"/>
              </w:rPr>
              <w:t>条款</w:t>
            </w:r>
            <w:r>
              <w:rPr>
                <w:b/>
                <w:bCs/>
                <w:spacing w:val="2"/>
              </w:rPr>
              <w:t>名称</w:t>
            </w:r>
          </w:p>
        </w:tc>
        <w:tc>
          <w:tcPr>
            <w:tcW w:w="7082" w:type="dxa"/>
            <w:vAlign w:val="top"/>
          </w:tcPr>
          <w:p w14:paraId="0B555722">
            <w:pPr>
              <w:spacing w:line="246" w:lineRule="auto"/>
              <w:rPr>
                <w:rFonts w:ascii="Arial"/>
                <w:sz w:val="21"/>
              </w:rPr>
            </w:pPr>
          </w:p>
          <w:p w14:paraId="6977DA43">
            <w:pPr>
              <w:pStyle w:val="6"/>
              <w:spacing w:before="65" w:line="228" w:lineRule="auto"/>
              <w:ind w:left="2573"/>
            </w:pPr>
            <w:r>
              <w:rPr>
                <w:b/>
                <w:bCs/>
                <w:spacing w:val="7"/>
              </w:rPr>
              <w:t>评审因素与评审标准</w:t>
            </w:r>
          </w:p>
        </w:tc>
      </w:tr>
      <w:tr w14:paraId="2DA75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7" w:hRule="atLeast"/>
        </w:trPr>
        <w:tc>
          <w:tcPr>
            <w:tcW w:w="729" w:type="dxa"/>
            <w:vAlign w:val="top"/>
          </w:tcPr>
          <w:p w14:paraId="564656F1">
            <w:pPr>
              <w:rPr>
                <w:rFonts w:ascii="Arial"/>
                <w:sz w:val="21"/>
              </w:rPr>
            </w:pPr>
          </w:p>
        </w:tc>
        <w:tc>
          <w:tcPr>
            <w:tcW w:w="644" w:type="dxa"/>
            <w:vAlign w:val="top"/>
          </w:tcPr>
          <w:p w14:paraId="1A447319">
            <w:pPr>
              <w:rPr>
                <w:rFonts w:ascii="Arial"/>
                <w:sz w:val="21"/>
              </w:rPr>
            </w:pPr>
          </w:p>
        </w:tc>
        <w:tc>
          <w:tcPr>
            <w:tcW w:w="7082" w:type="dxa"/>
            <w:vAlign w:val="top"/>
          </w:tcPr>
          <w:p w14:paraId="26A982BB">
            <w:pPr>
              <w:pStyle w:val="6"/>
              <w:spacing w:before="144" w:line="228" w:lineRule="auto"/>
              <w:ind w:left="61"/>
            </w:pPr>
            <w:r>
              <w:rPr>
                <w:spacing w:val="-4"/>
              </w:rPr>
              <w:t>复</w:t>
            </w:r>
            <w:r>
              <w:rPr>
                <w:spacing w:val="97"/>
              </w:rPr>
              <w:t xml:space="preserve"> </w:t>
            </w:r>
            <w:r>
              <w:rPr>
                <w:spacing w:val="-4"/>
              </w:rPr>
              <w:t>印</w:t>
            </w:r>
            <w:r>
              <w:rPr>
                <w:spacing w:val="71"/>
              </w:rPr>
              <w:t xml:space="preserve"> </w:t>
            </w:r>
            <w:r>
              <w:rPr>
                <w:spacing w:val="-4"/>
              </w:rPr>
              <w:t>件</w:t>
            </w:r>
            <w:r>
              <w:rPr>
                <w:spacing w:val="78"/>
              </w:rPr>
              <w:t xml:space="preserve"> </w:t>
            </w:r>
            <w:r>
              <w:rPr>
                <w:spacing w:val="-4"/>
              </w:rPr>
              <w:t>与</w:t>
            </w:r>
            <w:r>
              <w:rPr>
                <w:spacing w:val="72"/>
              </w:rPr>
              <w:t xml:space="preserve"> </w:t>
            </w:r>
            <w:r>
              <w:rPr>
                <w:spacing w:val="-4"/>
              </w:rPr>
              <w:t>“</w:t>
            </w:r>
            <w:r>
              <w:rPr>
                <w:spacing w:val="73"/>
              </w:rPr>
              <w:t xml:space="preserve"> </w:t>
            </w:r>
            <w:r>
              <w:rPr>
                <w:spacing w:val="-4"/>
              </w:rPr>
              <w:t>全</w:t>
            </w:r>
            <w:r>
              <w:rPr>
                <w:spacing w:val="94"/>
              </w:rPr>
              <w:t xml:space="preserve"> </w:t>
            </w:r>
            <w:r>
              <w:rPr>
                <w:spacing w:val="-4"/>
              </w:rPr>
              <w:t>国</w:t>
            </w:r>
            <w:r>
              <w:rPr>
                <w:spacing w:val="78"/>
              </w:rPr>
              <w:t xml:space="preserve"> </w:t>
            </w:r>
            <w:r>
              <w:rPr>
                <w:spacing w:val="-4"/>
              </w:rPr>
              <w:t>公</w:t>
            </w:r>
            <w:r>
              <w:rPr>
                <w:spacing w:val="75"/>
              </w:rPr>
              <w:t xml:space="preserve"> </w:t>
            </w:r>
            <w:r>
              <w:rPr>
                <w:spacing w:val="-4"/>
              </w:rPr>
              <w:t>路</w:t>
            </w:r>
            <w:r>
              <w:rPr>
                <w:spacing w:val="76"/>
              </w:rPr>
              <w:t xml:space="preserve"> </w:t>
            </w:r>
            <w:r>
              <w:rPr>
                <w:spacing w:val="-4"/>
              </w:rPr>
              <w:t>建</w:t>
            </w:r>
            <w:r>
              <w:rPr>
                <w:spacing w:val="74"/>
              </w:rPr>
              <w:t xml:space="preserve"> </w:t>
            </w:r>
            <w:r>
              <w:rPr>
                <w:spacing w:val="-4"/>
              </w:rPr>
              <w:t>设</w:t>
            </w:r>
            <w:r>
              <w:rPr>
                <w:spacing w:val="80"/>
              </w:rPr>
              <w:t xml:space="preserve"> </w:t>
            </w:r>
            <w:r>
              <w:rPr>
                <w:spacing w:val="-4"/>
              </w:rPr>
              <w:t>市</w:t>
            </w:r>
            <w:r>
              <w:rPr>
                <w:spacing w:val="72"/>
              </w:rPr>
              <w:t xml:space="preserve"> </w:t>
            </w:r>
            <w:r>
              <w:rPr>
                <w:spacing w:val="-4"/>
              </w:rPr>
              <w:t>场</w:t>
            </w:r>
            <w:r>
              <w:rPr>
                <w:spacing w:val="75"/>
              </w:rPr>
              <w:t xml:space="preserve"> </w:t>
            </w:r>
            <w:r>
              <w:rPr>
                <w:spacing w:val="-4"/>
              </w:rPr>
              <w:t>监</w:t>
            </w:r>
            <w:r>
              <w:rPr>
                <w:spacing w:val="75"/>
              </w:rPr>
              <w:t xml:space="preserve"> </w:t>
            </w:r>
            <w:r>
              <w:rPr>
                <w:spacing w:val="-4"/>
              </w:rPr>
              <w:t>督</w:t>
            </w:r>
            <w:r>
              <w:rPr>
                <w:spacing w:val="79"/>
              </w:rPr>
              <w:t xml:space="preserve"> </w:t>
            </w:r>
            <w:r>
              <w:rPr>
                <w:spacing w:val="-4"/>
              </w:rPr>
              <w:t>管</w:t>
            </w:r>
            <w:r>
              <w:rPr>
                <w:spacing w:val="76"/>
              </w:rPr>
              <w:t xml:space="preserve"> </w:t>
            </w:r>
            <w:r>
              <w:rPr>
                <w:spacing w:val="-4"/>
              </w:rPr>
              <w:t>理</w:t>
            </w:r>
            <w:r>
              <w:rPr>
                <w:spacing w:val="75"/>
              </w:rPr>
              <w:t xml:space="preserve"> </w:t>
            </w:r>
            <w:r>
              <w:rPr>
                <w:spacing w:val="-4"/>
              </w:rPr>
              <w:t>系</w:t>
            </w:r>
            <w:r>
              <w:rPr>
                <w:spacing w:val="79"/>
              </w:rPr>
              <w:t xml:space="preserve"> </w:t>
            </w:r>
            <w:r>
              <w:rPr>
                <w:spacing w:val="-4"/>
              </w:rPr>
              <w:t>统</w:t>
            </w:r>
          </w:p>
          <w:p w14:paraId="708A7B66">
            <w:pPr>
              <w:pStyle w:val="6"/>
              <w:spacing w:before="80" w:line="301" w:lineRule="auto"/>
              <w:ind w:left="55" w:right="95" w:firstLine="37"/>
            </w:pPr>
            <w:r>
              <w:rPr>
                <w:spacing w:val="7"/>
              </w:rPr>
              <w:t>(</w:t>
            </w:r>
            <w:r>
              <w:fldChar w:fldCharType="begin"/>
            </w:r>
            <w:r>
              <w:instrText xml:space="preserve"> HYPERLINK "https://hwdms.mot.gov.cn/BMWebSite/" </w:instrText>
            </w:r>
            <w:r>
              <w:fldChar w:fldCharType="separate"/>
            </w:r>
            <w:r>
              <w:t>https</w:t>
            </w:r>
            <w:r>
              <w:rPr>
                <w:spacing w:val="7"/>
              </w:rPr>
              <w:t>://</w:t>
            </w:r>
            <w:r>
              <w:t>hwdms</w:t>
            </w:r>
            <w:r>
              <w:rPr>
                <w:spacing w:val="7"/>
              </w:rPr>
              <w:t>.</w:t>
            </w:r>
            <w:r>
              <w:t>mot</w:t>
            </w:r>
            <w:r>
              <w:rPr>
                <w:spacing w:val="7"/>
              </w:rPr>
              <w:t>.</w:t>
            </w:r>
            <w:r>
              <w:t>gov</w:t>
            </w:r>
            <w:r>
              <w:rPr>
                <w:spacing w:val="7"/>
              </w:rPr>
              <w:t>.</w:t>
            </w:r>
            <w:r>
              <w:t>cn</w:t>
            </w:r>
            <w:r>
              <w:rPr>
                <w:spacing w:val="7"/>
              </w:rPr>
              <w:t>/</w:t>
            </w:r>
            <w:r>
              <w:t>BMWebSite</w:t>
            </w:r>
            <w:r>
              <w:rPr>
                <w:spacing w:val="7"/>
              </w:rPr>
              <w:t>/</w:t>
            </w:r>
            <w:r>
              <w:rPr>
                <w:spacing w:val="7"/>
              </w:rPr>
              <w:fldChar w:fldCharType="end"/>
            </w:r>
            <w:r>
              <w:rPr>
                <w:spacing w:val="7"/>
              </w:rPr>
              <w:t>)”的复核结果一致，并满足招标文</w:t>
            </w:r>
            <w:r>
              <w:rPr>
                <w:spacing w:val="8"/>
              </w:rPr>
              <w:t>件资格审查条件要求；</w:t>
            </w:r>
          </w:p>
          <w:p w14:paraId="51695078">
            <w:pPr>
              <w:pStyle w:val="6"/>
              <w:spacing w:before="3" w:line="302" w:lineRule="auto"/>
              <w:ind w:left="55" w:right="95" w:firstLine="430"/>
              <w:jc w:val="both"/>
            </w:pPr>
            <w:r>
              <w:rPr>
                <w:spacing w:val="6"/>
              </w:rPr>
              <w:t>（3）所附项目经理（兼施工负责人）、项目总工、设计负责人业绩的网</w:t>
            </w:r>
            <w:r>
              <w:rPr>
                <w:spacing w:val="-3"/>
              </w:rPr>
              <w:t>页 截</w:t>
            </w:r>
            <w:r>
              <w:rPr>
                <w:spacing w:val="59"/>
              </w:rPr>
              <w:t xml:space="preserve"> </w:t>
            </w:r>
            <w:r>
              <w:rPr>
                <w:spacing w:val="-3"/>
              </w:rPr>
              <w:t>图</w:t>
            </w:r>
            <w:r>
              <w:rPr>
                <w:spacing w:val="24"/>
              </w:rPr>
              <w:t xml:space="preserve"> </w:t>
            </w:r>
            <w:r>
              <w:rPr>
                <w:spacing w:val="-3"/>
              </w:rPr>
              <w:t>复</w:t>
            </w:r>
            <w:r>
              <w:rPr>
                <w:spacing w:val="37"/>
              </w:rPr>
              <w:t xml:space="preserve"> </w:t>
            </w:r>
            <w:r>
              <w:rPr>
                <w:spacing w:val="-3"/>
              </w:rPr>
              <w:t>印 件</w:t>
            </w:r>
            <w:r>
              <w:rPr>
                <w:spacing w:val="25"/>
              </w:rPr>
              <w:t xml:space="preserve"> </w:t>
            </w:r>
            <w:r>
              <w:rPr>
                <w:spacing w:val="-3"/>
              </w:rPr>
              <w:t>与</w:t>
            </w:r>
            <w:r>
              <w:rPr>
                <w:spacing w:val="20"/>
              </w:rPr>
              <w:t xml:space="preserve"> </w:t>
            </w:r>
            <w:r>
              <w:rPr>
                <w:spacing w:val="-3"/>
              </w:rPr>
              <w:t>“</w:t>
            </w:r>
            <w:r>
              <w:rPr>
                <w:spacing w:val="18"/>
              </w:rPr>
              <w:t xml:space="preserve"> </w:t>
            </w:r>
            <w:r>
              <w:rPr>
                <w:spacing w:val="-3"/>
              </w:rPr>
              <w:t>全</w:t>
            </w:r>
            <w:r>
              <w:rPr>
                <w:spacing w:val="39"/>
              </w:rPr>
              <w:t xml:space="preserve"> </w:t>
            </w:r>
            <w:r>
              <w:rPr>
                <w:spacing w:val="-3"/>
              </w:rPr>
              <w:t>国</w:t>
            </w:r>
            <w:r>
              <w:rPr>
                <w:spacing w:val="27"/>
              </w:rPr>
              <w:t xml:space="preserve"> </w:t>
            </w:r>
            <w:r>
              <w:rPr>
                <w:spacing w:val="-3"/>
              </w:rPr>
              <w:t>公</w:t>
            </w:r>
            <w:r>
              <w:rPr>
                <w:spacing w:val="20"/>
              </w:rPr>
              <w:t xml:space="preserve"> </w:t>
            </w:r>
            <w:r>
              <w:rPr>
                <w:spacing w:val="-3"/>
              </w:rPr>
              <w:t>路</w:t>
            </w:r>
            <w:r>
              <w:rPr>
                <w:spacing w:val="23"/>
              </w:rPr>
              <w:t xml:space="preserve"> </w:t>
            </w:r>
            <w:r>
              <w:rPr>
                <w:spacing w:val="-3"/>
              </w:rPr>
              <w:t>建</w:t>
            </w:r>
            <w:r>
              <w:rPr>
                <w:spacing w:val="22"/>
              </w:rPr>
              <w:t xml:space="preserve"> </w:t>
            </w:r>
            <w:r>
              <w:rPr>
                <w:spacing w:val="-3"/>
              </w:rPr>
              <w:t>设</w:t>
            </w:r>
            <w:r>
              <w:rPr>
                <w:spacing w:val="26"/>
              </w:rPr>
              <w:t xml:space="preserve"> </w:t>
            </w:r>
            <w:r>
              <w:rPr>
                <w:spacing w:val="-3"/>
              </w:rPr>
              <w:t>市</w:t>
            </w:r>
            <w:r>
              <w:rPr>
                <w:spacing w:val="18"/>
              </w:rPr>
              <w:t xml:space="preserve"> </w:t>
            </w:r>
            <w:r>
              <w:rPr>
                <w:spacing w:val="-3"/>
              </w:rPr>
              <w:t>场</w:t>
            </w:r>
            <w:r>
              <w:rPr>
                <w:spacing w:val="21"/>
              </w:rPr>
              <w:t xml:space="preserve"> </w:t>
            </w:r>
            <w:r>
              <w:rPr>
                <w:spacing w:val="-3"/>
              </w:rPr>
              <w:t>监</w:t>
            </w:r>
            <w:r>
              <w:rPr>
                <w:spacing w:val="23"/>
              </w:rPr>
              <w:t xml:space="preserve"> </w:t>
            </w:r>
            <w:r>
              <w:rPr>
                <w:spacing w:val="-3"/>
              </w:rPr>
              <w:t>督</w:t>
            </w:r>
            <w:r>
              <w:rPr>
                <w:spacing w:val="26"/>
              </w:rPr>
              <w:t xml:space="preserve"> </w:t>
            </w:r>
            <w:r>
              <w:rPr>
                <w:spacing w:val="-3"/>
              </w:rPr>
              <w:t>管</w:t>
            </w:r>
            <w:r>
              <w:rPr>
                <w:spacing w:val="21"/>
              </w:rPr>
              <w:t xml:space="preserve"> </w:t>
            </w:r>
            <w:r>
              <w:rPr>
                <w:spacing w:val="-3"/>
              </w:rPr>
              <w:t>理</w:t>
            </w:r>
            <w:r>
              <w:rPr>
                <w:spacing w:val="22"/>
              </w:rPr>
              <w:t xml:space="preserve"> </w:t>
            </w:r>
            <w:r>
              <w:rPr>
                <w:spacing w:val="-3"/>
              </w:rPr>
              <w:t>系</w:t>
            </w:r>
            <w:r>
              <w:rPr>
                <w:spacing w:val="26"/>
              </w:rPr>
              <w:t xml:space="preserve"> </w:t>
            </w:r>
            <w:r>
              <w:rPr>
                <w:spacing w:val="-3"/>
              </w:rPr>
              <w:t>统</w:t>
            </w:r>
            <w:r>
              <w:rPr>
                <w:spacing w:val="9"/>
              </w:rPr>
              <w:t>(</w:t>
            </w:r>
            <w:r>
              <w:fldChar w:fldCharType="begin"/>
            </w:r>
            <w:r>
              <w:instrText xml:space="preserve"> HYPERLINK "https://hwdms.mot.gov.cn/BMWebSite/" </w:instrText>
            </w:r>
            <w:r>
              <w:fldChar w:fldCharType="separate"/>
            </w:r>
            <w:r>
              <w:t>https</w:t>
            </w:r>
            <w:r>
              <w:rPr>
                <w:spacing w:val="9"/>
              </w:rPr>
              <w:t>://</w:t>
            </w:r>
            <w:r>
              <w:t>hwdms</w:t>
            </w:r>
            <w:r>
              <w:rPr>
                <w:spacing w:val="9"/>
              </w:rPr>
              <w:t>.</w:t>
            </w:r>
            <w:r>
              <w:t>mot</w:t>
            </w:r>
            <w:r>
              <w:rPr>
                <w:spacing w:val="9"/>
              </w:rPr>
              <w:t>.</w:t>
            </w:r>
            <w:r>
              <w:t>gov</w:t>
            </w:r>
            <w:r>
              <w:rPr>
                <w:spacing w:val="9"/>
              </w:rPr>
              <w:t>.</w:t>
            </w:r>
            <w:r>
              <w:t>cn</w:t>
            </w:r>
            <w:r>
              <w:rPr>
                <w:spacing w:val="9"/>
              </w:rPr>
              <w:t>/</w:t>
            </w:r>
            <w:r>
              <w:t>BMWebSite</w:t>
            </w:r>
            <w:r>
              <w:rPr>
                <w:spacing w:val="9"/>
              </w:rPr>
              <w:t>/</w:t>
            </w:r>
            <w:r>
              <w:rPr>
                <w:spacing w:val="9"/>
              </w:rPr>
              <w:fldChar w:fldCharType="end"/>
            </w:r>
            <w:r>
              <w:rPr>
                <w:spacing w:val="9"/>
              </w:rPr>
              <w:t>)”的核查结果一致，并满足招标文</w:t>
            </w:r>
            <w:r>
              <w:rPr>
                <w:spacing w:val="8"/>
              </w:rPr>
              <w:t>件资格审查条件要求；</w:t>
            </w:r>
          </w:p>
          <w:p w14:paraId="7CE1FDA2">
            <w:pPr>
              <w:pStyle w:val="6"/>
              <w:spacing w:before="36" w:line="328" w:lineRule="auto"/>
              <w:ind w:left="55" w:right="7" w:firstLine="420"/>
              <w:jc w:val="both"/>
            </w:pPr>
            <w:r>
              <w:rPr>
                <w:spacing w:val="10"/>
              </w:rPr>
              <w:t>所附项目经理（兼施工负责人）一级注册建造师信息的网</w:t>
            </w:r>
            <w:r>
              <w:rPr>
                <w:spacing w:val="9"/>
              </w:rPr>
              <w:t>页截图复印件</w:t>
            </w:r>
            <w:r>
              <w:rPr>
                <w:spacing w:val="4"/>
              </w:rPr>
              <w:t>与“全国建筑市场监管公共服务平台（</w:t>
            </w:r>
            <w:r>
              <w:fldChar w:fldCharType="begin"/>
            </w:r>
            <w:r>
              <w:instrText xml:space="preserve"> HYPERLINK "http://jzsc.mohurd.gov.cn/" </w:instrText>
            </w:r>
            <w:r>
              <w:fldChar w:fldCharType="separate"/>
            </w:r>
            <w:r>
              <w:t>http</w:t>
            </w:r>
            <w:r>
              <w:rPr>
                <w:spacing w:val="4"/>
              </w:rPr>
              <w:t>://</w:t>
            </w:r>
            <w:r>
              <w:t>jzsc</w:t>
            </w:r>
            <w:r>
              <w:rPr>
                <w:spacing w:val="4"/>
              </w:rPr>
              <w:t>.</w:t>
            </w:r>
            <w:r>
              <w:t>mohurd</w:t>
            </w:r>
            <w:r>
              <w:rPr>
                <w:spacing w:val="4"/>
              </w:rPr>
              <w:t>.</w:t>
            </w:r>
            <w:r>
              <w:t>gov</w:t>
            </w:r>
            <w:r>
              <w:rPr>
                <w:spacing w:val="4"/>
              </w:rPr>
              <w:t>.</w:t>
            </w:r>
            <w:r>
              <w:t>cn</w:t>
            </w:r>
            <w:r>
              <w:rPr>
                <w:spacing w:val="4"/>
              </w:rPr>
              <w:t>/</w:t>
            </w:r>
            <w:r>
              <w:rPr>
                <w:spacing w:val="4"/>
              </w:rPr>
              <w:fldChar w:fldCharType="end"/>
            </w:r>
            <w:r>
              <w:rPr>
                <w:spacing w:val="4"/>
              </w:rPr>
              <w:t>）”核查</w:t>
            </w:r>
            <w:r>
              <w:rPr>
                <w:spacing w:val="6"/>
              </w:rPr>
              <w:t>的结果一致，并满足招标文件资格审查条件要求。项目经理（兼施工负责人）</w:t>
            </w:r>
            <w:r>
              <w:rPr>
                <w:spacing w:val="10"/>
              </w:rPr>
              <w:t>的一级建造师注册证书的注册单位名称必须与投标人（或联合体</w:t>
            </w:r>
            <w:r>
              <w:rPr>
                <w:spacing w:val="9"/>
              </w:rPr>
              <w:t>牵头人）名</w:t>
            </w:r>
            <w:r>
              <w:rPr>
                <w:spacing w:val="5"/>
              </w:rPr>
              <w:t>称一致；</w:t>
            </w:r>
          </w:p>
          <w:p w14:paraId="24D8CAD5">
            <w:pPr>
              <w:pStyle w:val="6"/>
              <w:tabs>
                <w:tab w:val="left" w:pos="7075"/>
              </w:tabs>
              <w:spacing w:before="3" w:line="327" w:lineRule="auto"/>
              <w:ind w:left="57" w:firstLine="422"/>
              <w:jc w:val="both"/>
            </w:pPr>
            <w:r>
              <w:rPr>
                <w:spacing w:val="7"/>
              </w:rPr>
              <w:t>（4）投标人信用情况网页截图内容与在“</w:t>
            </w:r>
            <w:r>
              <w:rPr>
                <w:spacing w:val="-58"/>
              </w:rPr>
              <w:t xml:space="preserve"> </w:t>
            </w:r>
            <w:r>
              <w:rPr>
                <w:spacing w:val="7"/>
              </w:rPr>
              <w:t>国家企业信用信息公示系统</w:t>
            </w:r>
            <w:r>
              <w:rPr>
                <w:spacing w:val="-71"/>
              </w:rPr>
              <w:t xml:space="preserve"> </w:t>
            </w:r>
            <w:r>
              <w:rPr>
                <w:spacing w:val="7"/>
              </w:rPr>
              <w:t>”</w:t>
            </w:r>
            <w:r>
              <w:rPr>
                <w:spacing w:val="3"/>
              </w:rPr>
              <w:t>中严重违法失信名单（黑名单</w:t>
            </w:r>
            <w:r>
              <w:rPr>
                <w:spacing w:val="-54"/>
                <w:w w:val="93"/>
              </w:rPr>
              <w:t>）（</w:t>
            </w:r>
            <w:r>
              <w:rPr>
                <w:spacing w:val="3"/>
              </w:rPr>
              <w:t>不含分公司）和在“信用中国</w:t>
            </w:r>
            <w:r>
              <w:rPr>
                <w:spacing w:val="-69"/>
              </w:rPr>
              <w:t xml:space="preserve"> </w:t>
            </w:r>
            <w:r>
              <w:rPr>
                <w:spacing w:val="3"/>
              </w:rPr>
              <w:t>”网站“</w:t>
            </w:r>
            <w:r>
              <w:rPr>
                <w:spacing w:val="-71"/>
              </w:rPr>
              <w:t xml:space="preserve"> </w:t>
            </w:r>
            <w:r>
              <w:rPr>
                <w:spacing w:val="3"/>
              </w:rPr>
              <w:t>中经</w:t>
            </w:r>
            <w:r>
              <w:rPr>
                <w:spacing w:val="5"/>
              </w:rPr>
              <w:t>营</w:t>
            </w:r>
            <w:r>
              <w:rPr>
                <w:spacing w:val="-50"/>
              </w:rPr>
              <w:t xml:space="preserve"> </w:t>
            </w:r>
            <w:r>
              <w:rPr>
                <w:spacing w:val="5"/>
              </w:rPr>
              <w:t>(活动)异常名录、重大税收违法失信主体、政府采购严重违法失信行为记</w:t>
            </w:r>
            <w:r>
              <w:rPr>
                <w:spacing w:val="7"/>
              </w:rPr>
              <w:t>录名单和安全生产严重失信主体名单（均不含</w:t>
            </w:r>
            <w:r>
              <w:rPr>
                <w:spacing w:val="6"/>
              </w:rPr>
              <w:t>分公司）和在中国执行信息公</w:t>
            </w:r>
            <w:r>
              <w:rPr>
                <w:spacing w:val="4"/>
              </w:rPr>
              <w:t>开网（</w:t>
            </w:r>
            <w:r>
              <w:fldChar w:fldCharType="begin"/>
            </w:r>
            <w:r>
              <w:instrText xml:space="preserve"> HYPERLINK "zxgk.court.gov.cn" </w:instrText>
            </w:r>
            <w:r>
              <w:fldChar w:fldCharType="separate"/>
            </w:r>
            <w:r>
              <w:t>zxgk</w:t>
            </w:r>
            <w:r>
              <w:rPr>
                <w:spacing w:val="4"/>
              </w:rPr>
              <w:t>.</w:t>
            </w:r>
            <w:r>
              <w:t>court</w:t>
            </w:r>
            <w:r>
              <w:rPr>
                <w:spacing w:val="4"/>
              </w:rPr>
              <w:t>.</w:t>
            </w:r>
            <w:r>
              <w:t>gov</w:t>
            </w:r>
            <w:r>
              <w:rPr>
                <w:spacing w:val="4"/>
              </w:rPr>
              <w:t>.</w:t>
            </w:r>
            <w:r>
              <w:t>cn</w:t>
            </w:r>
            <w:r>
              <w:fldChar w:fldCharType="end"/>
            </w:r>
            <w:r>
              <w:rPr>
                <w:spacing w:val="4"/>
              </w:rPr>
              <w:t>）中未被列入失信被执行人（不含分公司）的复核</w:t>
            </w:r>
            <w:r>
              <w:rPr>
                <w:spacing w:val="2"/>
              </w:rPr>
              <w:t xml:space="preserve"> </w:t>
            </w:r>
            <w:r>
              <w:rPr>
                <w:spacing w:val="3"/>
              </w:rPr>
              <w:t>结果一致。</w:t>
            </w:r>
          </w:p>
          <w:p w14:paraId="7AA2985B">
            <w:pPr>
              <w:pStyle w:val="6"/>
              <w:spacing w:line="327" w:lineRule="auto"/>
              <w:ind w:left="58" w:right="95" w:firstLine="421"/>
              <w:jc w:val="both"/>
            </w:pPr>
            <w:r>
              <w:rPr>
                <w:spacing w:val="-8"/>
              </w:rPr>
              <w:t>前述（1）、（2）、（3）、（4）项如投标人未提供</w:t>
            </w:r>
            <w:r>
              <w:rPr>
                <w:spacing w:val="-9"/>
              </w:rPr>
              <w:t>相关网页截图或所附截图</w:t>
            </w:r>
            <w:r>
              <w:rPr>
                <w:spacing w:val="10"/>
              </w:rPr>
              <w:t>与复核结果不一致导致其不满足资格条件，评标委员会应</w:t>
            </w:r>
            <w:r>
              <w:rPr>
                <w:spacing w:val="9"/>
              </w:rPr>
              <w:t>按照其不满足资格</w:t>
            </w:r>
            <w:r>
              <w:rPr>
                <w:spacing w:val="7"/>
              </w:rPr>
              <w:t>条件否决其投标。</w:t>
            </w:r>
          </w:p>
          <w:p w14:paraId="08CA10A0">
            <w:pPr>
              <w:pStyle w:val="6"/>
              <w:spacing w:before="2" w:line="318" w:lineRule="auto"/>
              <w:ind w:left="58" w:right="95" w:firstLine="420"/>
              <w:jc w:val="both"/>
            </w:pPr>
            <w:r>
              <w:rPr>
                <w:spacing w:val="10"/>
              </w:rPr>
              <w:t>投标人应当及时核查并更新相应网站公开的相关信</w:t>
            </w:r>
            <w:r>
              <w:rPr>
                <w:spacing w:val="9"/>
              </w:rPr>
              <w:t>息，并承担由于信息</w:t>
            </w:r>
            <w:r>
              <w:rPr>
                <w:spacing w:val="10"/>
              </w:rPr>
              <w:t>填报不完整或者不准确等原因导致投标可能被否决的后果</w:t>
            </w:r>
            <w:r>
              <w:rPr>
                <w:spacing w:val="9"/>
              </w:rPr>
              <w:t>。相关信息由投标</w:t>
            </w:r>
            <w:r>
              <w:rPr>
                <w:spacing w:val="10"/>
              </w:rPr>
              <w:t>人填报的，其真实性由投标人负责，经查证与事实不符的</w:t>
            </w:r>
            <w:r>
              <w:rPr>
                <w:spacing w:val="9"/>
              </w:rPr>
              <w:t>，视为投标过程中</w:t>
            </w:r>
            <w:r>
              <w:rPr>
                <w:spacing w:val="8"/>
              </w:rPr>
              <w:t>的弄虚作假为，按相关规定处理。</w:t>
            </w:r>
          </w:p>
          <w:p w14:paraId="7B0B3832">
            <w:pPr>
              <w:pStyle w:val="6"/>
              <w:spacing w:before="1" w:line="301" w:lineRule="auto"/>
              <w:ind w:left="57" w:right="95" w:firstLine="423"/>
              <w:jc w:val="both"/>
            </w:pPr>
            <w:r>
              <w:rPr>
                <w:spacing w:val="10"/>
              </w:rPr>
              <w:t>3.6.2</w:t>
            </w:r>
            <w:r>
              <w:rPr>
                <w:spacing w:val="-30"/>
              </w:rPr>
              <w:t xml:space="preserve"> </w:t>
            </w:r>
            <w:r>
              <w:rPr>
                <w:spacing w:val="10"/>
              </w:rPr>
              <w:t>评标委员会应对在评标过程中发现的投标人与投标人之间、投标人与招标人之间存在的串通投标的情形进行评审和认定。投</w:t>
            </w:r>
            <w:r>
              <w:rPr>
                <w:spacing w:val="9"/>
              </w:rPr>
              <w:t>标人存在串通投标、弄虚作假、行贿等违法行为的，评标委员会应否决其投标。</w:t>
            </w:r>
          </w:p>
          <w:p w14:paraId="437D14D0">
            <w:pPr>
              <w:pStyle w:val="6"/>
              <w:spacing w:line="228" w:lineRule="auto"/>
              <w:ind w:left="486"/>
            </w:pPr>
            <w:r>
              <w:rPr>
                <w:spacing w:val="8"/>
              </w:rPr>
              <w:t>（1）有下列情形之一的，属于投标人相互串通投标：</w:t>
            </w:r>
          </w:p>
          <w:p w14:paraId="065A8E61">
            <w:pPr>
              <w:pStyle w:val="6"/>
              <w:spacing w:before="82" w:line="226" w:lineRule="auto"/>
              <w:ind w:left="477"/>
            </w:pPr>
            <w:r>
              <w:rPr>
                <w:spacing w:val="8"/>
              </w:rPr>
              <w:t>a.投标人之间协商投标报价等投标文件的实质性内容；</w:t>
            </w:r>
          </w:p>
          <w:p w14:paraId="618C61A3">
            <w:pPr>
              <w:pStyle w:val="6"/>
              <w:spacing w:before="79" w:line="228" w:lineRule="auto"/>
              <w:ind w:left="473"/>
            </w:pPr>
            <w:r>
              <w:rPr>
                <w:spacing w:val="7"/>
              </w:rPr>
              <w:t>b.投标人之间约定中标人；</w:t>
            </w:r>
          </w:p>
          <w:p w14:paraId="21EE0765">
            <w:pPr>
              <w:pStyle w:val="6"/>
              <w:spacing w:before="81" w:line="228" w:lineRule="auto"/>
              <w:ind w:left="480"/>
            </w:pPr>
            <w:r>
              <w:rPr>
                <w:spacing w:val="8"/>
              </w:rPr>
              <w:t>c.投标人之间约定部分投标人放弃投标或中标；</w:t>
            </w:r>
          </w:p>
          <w:p w14:paraId="7656A8CA">
            <w:pPr>
              <w:pStyle w:val="6"/>
              <w:spacing w:before="81" w:line="301" w:lineRule="auto"/>
              <w:ind w:left="58" w:right="95" w:firstLine="421"/>
            </w:pPr>
            <w:r>
              <w:rPr>
                <w:spacing w:val="9"/>
              </w:rPr>
              <w:t>d.属于同一集团、协会、商会等组织成员的投标人按照该组织要求协同</w:t>
            </w:r>
            <w:r>
              <w:rPr>
                <w:spacing w:val="2"/>
              </w:rPr>
              <w:t>投标；</w:t>
            </w:r>
          </w:p>
          <w:p w14:paraId="33207130">
            <w:pPr>
              <w:pStyle w:val="6"/>
              <w:spacing w:before="1" w:line="226" w:lineRule="auto"/>
              <w:ind w:left="481"/>
            </w:pPr>
            <w:r>
              <w:rPr>
                <w:spacing w:val="9"/>
              </w:rPr>
              <w:t>e.投标人之间为谋取中标或排斥特定投标人而采取的</w:t>
            </w:r>
            <w:r>
              <w:rPr>
                <w:spacing w:val="8"/>
              </w:rPr>
              <w:t>其他联合行动。</w:t>
            </w:r>
          </w:p>
          <w:p w14:paraId="0AC7A57E">
            <w:pPr>
              <w:pStyle w:val="6"/>
              <w:spacing w:before="83" w:line="228" w:lineRule="auto"/>
              <w:ind w:left="486"/>
            </w:pPr>
            <w:r>
              <w:rPr>
                <w:spacing w:val="8"/>
              </w:rPr>
              <w:t>（2）有下列情形之一的，视为投标人相互串通投标：</w:t>
            </w:r>
          </w:p>
          <w:p w14:paraId="5CC55721">
            <w:pPr>
              <w:pStyle w:val="6"/>
              <w:spacing w:before="79" w:line="228" w:lineRule="auto"/>
              <w:ind w:left="477"/>
            </w:pPr>
            <w:r>
              <w:rPr>
                <w:spacing w:val="8"/>
              </w:rPr>
              <w:t>a.不同投标人的投标文件由同一单位或个人编制；</w:t>
            </w:r>
          </w:p>
        </w:tc>
      </w:tr>
    </w:tbl>
    <w:p w14:paraId="591FF30D">
      <w:pPr>
        <w:rPr>
          <w:rFonts w:ascii="Arial"/>
          <w:sz w:val="21"/>
        </w:rPr>
      </w:pPr>
    </w:p>
    <w:p w14:paraId="6E5C8452">
      <w:pPr>
        <w:rPr>
          <w:rFonts w:ascii="Arial" w:hAnsi="Arial" w:eastAsia="Arial" w:cs="Arial"/>
          <w:sz w:val="21"/>
          <w:szCs w:val="21"/>
        </w:rPr>
        <w:sectPr>
          <w:footerReference r:id="rId21" w:type="default"/>
          <w:pgSz w:w="11906" w:h="16839"/>
          <w:pgMar w:top="400" w:right="1700" w:bottom="1377" w:left="1744" w:header="0" w:footer="1212" w:gutter="0"/>
          <w:cols w:space="720" w:num="1"/>
        </w:sectPr>
      </w:pPr>
    </w:p>
    <w:p w14:paraId="41F13F4C">
      <w:pPr>
        <w:spacing w:before="19"/>
      </w:pPr>
    </w:p>
    <w:p w14:paraId="72658DCF">
      <w:pPr>
        <w:spacing w:before="19"/>
      </w:pPr>
    </w:p>
    <w:p w14:paraId="03544186">
      <w:pPr>
        <w:spacing w:before="18"/>
      </w:pPr>
    </w:p>
    <w:p w14:paraId="5E6EE43A">
      <w:pPr>
        <w:spacing w:before="18"/>
      </w:pPr>
    </w:p>
    <w:tbl>
      <w:tblPr>
        <w:tblStyle w:val="5"/>
        <w:tblW w:w="8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644"/>
        <w:gridCol w:w="7039"/>
      </w:tblGrid>
      <w:tr w14:paraId="4F23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29" w:type="dxa"/>
            <w:vAlign w:val="top"/>
          </w:tcPr>
          <w:p w14:paraId="19987946">
            <w:pPr>
              <w:spacing w:line="246" w:lineRule="auto"/>
              <w:rPr>
                <w:rFonts w:ascii="Arial"/>
                <w:sz w:val="21"/>
              </w:rPr>
            </w:pPr>
          </w:p>
          <w:p w14:paraId="5243895E">
            <w:pPr>
              <w:pStyle w:val="6"/>
              <w:spacing w:before="65" w:line="228" w:lineRule="auto"/>
              <w:ind w:left="55"/>
            </w:pPr>
            <w:r>
              <w:rPr>
                <w:b/>
                <w:bCs/>
                <w:spacing w:val="5"/>
              </w:rPr>
              <w:t>条款号</w:t>
            </w:r>
          </w:p>
        </w:tc>
        <w:tc>
          <w:tcPr>
            <w:tcW w:w="644" w:type="dxa"/>
            <w:vAlign w:val="top"/>
          </w:tcPr>
          <w:p w14:paraId="08C06379">
            <w:pPr>
              <w:pStyle w:val="6"/>
              <w:spacing w:before="176" w:line="253" w:lineRule="auto"/>
              <w:ind w:left="116" w:right="112"/>
            </w:pPr>
            <w:r>
              <w:rPr>
                <w:b/>
                <w:bCs/>
                <w:spacing w:val="3"/>
              </w:rPr>
              <w:t>条款</w:t>
            </w:r>
            <w:r>
              <w:rPr>
                <w:b/>
                <w:bCs/>
                <w:spacing w:val="2"/>
              </w:rPr>
              <w:t>名称</w:t>
            </w:r>
          </w:p>
        </w:tc>
        <w:tc>
          <w:tcPr>
            <w:tcW w:w="7039" w:type="dxa"/>
            <w:vAlign w:val="top"/>
          </w:tcPr>
          <w:p w14:paraId="4C3717DB">
            <w:pPr>
              <w:spacing w:line="246" w:lineRule="auto"/>
              <w:rPr>
                <w:rFonts w:ascii="Arial"/>
                <w:sz w:val="21"/>
              </w:rPr>
            </w:pPr>
          </w:p>
          <w:p w14:paraId="3E8739C0">
            <w:pPr>
              <w:pStyle w:val="6"/>
              <w:spacing w:before="65" w:line="228" w:lineRule="auto"/>
              <w:ind w:left="2573"/>
            </w:pPr>
            <w:r>
              <w:rPr>
                <w:b/>
                <w:bCs/>
                <w:spacing w:val="7"/>
              </w:rPr>
              <w:t>评审因素与评审标准</w:t>
            </w:r>
          </w:p>
        </w:tc>
      </w:tr>
      <w:tr w14:paraId="2EFC7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5" w:hRule="atLeast"/>
        </w:trPr>
        <w:tc>
          <w:tcPr>
            <w:tcW w:w="729" w:type="dxa"/>
            <w:vAlign w:val="top"/>
          </w:tcPr>
          <w:p w14:paraId="639393FA">
            <w:pPr>
              <w:rPr>
                <w:rFonts w:ascii="Arial"/>
                <w:sz w:val="21"/>
              </w:rPr>
            </w:pPr>
          </w:p>
        </w:tc>
        <w:tc>
          <w:tcPr>
            <w:tcW w:w="644" w:type="dxa"/>
            <w:vAlign w:val="top"/>
          </w:tcPr>
          <w:p w14:paraId="0EFAB7AB">
            <w:pPr>
              <w:rPr>
                <w:rFonts w:ascii="Arial"/>
                <w:sz w:val="21"/>
              </w:rPr>
            </w:pPr>
          </w:p>
        </w:tc>
        <w:tc>
          <w:tcPr>
            <w:tcW w:w="7039" w:type="dxa"/>
            <w:vAlign w:val="top"/>
          </w:tcPr>
          <w:p w14:paraId="6598223B">
            <w:pPr>
              <w:pStyle w:val="6"/>
              <w:spacing w:before="144" w:line="228" w:lineRule="auto"/>
              <w:ind w:left="473"/>
            </w:pPr>
            <w:r>
              <w:rPr>
                <w:spacing w:val="8"/>
              </w:rPr>
              <w:t>b.不同投标人委托同一单位或个人办理投标事宜；</w:t>
            </w:r>
          </w:p>
          <w:p w14:paraId="007CB2EB">
            <w:pPr>
              <w:pStyle w:val="6"/>
              <w:spacing w:before="79" w:line="228" w:lineRule="auto"/>
              <w:ind w:left="480"/>
            </w:pPr>
            <w:r>
              <w:rPr>
                <w:spacing w:val="8"/>
              </w:rPr>
              <w:t>c.不同投标人的投标文件载明的项目管理成员为同一人；</w:t>
            </w:r>
          </w:p>
          <w:p w14:paraId="3596D791">
            <w:pPr>
              <w:pStyle w:val="6"/>
              <w:spacing w:before="80" w:line="226" w:lineRule="auto"/>
              <w:ind w:left="480"/>
            </w:pPr>
            <w:r>
              <w:rPr>
                <w:spacing w:val="9"/>
              </w:rPr>
              <w:t>d.不同投标人的投标文件异常一致或投标报</w:t>
            </w:r>
            <w:r>
              <w:rPr>
                <w:spacing w:val="8"/>
              </w:rPr>
              <w:t>价呈规律性差异；</w:t>
            </w:r>
          </w:p>
          <w:p w14:paraId="447C6E1C">
            <w:pPr>
              <w:pStyle w:val="6"/>
              <w:spacing w:before="80" w:line="228" w:lineRule="auto"/>
              <w:ind w:left="481"/>
            </w:pPr>
            <w:r>
              <w:rPr>
                <w:spacing w:val="7"/>
              </w:rPr>
              <w:t>e.不同投标人的投标文件相互混装；</w:t>
            </w:r>
          </w:p>
          <w:p w14:paraId="16A40243">
            <w:pPr>
              <w:pStyle w:val="6"/>
              <w:spacing w:before="82" w:line="228" w:lineRule="auto"/>
              <w:ind w:left="479"/>
            </w:pPr>
            <w:r>
              <w:rPr>
                <w:spacing w:val="8"/>
              </w:rPr>
              <w:t>f.不同投标人的投标保证金从同一单位或个人的账户转出；</w:t>
            </w:r>
          </w:p>
          <w:p w14:paraId="2B0143B8">
            <w:pPr>
              <w:pStyle w:val="6"/>
              <w:spacing w:before="80" w:line="228" w:lineRule="auto"/>
              <w:ind w:left="486"/>
            </w:pPr>
            <w:r>
              <w:rPr>
                <w:spacing w:val="8"/>
              </w:rPr>
              <w:t>（3）有下列情形之一的，属于招标人与投标人串通投标：</w:t>
            </w:r>
          </w:p>
          <w:p w14:paraId="238C4EBF">
            <w:pPr>
              <w:pStyle w:val="6"/>
              <w:spacing w:before="78" w:line="228" w:lineRule="auto"/>
              <w:ind w:left="477"/>
            </w:pPr>
            <w:r>
              <w:rPr>
                <w:spacing w:val="9"/>
              </w:rPr>
              <w:t>a.招标人在开标前开启投标文件并将有关信息泄露给其他投</w:t>
            </w:r>
            <w:r>
              <w:rPr>
                <w:spacing w:val="8"/>
              </w:rPr>
              <w:t>标人</w:t>
            </w:r>
            <w:r>
              <w:rPr>
                <w:spacing w:val="-56"/>
              </w:rPr>
              <w:t xml:space="preserve"> </w:t>
            </w:r>
            <w:r>
              <w:rPr>
                <w:spacing w:val="8"/>
              </w:rPr>
              <w:t>;</w:t>
            </w:r>
          </w:p>
          <w:p w14:paraId="7C8020AA">
            <w:pPr>
              <w:pStyle w:val="6"/>
              <w:spacing w:before="80" w:line="227" w:lineRule="auto"/>
              <w:ind w:left="473"/>
            </w:pPr>
            <w:r>
              <w:rPr>
                <w:spacing w:val="9"/>
              </w:rPr>
              <w:t>b.招标人直接或间接向投标人泄露标底、评标委员会成员等信息；</w:t>
            </w:r>
          </w:p>
          <w:p w14:paraId="711E86A1">
            <w:pPr>
              <w:pStyle w:val="6"/>
              <w:spacing w:before="81" w:line="226" w:lineRule="auto"/>
              <w:ind w:left="480"/>
            </w:pPr>
            <w:r>
              <w:rPr>
                <w:spacing w:val="8"/>
              </w:rPr>
              <w:t>c.招标人明示或暗示投标人压低或抬高投标报价；</w:t>
            </w:r>
          </w:p>
          <w:p w14:paraId="0CEB777F">
            <w:pPr>
              <w:pStyle w:val="6"/>
              <w:spacing w:before="81" w:line="228" w:lineRule="auto"/>
              <w:ind w:left="480"/>
            </w:pPr>
            <w:r>
              <w:rPr>
                <w:spacing w:val="8"/>
              </w:rPr>
              <w:t>d.招标人授意投标人撤换、修改投标文件；</w:t>
            </w:r>
          </w:p>
          <w:p w14:paraId="3FACB8BC">
            <w:pPr>
              <w:pStyle w:val="6"/>
              <w:spacing w:before="82" w:line="227" w:lineRule="auto"/>
              <w:ind w:left="481"/>
            </w:pPr>
            <w:r>
              <w:rPr>
                <w:spacing w:val="8"/>
              </w:rPr>
              <w:t>e.招标人明示或暗示投标人为特定投标人中标提供方便；</w:t>
            </w:r>
          </w:p>
          <w:p w14:paraId="54382935">
            <w:pPr>
              <w:pStyle w:val="6"/>
              <w:spacing w:before="80" w:line="227" w:lineRule="auto"/>
              <w:ind w:left="479"/>
            </w:pPr>
            <w:r>
              <w:rPr>
                <w:spacing w:val="9"/>
              </w:rPr>
              <w:t>f.招标人与投标人为谋求特定投标人中标而采取的其他</w:t>
            </w:r>
            <w:r>
              <w:rPr>
                <w:spacing w:val="8"/>
              </w:rPr>
              <w:t>串通行为。</w:t>
            </w:r>
          </w:p>
          <w:p w14:paraId="68273AE1">
            <w:pPr>
              <w:pStyle w:val="6"/>
              <w:spacing w:before="81" w:line="227" w:lineRule="auto"/>
              <w:ind w:left="486"/>
            </w:pPr>
            <w:r>
              <w:rPr>
                <w:spacing w:val="8"/>
              </w:rPr>
              <w:t>（4）投标人有下列情形之一的，属于弄虚作假的行为：</w:t>
            </w:r>
          </w:p>
          <w:p w14:paraId="7B1B3CAD">
            <w:pPr>
              <w:pStyle w:val="6"/>
              <w:spacing w:before="80" w:line="227" w:lineRule="auto"/>
              <w:ind w:left="477"/>
            </w:pPr>
            <w:r>
              <w:rPr>
                <w:spacing w:val="9"/>
              </w:rPr>
              <w:t>a.使用通过受让或租借等方式获取的资格、</w:t>
            </w:r>
            <w:r>
              <w:rPr>
                <w:spacing w:val="8"/>
              </w:rPr>
              <w:t>资质证书投标；</w:t>
            </w:r>
          </w:p>
          <w:p w14:paraId="2A7D1BE9">
            <w:pPr>
              <w:pStyle w:val="6"/>
              <w:spacing w:before="81" w:line="228" w:lineRule="auto"/>
              <w:ind w:left="473"/>
            </w:pPr>
            <w:r>
              <w:rPr>
                <w:spacing w:val="8"/>
              </w:rPr>
              <w:t>b.使用伪造、变造的许可证件；</w:t>
            </w:r>
          </w:p>
          <w:p w14:paraId="35F961E5">
            <w:pPr>
              <w:pStyle w:val="6"/>
              <w:spacing w:before="82" w:line="227" w:lineRule="auto"/>
              <w:ind w:left="480"/>
            </w:pPr>
            <w:r>
              <w:rPr>
                <w:spacing w:val="7"/>
              </w:rPr>
              <w:t>c.提供虚假的财务状况或业绩；</w:t>
            </w:r>
          </w:p>
          <w:p w14:paraId="0125F9A4">
            <w:pPr>
              <w:pStyle w:val="6"/>
              <w:spacing w:before="80" w:line="227" w:lineRule="auto"/>
              <w:ind w:left="480"/>
            </w:pPr>
            <w:r>
              <w:rPr>
                <w:spacing w:val="9"/>
              </w:rPr>
              <w:t>d.提供虚假的项目负责人或主要技术人员简历</w:t>
            </w:r>
            <w:r>
              <w:rPr>
                <w:spacing w:val="8"/>
              </w:rPr>
              <w:t>、劳动关系证明；</w:t>
            </w:r>
          </w:p>
          <w:p w14:paraId="46F9CE70">
            <w:pPr>
              <w:pStyle w:val="6"/>
              <w:spacing w:before="81" w:line="227" w:lineRule="auto"/>
              <w:ind w:left="481"/>
            </w:pPr>
            <w:r>
              <w:rPr>
                <w:spacing w:val="7"/>
              </w:rPr>
              <w:t>e.提供虚假的信用状况；</w:t>
            </w:r>
          </w:p>
          <w:p w14:paraId="52186C4D">
            <w:pPr>
              <w:pStyle w:val="6"/>
              <w:spacing w:before="80" w:line="227" w:lineRule="auto"/>
              <w:ind w:left="479"/>
            </w:pPr>
            <w:r>
              <w:rPr>
                <w:spacing w:val="7"/>
              </w:rPr>
              <w:t>f.其他弄虚作假的行为。</w:t>
            </w:r>
          </w:p>
          <w:p w14:paraId="4F7ED38D">
            <w:pPr>
              <w:pStyle w:val="6"/>
              <w:spacing w:before="80" w:line="228" w:lineRule="auto"/>
              <w:ind w:left="480"/>
            </w:pPr>
            <w:r>
              <w:rPr>
                <w:spacing w:val="6"/>
              </w:rPr>
              <w:t>3.6.3</w:t>
            </w:r>
            <w:r>
              <w:rPr>
                <w:spacing w:val="-25"/>
              </w:rPr>
              <w:t xml:space="preserve"> </w:t>
            </w:r>
            <w:r>
              <w:rPr>
                <w:spacing w:val="6"/>
              </w:rPr>
              <w:t>投标人其他异常投标情形</w:t>
            </w:r>
          </w:p>
          <w:p w14:paraId="4A97EF89">
            <w:pPr>
              <w:pStyle w:val="6"/>
              <w:spacing w:before="79" w:line="302" w:lineRule="auto"/>
              <w:ind w:left="56" w:right="52" w:firstLine="419"/>
              <w:jc w:val="both"/>
            </w:pPr>
            <w:r>
              <w:rPr>
                <w:spacing w:val="10"/>
              </w:rPr>
              <w:t>评标委员会在评标过程中发现存在投标文件异常一致或投标</w:t>
            </w:r>
            <w:r>
              <w:rPr>
                <w:spacing w:val="9"/>
              </w:rPr>
              <w:t>活动异常关</w:t>
            </w:r>
            <w:r>
              <w:rPr>
                <w:spacing w:val="10"/>
              </w:rPr>
              <w:t>联等异常投标情形的，应当要求投标人在规定时间内作出书面</w:t>
            </w:r>
            <w:r>
              <w:rPr>
                <w:spacing w:val="9"/>
              </w:rPr>
              <w:t>说明并提供相</w:t>
            </w:r>
            <w:r>
              <w:rPr>
                <w:spacing w:val="10"/>
              </w:rPr>
              <w:t>应的证明材料。评标委员会应当认定投标人存在串通投标等违</w:t>
            </w:r>
            <w:r>
              <w:rPr>
                <w:spacing w:val="9"/>
              </w:rPr>
              <w:t>法行为情形，</w:t>
            </w:r>
            <w:r>
              <w:rPr>
                <w:spacing w:val="7"/>
              </w:rPr>
              <w:t>并否决其投标。</w:t>
            </w:r>
          </w:p>
          <w:p w14:paraId="26E4F357">
            <w:pPr>
              <w:pStyle w:val="6"/>
              <w:spacing w:before="1" w:line="301" w:lineRule="auto"/>
              <w:ind w:left="58" w:right="52" w:firstLine="418"/>
            </w:pPr>
            <w:r>
              <w:rPr>
                <w:spacing w:val="10"/>
              </w:rPr>
              <w:t>有下列情形之一的，属于投标文件异常一致或投标活动</w:t>
            </w:r>
            <w:r>
              <w:rPr>
                <w:spacing w:val="9"/>
              </w:rPr>
              <w:t>异常关联等异常</w:t>
            </w:r>
            <w:r>
              <w:rPr>
                <w:spacing w:val="5"/>
              </w:rPr>
              <w:t>投标情形：</w:t>
            </w:r>
          </w:p>
          <w:p w14:paraId="192A2C0E">
            <w:pPr>
              <w:pStyle w:val="6"/>
              <w:spacing w:before="1" w:line="226" w:lineRule="auto"/>
              <w:ind w:left="486"/>
            </w:pPr>
            <w:r>
              <w:rPr>
                <w:spacing w:val="8"/>
              </w:rPr>
              <w:t>（1）投标人投标文件制作机器码雷同；</w:t>
            </w:r>
          </w:p>
          <w:p w14:paraId="1D397CC0">
            <w:pPr>
              <w:pStyle w:val="6"/>
              <w:spacing w:before="80" w:line="228" w:lineRule="auto"/>
              <w:ind w:left="486"/>
            </w:pPr>
            <w:r>
              <w:rPr>
                <w:spacing w:val="7"/>
              </w:rPr>
              <w:t>（2）投标文件创建标识码雷同；</w:t>
            </w:r>
          </w:p>
          <w:p w14:paraId="2C1C375F">
            <w:pPr>
              <w:pStyle w:val="6"/>
              <w:spacing w:before="82" w:line="227" w:lineRule="auto"/>
              <w:ind w:left="486"/>
            </w:pPr>
            <w:r>
              <w:rPr>
                <w:spacing w:val="8"/>
              </w:rPr>
              <w:t>（3）投标文件制作计算机</w:t>
            </w:r>
            <w:r>
              <w:rPr>
                <w:spacing w:val="-43"/>
              </w:rPr>
              <w:t xml:space="preserve"> </w:t>
            </w:r>
            <w:r>
              <w:t>MAC</w:t>
            </w:r>
            <w:r>
              <w:rPr>
                <w:spacing w:val="-41"/>
              </w:rPr>
              <w:t xml:space="preserve"> </w:t>
            </w:r>
            <w:r>
              <w:rPr>
                <w:spacing w:val="8"/>
              </w:rPr>
              <w:t>地址雷同；</w:t>
            </w:r>
          </w:p>
          <w:p w14:paraId="05CB08A6">
            <w:pPr>
              <w:pStyle w:val="6"/>
              <w:spacing w:before="81" w:line="227" w:lineRule="auto"/>
              <w:ind w:left="486"/>
            </w:pPr>
            <w:r>
              <w:rPr>
                <w:spacing w:val="8"/>
              </w:rPr>
              <w:t>（4）投标文件制作计算机硬盘序列号雷同；</w:t>
            </w:r>
          </w:p>
          <w:p w14:paraId="037EADCD">
            <w:pPr>
              <w:pStyle w:val="6"/>
              <w:spacing w:before="80" w:line="228" w:lineRule="auto"/>
              <w:ind w:left="486"/>
            </w:pPr>
            <w:r>
              <w:rPr>
                <w:spacing w:val="6"/>
              </w:rPr>
              <w:t>（5）招标文件下载</w:t>
            </w:r>
            <w:r>
              <w:rPr>
                <w:spacing w:val="-28"/>
              </w:rPr>
              <w:t xml:space="preserve"> </w:t>
            </w:r>
            <w:r>
              <w:t>IP</w:t>
            </w:r>
            <w:r>
              <w:rPr>
                <w:spacing w:val="-38"/>
              </w:rPr>
              <w:t xml:space="preserve"> </w:t>
            </w:r>
            <w:r>
              <w:rPr>
                <w:spacing w:val="6"/>
              </w:rPr>
              <w:t>地址雷同；</w:t>
            </w:r>
          </w:p>
          <w:p w14:paraId="7EC83DEE">
            <w:pPr>
              <w:pStyle w:val="6"/>
              <w:spacing w:before="80" w:line="227" w:lineRule="auto"/>
              <w:ind w:left="486"/>
            </w:pPr>
            <w:r>
              <w:rPr>
                <w:spacing w:val="6"/>
              </w:rPr>
              <w:t>（6）投标文件上传</w:t>
            </w:r>
            <w:r>
              <w:rPr>
                <w:spacing w:val="-28"/>
              </w:rPr>
              <w:t xml:space="preserve"> </w:t>
            </w:r>
            <w:r>
              <w:t>IP</w:t>
            </w:r>
            <w:r>
              <w:rPr>
                <w:spacing w:val="-38"/>
              </w:rPr>
              <w:t xml:space="preserve"> </w:t>
            </w:r>
            <w:r>
              <w:rPr>
                <w:spacing w:val="6"/>
              </w:rPr>
              <w:t>地址雷同；</w:t>
            </w:r>
          </w:p>
          <w:p w14:paraId="57461BF9">
            <w:pPr>
              <w:pStyle w:val="6"/>
              <w:spacing w:before="82" w:line="228" w:lineRule="auto"/>
              <w:ind w:left="486"/>
            </w:pPr>
            <w:r>
              <w:rPr>
                <w:spacing w:val="6"/>
              </w:rPr>
              <w:t>（7）投标文件解密</w:t>
            </w:r>
            <w:r>
              <w:rPr>
                <w:spacing w:val="-28"/>
              </w:rPr>
              <w:t xml:space="preserve"> </w:t>
            </w:r>
            <w:r>
              <w:t>IP</w:t>
            </w:r>
            <w:r>
              <w:rPr>
                <w:spacing w:val="-38"/>
              </w:rPr>
              <w:t xml:space="preserve"> </w:t>
            </w:r>
            <w:r>
              <w:rPr>
                <w:spacing w:val="6"/>
              </w:rPr>
              <w:t>地址雷同。</w:t>
            </w:r>
          </w:p>
          <w:p w14:paraId="4FDDFC28">
            <w:pPr>
              <w:pStyle w:val="6"/>
              <w:spacing w:before="77" w:line="228" w:lineRule="auto"/>
              <w:ind w:left="480"/>
            </w:pPr>
            <w:r>
              <w:rPr>
                <w:b/>
                <w:bCs/>
                <w:spacing w:val="5"/>
              </w:rPr>
              <w:t>3.7</w:t>
            </w:r>
            <w:r>
              <w:rPr>
                <w:spacing w:val="-29"/>
              </w:rPr>
              <w:t xml:space="preserve"> </w:t>
            </w:r>
            <w:r>
              <w:rPr>
                <w:b/>
                <w:bCs/>
                <w:spacing w:val="5"/>
              </w:rPr>
              <w:t>投标文件的澄清和说明</w:t>
            </w:r>
          </w:p>
          <w:p w14:paraId="5DEAD8FD">
            <w:pPr>
              <w:pStyle w:val="6"/>
              <w:spacing w:before="84" w:line="301" w:lineRule="auto"/>
              <w:ind w:left="55" w:right="52" w:firstLine="425"/>
            </w:pPr>
            <w:r>
              <w:rPr>
                <w:spacing w:val="10"/>
              </w:rPr>
              <w:t>3.7.1</w:t>
            </w:r>
            <w:r>
              <w:rPr>
                <w:spacing w:val="-30"/>
              </w:rPr>
              <w:t xml:space="preserve"> </w:t>
            </w:r>
            <w:r>
              <w:rPr>
                <w:spacing w:val="10"/>
              </w:rPr>
              <w:t>在评标过程中，评标委员会可以书面形式要求投标人对投标文件中含义不明确的内容、明显文字或计算错误进行书面澄清或说明</w:t>
            </w:r>
            <w:r>
              <w:rPr>
                <w:spacing w:val="9"/>
              </w:rPr>
              <w:t>。评标委员</w:t>
            </w:r>
            <w:r>
              <w:rPr>
                <w:spacing w:val="10"/>
              </w:rPr>
              <w:t>会不接受投标人主动提出的澄清、说明。投标人不按评标委员会</w:t>
            </w:r>
            <w:r>
              <w:rPr>
                <w:spacing w:val="9"/>
              </w:rPr>
              <w:t>要求澄清或</w:t>
            </w:r>
            <w:r>
              <w:rPr>
                <w:spacing w:val="8"/>
              </w:rPr>
              <w:t>说明的，评标委员会应否决其投标。</w:t>
            </w:r>
          </w:p>
          <w:p w14:paraId="1B35F8B9">
            <w:pPr>
              <w:pStyle w:val="6"/>
              <w:spacing w:line="227" w:lineRule="auto"/>
              <w:ind w:left="480"/>
            </w:pPr>
            <w:r>
              <w:rPr>
                <w:spacing w:val="10"/>
              </w:rPr>
              <w:t>3.7.2</w:t>
            </w:r>
            <w:r>
              <w:rPr>
                <w:spacing w:val="-30"/>
              </w:rPr>
              <w:t xml:space="preserve"> </w:t>
            </w:r>
            <w:r>
              <w:rPr>
                <w:spacing w:val="10"/>
              </w:rPr>
              <w:t>澄清和说明不得超出投标文件的范围或改变投标文件的实质性内</w:t>
            </w:r>
          </w:p>
        </w:tc>
      </w:tr>
    </w:tbl>
    <w:p w14:paraId="3724F26C">
      <w:pPr>
        <w:spacing w:line="174" w:lineRule="exact"/>
        <w:rPr>
          <w:rFonts w:ascii="Arial"/>
          <w:sz w:val="15"/>
        </w:rPr>
      </w:pPr>
    </w:p>
    <w:p w14:paraId="79C67F86">
      <w:pPr>
        <w:spacing w:line="174" w:lineRule="exact"/>
        <w:rPr>
          <w:rFonts w:ascii="Arial" w:hAnsi="Arial" w:eastAsia="Arial" w:cs="Arial"/>
          <w:sz w:val="15"/>
          <w:szCs w:val="15"/>
        </w:rPr>
        <w:sectPr>
          <w:footerReference r:id="rId22" w:type="default"/>
          <w:pgSz w:w="11906" w:h="16839"/>
          <w:pgMar w:top="400" w:right="1744" w:bottom="1378" w:left="1744" w:header="0" w:footer="1212" w:gutter="0"/>
          <w:cols w:space="720" w:num="1"/>
        </w:sectPr>
      </w:pPr>
    </w:p>
    <w:p w14:paraId="6A9B2572">
      <w:pPr>
        <w:spacing w:before="19"/>
      </w:pPr>
    </w:p>
    <w:p w14:paraId="3485DD6A">
      <w:pPr>
        <w:spacing w:before="19"/>
      </w:pPr>
    </w:p>
    <w:p w14:paraId="473FA3D5">
      <w:pPr>
        <w:spacing w:before="18"/>
      </w:pPr>
    </w:p>
    <w:p w14:paraId="75912223">
      <w:pPr>
        <w:spacing w:before="18"/>
      </w:pPr>
    </w:p>
    <w:tbl>
      <w:tblPr>
        <w:tblStyle w:val="5"/>
        <w:tblW w:w="8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644"/>
        <w:gridCol w:w="7039"/>
      </w:tblGrid>
      <w:tr w14:paraId="26C27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29" w:type="dxa"/>
            <w:vAlign w:val="top"/>
          </w:tcPr>
          <w:p w14:paraId="2BAD3564">
            <w:pPr>
              <w:spacing w:line="246" w:lineRule="auto"/>
              <w:rPr>
                <w:rFonts w:ascii="Arial"/>
                <w:sz w:val="21"/>
              </w:rPr>
            </w:pPr>
          </w:p>
          <w:p w14:paraId="7093DFA8">
            <w:pPr>
              <w:pStyle w:val="6"/>
              <w:spacing w:before="65" w:line="228" w:lineRule="auto"/>
              <w:ind w:left="55"/>
            </w:pPr>
            <w:r>
              <w:rPr>
                <w:b/>
                <w:bCs/>
                <w:spacing w:val="5"/>
              </w:rPr>
              <w:t>条款号</w:t>
            </w:r>
          </w:p>
        </w:tc>
        <w:tc>
          <w:tcPr>
            <w:tcW w:w="644" w:type="dxa"/>
            <w:vAlign w:val="top"/>
          </w:tcPr>
          <w:p w14:paraId="3F0914BE">
            <w:pPr>
              <w:pStyle w:val="6"/>
              <w:spacing w:before="176" w:line="253" w:lineRule="auto"/>
              <w:ind w:left="116" w:right="112"/>
            </w:pPr>
            <w:r>
              <w:rPr>
                <w:b/>
                <w:bCs/>
                <w:spacing w:val="3"/>
              </w:rPr>
              <w:t>条款</w:t>
            </w:r>
            <w:r>
              <w:rPr>
                <w:b/>
                <w:bCs/>
                <w:spacing w:val="2"/>
              </w:rPr>
              <w:t>名称</w:t>
            </w:r>
          </w:p>
        </w:tc>
        <w:tc>
          <w:tcPr>
            <w:tcW w:w="7039" w:type="dxa"/>
            <w:vAlign w:val="top"/>
          </w:tcPr>
          <w:p w14:paraId="5ED69DB8">
            <w:pPr>
              <w:spacing w:line="246" w:lineRule="auto"/>
              <w:rPr>
                <w:rFonts w:ascii="Arial"/>
                <w:sz w:val="21"/>
              </w:rPr>
            </w:pPr>
          </w:p>
          <w:p w14:paraId="30058437">
            <w:pPr>
              <w:pStyle w:val="6"/>
              <w:spacing w:before="65" w:line="228" w:lineRule="auto"/>
              <w:ind w:left="2573"/>
            </w:pPr>
            <w:r>
              <w:rPr>
                <w:b/>
                <w:bCs/>
                <w:spacing w:val="7"/>
              </w:rPr>
              <w:t>评审因素与评审标准</w:t>
            </w:r>
          </w:p>
        </w:tc>
      </w:tr>
      <w:tr w14:paraId="64F8C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5" w:hRule="atLeast"/>
        </w:trPr>
        <w:tc>
          <w:tcPr>
            <w:tcW w:w="729" w:type="dxa"/>
            <w:vAlign w:val="top"/>
          </w:tcPr>
          <w:p w14:paraId="5C249DBA">
            <w:pPr>
              <w:rPr>
                <w:rFonts w:ascii="Arial"/>
                <w:sz w:val="21"/>
              </w:rPr>
            </w:pPr>
          </w:p>
        </w:tc>
        <w:tc>
          <w:tcPr>
            <w:tcW w:w="644" w:type="dxa"/>
            <w:vAlign w:val="top"/>
          </w:tcPr>
          <w:p w14:paraId="4BFE72F8">
            <w:pPr>
              <w:rPr>
                <w:rFonts w:ascii="Arial"/>
                <w:sz w:val="21"/>
              </w:rPr>
            </w:pPr>
          </w:p>
        </w:tc>
        <w:tc>
          <w:tcPr>
            <w:tcW w:w="7039" w:type="dxa"/>
            <w:vAlign w:val="top"/>
          </w:tcPr>
          <w:p w14:paraId="748A9862">
            <w:pPr>
              <w:pStyle w:val="6"/>
              <w:spacing w:before="145" w:line="227" w:lineRule="auto"/>
              <w:ind w:left="58"/>
            </w:pPr>
            <w:r>
              <w:rPr>
                <w:spacing w:val="9"/>
              </w:rPr>
              <w:t>容。投标人的书面澄清、说明属于投标文件的组成部分。</w:t>
            </w:r>
          </w:p>
          <w:p w14:paraId="7235717D">
            <w:pPr>
              <w:pStyle w:val="6"/>
              <w:spacing w:before="81" w:line="301" w:lineRule="auto"/>
              <w:ind w:left="60" w:right="52" w:firstLine="420"/>
            </w:pPr>
            <w:r>
              <w:rPr>
                <w:spacing w:val="10"/>
              </w:rPr>
              <w:t>3.7.3</w:t>
            </w:r>
            <w:r>
              <w:rPr>
                <w:spacing w:val="-30"/>
              </w:rPr>
              <w:t xml:space="preserve"> </w:t>
            </w:r>
            <w:r>
              <w:rPr>
                <w:spacing w:val="10"/>
              </w:rPr>
              <w:t>评标委员会不得暗示或诱导投标人作出澄清、说明，对投标人提</w:t>
            </w:r>
            <w:r>
              <w:rPr>
                <w:spacing w:val="9"/>
              </w:rPr>
              <w:t>交的澄清、说明有疑问的，可以要求投标人进一步澄清或说明。</w:t>
            </w:r>
          </w:p>
          <w:p w14:paraId="793714E2">
            <w:pPr>
              <w:pStyle w:val="6"/>
              <w:spacing w:line="302" w:lineRule="auto"/>
              <w:ind w:left="56" w:right="87" w:firstLine="424"/>
            </w:pPr>
            <w:r>
              <w:rPr>
                <w:spacing w:val="9"/>
              </w:rPr>
              <w:t>3.7.4</w:t>
            </w:r>
            <w:r>
              <w:rPr>
                <w:spacing w:val="-32"/>
              </w:rPr>
              <w:t xml:space="preserve"> </w:t>
            </w:r>
            <w:r>
              <w:rPr>
                <w:spacing w:val="9"/>
              </w:rPr>
              <w:t>凡超出招标文件规定的或给发包人带来未曾要求的利益的变化、</w:t>
            </w:r>
            <w:r>
              <w:rPr>
                <w:spacing w:val="8"/>
              </w:rPr>
              <w:t>偏差或其他因素在评标时不予考虑。</w:t>
            </w:r>
          </w:p>
          <w:p w14:paraId="3B788703">
            <w:pPr>
              <w:pStyle w:val="6"/>
              <w:spacing w:line="227" w:lineRule="auto"/>
              <w:ind w:left="480"/>
            </w:pPr>
            <w:r>
              <w:rPr>
                <w:b/>
                <w:bCs/>
                <w:spacing w:val="5"/>
              </w:rPr>
              <w:t>3.8</w:t>
            </w:r>
            <w:r>
              <w:rPr>
                <w:spacing w:val="-33"/>
              </w:rPr>
              <w:t xml:space="preserve"> </w:t>
            </w:r>
            <w:r>
              <w:rPr>
                <w:b/>
                <w:bCs/>
                <w:spacing w:val="5"/>
              </w:rPr>
              <w:t>不得否决投标的情形</w:t>
            </w:r>
          </w:p>
          <w:p w14:paraId="739BB3E9">
            <w:pPr>
              <w:pStyle w:val="6"/>
              <w:spacing w:before="80" w:line="301" w:lineRule="auto"/>
              <w:ind w:left="56" w:firstLine="419"/>
              <w:jc w:val="both"/>
            </w:pPr>
            <w:r>
              <w:rPr>
                <w:spacing w:val="3"/>
              </w:rPr>
              <w:t>投标文件存在第二章“投标人须知</w:t>
            </w:r>
            <w:r>
              <w:rPr>
                <w:spacing w:val="-71"/>
              </w:rPr>
              <w:t xml:space="preserve"> </w:t>
            </w:r>
            <w:r>
              <w:rPr>
                <w:spacing w:val="3"/>
              </w:rPr>
              <w:t>”第</w:t>
            </w:r>
            <w:r>
              <w:rPr>
                <w:spacing w:val="-24"/>
              </w:rPr>
              <w:t xml:space="preserve"> </w:t>
            </w:r>
            <w:r>
              <w:rPr>
                <w:spacing w:val="3"/>
              </w:rPr>
              <w:t>1.</w:t>
            </w:r>
            <w:r>
              <w:rPr>
                <w:spacing w:val="2"/>
              </w:rPr>
              <w:t>12.3</w:t>
            </w:r>
            <w:r>
              <w:rPr>
                <w:spacing w:val="-35"/>
              </w:rPr>
              <w:t xml:space="preserve"> </w:t>
            </w:r>
            <w:r>
              <w:rPr>
                <w:spacing w:val="2"/>
              </w:rPr>
              <w:t>项所列情形的，均视为细</w:t>
            </w:r>
            <w:r>
              <w:rPr>
                <w:spacing w:val="10"/>
              </w:rPr>
              <w:t>微偏差，评标委员会不得否决投标人的投标，应按照第二章“投标人须知</w:t>
            </w:r>
            <w:r>
              <w:rPr>
                <w:spacing w:val="-54"/>
              </w:rPr>
              <w:t xml:space="preserve"> </w:t>
            </w:r>
            <w:r>
              <w:rPr>
                <w:spacing w:val="10"/>
              </w:rPr>
              <w:t>”</w:t>
            </w:r>
            <w:r>
              <w:rPr>
                <w:spacing w:val="3"/>
              </w:rPr>
              <w:t>第</w:t>
            </w:r>
            <w:r>
              <w:rPr>
                <w:spacing w:val="-17"/>
              </w:rPr>
              <w:t xml:space="preserve"> </w:t>
            </w:r>
            <w:r>
              <w:rPr>
                <w:spacing w:val="3"/>
              </w:rPr>
              <w:t>1.12.4</w:t>
            </w:r>
            <w:r>
              <w:rPr>
                <w:spacing w:val="-35"/>
              </w:rPr>
              <w:t xml:space="preserve"> </w:t>
            </w:r>
            <w:r>
              <w:rPr>
                <w:spacing w:val="3"/>
              </w:rPr>
              <w:t>项规定的原则处理。</w:t>
            </w:r>
          </w:p>
          <w:p w14:paraId="2B88EBDA">
            <w:pPr>
              <w:pStyle w:val="6"/>
              <w:spacing w:before="1" w:line="228" w:lineRule="auto"/>
              <w:ind w:left="480"/>
            </w:pPr>
            <w:r>
              <w:rPr>
                <w:b/>
                <w:bCs/>
                <w:spacing w:val="3"/>
              </w:rPr>
              <w:t>3.9</w:t>
            </w:r>
            <w:r>
              <w:rPr>
                <w:spacing w:val="-37"/>
              </w:rPr>
              <w:t xml:space="preserve"> </w:t>
            </w:r>
            <w:r>
              <w:rPr>
                <w:b/>
                <w:bCs/>
                <w:spacing w:val="3"/>
              </w:rPr>
              <w:t>评标结果</w:t>
            </w:r>
          </w:p>
          <w:p w14:paraId="32305FD6">
            <w:pPr>
              <w:pStyle w:val="6"/>
              <w:spacing w:before="82" w:line="301" w:lineRule="auto"/>
              <w:ind w:left="61" w:firstLine="419"/>
            </w:pPr>
            <w:r>
              <w:rPr>
                <w:spacing w:val="6"/>
              </w:rPr>
              <w:t>3.9.1</w:t>
            </w:r>
            <w:r>
              <w:rPr>
                <w:spacing w:val="-55"/>
              </w:rPr>
              <w:t xml:space="preserve"> </w:t>
            </w:r>
            <w:r>
              <w:rPr>
                <w:spacing w:val="6"/>
              </w:rPr>
              <w:t>评标委员会按照综合得分由高到低的顺序</w:t>
            </w:r>
            <w:r>
              <w:rPr>
                <w:spacing w:val="5"/>
              </w:rPr>
              <w:t>推荐</w:t>
            </w:r>
            <w:r>
              <w:rPr>
                <w:spacing w:val="-39"/>
              </w:rPr>
              <w:t xml:space="preserve"> </w:t>
            </w:r>
            <w:r>
              <w:rPr>
                <w:spacing w:val="5"/>
              </w:rPr>
              <w:t>1-3</w:t>
            </w:r>
            <w:r>
              <w:rPr>
                <w:spacing w:val="-52"/>
              </w:rPr>
              <w:t xml:space="preserve"> </w:t>
            </w:r>
            <w:r>
              <w:rPr>
                <w:spacing w:val="5"/>
              </w:rPr>
              <w:t>名中标候选人，并标明排序。</w:t>
            </w:r>
          </w:p>
          <w:p w14:paraId="7227C3CE">
            <w:pPr>
              <w:pStyle w:val="6"/>
              <w:spacing w:line="226" w:lineRule="auto"/>
              <w:ind w:left="480"/>
            </w:pPr>
            <w:r>
              <w:rPr>
                <w:spacing w:val="8"/>
              </w:rPr>
              <w:t>3.9.2</w:t>
            </w:r>
            <w:r>
              <w:rPr>
                <w:spacing w:val="-40"/>
              </w:rPr>
              <w:t xml:space="preserve"> </w:t>
            </w:r>
            <w:r>
              <w:rPr>
                <w:spacing w:val="8"/>
              </w:rPr>
              <w:t>评标委员会完成评标后，应向招标人提交书面评标报告。</w:t>
            </w:r>
          </w:p>
        </w:tc>
      </w:tr>
    </w:tbl>
    <w:p w14:paraId="4D5A690C">
      <w:pPr>
        <w:spacing w:line="243" w:lineRule="auto"/>
        <w:rPr>
          <w:rFonts w:ascii="Arial"/>
          <w:sz w:val="21"/>
        </w:rPr>
      </w:pPr>
    </w:p>
    <w:p w14:paraId="68865382">
      <w:pPr>
        <w:spacing w:line="243" w:lineRule="auto"/>
        <w:rPr>
          <w:rFonts w:ascii="Arial"/>
          <w:sz w:val="21"/>
        </w:rPr>
      </w:pPr>
    </w:p>
    <w:p w14:paraId="14F4ACC7">
      <w:pPr>
        <w:spacing w:line="243" w:lineRule="auto"/>
        <w:rPr>
          <w:rFonts w:ascii="Arial"/>
          <w:sz w:val="21"/>
        </w:rPr>
      </w:pPr>
    </w:p>
    <w:p w14:paraId="05C6E05B">
      <w:pPr>
        <w:spacing w:line="243" w:lineRule="auto"/>
        <w:rPr>
          <w:rFonts w:ascii="Arial"/>
          <w:sz w:val="21"/>
        </w:rPr>
      </w:pPr>
    </w:p>
    <w:p w14:paraId="77AF42D2">
      <w:pPr>
        <w:spacing w:line="243" w:lineRule="auto"/>
        <w:rPr>
          <w:rFonts w:ascii="Arial"/>
          <w:sz w:val="21"/>
        </w:rPr>
      </w:pPr>
    </w:p>
    <w:p w14:paraId="123718FB">
      <w:pPr>
        <w:spacing w:line="243" w:lineRule="auto"/>
        <w:rPr>
          <w:rFonts w:ascii="Arial"/>
          <w:sz w:val="21"/>
        </w:rPr>
      </w:pPr>
    </w:p>
    <w:p w14:paraId="4D545F5A">
      <w:pPr>
        <w:spacing w:line="243" w:lineRule="auto"/>
        <w:rPr>
          <w:rFonts w:ascii="Arial"/>
          <w:sz w:val="21"/>
        </w:rPr>
      </w:pPr>
    </w:p>
    <w:p w14:paraId="18C1AD6D">
      <w:pPr>
        <w:spacing w:line="243" w:lineRule="auto"/>
        <w:rPr>
          <w:rFonts w:ascii="Arial"/>
          <w:sz w:val="21"/>
        </w:rPr>
      </w:pPr>
    </w:p>
    <w:p w14:paraId="7A03985F">
      <w:pPr>
        <w:spacing w:line="243" w:lineRule="auto"/>
        <w:rPr>
          <w:rFonts w:ascii="Arial"/>
          <w:sz w:val="21"/>
        </w:rPr>
      </w:pPr>
    </w:p>
    <w:p w14:paraId="1270FD70">
      <w:pPr>
        <w:spacing w:line="243" w:lineRule="auto"/>
        <w:rPr>
          <w:rFonts w:ascii="Arial"/>
          <w:sz w:val="21"/>
        </w:rPr>
      </w:pPr>
    </w:p>
    <w:p w14:paraId="3F58CD76">
      <w:pPr>
        <w:spacing w:line="243" w:lineRule="auto"/>
        <w:rPr>
          <w:rFonts w:ascii="Arial"/>
          <w:sz w:val="21"/>
        </w:rPr>
      </w:pPr>
    </w:p>
    <w:p w14:paraId="73C83680">
      <w:pPr>
        <w:spacing w:line="243" w:lineRule="auto"/>
        <w:rPr>
          <w:rFonts w:ascii="Arial"/>
          <w:sz w:val="21"/>
        </w:rPr>
      </w:pPr>
    </w:p>
    <w:p w14:paraId="5480C3C6">
      <w:pPr>
        <w:spacing w:line="243" w:lineRule="auto"/>
        <w:rPr>
          <w:rFonts w:ascii="Arial"/>
          <w:sz w:val="21"/>
        </w:rPr>
      </w:pPr>
    </w:p>
    <w:p w14:paraId="28B8EC01">
      <w:pPr>
        <w:spacing w:line="243" w:lineRule="auto"/>
        <w:rPr>
          <w:rFonts w:ascii="Arial"/>
          <w:sz w:val="21"/>
        </w:rPr>
      </w:pPr>
    </w:p>
    <w:p w14:paraId="49463658">
      <w:pPr>
        <w:spacing w:line="243" w:lineRule="auto"/>
        <w:rPr>
          <w:rFonts w:ascii="Arial"/>
          <w:sz w:val="21"/>
        </w:rPr>
      </w:pPr>
    </w:p>
    <w:p w14:paraId="07BC232A">
      <w:pPr>
        <w:spacing w:line="243" w:lineRule="auto"/>
        <w:rPr>
          <w:rFonts w:ascii="Arial"/>
          <w:sz w:val="21"/>
        </w:rPr>
      </w:pPr>
    </w:p>
    <w:p w14:paraId="1DE374BA">
      <w:pPr>
        <w:spacing w:line="243" w:lineRule="auto"/>
        <w:rPr>
          <w:rFonts w:ascii="Arial"/>
          <w:sz w:val="21"/>
        </w:rPr>
      </w:pPr>
    </w:p>
    <w:p w14:paraId="15E4F8AC">
      <w:pPr>
        <w:spacing w:line="243" w:lineRule="auto"/>
        <w:rPr>
          <w:rFonts w:ascii="Arial"/>
          <w:sz w:val="21"/>
        </w:rPr>
      </w:pPr>
    </w:p>
    <w:p w14:paraId="005E8729">
      <w:pPr>
        <w:spacing w:line="243" w:lineRule="auto"/>
        <w:rPr>
          <w:rFonts w:ascii="Arial"/>
          <w:sz w:val="21"/>
        </w:rPr>
      </w:pPr>
    </w:p>
    <w:p w14:paraId="3E860D93">
      <w:pPr>
        <w:spacing w:line="243" w:lineRule="auto"/>
        <w:rPr>
          <w:rFonts w:ascii="Arial"/>
          <w:sz w:val="21"/>
        </w:rPr>
      </w:pPr>
    </w:p>
    <w:p w14:paraId="09D7D47C">
      <w:pPr>
        <w:spacing w:line="244" w:lineRule="auto"/>
        <w:rPr>
          <w:rFonts w:ascii="Arial"/>
          <w:sz w:val="21"/>
        </w:rPr>
      </w:pPr>
    </w:p>
    <w:p w14:paraId="7D4ECC46">
      <w:pPr>
        <w:spacing w:line="244" w:lineRule="auto"/>
        <w:rPr>
          <w:rFonts w:ascii="Arial"/>
          <w:sz w:val="21"/>
        </w:rPr>
      </w:pPr>
    </w:p>
    <w:p w14:paraId="67A74BA9">
      <w:pPr>
        <w:spacing w:line="244" w:lineRule="auto"/>
        <w:rPr>
          <w:rFonts w:ascii="Arial"/>
          <w:sz w:val="21"/>
        </w:rPr>
      </w:pPr>
    </w:p>
    <w:p w14:paraId="3402A04F">
      <w:pPr>
        <w:spacing w:line="244" w:lineRule="auto"/>
        <w:rPr>
          <w:rFonts w:ascii="Arial"/>
          <w:sz w:val="21"/>
        </w:rPr>
      </w:pPr>
    </w:p>
    <w:p w14:paraId="0D874ABB">
      <w:pPr>
        <w:spacing w:line="244" w:lineRule="auto"/>
        <w:rPr>
          <w:rFonts w:ascii="Arial"/>
          <w:sz w:val="21"/>
        </w:rPr>
      </w:pPr>
    </w:p>
    <w:p w14:paraId="103BD945">
      <w:pPr>
        <w:spacing w:line="244" w:lineRule="auto"/>
        <w:rPr>
          <w:rFonts w:ascii="Arial"/>
          <w:sz w:val="21"/>
        </w:rPr>
      </w:pPr>
    </w:p>
    <w:p w14:paraId="434F4FE4">
      <w:pPr>
        <w:spacing w:line="244" w:lineRule="auto"/>
        <w:rPr>
          <w:rFonts w:ascii="Arial"/>
          <w:sz w:val="21"/>
        </w:rPr>
      </w:pPr>
    </w:p>
    <w:p w14:paraId="4D7BD2AC">
      <w:pPr>
        <w:spacing w:line="244" w:lineRule="auto"/>
        <w:rPr>
          <w:rFonts w:ascii="Arial"/>
          <w:sz w:val="21"/>
        </w:rPr>
      </w:pPr>
    </w:p>
    <w:p w14:paraId="03E56833">
      <w:pPr>
        <w:spacing w:line="244" w:lineRule="auto"/>
        <w:rPr>
          <w:rFonts w:ascii="Arial"/>
          <w:sz w:val="21"/>
        </w:rPr>
      </w:pPr>
    </w:p>
    <w:p w14:paraId="52862380">
      <w:pPr>
        <w:spacing w:line="244" w:lineRule="auto"/>
        <w:rPr>
          <w:rFonts w:ascii="Arial"/>
          <w:sz w:val="21"/>
        </w:rPr>
      </w:pPr>
    </w:p>
    <w:p w14:paraId="3637C74C">
      <w:pPr>
        <w:spacing w:line="244" w:lineRule="auto"/>
        <w:rPr>
          <w:rFonts w:ascii="Arial"/>
          <w:sz w:val="21"/>
        </w:rPr>
      </w:pPr>
    </w:p>
    <w:p w14:paraId="5122BA12">
      <w:pPr>
        <w:spacing w:line="244" w:lineRule="auto"/>
        <w:rPr>
          <w:rFonts w:ascii="Arial"/>
          <w:sz w:val="21"/>
        </w:rPr>
      </w:pPr>
    </w:p>
    <w:p w14:paraId="444157E2">
      <w:pPr>
        <w:spacing w:line="244" w:lineRule="auto"/>
        <w:rPr>
          <w:rFonts w:ascii="Arial"/>
          <w:sz w:val="21"/>
        </w:rPr>
      </w:pPr>
    </w:p>
    <w:p w14:paraId="423C0F0B">
      <w:pPr>
        <w:pStyle w:val="2"/>
        <w:spacing w:before="65" w:line="228" w:lineRule="auto"/>
        <w:ind w:left="908"/>
        <w:rPr>
          <w:sz w:val="20"/>
          <w:szCs w:val="20"/>
        </w:rPr>
      </w:pPr>
      <w:r>
        <w:rPr>
          <w:spacing w:val="7"/>
          <w:sz w:val="20"/>
          <w:szCs w:val="20"/>
        </w:rPr>
        <w:t>具体评分标准如下：</w:t>
      </w:r>
    </w:p>
    <w:p w14:paraId="7B8B4A60">
      <w:pPr>
        <w:spacing w:line="228" w:lineRule="auto"/>
        <w:rPr>
          <w:sz w:val="20"/>
          <w:szCs w:val="20"/>
        </w:rPr>
        <w:sectPr>
          <w:footerReference r:id="rId23" w:type="default"/>
          <w:pgSz w:w="11906" w:h="16839"/>
          <w:pgMar w:top="400" w:right="1744" w:bottom="1377" w:left="1744" w:header="0" w:footer="1212" w:gutter="0"/>
          <w:cols w:space="720" w:num="1"/>
        </w:sectPr>
      </w:pPr>
    </w:p>
    <w:p w14:paraId="221FCEA9">
      <w:pPr>
        <w:spacing w:before="19"/>
      </w:pPr>
    </w:p>
    <w:p w14:paraId="5A7EA3A2">
      <w:pPr>
        <w:spacing w:before="19"/>
      </w:pPr>
    </w:p>
    <w:p w14:paraId="175A58EB">
      <w:pPr>
        <w:spacing w:before="18"/>
      </w:pPr>
    </w:p>
    <w:p w14:paraId="57597042">
      <w:pPr>
        <w:spacing w:before="18"/>
      </w:pPr>
    </w:p>
    <w:tbl>
      <w:tblPr>
        <w:tblStyle w:val="5"/>
        <w:tblW w:w="85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6"/>
        <w:gridCol w:w="906"/>
        <w:gridCol w:w="831"/>
        <w:gridCol w:w="1420"/>
        <w:gridCol w:w="638"/>
        <w:gridCol w:w="4249"/>
      </w:tblGrid>
      <w:tr w14:paraId="570D6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261" w:type="dxa"/>
            <w:gridSpan w:val="5"/>
            <w:vAlign w:val="top"/>
          </w:tcPr>
          <w:p w14:paraId="4824EAE8">
            <w:pPr>
              <w:pStyle w:val="6"/>
              <w:spacing w:before="212" w:line="228" w:lineRule="auto"/>
              <w:ind w:left="1191"/>
            </w:pPr>
            <w:r>
              <w:rPr>
                <w:spacing w:val="9"/>
              </w:rPr>
              <w:t>评分因素与权重分值</w:t>
            </w:r>
          </w:p>
        </w:tc>
        <w:tc>
          <w:tcPr>
            <w:tcW w:w="4249" w:type="dxa"/>
            <w:vMerge w:val="restart"/>
            <w:tcBorders>
              <w:bottom w:val="nil"/>
            </w:tcBorders>
            <w:vAlign w:val="top"/>
          </w:tcPr>
          <w:p w14:paraId="75C30ADF">
            <w:pPr>
              <w:spacing w:line="267" w:lineRule="auto"/>
              <w:rPr>
                <w:rFonts w:ascii="Arial"/>
                <w:sz w:val="21"/>
              </w:rPr>
            </w:pPr>
          </w:p>
          <w:p w14:paraId="7762B59B">
            <w:pPr>
              <w:spacing w:line="267" w:lineRule="auto"/>
              <w:rPr>
                <w:rFonts w:ascii="Arial"/>
                <w:sz w:val="21"/>
              </w:rPr>
            </w:pPr>
          </w:p>
          <w:p w14:paraId="5B0FD20A">
            <w:pPr>
              <w:spacing w:line="268" w:lineRule="auto"/>
              <w:rPr>
                <w:rFonts w:ascii="Arial"/>
                <w:sz w:val="21"/>
              </w:rPr>
            </w:pPr>
          </w:p>
          <w:p w14:paraId="5C9C453E">
            <w:pPr>
              <w:pStyle w:val="6"/>
              <w:spacing w:before="65" w:line="228" w:lineRule="auto"/>
              <w:ind w:left="1706"/>
            </w:pPr>
            <w:r>
              <w:rPr>
                <w:spacing w:val="7"/>
              </w:rPr>
              <w:t>评分标准</w:t>
            </w:r>
          </w:p>
        </w:tc>
      </w:tr>
      <w:tr w14:paraId="13217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466" w:type="dxa"/>
            <w:textDirection w:val="tbRlV"/>
            <w:vAlign w:val="top"/>
          </w:tcPr>
          <w:p w14:paraId="16E7EC8A">
            <w:pPr>
              <w:pStyle w:val="6"/>
              <w:spacing w:before="127" w:line="215" w:lineRule="auto"/>
              <w:ind w:left="251"/>
            </w:pPr>
            <w:r>
              <w:rPr>
                <w:spacing w:val="9"/>
              </w:rPr>
              <w:t>条 款</w:t>
            </w:r>
            <w:r>
              <w:rPr>
                <w:spacing w:val="12"/>
              </w:rPr>
              <w:t xml:space="preserve"> </w:t>
            </w:r>
            <w:r>
              <w:rPr>
                <w:spacing w:val="9"/>
              </w:rPr>
              <w:t>号</w:t>
            </w:r>
          </w:p>
        </w:tc>
        <w:tc>
          <w:tcPr>
            <w:tcW w:w="906" w:type="dxa"/>
            <w:vAlign w:val="top"/>
          </w:tcPr>
          <w:p w14:paraId="49A7B46E">
            <w:pPr>
              <w:spacing w:line="344" w:lineRule="auto"/>
              <w:rPr>
                <w:rFonts w:ascii="Arial"/>
                <w:sz w:val="21"/>
              </w:rPr>
            </w:pPr>
          </w:p>
          <w:p w14:paraId="04C226C1">
            <w:pPr>
              <w:pStyle w:val="6"/>
              <w:spacing w:before="65" w:line="296" w:lineRule="auto"/>
              <w:ind w:left="352" w:right="139" w:hanging="212"/>
            </w:pPr>
            <w:r>
              <w:rPr>
                <w:spacing w:val="7"/>
              </w:rPr>
              <w:t>评分因</w:t>
            </w:r>
            <w:r>
              <w:t>素</w:t>
            </w:r>
          </w:p>
        </w:tc>
        <w:tc>
          <w:tcPr>
            <w:tcW w:w="831" w:type="dxa"/>
            <w:vAlign w:val="top"/>
          </w:tcPr>
          <w:p w14:paraId="7F89144A">
            <w:pPr>
              <w:pStyle w:val="6"/>
              <w:spacing w:before="90" w:line="228" w:lineRule="auto"/>
              <w:ind w:left="208"/>
            </w:pPr>
            <w:r>
              <w:rPr>
                <w:spacing w:val="5"/>
              </w:rPr>
              <w:t>评分</w:t>
            </w:r>
          </w:p>
          <w:p w14:paraId="517FB107">
            <w:pPr>
              <w:pStyle w:val="6"/>
              <w:spacing w:before="73" w:line="228" w:lineRule="auto"/>
              <w:ind w:left="225"/>
            </w:pPr>
            <w:r>
              <w:rPr>
                <w:spacing w:val="-4"/>
              </w:rPr>
              <w:t>因素</w:t>
            </w:r>
          </w:p>
          <w:p w14:paraId="6EA16CB1">
            <w:pPr>
              <w:pStyle w:val="6"/>
              <w:spacing w:before="72" w:line="228" w:lineRule="auto"/>
              <w:ind w:left="208"/>
            </w:pPr>
            <w:r>
              <w:rPr>
                <w:spacing w:val="5"/>
              </w:rPr>
              <w:t>权重</w:t>
            </w:r>
          </w:p>
          <w:p w14:paraId="4334EB7D">
            <w:pPr>
              <w:pStyle w:val="6"/>
              <w:spacing w:before="72" w:line="228" w:lineRule="auto"/>
              <w:ind w:left="212"/>
            </w:pPr>
            <w:r>
              <w:rPr>
                <w:spacing w:val="3"/>
              </w:rPr>
              <w:t>分值</w:t>
            </w:r>
          </w:p>
        </w:tc>
        <w:tc>
          <w:tcPr>
            <w:tcW w:w="1420" w:type="dxa"/>
            <w:vAlign w:val="top"/>
          </w:tcPr>
          <w:p w14:paraId="45F86CF0">
            <w:pPr>
              <w:spacing w:line="345" w:lineRule="auto"/>
              <w:rPr>
                <w:rFonts w:ascii="Arial"/>
                <w:sz w:val="21"/>
              </w:rPr>
            </w:pPr>
          </w:p>
          <w:p w14:paraId="54F887BD">
            <w:pPr>
              <w:pStyle w:val="6"/>
              <w:spacing w:before="65" w:line="296" w:lineRule="auto"/>
              <w:ind w:left="401" w:right="184" w:hanging="209"/>
            </w:pPr>
            <w:r>
              <w:rPr>
                <w:spacing w:val="7"/>
              </w:rPr>
              <w:t>各评分因素</w:t>
            </w:r>
            <w:r>
              <w:rPr>
                <w:spacing w:val="6"/>
              </w:rPr>
              <w:t>细分项</w:t>
            </w:r>
          </w:p>
        </w:tc>
        <w:tc>
          <w:tcPr>
            <w:tcW w:w="638" w:type="dxa"/>
            <w:vAlign w:val="top"/>
          </w:tcPr>
          <w:p w14:paraId="227F672C">
            <w:pPr>
              <w:spacing w:line="250" w:lineRule="auto"/>
              <w:rPr>
                <w:rFonts w:ascii="Arial"/>
                <w:sz w:val="21"/>
              </w:rPr>
            </w:pPr>
          </w:p>
          <w:p w14:paraId="367E6250">
            <w:pPr>
              <w:spacing w:line="251" w:lineRule="auto"/>
              <w:rPr>
                <w:rFonts w:ascii="Arial"/>
                <w:sz w:val="21"/>
              </w:rPr>
            </w:pPr>
          </w:p>
          <w:p w14:paraId="33D5DCDB">
            <w:pPr>
              <w:pStyle w:val="6"/>
              <w:spacing w:before="65" w:line="228" w:lineRule="auto"/>
              <w:ind w:left="116"/>
            </w:pPr>
            <w:r>
              <w:rPr>
                <w:spacing w:val="3"/>
              </w:rPr>
              <w:t>分值</w:t>
            </w:r>
          </w:p>
        </w:tc>
        <w:tc>
          <w:tcPr>
            <w:tcW w:w="4249" w:type="dxa"/>
            <w:vMerge w:val="continue"/>
            <w:tcBorders>
              <w:top w:val="nil"/>
            </w:tcBorders>
            <w:vAlign w:val="top"/>
          </w:tcPr>
          <w:p w14:paraId="24415A50">
            <w:pPr>
              <w:rPr>
                <w:rFonts w:ascii="Arial"/>
                <w:sz w:val="21"/>
              </w:rPr>
            </w:pPr>
          </w:p>
        </w:tc>
      </w:tr>
      <w:tr w14:paraId="0BAE9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8" w:hRule="atLeast"/>
        </w:trPr>
        <w:tc>
          <w:tcPr>
            <w:tcW w:w="466" w:type="dxa"/>
            <w:vMerge w:val="restart"/>
            <w:tcBorders>
              <w:bottom w:val="nil"/>
            </w:tcBorders>
            <w:vAlign w:val="top"/>
          </w:tcPr>
          <w:p w14:paraId="3D1259BC">
            <w:pPr>
              <w:spacing w:line="254" w:lineRule="auto"/>
              <w:rPr>
                <w:rFonts w:ascii="Arial"/>
                <w:sz w:val="21"/>
              </w:rPr>
            </w:pPr>
          </w:p>
          <w:p w14:paraId="659AECB9">
            <w:pPr>
              <w:spacing w:line="254" w:lineRule="auto"/>
              <w:rPr>
                <w:rFonts w:ascii="Arial"/>
                <w:sz w:val="21"/>
              </w:rPr>
            </w:pPr>
          </w:p>
          <w:p w14:paraId="61903864">
            <w:pPr>
              <w:spacing w:line="254" w:lineRule="auto"/>
              <w:rPr>
                <w:rFonts w:ascii="Arial"/>
                <w:sz w:val="21"/>
              </w:rPr>
            </w:pPr>
          </w:p>
          <w:p w14:paraId="6C7A6357">
            <w:pPr>
              <w:spacing w:line="254" w:lineRule="auto"/>
              <w:rPr>
                <w:rFonts w:ascii="Arial"/>
                <w:sz w:val="21"/>
              </w:rPr>
            </w:pPr>
          </w:p>
          <w:p w14:paraId="155709A8">
            <w:pPr>
              <w:spacing w:line="254" w:lineRule="auto"/>
              <w:rPr>
                <w:rFonts w:ascii="Arial"/>
                <w:sz w:val="21"/>
              </w:rPr>
            </w:pPr>
          </w:p>
          <w:p w14:paraId="25CDB0B4">
            <w:pPr>
              <w:spacing w:line="254" w:lineRule="auto"/>
              <w:rPr>
                <w:rFonts w:ascii="Arial"/>
                <w:sz w:val="21"/>
              </w:rPr>
            </w:pPr>
          </w:p>
          <w:p w14:paraId="2361427F">
            <w:pPr>
              <w:spacing w:line="254" w:lineRule="auto"/>
              <w:rPr>
                <w:rFonts w:ascii="Arial"/>
                <w:sz w:val="21"/>
              </w:rPr>
            </w:pPr>
          </w:p>
          <w:p w14:paraId="095CE82A">
            <w:pPr>
              <w:spacing w:line="254" w:lineRule="auto"/>
              <w:rPr>
                <w:rFonts w:ascii="Arial"/>
                <w:sz w:val="21"/>
              </w:rPr>
            </w:pPr>
          </w:p>
          <w:p w14:paraId="282812F0">
            <w:pPr>
              <w:spacing w:line="255" w:lineRule="auto"/>
              <w:rPr>
                <w:rFonts w:ascii="Arial"/>
                <w:sz w:val="21"/>
              </w:rPr>
            </w:pPr>
          </w:p>
          <w:p w14:paraId="58A93358">
            <w:pPr>
              <w:spacing w:line="255" w:lineRule="auto"/>
              <w:rPr>
                <w:rFonts w:ascii="Arial"/>
                <w:sz w:val="21"/>
              </w:rPr>
            </w:pPr>
          </w:p>
          <w:p w14:paraId="4FAC1E2E">
            <w:pPr>
              <w:spacing w:line="255" w:lineRule="auto"/>
              <w:rPr>
                <w:rFonts w:ascii="Arial"/>
                <w:sz w:val="21"/>
              </w:rPr>
            </w:pPr>
          </w:p>
          <w:p w14:paraId="1903DD12">
            <w:pPr>
              <w:spacing w:line="255" w:lineRule="auto"/>
              <w:rPr>
                <w:rFonts w:ascii="Arial"/>
                <w:sz w:val="21"/>
              </w:rPr>
            </w:pPr>
          </w:p>
          <w:p w14:paraId="1EE26971">
            <w:pPr>
              <w:pStyle w:val="6"/>
              <w:spacing w:before="65" w:line="267" w:lineRule="exact"/>
              <w:ind w:left="134"/>
            </w:pPr>
            <w:r>
              <w:rPr>
                <w:spacing w:val="-1"/>
                <w:position w:val="1"/>
              </w:rPr>
              <w:t>2.</w:t>
            </w:r>
          </w:p>
          <w:p w14:paraId="6444C9D5">
            <w:pPr>
              <w:pStyle w:val="6"/>
              <w:spacing w:before="53" w:line="268" w:lineRule="exact"/>
              <w:ind w:left="134"/>
            </w:pPr>
            <w:r>
              <w:rPr>
                <w:spacing w:val="-1"/>
                <w:position w:val="1"/>
              </w:rPr>
              <w:t>2.</w:t>
            </w:r>
          </w:p>
          <w:p w14:paraId="49BC91C5">
            <w:pPr>
              <w:pStyle w:val="6"/>
              <w:spacing w:before="51" w:line="270" w:lineRule="exact"/>
              <w:ind w:left="183"/>
            </w:pPr>
            <w:r>
              <w:rPr>
                <w:position w:val="1"/>
              </w:rPr>
              <w:t>4</w:t>
            </w:r>
          </w:p>
          <w:p w14:paraId="1A63F823">
            <w:pPr>
              <w:pStyle w:val="6"/>
              <w:spacing w:before="48" w:line="231" w:lineRule="auto"/>
              <w:ind w:left="330"/>
            </w:pPr>
            <w:r>
              <w:t>(</w:t>
            </w:r>
          </w:p>
          <w:p w14:paraId="402C1873">
            <w:pPr>
              <w:pStyle w:val="6"/>
              <w:spacing w:before="72"/>
              <w:ind w:left="130"/>
            </w:pPr>
            <w:r>
              <w:rPr>
                <w:spacing w:val="-10"/>
              </w:rPr>
              <w:t>1）</w:t>
            </w:r>
          </w:p>
        </w:tc>
        <w:tc>
          <w:tcPr>
            <w:tcW w:w="906" w:type="dxa"/>
            <w:vMerge w:val="restart"/>
            <w:tcBorders>
              <w:bottom w:val="nil"/>
            </w:tcBorders>
            <w:vAlign w:val="top"/>
          </w:tcPr>
          <w:p w14:paraId="3C1BA6E3">
            <w:pPr>
              <w:spacing w:line="246" w:lineRule="auto"/>
              <w:rPr>
                <w:rFonts w:ascii="Arial"/>
                <w:sz w:val="21"/>
              </w:rPr>
            </w:pPr>
          </w:p>
          <w:p w14:paraId="76A3B1C7">
            <w:pPr>
              <w:spacing w:line="246" w:lineRule="auto"/>
              <w:rPr>
                <w:rFonts w:ascii="Arial"/>
                <w:sz w:val="21"/>
              </w:rPr>
            </w:pPr>
          </w:p>
          <w:p w14:paraId="0EA509B9">
            <w:pPr>
              <w:spacing w:line="246" w:lineRule="auto"/>
              <w:rPr>
                <w:rFonts w:ascii="Arial"/>
                <w:sz w:val="21"/>
              </w:rPr>
            </w:pPr>
          </w:p>
          <w:p w14:paraId="4EB1771F">
            <w:pPr>
              <w:spacing w:line="246" w:lineRule="auto"/>
              <w:rPr>
                <w:rFonts w:ascii="Arial"/>
                <w:sz w:val="21"/>
              </w:rPr>
            </w:pPr>
          </w:p>
          <w:p w14:paraId="1251BCF3">
            <w:pPr>
              <w:spacing w:line="246" w:lineRule="auto"/>
              <w:rPr>
                <w:rFonts w:ascii="Arial"/>
                <w:sz w:val="21"/>
              </w:rPr>
            </w:pPr>
          </w:p>
          <w:p w14:paraId="55E6E35A">
            <w:pPr>
              <w:spacing w:line="246" w:lineRule="auto"/>
              <w:rPr>
                <w:rFonts w:ascii="Arial"/>
                <w:sz w:val="21"/>
              </w:rPr>
            </w:pPr>
          </w:p>
          <w:p w14:paraId="1E14D82C">
            <w:pPr>
              <w:spacing w:line="246" w:lineRule="auto"/>
              <w:rPr>
                <w:rFonts w:ascii="Arial"/>
                <w:sz w:val="21"/>
              </w:rPr>
            </w:pPr>
          </w:p>
          <w:p w14:paraId="40E5A261">
            <w:pPr>
              <w:spacing w:line="246" w:lineRule="auto"/>
              <w:rPr>
                <w:rFonts w:ascii="Arial"/>
                <w:sz w:val="21"/>
              </w:rPr>
            </w:pPr>
          </w:p>
          <w:p w14:paraId="34CAD8D9">
            <w:pPr>
              <w:spacing w:line="246" w:lineRule="auto"/>
              <w:rPr>
                <w:rFonts w:ascii="Arial"/>
                <w:sz w:val="21"/>
              </w:rPr>
            </w:pPr>
          </w:p>
          <w:p w14:paraId="3E5B5E22">
            <w:pPr>
              <w:spacing w:line="246" w:lineRule="auto"/>
              <w:rPr>
                <w:rFonts w:ascii="Arial"/>
                <w:sz w:val="21"/>
              </w:rPr>
            </w:pPr>
          </w:p>
          <w:p w14:paraId="28CA9CA0">
            <w:pPr>
              <w:spacing w:line="247" w:lineRule="auto"/>
              <w:rPr>
                <w:rFonts w:ascii="Arial"/>
                <w:sz w:val="21"/>
              </w:rPr>
            </w:pPr>
          </w:p>
          <w:p w14:paraId="20FFB9A5">
            <w:pPr>
              <w:spacing w:line="247" w:lineRule="auto"/>
              <w:rPr>
                <w:rFonts w:ascii="Arial"/>
                <w:sz w:val="21"/>
              </w:rPr>
            </w:pPr>
          </w:p>
          <w:p w14:paraId="0F778DFA">
            <w:pPr>
              <w:spacing w:line="247" w:lineRule="auto"/>
              <w:rPr>
                <w:rFonts w:ascii="Arial"/>
                <w:sz w:val="21"/>
              </w:rPr>
            </w:pPr>
          </w:p>
          <w:p w14:paraId="12A6F974">
            <w:pPr>
              <w:pStyle w:val="6"/>
              <w:spacing w:before="65" w:line="289" w:lineRule="auto"/>
              <w:ind w:left="143" w:right="139" w:hanging="2"/>
              <w:jc w:val="both"/>
            </w:pPr>
            <w:r>
              <w:rPr>
                <w:spacing w:val="6"/>
              </w:rPr>
              <w:t>承包人建议书</w:t>
            </w:r>
            <w:r>
              <w:rPr>
                <w:spacing w:val="40"/>
                <w:w w:val="108"/>
              </w:rPr>
              <w:t>（暗</w:t>
            </w:r>
            <w:r>
              <w:rPr>
                <w:spacing w:val="37"/>
                <w:w w:val="107"/>
              </w:rPr>
              <w:t>标）</w:t>
            </w:r>
          </w:p>
        </w:tc>
        <w:tc>
          <w:tcPr>
            <w:tcW w:w="831" w:type="dxa"/>
            <w:vMerge w:val="restart"/>
            <w:tcBorders>
              <w:bottom w:val="nil"/>
            </w:tcBorders>
            <w:vAlign w:val="top"/>
          </w:tcPr>
          <w:p w14:paraId="0B89F42E">
            <w:pPr>
              <w:spacing w:line="245" w:lineRule="auto"/>
              <w:rPr>
                <w:rFonts w:ascii="Arial"/>
                <w:sz w:val="21"/>
              </w:rPr>
            </w:pPr>
          </w:p>
          <w:p w14:paraId="46222B3A">
            <w:pPr>
              <w:spacing w:line="246" w:lineRule="auto"/>
              <w:rPr>
                <w:rFonts w:ascii="Arial"/>
                <w:sz w:val="21"/>
              </w:rPr>
            </w:pPr>
          </w:p>
          <w:p w14:paraId="47827B3F">
            <w:pPr>
              <w:spacing w:line="246" w:lineRule="auto"/>
              <w:rPr>
                <w:rFonts w:ascii="Arial"/>
                <w:sz w:val="21"/>
              </w:rPr>
            </w:pPr>
          </w:p>
          <w:p w14:paraId="48F4F5D7">
            <w:pPr>
              <w:spacing w:line="246" w:lineRule="auto"/>
              <w:rPr>
                <w:rFonts w:ascii="Arial"/>
                <w:sz w:val="21"/>
              </w:rPr>
            </w:pPr>
          </w:p>
          <w:p w14:paraId="2242D0B9">
            <w:pPr>
              <w:spacing w:line="246" w:lineRule="auto"/>
              <w:rPr>
                <w:rFonts w:ascii="Arial"/>
                <w:sz w:val="21"/>
              </w:rPr>
            </w:pPr>
          </w:p>
          <w:p w14:paraId="3AB3DBFC">
            <w:pPr>
              <w:spacing w:line="246" w:lineRule="auto"/>
              <w:rPr>
                <w:rFonts w:ascii="Arial"/>
                <w:sz w:val="21"/>
              </w:rPr>
            </w:pPr>
          </w:p>
          <w:p w14:paraId="2D65F462">
            <w:pPr>
              <w:spacing w:line="246" w:lineRule="auto"/>
              <w:rPr>
                <w:rFonts w:ascii="Arial"/>
                <w:sz w:val="21"/>
              </w:rPr>
            </w:pPr>
          </w:p>
          <w:p w14:paraId="77738162">
            <w:pPr>
              <w:spacing w:line="246" w:lineRule="auto"/>
              <w:rPr>
                <w:rFonts w:ascii="Arial"/>
                <w:sz w:val="21"/>
              </w:rPr>
            </w:pPr>
          </w:p>
          <w:p w14:paraId="6DC08F42">
            <w:pPr>
              <w:spacing w:line="246" w:lineRule="auto"/>
              <w:rPr>
                <w:rFonts w:ascii="Arial"/>
                <w:sz w:val="21"/>
              </w:rPr>
            </w:pPr>
          </w:p>
          <w:p w14:paraId="5DF2D4D3">
            <w:pPr>
              <w:spacing w:line="246" w:lineRule="auto"/>
              <w:rPr>
                <w:rFonts w:ascii="Arial"/>
                <w:sz w:val="21"/>
              </w:rPr>
            </w:pPr>
          </w:p>
          <w:p w14:paraId="6DDC31DC">
            <w:pPr>
              <w:spacing w:line="246" w:lineRule="auto"/>
              <w:rPr>
                <w:rFonts w:ascii="Arial"/>
                <w:sz w:val="21"/>
              </w:rPr>
            </w:pPr>
          </w:p>
          <w:p w14:paraId="33C364C6">
            <w:pPr>
              <w:spacing w:line="246" w:lineRule="auto"/>
              <w:rPr>
                <w:rFonts w:ascii="Arial"/>
                <w:sz w:val="21"/>
              </w:rPr>
            </w:pPr>
          </w:p>
          <w:p w14:paraId="78393879">
            <w:pPr>
              <w:spacing w:line="246" w:lineRule="auto"/>
              <w:rPr>
                <w:rFonts w:ascii="Arial"/>
                <w:sz w:val="21"/>
              </w:rPr>
            </w:pPr>
          </w:p>
          <w:p w14:paraId="131FB16F">
            <w:pPr>
              <w:spacing w:line="246" w:lineRule="auto"/>
              <w:rPr>
                <w:rFonts w:ascii="Arial"/>
                <w:sz w:val="21"/>
              </w:rPr>
            </w:pPr>
          </w:p>
          <w:p w14:paraId="23839AE2">
            <w:pPr>
              <w:spacing w:line="246" w:lineRule="auto"/>
              <w:rPr>
                <w:rFonts w:ascii="Arial"/>
                <w:sz w:val="21"/>
              </w:rPr>
            </w:pPr>
          </w:p>
          <w:p w14:paraId="75940B2B">
            <w:pPr>
              <w:pStyle w:val="6"/>
              <w:spacing w:before="65" w:line="228" w:lineRule="auto"/>
              <w:ind w:left="187"/>
            </w:pPr>
            <w:r>
              <w:rPr>
                <w:spacing w:val="-1"/>
              </w:rPr>
              <w:t>30</w:t>
            </w:r>
            <w:r>
              <w:rPr>
                <w:spacing w:val="-38"/>
              </w:rPr>
              <w:t xml:space="preserve"> </w:t>
            </w:r>
            <w:r>
              <w:rPr>
                <w:spacing w:val="-1"/>
              </w:rPr>
              <w:t>分</w:t>
            </w:r>
          </w:p>
        </w:tc>
        <w:tc>
          <w:tcPr>
            <w:tcW w:w="1420" w:type="dxa"/>
            <w:vAlign w:val="top"/>
          </w:tcPr>
          <w:p w14:paraId="799DB854">
            <w:pPr>
              <w:spacing w:line="356" w:lineRule="auto"/>
              <w:rPr>
                <w:rFonts w:ascii="Arial"/>
                <w:sz w:val="21"/>
              </w:rPr>
            </w:pPr>
          </w:p>
          <w:p w14:paraId="3BCD52D3">
            <w:pPr>
              <w:spacing w:line="356" w:lineRule="auto"/>
              <w:rPr>
                <w:rFonts w:ascii="Arial"/>
                <w:sz w:val="21"/>
              </w:rPr>
            </w:pPr>
          </w:p>
          <w:p w14:paraId="3EE3B6E8">
            <w:pPr>
              <w:pStyle w:val="6"/>
              <w:spacing w:before="65" w:line="228" w:lineRule="auto"/>
              <w:ind w:left="136"/>
            </w:pPr>
            <w:r>
              <w:rPr>
                <w:spacing w:val="8"/>
              </w:rPr>
              <w:t>对项目的理解</w:t>
            </w:r>
          </w:p>
          <w:p w14:paraId="51646620">
            <w:pPr>
              <w:pStyle w:val="6"/>
              <w:spacing w:before="64" w:line="229" w:lineRule="auto"/>
              <w:ind w:left="137"/>
            </w:pPr>
            <w:r>
              <w:rPr>
                <w:spacing w:val="8"/>
              </w:rPr>
              <w:t>和总体设计思</w:t>
            </w:r>
          </w:p>
          <w:p w14:paraId="6E3D4779">
            <w:pPr>
              <w:pStyle w:val="6"/>
              <w:spacing w:before="63" w:line="228" w:lineRule="auto"/>
              <w:ind w:left="664"/>
            </w:pPr>
            <w:r>
              <w:t>路</w:t>
            </w:r>
          </w:p>
        </w:tc>
        <w:tc>
          <w:tcPr>
            <w:tcW w:w="638" w:type="dxa"/>
            <w:vAlign w:val="top"/>
          </w:tcPr>
          <w:p w14:paraId="439F9F31">
            <w:pPr>
              <w:spacing w:line="294" w:lineRule="auto"/>
              <w:rPr>
                <w:rFonts w:ascii="Arial"/>
                <w:sz w:val="21"/>
              </w:rPr>
            </w:pPr>
          </w:p>
          <w:p w14:paraId="255C8B37">
            <w:pPr>
              <w:spacing w:line="295" w:lineRule="auto"/>
              <w:rPr>
                <w:rFonts w:ascii="Arial"/>
                <w:sz w:val="21"/>
              </w:rPr>
            </w:pPr>
          </w:p>
          <w:p w14:paraId="587D8DFC">
            <w:pPr>
              <w:spacing w:line="295" w:lineRule="auto"/>
              <w:rPr>
                <w:rFonts w:ascii="Arial"/>
                <w:sz w:val="21"/>
              </w:rPr>
            </w:pPr>
          </w:p>
          <w:p w14:paraId="107FA8CE">
            <w:pPr>
              <w:pStyle w:val="6"/>
              <w:spacing w:before="65" w:line="296" w:lineRule="auto"/>
              <w:ind w:left="221" w:right="211" w:firstLine="12"/>
            </w:pPr>
            <w:r>
              <w:rPr>
                <w:spacing w:val="-7"/>
              </w:rPr>
              <w:t>10</w:t>
            </w:r>
            <w:r>
              <w:rPr>
                <w:spacing w:val="-2"/>
              </w:rPr>
              <w:t>分</w:t>
            </w:r>
          </w:p>
        </w:tc>
        <w:tc>
          <w:tcPr>
            <w:tcW w:w="4249" w:type="dxa"/>
            <w:vAlign w:val="top"/>
          </w:tcPr>
          <w:p w14:paraId="04ECF799">
            <w:pPr>
              <w:spacing w:line="246" w:lineRule="auto"/>
              <w:rPr>
                <w:rFonts w:ascii="Arial"/>
                <w:sz w:val="21"/>
              </w:rPr>
            </w:pPr>
          </w:p>
          <w:p w14:paraId="3F26A315">
            <w:pPr>
              <w:pStyle w:val="6"/>
              <w:spacing w:before="65" w:line="288" w:lineRule="auto"/>
              <w:ind w:left="116" w:right="2" w:hanging="3"/>
            </w:pPr>
            <w:r>
              <w:rPr>
                <w:spacing w:val="6"/>
              </w:rPr>
              <w:t>对招标项目的总体设计理解准确，思路与设计理念、思路高度吻合，得</w:t>
            </w:r>
            <w:r>
              <w:rPr>
                <w:spacing w:val="-31"/>
              </w:rPr>
              <w:t xml:space="preserve"> </w:t>
            </w:r>
            <w:r>
              <w:rPr>
                <w:spacing w:val="6"/>
              </w:rPr>
              <w:t>8.0－10.0</w:t>
            </w:r>
            <w:r>
              <w:rPr>
                <w:spacing w:val="-38"/>
              </w:rPr>
              <w:t xml:space="preserve"> </w:t>
            </w:r>
            <w:r>
              <w:rPr>
                <w:spacing w:val="6"/>
              </w:rPr>
              <w:t>分；</w:t>
            </w:r>
          </w:p>
          <w:p w14:paraId="12454FE0">
            <w:pPr>
              <w:pStyle w:val="6"/>
              <w:spacing w:line="288" w:lineRule="auto"/>
              <w:ind w:left="113" w:right="5"/>
            </w:pPr>
            <w:r>
              <w:rPr>
                <w:spacing w:val="6"/>
              </w:rPr>
              <w:t>对招标项目的总体设计理解较准确，思路与设计理念、思路吻合，得</w:t>
            </w:r>
            <w:r>
              <w:rPr>
                <w:spacing w:val="-34"/>
              </w:rPr>
              <w:t xml:space="preserve"> </w:t>
            </w:r>
            <w:r>
              <w:rPr>
                <w:spacing w:val="6"/>
              </w:rPr>
              <w:t>6.0－8.0</w:t>
            </w:r>
            <w:r>
              <w:rPr>
                <w:spacing w:val="-35"/>
              </w:rPr>
              <w:t xml:space="preserve"> </w:t>
            </w:r>
            <w:r>
              <w:rPr>
                <w:spacing w:val="6"/>
              </w:rPr>
              <w:t>分；</w:t>
            </w:r>
          </w:p>
          <w:p w14:paraId="1B2E7089">
            <w:pPr>
              <w:pStyle w:val="6"/>
              <w:spacing w:line="289" w:lineRule="auto"/>
              <w:ind w:left="116" w:right="2" w:hanging="3"/>
            </w:pPr>
            <w:r>
              <w:rPr>
                <w:spacing w:val="6"/>
              </w:rPr>
              <w:t>对招标项目的总体设计理解一般，思路与设计理念、思路基本吻合，得</w:t>
            </w:r>
            <w:r>
              <w:rPr>
                <w:spacing w:val="-33"/>
              </w:rPr>
              <w:t xml:space="preserve"> </w:t>
            </w:r>
            <w:r>
              <w:rPr>
                <w:spacing w:val="6"/>
              </w:rPr>
              <w:t>6.0</w:t>
            </w:r>
            <w:r>
              <w:rPr>
                <w:spacing w:val="-37"/>
              </w:rPr>
              <w:t xml:space="preserve"> </w:t>
            </w:r>
            <w:r>
              <w:rPr>
                <w:spacing w:val="6"/>
              </w:rPr>
              <w:t>分。</w:t>
            </w:r>
          </w:p>
        </w:tc>
      </w:tr>
      <w:tr w14:paraId="1F377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0" w:hRule="atLeast"/>
        </w:trPr>
        <w:tc>
          <w:tcPr>
            <w:tcW w:w="466" w:type="dxa"/>
            <w:vMerge w:val="continue"/>
            <w:tcBorders>
              <w:top w:val="nil"/>
              <w:bottom w:val="nil"/>
            </w:tcBorders>
            <w:vAlign w:val="top"/>
          </w:tcPr>
          <w:p w14:paraId="374AE0FB">
            <w:pPr>
              <w:rPr>
                <w:rFonts w:ascii="Arial"/>
                <w:sz w:val="21"/>
              </w:rPr>
            </w:pPr>
          </w:p>
        </w:tc>
        <w:tc>
          <w:tcPr>
            <w:tcW w:w="906" w:type="dxa"/>
            <w:vMerge w:val="continue"/>
            <w:tcBorders>
              <w:top w:val="nil"/>
              <w:bottom w:val="nil"/>
            </w:tcBorders>
            <w:vAlign w:val="top"/>
          </w:tcPr>
          <w:p w14:paraId="614E599B">
            <w:pPr>
              <w:rPr>
                <w:rFonts w:ascii="Arial"/>
                <w:sz w:val="21"/>
              </w:rPr>
            </w:pPr>
          </w:p>
        </w:tc>
        <w:tc>
          <w:tcPr>
            <w:tcW w:w="831" w:type="dxa"/>
            <w:vMerge w:val="continue"/>
            <w:tcBorders>
              <w:top w:val="nil"/>
              <w:bottom w:val="nil"/>
            </w:tcBorders>
            <w:vAlign w:val="top"/>
          </w:tcPr>
          <w:p w14:paraId="068EAB07">
            <w:pPr>
              <w:rPr>
                <w:rFonts w:ascii="Arial"/>
                <w:sz w:val="21"/>
              </w:rPr>
            </w:pPr>
          </w:p>
        </w:tc>
        <w:tc>
          <w:tcPr>
            <w:tcW w:w="1420" w:type="dxa"/>
            <w:vAlign w:val="top"/>
          </w:tcPr>
          <w:p w14:paraId="58EDF35F">
            <w:pPr>
              <w:spacing w:line="280" w:lineRule="auto"/>
              <w:rPr>
                <w:rFonts w:ascii="Arial"/>
                <w:sz w:val="21"/>
              </w:rPr>
            </w:pPr>
          </w:p>
          <w:p w14:paraId="36F65408">
            <w:pPr>
              <w:spacing w:line="280" w:lineRule="auto"/>
              <w:rPr>
                <w:rFonts w:ascii="Arial"/>
                <w:sz w:val="21"/>
              </w:rPr>
            </w:pPr>
          </w:p>
          <w:p w14:paraId="48DED352">
            <w:pPr>
              <w:spacing w:line="280" w:lineRule="auto"/>
              <w:rPr>
                <w:rFonts w:ascii="Arial"/>
                <w:sz w:val="21"/>
              </w:rPr>
            </w:pPr>
          </w:p>
          <w:p w14:paraId="338FDC85">
            <w:pPr>
              <w:pStyle w:val="6"/>
              <w:spacing w:before="65" w:line="228" w:lineRule="auto"/>
              <w:ind w:left="351"/>
            </w:pPr>
            <w:r>
              <w:rPr>
                <w:spacing w:val="6"/>
              </w:rPr>
              <w:t>设计方案</w:t>
            </w:r>
          </w:p>
        </w:tc>
        <w:tc>
          <w:tcPr>
            <w:tcW w:w="638" w:type="dxa"/>
            <w:vAlign w:val="top"/>
          </w:tcPr>
          <w:p w14:paraId="315ABAE0">
            <w:pPr>
              <w:spacing w:line="351" w:lineRule="auto"/>
              <w:rPr>
                <w:rFonts w:ascii="Arial"/>
                <w:sz w:val="21"/>
              </w:rPr>
            </w:pPr>
          </w:p>
          <w:p w14:paraId="43C71A76">
            <w:pPr>
              <w:spacing w:line="351" w:lineRule="auto"/>
              <w:rPr>
                <w:rFonts w:ascii="Arial"/>
                <w:sz w:val="21"/>
              </w:rPr>
            </w:pPr>
          </w:p>
          <w:p w14:paraId="702659C9">
            <w:pPr>
              <w:pStyle w:val="6"/>
              <w:spacing w:before="65" w:line="296" w:lineRule="auto"/>
              <w:ind w:left="221" w:right="211" w:firstLine="12"/>
            </w:pPr>
            <w:r>
              <w:rPr>
                <w:spacing w:val="-7"/>
              </w:rPr>
              <w:t>10</w:t>
            </w:r>
            <w:r>
              <w:rPr>
                <w:spacing w:val="-2"/>
              </w:rPr>
              <w:t>分</w:t>
            </w:r>
          </w:p>
        </w:tc>
        <w:tc>
          <w:tcPr>
            <w:tcW w:w="4249" w:type="dxa"/>
            <w:vAlign w:val="top"/>
          </w:tcPr>
          <w:p w14:paraId="4D7D9AC2">
            <w:pPr>
              <w:pStyle w:val="6"/>
              <w:spacing w:before="130" w:line="288" w:lineRule="auto"/>
              <w:ind w:left="115" w:right="2" w:firstLine="3"/>
            </w:pPr>
            <w:r>
              <w:rPr>
                <w:spacing w:val="6"/>
              </w:rPr>
              <w:t>总体设计方案优，适合现场条件、满足施工要求、总体布局科学合理，得</w:t>
            </w:r>
            <w:r>
              <w:rPr>
                <w:spacing w:val="-33"/>
              </w:rPr>
              <w:t xml:space="preserve"> </w:t>
            </w:r>
            <w:r>
              <w:rPr>
                <w:spacing w:val="6"/>
              </w:rPr>
              <w:t>8.0-10.0</w:t>
            </w:r>
            <w:r>
              <w:rPr>
                <w:spacing w:val="-36"/>
              </w:rPr>
              <w:t xml:space="preserve"> </w:t>
            </w:r>
            <w:r>
              <w:rPr>
                <w:spacing w:val="6"/>
              </w:rPr>
              <w:t>分；</w:t>
            </w:r>
          </w:p>
          <w:p w14:paraId="68358792">
            <w:pPr>
              <w:pStyle w:val="6"/>
              <w:spacing w:line="288" w:lineRule="auto"/>
              <w:ind w:left="114" w:right="5" w:firstLine="4"/>
            </w:pPr>
            <w:r>
              <w:rPr>
                <w:spacing w:val="5"/>
              </w:rPr>
              <w:t>总体设计方案较好，满足施工要求、总体布局</w:t>
            </w:r>
            <w:r>
              <w:rPr>
                <w:spacing w:val="3"/>
              </w:rPr>
              <w:t>合理，得</w:t>
            </w:r>
            <w:r>
              <w:rPr>
                <w:spacing w:val="-25"/>
              </w:rPr>
              <w:t xml:space="preserve"> </w:t>
            </w:r>
            <w:r>
              <w:rPr>
                <w:spacing w:val="3"/>
              </w:rPr>
              <w:t>6.0-8.0</w:t>
            </w:r>
            <w:r>
              <w:rPr>
                <w:spacing w:val="-35"/>
              </w:rPr>
              <w:t xml:space="preserve"> </w:t>
            </w:r>
            <w:r>
              <w:rPr>
                <w:spacing w:val="3"/>
              </w:rPr>
              <w:t>分；</w:t>
            </w:r>
          </w:p>
          <w:p w14:paraId="2B35FAA8">
            <w:pPr>
              <w:pStyle w:val="6"/>
              <w:spacing w:line="289" w:lineRule="auto"/>
              <w:ind w:left="114" w:right="5" w:firstLine="5"/>
            </w:pPr>
            <w:r>
              <w:rPr>
                <w:spacing w:val="5"/>
              </w:rPr>
              <w:t>总体设计方案一般，基本满足施工要求、总体布局基本合理，得</w:t>
            </w:r>
            <w:r>
              <w:rPr>
                <w:spacing w:val="-30"/>
              </w:rPr>
              <w:t xml:space="preserve"> </w:t>
            </w:r>
            <w:r>
              <w:rPr>
                <w:spacing w:val="5"/>
              </w:rPr>
              <w:t>6.0</w:t>
            </w:r>
            <w:r>
              <w:rPr>
                <w:spacing w:val="-36"/>
              </w:rPr>
              <w:t xml:space="preserve"> </w:t>
            </w:r>
            <w:r>
              <w:rPr>
                <w:spacing w:val="5"/>
              </w:rPr>
              <w:t>分。</w:t>
            </w:r>
          </w:p>
        </w:tc>
      </w:tr>
      <w:tr w14:paraId="05173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466" w:type="dxa"/>
            <w:vMerge w:val="continue"/>
            <w:tcBorders>
              <w:top w:val="nil"/>
              <w:bottom w:val="nil"/>
            </w:tcBorders>
            <w:vAlign w:val="top"/>
          </w:tcPr>
          <w:p w14:paraId="7E21E368">
            <w:pPr>
              <w:rPr>
                <w:rFonts w:ascii="Arial"/>
                <w:sz w:val="21"/>
              </w:rPr>
            </w:pPr>
          </w:p>
        </w:tc>
        <w:tc>
          <w:tcPr>
            <w:tcW w:w="906" w:type="dxa"/>
            <w:vMerge w:val="continue"/>
            <w:tcBorders>
              <w:top w:val="nil"/>
              <w:bottom w:val="nil"/>
            </w:tcBorders>
            <w:vAlign w:val="top"/>
          </w:tcPr>
          <w:p w14:paraId="6D01A9C8">
            <w:pPr>
              <w:rPr>
                <w:rFonts w:ascii="Arial"/>
                <w:sz w:val="21"/>
              </w:rPr>
            </w:pPr>
          </w:p>
        </w:tc>
        <w:tc>
          <w:tcPr>
            <w:tcW w:w="831" w:type="dxa"/>
            <w:vMerge w:val="continue"/>
            <w:tcBorders>
              <w:top w:val="nil"/>
              <w:bottom w:val="nil"/>
            </w:tcBorders>
            <w:vAlign w:val="top"/>
          </w:tcPr>
          <w:p w14:paraId="43031FBC">
            <w:pPr>
              <w:rPr>
                <w:rFonts w:ascii="Arial"/>
                <w:sz w:val="21"/>
              </w:rPr>
            </w:pPr>
          </w:p>
        </w:tc>
        <w:tc>
          <w:tcPr>
            <w:tcW w:w="1420" w:type="dxa"/>
            <w:vAlign w:val="top"/>
          </w:tcPr>
          <w:p w14:paraId="321058EE">
            <w:pPr>
              <w:spacing w:line="335" w:lineRule="auto"/>
              <w:rPr>
                <w:rFonts w:ascii="Arial"/>
                <w:sz w:val="21"/>
              </w:rPr>
            </w:pPr>
          </w:p>
          <w:p w14:paraId="491D2B39">
            <w:pPr>
              <w:pStyle w:val="6"/>
              <w:spacing w:before="65" w:line="228" w:lineRule="auto"/>
              <w:ind w:left="297"/>
            </w:pPr>
            <w:r>
              <w:rPr>
                <w:spacing w:val="7"/>
              </w:rPr>
              <w:t>计划工作</w:t>
            </w:r>
          </w:p>
          <w:p w14:paraId="536D9D94">
            <w:pPr>
              <w:pStyle w:val="6"/>
              <w:spacing w:before="64" w:line="229" w:lineRule="auto"/>
              <w:ind w:left="297"/>
            </w:pPr>
            <w:r>
              <w:rPr>
                <w:spacing w:val="7"/>
              </w:rPr>
              <w:t>量及计划</w:t>
            </w:r>
          </w:p>
          <w:p w14:paraId="19F42287">
            <w:pPr>
              <w:pStyle w:val="6"/>
              <w:spacing w:before="63" w:line="229" w:lineRule="auto"/>
              <w:ind w:left="510"/>
            </w:pPr>
            <w:r>
              <w:rPr>
                <w:spacing w:val="2"/>
              </w:rPr>
              <w:t>安排</w:t>
            </w:r>
          </w:p>
        </w:tc>
        <w:tc>
          <w:tcPr>
            <w:tcW w:w="638" w:type="dxa"/>
            <w:vAlign w:val="top"/>
          </w:tcPr>
          <w:p w14:paraId="5CB80C78">
            <w:pPr>
              <w:spacing w:line="322" w:lineRule="auto"/>
              <w:rPr>
                <w:rFonts w:ascii="Arial"/>
                <w:sz w:val="21"/>
              </w:rPr>
            </w:pPr>
          </w:p>
          <w:p w14:paraId="0D2112B2">
            <w:pPr>
              <w:spacing w:line="323" w:lineRule="auto"/>
              <w:rPr>
                <w:rFonts w:ascii="Arial"/>
                <w:sz w:val="21"/>
              </w:rPr>
            </w:pPr>
          </w:p>
          <w:p w14:paraId="322E683D">
            <w:pPr>
              <w:pStyle w:val="6"/>
              <w:spacing w:before="65" w:line="228" w:lineRule="auto"/>
              <w:ind w:left="122"/>
            </w:pPr>
            <w:r>
              <w:rPr>
                <w:spacing w:val="-1"/>
              </w:rPr>
              <w:t>5分</w:t>
            </w:r>
          </w:p>
        </w:tc>
        <w:tc>
          <w:tcPr>
            <w:tcW w:w="4249" w:type="dxa"/>
            <w:vAlign w:val="top"/>
          </w:tcPr>
          <w:p w14:paraId="53416788">
            <w:pPr>
              <w:spacing w:line="347" w:lineRule="auto"/>
              <w:rPr>
                <w:rFonts w:ascii="Arial"/>
                <w:sz w:val="21"/>
              </w:rPr>
            </w:pPr>
          </w:p>
          <w:p w14:paraId="0F3A5DE2">
            <w:pPr>
              <w:pStyle w:val="6"/>
              <w:spacing w:before="65" w:line="296" w:lineRule="auto"/>
              <w:ind w:left="114" w:right="204"/>
              <w:jc w:val="both"/>
            </w:pPr>
            <w:r>
              <w:rPr>
                <w:spacing w:val="4"/>
              </w:rPr>
              <w:t>计划安排具体、全面合理，得</w:t>
            </w:r>
            <w:r>
              <w:rPr>
                <w:spacing w:val="-27"/>
              </w:rPr>
              <w:t xml:space="preserve"> </w:t>
            </w:r>
            <w:r>
              <w:rPr>
                <w:spacing w:val="4"/>
              </w:rPr>
              <w:t>4.0-5.0</w:t>
            </w:r>
            <w:r>
              <w:rPr>
                <w:spacing w:val="-37"/>
              </w:rPr>
              <w:t xml:space="preserve"> </w:t>
            </w:r>
            <w:r>
              <w:rPr>
                <w:spacing w:val="4"/>
              </w:rPr>
              <w:t>分；计划安排较具体、较合理，得</w:t>
            </w:r>
            <w:r>
              <w:rPr>
                <w:spacing w:val="-27"/>
              </w:rPr>
              <w:t xml:space="preserve"> </w:t>
            </w:r>
            <w:r>
              <w:rPr>
                <w:spacing w:val="4"/>
              </w:rPr>
              <w:t>3.0-4.0</w:t>
            </w:r>
            <w:r>
              <w:rPr>
                <w:spacing w:val="-37"/>
              </w:rPr>
              <w:t xml:space="preserve"> </w:t>
            </w:r>
            <w:r>
              <w:rPr>
                <w:spacing w:val="4"/>
              </w:rPr>
              <w:t>分；</w:t>
            </w:r>
            <w:r>
              <w:rPr>
                <w:spacing w:val="7"/>
              </w:rPr>
              <w:t>计划安排一般，得3.0分。</w:t>
            </w:r>
          </w:p>
        </w:tc>
      </w:tr>
      <w:tr w14:paraId="3598C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466" w:type="dxa"/>
            <w:vMerge w:val="continue"/>
            <w:tcBorders>
              <w:top w:val="nil"/>
            </w:tcBorders>
            <w:vAlign w:val="top"/>
          </w:tcPr>
          <w:p w14:paraId="2D680982">
            <w:pPr>
              <w:rPr>
                <w:rFonts w:ascii="Arial"/>
                <w:sz w:val="21"/>
              </w:rPr>
            </w:pPr>
          </w:p>
        </w:tc>
        <w:tc>
          <w:tcPr>
            <w:tcW w:w="906" w:type="dxa"/>
            <w:vMerge w:val="continue"/>
            <w:tcBorders>
              <w:top w:val="nil"/>
            </w:tcBorders>
            <w:vAlign w:val="top"/>
          </w:tcPr>
          <w:p w14:paraId="75722D35">
            <w:pPr>
              <w:rPr>
                <w:rFonts w:ascii="Arial"/>
                <w:sz w:val="21"/>
              </w:rPr>
            </w:pPr>
          </w:p>
        </w:tc>
        <w:tc>
          <w:tcPr>
            <w:tcW w:w="831" w:type="dxa"/>
            <w:vMerge w:val="continue"/>
            <w:tcBorders>
              <w:top w:val="nil"/>
            </w:tcBorders>
            <w:vAlign w:val="top"/>
          </w:tcPr>
          <w:p w14:paraId="3CF60776">
            <w:pPr>
              <w:rPr>
                <w:rFonts w:ascii="Arial"/>
                <w:sz w:val="21"/>
              </w:rPr>
            </w:pPr>
          </w:p>
        </w:tc>
        <w:tc>
          <w:tcPr>
            <w:tcW w:w="1420" w:type="dxa"/>
            <w:vAlign w:val="top"/>
          </w:tcPr>
          <w:p w14:paraId="309A1851">
            <w:pPr>
              <w:pStyle w:val="6"/>
              <w:spacing w:before="90" w:line="284" w:lineRule="auto"/>
              <w:ind w:left="244" w:right="164" w:firstLine="56"/>
              <w:jc w:val="both"/>
            </w:pPr>
            <w:r>
              <w:rPr>
                <w:spacing w:val="6"/>
              </w:rPr>
              <w:t>设计质量</w:t>
            </w:r>
            <w:r>
              <w:rPr>
                <w:spacing w:val="1"/>
              </w:rPr>
              <w:t>保证措施、</w:t>
            </w:r>
            <w:r>
              <w:rPr>
                <w:spacing w:val="20"/>
              </w:rPr>
              <w:t>进度保证</w:t>
            </w:r>
            <w:r>
              <w:rPr>
                <w:spacing w:val="-13"/>
              </w:rPr>
              <w:t>措施、安全</w:t>
            </w:r>
            <w:r>
              <w:rPr>
                <w:spacing w:val="20"/>
              </w:rPr>
              <w:t>保证措施</w:t>
            </w:r>
          </w:p>
        </w:tc>
        <w:tc>
          <w:tcPr>
            <w:tcW w:w="638" w:type="dxa"/>
            <w:vAlign w:val="top"/>
          </w:tcPr>
          <w:p w14:paraId="4CF42E5A">
            <w:pPr>
              <w:spacing w:line="323" w:lineRule="auto"/>
              <w:rPr>
                <w:rFonts w:ascii="Arial"/>
                <w:sz w:val="21"/>
              </w:rPr>
            </w:pPr>
          </w:p>
          <w:p w14:paraId="683A5B78">
            <w:pPr>
              <w:spacing w:line="324" w:lineRule="auto"/>
              <w:rPr>
                <w:rFonts w:ascii="Arial"/>
                <w:sz w:val="21"/>
              </w:rPr>
            </w:pPr>
          </w:p>
          <w:p w14:paraId="0768CE57">
            <w:pPr>
              <w:pStyle w:val="6"/>
              <w:spacing w:before="65" w:line="228" w:lineRule="auto"/>
              <w:ind w:left="122"/>
            </w:pPr>
            <w:r>
              <w:rPr>
                <w:spacing w:val="-1"/>
              </w:rPr>
              <w:t>5分</w:t>
            </w:r>
          </w:p>
        </w:tc>
        <w:tc>
          <w:tcPr>
            <w:tcW w:w="4249" w:type="dxa"/>
            <w:vAlign w:val="top"/>
          </w:tcPr>
          <w:p w14:paraId="15BB3E17">
            <w:pPr>
              <w:spacing w:line="348" w:lineRule="auto"/>
              <w:rPr>
                <w:rFonts w:ascii="Arial"/>
                <w:sz w:val="21"/>
              </w:rPr>
            </w:pPr>
          </w:p>
          <w:p w14:paraId="46E91E70">
            <w:pPr>
              <w:pStyle w:val="6"/>
              <w:spacing w:before="65" w:line="297" w:lineRule="auto"/>
              <w:ind w:left="114" w:right="204"/>
              <w:jc w:val="both"/>
            </w:pPr>
            <w:r>
              <w:rPr>
                <w:spacing w:val="4"/>
              </w:rPr>
              <w:t>保证措施具体、全面合理，得</w:t>
            </w:r>
            <w:r>
              <w:rPr>
                <w:spacing w:val="-27"/>
              </w:rPr>
              <w:t xml:space="preserve"> </w:t>
            </w:r>
            <w:r>
              <w:rPr>
                <w:spacing w:val="4"/>
              </w:rPr>
              <w:t>4.0-5.0</w:t>
            </w:r>
            <w:r>
              <w:rPr>
                <w:spacing w:val="-38"/>
              </w:rPr>
              <w:t xml:space="preserve"> </w:t>
            </w:r>
            <w:r>
              <w:rPr>
                <w:spacing w:val="4"/>
              </w:rPr>
              <w:t>分；保证措施较具体、较合理，得</w:t>
            </w:r>
            <w:r>
              <w:rPr>
                <w:spacing w:val="-27"/>
              </w:rPr>
              <w:t xml:space="preserve"> </w:t>
            </w:r>
            <w:r>
              <w:rPr>
                <w:spacing w:val="4"/>
              </w:rPr>
              <w:t>3.0-4.0</w:t>
            </w:r>
            <w:r>
              <w:rPr>
                <w:spacing w:val="-38"/>
              </w:rPr>
              <w:t xml:space="preserve"> </w:t>
            </w:r>
            <w:r>
              <w:rPr>
                <w:spacing w:val="4"/>
              </w:rPr>
              <w:t>分；</w:t>
            </w:r>
            <w:r>
              <w:rPr>
                <w:spacing w:val="7"/>
              </w:rPr>
              <w:t>保证措施一般，得3.0分。</w:t>
            </w:r>
          </w:p>
        </w:tc>
      </w:tr>
      <w:tr w14:paraId="1FA37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66" w:type="dxa"/>
            <w:vMerge w:val="restart"/>
            <w:tcBorders>
              <w:bottom w:val="nil"/>
            </w:tcBorders>
            <w:vAlign w:val="top"/>
          </w:tcPr>
          <w:p w14:paraId="5C5331D1">
            <w:pPr>
              <w:spacing w:line="270" w:lineRule="auto"/>
              <w:rPr>
                <w:rFonts w:ascii="Arial"/>
                <w:sz w:val="21"/>
              </w:rPr>
            </w:pPr>
          </w:p>
          <w:p w14:paraId="1AA74AF3">
            <w:pPr>
              <w:pStyle w:val="6"/>
              <w:spacing w:before="65" w:line="268" w:lineRule="exact"/>
              <w:ind w:left="134"/>
            </w:pPr>
            <w:r>
              <w:rPr>
                <w:spacing w:val="-1"/>
                <w:position w:val="1"/>
              </w:rPr>
              <w:t>2.</w:t>
            </w:r>
          </w:p>
          <w:p w14:paraId="525EA2FA">
            <w:pPr>
              <w:pStyle w:val="6"/>
              <w:spacing w:before="51" w:line="268" w:lineRule="exact"/>
              <w:ind w:left="134"/>
            </w:pPr>
            <w:r>
              <w:rPr>
                <w:spacing w:val="-1"/>
                <w:position w:val="1"/>
              </w:rPr>
              <w:t>2.</w:t>
            </w:r>
          </w:p>
          <w:p w14:paraId="60E96B8F">
            <w:pPr>
              <w:pStyle w:val="6"/>
              <w:spacing w:before="53" w:line="270" w:lineRule="exact"/>
              <w:ind w:left="183"/>
            </w:pPr>
            <w:r>
              <w:rPr>
                <w:position w:val="1"/>
              </w:rPr>
              <w:t>4</w:t>
            </w:r>
          </w:p>
          <w:p w14:paraId="72A9D17E">
            <w:pPr>
              <w:pStyle w:val="6"/>
              <w:spacing w:before="48" w:line="231" w:lineRule="auto"/>
              <w:ind w:left="330"/>
            </w:pPr>
            <w:r>
              <w:t>(</w:t>
            </w:r>
          </w:p>
          <w:p w14:paraId="203A9B59">
            <w:pPr>
              <w:pStyle w:val="6"/>
              <w:spacing w:before="69"/>
              <w:ind w:left="117"/>
            </w:pPr>
            <w:r>
              <w:rPr>
                <w:spacing w:val="-4"/>
              </w:rPr>
              <w:t>2）</w:t>
            </w:r>
          </w:p>
        </w:tc>
        <w:tc>
          <w:tcPr>
            <w:tcW w:w="906" w:type="dxa"/>
            <w:vMerge w:val="restart"/>
            <w:tcBorders>
              <w:bottom w:val="nil"/>
            </w:tcBorders>
            <w:vAlign w:val="top"/>
          </w:tcPr>
          <w:p w14:paraId="3C080D2D">
            <w:pPr>
              <w:spacing w:line="249" w:lineRule="auto"/>
              <w:rPr>
                <w:rFonts w:ascii="Arial"/>
                <w:sz w:val="21"/>
              </w:rPr>
            </w:pPr>
          </w:p>
          <w:p w14:paraId="41767153">
            <w:pPr>
              <w:spacing w:line="249" w:lineRule="auto"/>
              <w:rPr>
                <w:rFonts w:ascii="Arial"/>
                <w:sz w:val="21"/>
              </w:rPr>
            </w:pPr>
          </w:p>
          <w:p w14:paraId="231FFBB5">
            <w:pPr>
              <w:spacing w:line="250" w:lineRule="auto"/>
              <w:rPr>
                <w:rFonts w:ascii="Arial"/>
                <w:sz w:val="21"/>
              </w:rPr>
            </w:pPr>
          </w:p>
          <w:p w14:paraId="5FB7CD8C">
            <w:pPr>
              <w:pStyle w:val="6"/>
              <w:spacing w:before="65" w:line="296" w:lineRule="auto"/>
              <w:ind w:left="245" w:right="244" w:firstLine="9"/>
            </w:pPr>
            <w:r>
              <w:t>资信</w:t>
            </w:r>
            <w:r>
              <w:rPr>
                <w:spacing w:val="5"/>
              </w:rPr>
              <w:t>业绩</w:t>
            </w:r>
          </w:p>
        </w:tc>
        <w:tc>
          <w:tcPr>
            <w:tcW w:w="831" w:type="dxa"/>
            <w:vMerge w:val="restart"/>
            <w:tcBorders>
              <w:bottom w:val="nil"/>
            </w:tcBorders>
            <w:vAlign w:val="top"/>
          </w:tcPr>
          <w:p w14:paraId="4A13853E">
            <w:pPr>
              <w:spacing w:line="302" w:lineRule="auto"/>
              <w:rPr>
                <w:rFonts w:ascii="Arial"/>
                <w:sz w:val="21"/>
              </w:rPr>
            </w:pPr>
          </w:p>
          <w:p w14:paraId="22D1F174">
            <w:pPr>
              <w:spacing w:line="302" w:lineRule="auto"/>
              <w:rPr>
                <w:rFonts w:ascii="Arial"/>
                <w:sz w:val="21"/>
              </w:rPr>
            </w:pPr>
          </w:p>
          <w:p w14:paraId="79F43EDC">
            <w:pPr>
              <w:spacing w:line="303" w:lineRule="auto"/>
              <w:rPr>
                <w:rFonts w:ascii="Arial"/>
                <w:sz w:val="21"/>
              </w:rPr>
            </w:pPr>
          </w:p>
          <w:p w14:paraId="29CABCCA">
            <w:pPr>
              <w:pStyle w:val="6"/>
              <w:spacing w:before="65" w:line="228" w:lineRule="auto"/>
              <w:ind w:left="187"/>
            </w:pPr>
            <w:r>
              <w:rPr>
                <w:spacing w:val="-1"/>
              </w:rPr>
              <w:t>30</w:t>
            </w:r>
            <w:r>
              <w:rPr>
                <w:spacing w:val="-38"/>
              </w:rPr>
              <w:t xml:space="preserve"> </w:t>
            </w:r>
            <w:r>
              <w:rPr>
                <w:spacing w:val="-1"/>
              </w:rPr>
              <w:t>分</w:t>
            </w:r>
          </w:p>
        </w:tc>
        <w:tc>
          <w:tcPr>
            <w:tcW w:w="1420" w:type="dxa"/>
            <w:vMerge w:val="restart"/>
            <w:tcBorders>
              <w:bottom w:val="nil"/>
            </w:tcBorders>
            <w:vAlign w:val="top"/>
          </w:tcPr>
          <w:p w14:paraId="56E23A53">
            <w:pPr>
              <w:spacing w:line="302" w:lineRule="auto"/>
              <w:rPr>
                <w:rFonts w:ascii="Arial"/>
                <w:sz w:val="21"/>
              </w:rPr>
            </w:pPr>
          </w:p>
          <w:p w14:paraId="4A9B9AC4">
            <w:pPr>
              <w:spacing w:line="302" w:lineRule="auto"/>
              <w:rPr>
                <w:rFonts w:ascii="Arial"/>
                <w:sz w:val="21"/>
              </w:rPr>
            </w:pPr>
          </w:p>
          <w:p w14:paraId="59038D87">
            <w:pPr>
              <w:spacing w:line="303" w:lineRule="auto"/>
              <w:rPr>
                <w:rFonts w:ascii="Arial"/>
                <w:sz w:val="21"/>
              </w:rPr>
            </w:pPr>
          </w:p>
          <w:p w14:paraId="27A3C390">
            <w:pPr>
              <w:pStyle w:val="6"/>
              <w:spacing w:before="65" w:line="228" w:lineRule="auto"/>
              <w:ind w:left="298"/>
            </w:pPr>
            <w:r>
              <w:rPr>
                <w:spacing w:val="6"/>
              </w:rPr>
              <w:t>企业业绩</w:t>
            </w:r>
          </w:p>
        </w:tc>
        <w:tc>
          <w:tcPr>
            <w:tcW w:w="638" w:type="dxa"/>
            <w:vMerge w:val="restart"/>
            <w:tcBorders>
              <w:bottom w:val="nil"/>
            </w:tcBorders>
            <w:vAlign w:val="top"/>
          </w:tcPr>
          <w:p w14:paraId="199CE239">
            <w:pPr>
              <w:spacing w:line="243" w:lineRule="auto"/>
              <w:rPr>
                <w:rFonts w:ascii="Arial"/>
                <w:sz w:val="21"/>
              </w:rPr>
            </w:pPr>
          </w:p>
          <w:p w14:paraId="0B514314">
            <w:pPr>
              <w:spacing w:line="243" w:lineRule="auto"/>
              <w:rPr>
                <w:rFonts w:ascii="Arial"/>
                <w:sz w:val="21"/>
              </w:rPr>
            </w:pPr>
          </w:p>
          <w:p w14:paraId="0853F1AF">
            <w:pPr>
              <w:spacing w:line="244" w:lineRule="auto"/>
              <w:rPr>
                <w:rFonts w:ascii="Arial"/>
                <w:sz w:val="21"/>
              </w:rPr>
            </w:pPr>
          </w:p>
          <w:p w14:paraId="1BE0AD96">
            <w:pPr>
              <w:pStyle w:val="6"/>
              <w:spacing w:before="65" w:line="290" w:lineRule="auto"/>
              <w:ind w:left="221" w:right="211" w:firstLine="1"/>
            </w:pPr>
            <w:r>
              <w:rPr>
                <w:spacing w:val="-2"/>
              </w:rPr>
              <w:t>30分</w:t>
            </w:r>
          </w:p>
        </w:tc>
        <w:tc>
          <w:tcPr>
            <w:tcW w:w="4249" w:type="dxa"/>
            <w:vAlign w:val="top"/>
          </w:tcPr>
          <w:p w14:paraId="5385E89B">
            <w:pPr>
              <w:pStyle w:val="6"/>
              <w:spacing w:before="135" w:line="228" w:lineRule="auto"/>
              <w:ind w:left="114"/>
            </w:pPr>
            <w:r>
              <w:rPr>
                <w:spacing w:val="6"/>
              </w:rPr>
              <w:t>满足资格审查条件业绩最低要求，得</w:t>
            </w:r>
            <w:r>
              <w:rPr>
                <w:spacing w:val="-8"/>
              </w:rPr>
              <w:t xml:space="preserve"> </w:t>
            </w:r>
            <w:r>
              <w:rPr>
                <w:spacing w:val="6"/>
              </w:rPr>
              <w:t>18</w:t>
            </w:r>
            <w:r>
              <w:rPr>
                <w:spacing w:val="-38"/>
              </w:rPr>
              <w:t xml:space="preserve"> </w:t>
            </w:r>
            <w:r>
              <w:rPr>
                <w:spacing w:val="6"/>
              </w:rPr>
              <w:t>分；</w:t>
            </w:r>
          </w:p>
        </w:tc>
      </w:tr>
      <w:tr w14:paraId="35C8F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466" w:type="dxa"/>
            <w:vMerge w:val="continue"/>
            <w:tcBorders>
              <w:top w:val="nil"/>
            </w:tcBorders>
            <w:vAlign w:val="top"/>
          </w:tcPr>
          <w:p w14:paraId="4E2A7433">
            <w:pPr>
              <w:rPr>
                <w:rFonts w:ascii="Arial"/>
                <w:sz w:val="21"/>
              </w:rPr>
            </w:pPr>
          </w:p>
        </w:tc>
        <w:tc>
          <w:tcPr>
            <w:tcW w:w="906" w:type="dxa"/>
            <w:vMerge w:val="continue"/>
            <w:tcBorders>
              <w:top w:val="nil"/>
            </w:tcBorders>
            <w:vAlign w:val="top"/>
          </w:tcPr>
          <w:p w14:paraId="781AA918">
            <w:pPr>
              <w:rPr>
                <w:rFonts w:ascii="Arial"/>
                <w:sz w:val="21"/>
              </w:rPr>
            </w:pPr>
          </w:p>
        </w:tc>
        <w:tc>
          <w:tcPr>
            <w:tcW w:w="831" w:type="dxa"/>
            <w:vMerge w:val="continue"/>
            <w:tcBorders>
              <w:top w:val="nil"/>
            </w:tcBorders>
            <w:vAlign w:val="top"/>
          </w:tcPr>
          <w:p w14:paraId="63212E10">
            <w:pPr>
              <w:rPr>
                <w:rFonts w:ascii="Arial"/>
                <w:sz w:val="21"/>
              </w:rPr>
            </w:pPr>
          </w:p>
        </w:tc>
        <w:tc>
          <w:tcPr>
            <w:tcW w:w="1420" w:type="dxa"/>
            <w:vMerge w:val="continue"/>
            <w:tcBorders>
              <w:top w:val="nil"/>
            </w:tcBorders>
            <w:vAlign w:val="top"/>
          </w:tcPr>
          <w:p w14:paraId="5E5D463C">
            <w:pPr>
              <w:rPr>
                <w:rFonts w:ascii="Arial"/>
                <w:sz w:val="21"/>
              </w:rPr>
            </w:pPr>
          </w:p>
        </w:tc>
        <w:tc>
          <w:tcPr>
            <w:tcW w:w="638" w:type="dxa"/>
            <w:vMerge w:val="continue"/>
            <w:tcBorders>
              <w:top w:val="nil"/>
            </w:tcBorders>
            <w:vAlign w:val="top"/>
          </w:tcPr>
          <w:p w14:paraId="7222D891">
            <w:pPr>
              <w:rPr>
                <w:rFonts w:ascii="Arial"/>
                <w:sz w:val="21"/>
              </w:rPr>
            </w:pPr>
          </w:p>
        </w:tc>
        <w:tc>
          <w:tcPr>
            <w:tcW w:w="4249" w:type="dxa"/>
            <w:vAlign w:val="top"/>
          </w:tcPr>
          <w:p w14:paraId="4DBB8289">
            <w:pPr>
              <w:pStyle w:val="6"/>
              <w:spacing w:before="36" w:line="251" w:lineRule="auto"/>
              <w:ind w:left="113" w:right="108" w:firstLine="4"/>
              <w:jc w:val="both"/>
            </w:pPr>
            <w:r>
              <w:rPr>
                <w:spacing w:val="1"/>
              </w:rPr>
              <w:t>设计</w:t>
            </w:r>
            <w:r>
              <w:rPr>
                <w:spacing w:val="-41"/>
              </w:rPr>
              <w:t xml:space="preserve"> </w:t>
            </w:r>
            <w:r>
              <w:rPr>
                <w:spacing w:val="1"/>
              </w:rPr>
              <w:t>:每增加</w:t>
            </w:r>
            <w:r>
              <w:rPr>
                <w:spacing w:val="-24"/>
              </w:rPr>
              <w:t xml:space="preserve"> </w:t>
            </w:r>
            <w:r>
              <w:rPr>
                <w:spacing w:val="1"/>
              </w:rPr>
              <w:t>1</w:t>
            </w:r>
            <w:r>
              <w:rPr>
                <w:spacing w:val="-38"/>
              </w:rPr>
              <w:t xml:space="preserve"> </w:t>
            </w:r>
            <w:r>
              <w:rPr>
                <w:spacing w:val="1"/>
              </w:rPr>
              <w:t>个满足资格审查条件（业绩最</w:t>
            </w:r>
            <w:r>
              <w:rPr>
                <w:spacing w:val="8"/>
              </w:rPr>
              <w:t>低要求）</w:t>
            </w:r>
            <w:r>
              <w:rPr>
                <w:spacing w:val="-39"/>
              </w:rPr>
              <w:t xml:space="preserve"> </w:t>
            </w:r>
            <w:r>
              <w:rPr>
                <w:spacing w:val="8"/>
              </w:rPr>
              <w:t>中设计业绩的，加</w:t>
            </w:r>
            <w:r>
              <w:rPr>
                <w:spacing w:val="-30"/>
              </w:rPr>
              <w:t xml:space="preserve"> </w:t>
            </w:r>
            <w:r>
              <w:rPr>
                <w:spacing w:val="8"/>
              </w:rPr>
              <w:t>3</w:t>
            </w:r>
            <w:r>
              <w:rPr>
                <w:spacing w:val="-31"/>
              </w:rPr>
              <w:t xml:space="preserve"> </w:t>
            </w:r>
            <w:r>
              <w:rPr>
                <w:spacing w:val="8"/>
              </w:rPr>
              <w:t>分，最多加</w:t>
            </w:r>
            <w:r>
              <w:rPr>
                <w:spacing w:val="-32"/>
              </w:rPr>
              <w:t xml:space="preserve"> </w:t>
            </w:r>
            <w:r>
              <w:rPr>
                <w:spacing w:val="8"/>
              </w:rPr>
              <w:t>6</w:t>
            </w:r>
            <w:r>
              <w:t>分。</w:t>
            </w:r>
          </w:p>
          <w:p w14:paraId="7B010573">
            <w:pPr>
              <w:pStyle w:val="6"/>
              <w:spacing w:before="2" w:line="238" w:lineRule="auto"/>
              <w:ind w:left="113" w:right="108"/>
              <w:jc w:val="both"/>
            </w:pPr>
            <w:r>
              <w:rPr>
                <w:spacing w:val="2"/>
              </w:rPr>
              <w:t>施工</w:t>
            </w:r>
            <w:r>
              <w:rPr>
                <w:spacing w:val="-57"/>
              </w:rPr>
              <w:t xml:space="preserve"> </w:t>
            </w:r>
            <w:r>
              <w:rPr>
                <w:spacing w:val="2"/>
              </w:rPr>
              <w:t>:每增加</w:t>
            </w:r>
            <w:r>
              <w:rPr>
                <w:spacing w:val="-24"/>
              </w:rPr>
              <w:t xml:space="preserve"> </w:t>
            </w:r>
            <w:r>
              <w:rPr>
                <w:spacing w:val="2"/>
              </w:rPr>
              <w:t>1</w:t>
            </w:r>
            <w:r>
              <w:rPr>
                <w:spacing w:val="-38"/>
              </w:rPr>
              <w:t xml:space="preserve"> </w:t>
            </w:r>
            <w:r>
              <w:rPr>
                <w:spacing w:val="2"/>
              </w:rPr>
              <w:t>个满足资格审查条件（业绩最</w:t>
            </w:r>
            <w:r>
              <w:rPr>
                <w:spacing w:val="8"/>
              </w:rPr>
              <w:t>低要求）</w:t>
            </w:r>
            <w:r>
              <w:rPr>
                <w:spacing w:val="-39"/>
              </w:rPr>
              <w:t xml:space="preserve"> </w:t>
            </w:r>
            <w:r>
              <w:rPr>
                <w:spacing w:val="8"/>
              </w:rPr>
              <w:t>中施工业绩的，加</w:t>
            </w:r>
            <w:r>
              <w:rPr>
                <w:spacing w:val="-30"/>
              </w:rPr>
              <w:t xml:space="preserve"> </w:t>
            </w:r>
            <w:r>
              <w:rPr>
                <w:spacing w:val="8"/>
              </w:rPr>
              <w:t>3</w:t>
            </w:r>
            <w:r>
              <w:rPr>
                <w:spacing w:val="-31"/>
              </w:rPr>
              <w:t xml:space="preserve"> </w:t>
            </w:r>
            <w:r>
              <w:rPr>
                <w:spacing w:val="8"/>
              </w:rPr>
              <w:t>分，最多加</w:t>
            </w:r>
            <w:r>
              <w:rPr>
                <w:spacing w:val="-32"/>
              </w:rPr>
              <w:t xml:space="preserve"> </w:t>
            </w:r>
            <w:r>
              <w:rPr>
                <w:spacing w:val="8"/>
              </w:rPr>
              <w:t>6</w:t>
            </w:r>
            <w:r>
              <w:t>分。</w:t>
            </w:r>
          </w:p>
        </w:tc>
      </w:tr>
      <w:tr w14:paraId="0F14C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466" w:type="dxa"/>
            <w:vAlign w:val="top"/>
          </w:tcPr>
          <w:p w14:paraId="64A2704D">
            <w:pPr>
              <w:pStyle w:val="6"/>
              <w:spacing w:before="233" w:line="268" w:lineRule="exact"/>
              <w:ind w:left="134"/>
            </w:pPr>
            <w:r>
              <w:rPr>
                <w:spacing w:val="-1"/>
                <w:position w:val="1"/>
              </w:rPr>
              <w:t>2.</w:t>
            </w:r>
          </w:p>
          <w:p w14:paraId="23E0FCEC">
            <w:pPr>
              <w:pStyle w:val="6"/>
              <w:spacing w:before="51" w:line="268" w:lineRule="exact"/>
              <w:ind w:left="134"/>
            </w:pPr>
            <w:r>
              <w:rPr>
                <w:spacing w:val="-1"/>
                <w:position w:val="1"/>
              </w:rPr>
              <w:t>2.</w:t>
            </w:r>
          </w:p>
          <w:p w14:paraId="3A6B0B7C">
            <w:pPr>
              <w:pStyle w:val="6"/>
              <w:spacing w:before="51" w:line="270" w:lineRule="exact"/>
              <w:ind w:left="183"/>
            </w:pPr>
            <w:r>
              <w:rPr>
                <w:position w:val="1"/>
              </w:rPr>
              <w:t>4</w:t>
            </w:r>
          </w:p>
          <w:p w14:paraId="0829F141">
            <w:pPr>
              <w:pStyle w:val="6"/>
              <w:spacing w:before="51" w:line="231" w:lineRule="auto"/>
              <w:ind w:left="330"/>
            </w:pPr>
            <w:r>
              <w:t>(</w:t>
            </w:r>
          </w:p>
          <w:p w14:paraId="15B07F30">
            <w:pPr>
              <w:pStyle w:val="6"/>
              <w:spacing w:before="69"/>
              <w:ind w:left="119"/>
            </w:pPr>
            <w:r>
              <w:rPr>
                <w:spacing w:val="-4"/>
              </w:rPr>
              <w:t>3）</w:t>
            </w:r>
          </w:p>
        </w:tc>
        <w:tc>
          <w:tcPr>
            <w:tcW w:w="906" w:type="dxa"/>
            <w:vAlign w:val="top"/>
          </w:tcPr>
          <w:p w14:paraId="45E141ED">
            <w:pPr>
              <w:spacing w:line="242" w:lineRule="auto"/>
              <w:rPr>
                <w:rFonts w:ascii="Arial"/>
                <w:sz w:val="21"/>
              </w:rPr>
            </w:pPr>
          </w:p>
          <w:p w14:paraId="62583895">
            <w:pPr>
              <w:spacing w:line="242" w:lineRule="auto"/>
              <w:rPr>
                <w:rFonts w:ascii="Arial"/>
                <w:sz w:val="21"/>
              </w:rPr>
            </w:pPr>
          </w:p>
          <w:p w14:paraId="15E7F126">
            <w:pPr>
              <w:pStyle w:val="6"/>
              <w:spacing w:before="65" w:line="297" w:lineRule="auto"/>
              <w:ind w:left="67" w:right="14" w:hanging="10"/>
              <w:jc w:val="both"/>
            </w:pPr>
            <w:r>
              <w:rPr>
                <w:spacing w:val="7"/>
              </w:rPr>
              <w:t>承包人实</w:t>
            </w:r>
            <w:r>
              <w:rPr>
                <w:spacing w:val="38"/>
              </w:rPr>
              <w:t>施方案</w:t>
            </w:r>
            <w:r>
              <w:rPr>
                <w:spacing w:val="2"/>
              </w:rPr>
              <w:t>（暗标）</w:t>
            </w:r>
          </w:p>
        </w:tc>
        <w:tc>
          <w:tcPr>
            <w:tcW w:w="831" w:type="dxa"/>
            <w:vAlign w:val="top"/>
          </w:tcPr>
          <w:p w14:paraId="519CDD63">
            <w:pPr>
              <w:spacing w:line="267" w:lineRule="auto"/>
              <w:rPr>
                <w:rFonts w:ascii="Arial"/>
                <w:sz w:val="21"/>
              </w:rPr>
            </w:pPr>
          </w:p>
          <w:p w14:paraId="0DB893F1">
            <w:pPr>
              <w:spacing w:line="267" w:lineRule="auto"/>
              <w:rPr>
                <w:rFonts w:ascii="Arial"/>
                <w:sz w:val="21"/>
              </w:rPr>
            </w:pPr>
          </w:p>
          <w:p w14:paraId="6D3467DD">
            <w:pPr>
              <w:spacing w:line="268" w:lineRule="auto"/>
              <w:rPr>
                <w:rFonts w:ascii="Arial"/>
                <w:sz w:val="21"/>
              </w:rPr>
            </w:pPr>
          </w:p>
          <w:p w14:paraId="16667289">
            <w:pPr>
              <w:pStyle w:val="6"/>
              <w:spacing w:before="65" w:line="228" w:lineRule="auto"/>
              <w:ind w:left="182"/>
            </w:pPr>
            <w:r>
              <w:t>40</w:t>
            </w:r>
            <w:r>
              <w:rPr>
                <w:spacing w:val="-37"/>
              </w:rPr>
              <w:t xml:space="preserve"> </w:t>
            </w:r>
            <w:r>
              <w:t>分</w:t>
            </w:r>
          </w:p>
        </w:tc>
        <w:tc>
          <w:tcPr>
            <w:tcW w:w="1420" w:type="dxa"/>
            <w:vAlign w:val="top"/>
          </w:tcPr>
          <w:p w14:paraId="7FEFACF9">
            <w:pPr>
              <w:spacing w:line="310" w:lineRule="auto"/>
              <w:rPr>
                <w:rFonts w:ascii="Arial"/>
                <w:sz w:val="21"/>
              </w:rPr>
            </w:pPr>
          </w:p>
          <w:p w14:paraId="121EDF87">
            <w:pPr>
              <w:spacing w:line="311" w:lineRule="auto"/>
              <w:rPr>
                <w:rFonts w:ascii="Arial"/>
                <w:sz w:val="21"/>
              </w:rPr>
            </w:pPr>
          </w:p>
          <w:p w14:paraId="51979568">
            <w:pPr>
              <w:pStyle w:val="6"/>
              <w:spacing w:before="65" w:line="407" w:lineRule="auto"/>
              <w:ind w:left="504" w:right="184" w:hanging="309"/>
            </w:pPr>
            <w:r>
              <w:rPr>
                <w:spacing w:val="7"/>
              </w:rPr>
              <w:t>总承包管理</w:t>
            </w:r>
            <w:r>
              <w:rPr>
                <w:spacing w:val="4"/>
              </w:rPr>
              <w:t>方案</w:t>
            </w:r>
          </w:p>
        </w:tc>
        <w:tc>
          <w:tcPr>
            <w:tcW w:w="638" w:type="dxa"/>
            <w:vAlign w:val="top"/>
          </w:tcPr>
          <w:p w14:paraId="1B99B2F1">
            <w:pPr>
              <w:spacing w:line="313" w:lineRule="auto"/>
              <w:rPr>
                <w:rFonts w:ascii="Arial"/>
                <w:sz w:val="21"/>
              </w:rPr>
            </w:pPr>
          </w:p>
          <w:p w14:paraId="158F71FB">
            <w:pPr>
              <w:spacing w:line="314" w:lineRule="auto"/>
              <w:rPr>
                <w:rFonts w:ascii="Arial"/>
                <w:sz w:val="21"/>
              </w:rPr>
            </w:pPr>
          </w:p>
          <w:p w14:paraId="7ED11599">
            <w:pPr>
              <w:pStyle w:val="6"/>
              <w:spacing w:before="65" w:line="290" w:lineRule="auto"/>
              <w:ind w:left="221" w:right="211" w:firstLine="12"/>
            </w:pPr>
            <w:r>
              <w:rPr>
                <w:spacing w:val="-7"/>
              </w:rPr>
              <w:t>10</w:t>
            </w:r>
            <w:r>
              <w:rPr>
                <w:spacing w:val="-2"/>
              </w:rPr>
              <w:t>分</w:t>
            </w:r>
          </w:p>
        </w:tc>
        <w:tc>
          <w:tcPr>
            <w:tcW w:w="4249" w:type="dxa"/>
            <w:vAlign w:val="top"/>
          </w:tcPr>
          <w:p w14:paraId="5937B7BA">
            <w:pPr>
              <w:pStyle w:val="6"/>
              <w:spacing w:before="79" w:line="296" w:lineRule="auto"/>
              <w:ind w:left="132" w:right="107" w:firstLine="6"/>
            </w:pPr>
            <w:r>
              <w:rPr>
                <w:spacing w:val="1"/>
              </w:rPr>
              <w:t>内容完整，编制科学合理，可行性强，得</w:t>
            </w:r>
            <w:r>
              <w:rPr>
                <w:spacing w:val="-25"/>
              </w:rPr>
              <w:t xml:space="preserve"> </w:t>
            </w:r>
            <w:r>
              <w:rPr>
                <w:spacing w:val="1"/>
              </w:rPr>
              <w:t>8.0</w:t>
            </w:r>
            <w:r>
              <w:t xml:space="preserve"> </w:t>
            </w:r>
            <w:r>
              <w:rPr>
                <w:spacing w:val="14"/>
              </w:rPr>
              <w:t>-10.0</w:t>
            </w:r>
            <w:r>
              <w:rPr>
                <w:spacing w:val="-36"/>
              </w:rPr>
              <w:t xml:space="preserve"> </w:t>
            </w:r>
            <w:r>
              <w:rPr>
                <w:spacing w:val="14"/>
              </w:rPr>
              <w:t>分；</w:t>
            </w:r>
          </w:p>
          <w:p w14:paraId="073AFF62">
            <w:pPr>
              <w:pStyle w:val="6"/>
              <w:spacing w:before="1" w:line="283" w:lineRule="auto"/>
              <w:ind w:left="115" w:right="149" w:firstLine="23"/>
            </w:pPr>
            <w:r>
              <w:rPr>
                <w:spacing w:val="8"/>
              </w:rPr>
              <w:t>内容较完整，编制较合理，可行性较强，得</w:t>
            </w:r>
            <w:r>
              <w:rPr>
                <w:spacing w:val="3"/>
              </w:rPr>
              <w:t>6.0－8.0</w:t>
            </w:r>
            <w:r>
              <w:rPr>
                <w:spacing w:val="-37"/>
              </w:rPr>
              <w:t xml:space="preserve"> </w:t>
            </w:r>
            <w:r>
              <w:rPr>
                <w:spacing w:val="3"/>
              </w:rPr>
              <w:t>分；</w:t>
            </w:r>
          </w:p>
          <w:p w14:paraId="321F6F23">
            <w:pPr>
              <w:pStyle w:val="6"/>
              <w:spacing w:line="261" w:lineRule="auto"/>
              <w:ind w:left="114" w:right="53" w:firstLine="24"/>
            </w:pPr>
            <w:r>
              <w:rPr>
                <w:spacing w:val="2"/>
              </w:rPr>
              <w:t>内容基本完整，编制基本合理，可行性一般，</w:t>
            </w:r>
            <w:r>
              <w:t>得</w:t>
            </w:r>
            <w:r>
              <w:rPr>
                <w:spacing w:val="-35"/>
              </w:rPr>
              <w:t xml:space="preserve"> </w:t>
            </w:r>
            <w:r>
              <w:t>6.0</w:t>
            </w:r>
            <w:r>
              <w:rPr>
                <w:spacing w:val="-38"/>
              </w:rPr>
              <w:t xml:space="preserve"> </w:t>
            </w:r>
            <w:r>
              <w:t>分。</w:t>
            </w:r>
          </w:p>
        </w:tc>
      </w:tr>
    </w:tbl>
    <w:p w14:paraId="3038BC6D">
      <w:pPr>
        <w:rPr>
          <w:rFonts w:ascii="Arial"/>
          <w:sz w:val="21"/>
        </w:rPr>
      </w:pPr>
    </w:p>
    <w:p w14:paraId="2B7FBFDF">
      <w:pPr>
        <w:rPr>
          <w:rFonts w:ascii="Arial" w:hAnsi="Arial" w:eastAsia="Arial" w:cs="Arial"/>
          <w:sz w:val="21"/>
          <w:szCs w:val="21"/>
        </w:rPr>
        <w:sectPr>
          <w:footerReference r:id="rId24" w:type="default"/>
          <w:pgSz w:w="11906" w:h="16839"/>
          <w:pgMar w:top="400" w:right="1695" w:bottom="1378" w:left="1695" w:header="0" w:footer="1212" w:gutter="0"/>
          <w:cols w:space="720" w:num="1"/>
        </w:sectPr>
      </w:pPr>
    </w:p>
    <w:p w14:paraId="6C105FDA">
      <w:pPr>
        <w:spacing w:before="19"/>
      </w:pPr>
    </w:p>
    <w:p w14:paraId="4D5161CE">
      <w:pPr>
        <w:spacing w:before="19"/>
      </w:pPr>
    </w:p>
    <w:p w14:paraId="4E4526B5">
      <w:pPr>
        <w:spacing w:before="18"/>
      </w:pPr>
    </w:p>
    <w:p w14:paraId="1A67210A">
      <w:pPr>
        <w:spacing w:before="18"/>
      </w:pPr>
    </w:p>
    <w:tbl>
      <w:tblPr>
        <w:tblStyle w:val="5"/>
        <w:tblW w:w="85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6"/>
        <w:gridCol w:w="906"/>
        <w:gridCol w:w="831"/>
        <w:gridCol w:w="1420"/>
        <w:gridCol w:w="638"/>
        <w:gridCol w:w="4249"/>
      </w:tblGrid>
      <w:tr w14:paraId="58AA4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261" w:type="dxa"/>
            <w:gridSpan w:val="5"/>
            <w:vAlign w:val="top"/>
          </w:tcPr>
          <w:p w14:paraId="63270719">
            <w:pPr>
              <w:pStyle w:val="6"/>
              <w:spacing w:before="212" w:line="228" w:lineRule="auto"/>
              <w:ind w:left="1191"/>
            </w:pPr>
            <w:r>
              <w:rPr>
                <w:spacing w:val="9"/>
              </w:rPr>
              <w:t>评分因素与权重分值</w:t>
            </w:r>
          </w:p>
        </w:tc>
        <w:tc>
          <w:tcPr>
            <w:tcW w:w="4249" w:type="dxa"/>
            <w:vMerge w:val="restart"/>
            <w:tcBorders>
              <w:bottom w:val="nil"/>
            </w:tcBorders>
            <w:vAlign w:val="top"/>
          </w:tcPr>
          <w:p w14:paraId="7ACDA79A">
            <w:pPr>
              <w:spacing w:line="267" w:lineRule="auto"/>
              <w:rPr>
                <w:rFonts w:ascii="Arial"/>
                <w:sz w:val="21"/>
              </w:rPr>
            </w:pPr>
          </w:p>
          <w:p w14:paraId="72011FA3">
            <w:pPr>
              <w:spacing w:line="267" w:lineRule="auto"/>
              <w:rPr>
                <w:rFonts w:ascii="Arial"/>
                <w:sz w:val="21"/>
              </w:rPr>
            </w:pPr>
          </w:p>
          <w:p w14:paraId="3BD15D09">
            <w:pPr>
              <w:spacing w:line="268" w:lineRule="auto"/>
              <w:rPr>
                <w:rFonts w:ascii="Arial"/>
                <w:sz w:val="21"/>
              </w:rPr>
            </w:pPr>
          </w:p>
          <w:p w14:paraId="4249A0FD">
            <w:pPr>
              <w:pStyle w:val="6"/>
              <w:spacing w:before="65" w:line="228" w:lineRule="auto"/>
              <w:ind w:left="1706"/>
            </w:pPr>
            <w:r>
              <w:rPr>
                <w:spacing w:val="7"/>
              </w:rPr>
              <w:t>评分标准</w:t>
            </w:r>
          </w:p>
        </w:tc>
      </w:tr>
      <w:tr w14:paraId="4C3AF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466" w:type="dxa"/>
            <w:textDirection w:val="tbRlV"/>
            <w:vAlign w:val="top"/>
          </w:tcPr>
          <w:p w14:paraId="24C0022E">
            <w:pPr>
              <w:pStyle w:val="6"/>
              <w:spacing w:before="127" w:line="215" w:lineRule="auto"/>
              <w:ind w:left="251"/>
            </w:pPr>
            <w:r>
              <w:rPr>
                <w:spacing w:val="9"/>
              </w:rPr>
              <w:t>条 款</w:t>
            </w:r>
            <w:r>
              <w:rPr>
                <w:spacing w:val="12"/>
              </w:rPr>
              <w:t xml:space="preserve"> </w:t>
            </w:r>
            <w:r>
              <w:rPr>
                <w:spacing w:val="9"/>
              </w:rPr>
              <w:t>号</w:t>
            </w:r>
          </w:p>
        </w:tc>
        <w:tc>
          <w:tcPr>
            <w:tcW w:w="906" w:type="dxa"/>
            <w:vAlign w:val="top"/>
          </w:tcPr>
          <w:p w14:paraId="5F6447DB">
            <w:pPr>
              <w:spacing w:line="344" w:lineRule="auto"/>
              <w:rPr>
                <w:rFonts w:ascii="Arial"/>
                <w:sz w:val="21"/>
              </w:rPr>
            </w:pPr>
          </w:p>
          <w:p w14:paraId="441D14B8">
            <w:pPr>
              <w:pStyle w:val="6"/>
              <w:spacing w:before="65" w:line="296" w:lineRule="auto"/>
              <w:ind w:left="352" w:right="139" w:hanging="212"/>
            </w:pPr>
            <w:r>
              <w:rPr>
                <w:spacing w:val="7"/>
              </w:rPr>
              <w:t>评分因</w:t>
            </w:r>
            <w:r>
              <w:t>素</w:t>
            </w:r>
          </w:p>
        </w:tc>
        <w:tc>
          <w:tcPr>
            <w:tcW w:w="831" w:type="dxa"/>
            <w:vAlign w:val="top"/>
          </w:tcPr>
          <w:p w14:paraId="43AB7BEE">
            <w:pPr>
              <w:pStyle w:val="6"/>
              <w:spacing w:before="90" w:line="228" w:lineRule="auto"/>
              <w:ind w:left="208"/>
            </w:pPr>
            <w:r>
              <w:rPr>
                <w:spacing w:val="5"/>
              </w:rPr>
              <w:t>评分</w:t>
            </w:r>
          </w:p>
          <w:p w14:paraId="7F3A154E">
            <w:pPr>
              <w:pStyle w:val="6"/>
              <w:spacing w:before="73" w:line="228" w:lineRule="auto"/>
              <w:ind w:left="225"/>
            </w:pPr>
            <w:r>
              <w:rPr>
                <w:spacing w:val="-4"/>
              </w:rPr>
              <w:t>因素</w:t>
            </w:r>
          </w:p>
          <w:p w14:paraId="3BC05636">
            <w:pPr>
              <w:pStyle w:val="6"/>
              <w:spacing w:before="72" w:line="228" w:lineRule="auto"/>
              <w:ind w:left="208"/>
            </w:pPr>
            <w:r>
              <w:rPr>
                <w:spacing w:val="5"/>
              </w:rPr>
              <w:t>权重</w:t>
            </w:r>
          </w:p>
          <w:p w14:paraId="06B50723">
            <w:pPr>
              <w:pStyle w:val="6"/>
              <w:spacing w:before="72" w:line="228" w:lineRule="auto"/>
              <w:ind w:left="212"/>
            </w:pPr>
            <w:r>
              <w:rPr>
                <w:spacing w:val="3"/>
              </w:rPr>
              <w:t>分值</w:t>
            </w:r>
          </w:p>
        </w:tc>
        <w:tc>
          <w:tcPr>
            <w:tcW w:w="1420" w:type="dxa"/>
            <w:vAlign w:val="top"/>
          </w:tcPr>
          <w:p w14:paraId="4E017AF9">
            <w:pPr>
              <w:spacing w:line="345" w:lineRule="auto"/>
              <w:rPr>
                <w:rFonts w:ascii="Arial"/>
                <w:sz w:val="21"/>
              </w:rPr>
            </w:pPr>
          </w:p>
          <w:p w14:paraId="69A14254">
            <w:pPr>
              <w:pStyle w:val="6"/>
              <w:spacing w:before="65" w:line="296" w:lineRule="auto"/>
              <w:ind w:left="401" w:right="184" w:hanging="209"/>
            </w:pPr>
            <w:r>
              <w:rPr>
                <w:spacing w:val="7"/>
              </w:rPr>
              <w:t>各评分因素</w:t>
            </w:r>
            <w:r>
              <w:rPr>
                <w:spacing w:val="6"/>
              </w:rPr>
              <w:t>细分项</w:t>
            </w:r>
          </w:p>
        </w:tc>
        <w:tc>
          <w:tcPr>
            <w:tcW w:w="638" w:type="dxa"/>
            <w:vAlign w:val="top"/>
          </w:tcPr>
          <w:p w14:paraId="5E848557">
            <w:pPr>
              <w:spacing w:line="250" w:lineRule="auto"/>
              <w:rPr>
                <w:rFonts w:ascii="Arial"/>
                <w:sz w:val="21"/>
              </w:rPr>
            </w:pPr>
          </w:p>
          <w:p w14:paraId="3E0EFDE9">
            <w:pPr>
              <w:spacing w:line="251" w:lineRule="auto"/>
              <w:rPr>
                <w:rFonts w:ascii="Arial"/>
                <w:sz w:val="21"/>
              </w:rPr>
            </w:pPr>
          </w:p>
          <w:p w14:paraId="58DDF96C">
            <w:pPr>
              <w:pStyle w:val="6"/>
              <w:spacing w:before="65" w:line="228" w:lineRule="auto"/>
              <w:ind w:left="116"/>
            </w:pPr>
            <w:r>
              <w:rPr>
                <w:spacing w:val="3"/>
              </w:rPr>
              <w:t>分值</w:t>
            </w:r>
          </w:p>
        </w:tc>
        <w:tc>
          <w:tcPr>
            <w:tcW w:w="4249" w:type="dxa"/>
            <w:vMerge w:val="continue"/>
            <w:tcBorders>
              <w:top w:val="nil"/>
            </w:tcBorders>
            <w:vAlign w:val="top"/>
          </w:tcPr>
          <w:p w14:paraId="7CEA57AE">
            <w:pPr>
              <w:rPr>
                <w:rFonts w:ascii="Arial"/>
                <w:sz w:val="21"/>
              </w:rPr>
            </w:pPr>
          </w:p>
        </w:tc>
      </w:tr>
      <w:tr w14:paraId="0DE52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8" w:hRule="atLeast"/>
        </w:trPr>
        <w:tc>
          <w:tcPr>
            <w:tcW w:w="466" w:type="dxa"/>
            <w:vMerge w:val="restart"/>
            <w:tcBorders>
              <w:bottom w:val="nil"/>
            </w:tcBorders>
            <w:vAlign w:val="top"/>
          </w:tcPr>
          <w:p w14:paraId="7A1421CE">
            <w:pPr>
              <w:rPr>
                <w:rFonts w:ascii="Arial"/>
                <w:sz w:val="21"/>
              </w:rPr>
            </w:pPr>
          </w:p>
        </w:tc>
        <w:tc>
          <w:tcPr>
            <w:tcW w:w="906" w:type="dxa"/>
            <w:vMerge w:val="restart"/>
            <w:tcBorders>
              <w:bottom w:val="nil"/>
            </w:tcBorders>
            <w:vAlign w:val="top"/>
          </w:tcPr>
          <w:p w14:paraId="11385E5F">
            <w:pPr>
              <w:rPr>
                <w:rFonts w:ascii="Arial"/>
                <w:sz w:val="21"/>
              </w:rPr>
            </w:pPr>
          </w:p>
        </w:tc>
        <w:tc>
          <w:tcPr>
            <w:tcW w:w="831" w:type="dxa"/>
            <w:vMerge w:val="restart"/>
            <w:tcBorders>
              <w:bottom w:val="nil"/>
            </w:tcBorders>
            <w:vAlign w:val="top"/>
          </w:tcPr>
          <w:p w14:paraId="49CCD470">
            <w:pPr>
              <w:rPr>
                <w:rFonts w:ascii="Arial"/>
                <w:sz w:val="21"/>
              </w:rPr>
            </w:pPr>
          </w:p>
        </w:tc>
        <w:tc>
          <w:tcPr>
            <w:tcW w:w="1420" w:type="dxa"/>
            <w:vAlign w:val="top"/>
          </w:tcPr>
          <w:p w14:paraId="4D66F426">
            <w:pPr>
              <w:spacing w:line="253" w:lineRule="auto"/>
              <w:rPr>
                <w:rFonts w:ascii="Arial"/>
                <w:sz w:val="21"/>
              </w:rPr>
            </w:pPr>
          </w:p>
          <w:p w14:paraId="1381B1B3">
            <w:pPr>
              <w:spacing w:line="253" w:lineRule="auto"/>
              <w:rPr>
                <w:rFonts w:ascii="Arial"/>
                <w:sz w:val="21"/>
              </w:rPr>
            </w:pPr>
          </w:p>
          <w:p w14:paraId="4E58654C">
            <w:pPr>
              <w:pStyle w:val="6"/>
              <w:spacing w:before="65" w:line="228" w:lineRule="auto"/>
              <w:ind w:left="42"/>
            </w:pPr>
            <w:r>
              <w:rPr>
                <w:spacing w:val="7"/>
              </w:rPr>
              <w:t>数字化及智慧</w:t>
            </w:r>
          </w:p>
          <w:p w14:paraId="5B0EC705">
            <w:pPr>
              <w:pStyle w:val="6"/>
              <w:spacing w:before="24" w:line="228" w:lineRule="auto"/>
              <w:ind w:left="41"/>
            </w:pPr>
            <w:r>
              <w:rPr>
                <w:spacing w:val="8"/>
              </w:rPr>
              <w:t>化施工实施要</w:t>
            </w:r>
          </w:p>
          <w:p w14:paraId="0886882B">
            <w:pPr>
              <w:pStyle w:val="6"/>
              <w:spacing w:before="23" w:line="232" w:lineRule="auto"/>
              <w:ind w:left="574"/>
            </w:pPr>
            <w:r>
              <w:t>点</w:t>
            </w:r>
          </w:p>
        </w:tc>
        <w:tc>
          <w:tcPr>
            <w:tcW w:w="638" w:type="dxa"/>
            <w:vAlign w:val="top"/>
          </w:tcPr>
          <w:p w14:paraId="7EEEFDBD">
            <w:pPr>
              <w:spacing w:line="258" w:lineRule="auto"/>
              <w:rPr>
                <w:rFonts w:ascii="Arial"/>
                <w:sz w:val="21"/>
              </w:rPr>
            </w:pPr>
          </w:p>
          <w:p w14:paraId="5A24602B">
            <w:pPr>
              <w:spacing w:line="259" w:lineRule="auto"/>
              <w:rPr>
                <w:rFonts w:ascii="Arial"/>
                <w:sz w:val="21"/>
              </w:rPr>
            </w:pPr>
          </w:p>
          <w:p w14:paraId="60144965">
            <w:pPr>
              <w:spacing w:line="259" w:lineRule="auto"/>
              <w:rPr>
                <w:rFonts w:ascii="Arial"/>
                <w:sz w:val="21"/>
              </w:rPr>
            </w:pPr>
          </w:p>
          <w:p w14:paraId="6F95BC02">
            <w:pPr>
              <w:pStyle w:val="6"/>
              <w:spacing w:before="65" w:line="228" w:lineRule="auto"/>
              <w:ind w:left="144"/>
            </w:pPr>
            <w:r>
              <w:rPr>
                <w:spacing w:val="-4"/>
              </w:rPr>
              <w:t>5</w:t>
            </w:r>
            <w:r>
              <w:rPr>
                <w:spacing w:val="-36"/>
              </w:rPr>
              <w:t xml:space="preserve"> </w:t>
            </w:r>
            <w:r>
              <w:rPr>
                <w:spacing w:val="-4"/>
              </w:rPr>
              <w:t>分</w:t>
            </w:r>
          </w:p>
        </w:tc>
        <w:tc>
          <w:tcPr>
            <w:tcW w:w="4249" w:type="dxa"/>
            <w:vAlign w:val="top"/>
          </w:tcPr>
          <w:p w14:paraId="6BF14EFA">
            <w:pPr>
              <w:pStyle w:val="6"/>
              <w:spacing w:before="75" w:line="296" w:lineRule="auto"/>
              <w:ind w:left="132" w:right="107" w:firstLine="6"/>
            </w:pPr>
            <w:r>
              <w:rPr>
                <w:spacing w:val="1"/>
              </w:rPr>
              <w:t>内容完整，编制科学合理，可行性强，得</w:t>
            </w:r>
            <w:r>
              <w:rPr>
                <w:spacing w:val="-25"/>
              </w:rPr>
              <w:t xml:space="preserve"> </w:t>
            </w:r>
            <w:r>
              <w:rPr>
                <w:spacing w:val="1"/>
              </w:rPr>
              <w:t>4.0</w:t>
            </w:r>
            <w:r>
              <w:t xml:space="preserve"> </w:t>
            </w:r>
            <w:r>
              <w:rPr>
                <w:spacing w:val="15"/>
              </w:rPr>
              <w:t>-5.0</w:t>
            </w:r>
            <w:r>
              <w:rPr>
                <w:spacing w:val="-33"/>
              </w:rPr>
              <w:t xml:space="preserve"> </w:t>
            </w:r>
            <w:r>
              <w:rPr>
                <w:spacing w:val="15"/>
              </w:rPr>
              <w:t>分；</w:t>
            </w:r>
          </w:p>
          <w:p w14:paraId="240B3BA5">
            <w:pPr>
              <w:pStyle w:val="6"/>
              <w:spacing w:before="1" w:line="283" w:lineRule="auto"/>
              <w:ind w:left="118" w:right="149" w:firstLine="21"/>
            </w:pPr>
            <w:r>
              <w:rPr>
                <w:spacing w:val="8"/>
              </w:rPr>
              <w:t>内容较完整，编制较合理，可行性较强，得</w:t>
            </w:r>
            <w:r>
              <w:rPr>
                <w:spacing w:val="3"/>
              </w:rPr>
              <w:t>3.0－4.0</w:t>
            </w:r>
            <w:r>
              <w:rPr>
                <w:spacing w:val="-38"/>
              </w:rPr>
              <w:t xml:space="preserve"> </w:t>
            </w:r>
            <w:r>
              <w:rPr>
                <w:spacing w:val="3"/>
              </w:rPr>
              <w:t>分；</w:t>
            </w:r>
          </w:p>
          <w:p w14:paraId="4D458E80">
            <w:pPr>
              <w:pStyle w:val="6"/>
              <w:spacing w:before="1" w:line="261" w:lineRule="auto"/>
              <w:ind w:left="114" w:right="53" w:firstLine="24"/>
            </w:pPr>
            <w:r>
              <w:rPr>
                <w:spacing w:val="2"/>
              </w:rPr>
              <w:t>内容基本完整，编制基本合理，可行性一般，</w:t>
            </w:r>
            <w:r>
              <w:t>得</w:t>
            </w:r>
            <w:r>
              <w:rPr>
                <w:spacing w:val="-35"/>
              </w:rPr>
              <w:t xml:space="preserve"> </w:t>
            </w:r>
            <w:r>
              <w:t>3.0</w:t>
            </w:r>
            <w:r>
              <w:rPr>
                <w:spacing w:val="-38"/>
              </w:rPr>
              <w:t xml:space="preserve"> </w:t>
            </w:r>
            <w:r>
              <w:t>分。</w:t>
            </w:r>
          </w:p>
        </w:tc>
      </w:tr>
      <w:tr w14:paraId="1DAF0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66" w:type="dxa"/>
            <w:vMerge w:val="continue"/>
            <w:tcBorders>
              <w:top w:val="nil"/>
              <w:bottom w:val="nil"/>
            </w:tcBorders>
            <w:vAlign w:val="top"/>
          </w:tcPr>
          <w:p w14:paraId="20A7EB9B">
            <w:pPr>
              <w:rPr>
                <w:rFonts w:ascii="Arial"/>
                <w:sz w:val="21"/>
              </w:rPr>
            </w:pPr>
          </w:p>
        </w:tc>
        <w:tc>
          <w:tcPr>
            <w:tcW w:w="906" w:type="dxa"/>
            <w:vMerge w:val="continue"/>
            <w:tcBorders>
              <w:top w:val="nil"/>
              <w:bottom w:val="nil"/>
            </w:tcBorders>
            <w:vAlign w:val="top"/>
          </w:tcPr>
          <w:p w14:paraId="743A9A0E">
            <w:pPr>
              <w:rPr>
                <w:rFonts w:ascii="Arial"/>
                <w:sz w:val="21"/>
              </w:rPr>
            </w:pPr>
          </w:p>
        </w:tc>
        <w:tc>
          <w:tcPr>
            <w:tcW w:w="831" w:type="dxa"/>
            <w:vMerge w:val="continue"/>
            <w:tcBorders>
              <w:top w:val="nil"/>
              <w:bottom w:val="nil"/>
            </w:tcBorders>
            <w:vAlign w:val="top"/>
          </w:tcPr>
          <w:p w14:paraId="6F96C4B2">
            <w:pPr>
              <w:rPr>
                <w:rFonts w:ascii="Arial"/>
                <w:sz w:val="21"/>
              </w:rPr>
            </w:pPr>
          </w:p>
        </w:tc>
        <w:tc>
          <w:tcPr>
            <w:tcW w:w="1420" w:type="dxa"/>
            <w:vAlign w:val="top"/>
          </w:tcPr>
          <w:p w14:paraId="33622998">
            <w:pPr>
              <w:spacing w:line="313" w:lineRule="auto"/>
              <w:rPr>
                <w:rFonts w:ascii="Arial"/>
                <w:sz w:val="21"/>
              </w:rPr>
            </w:pPr>
          </w:p>
          <w:p w14:paraId="2DA7DB02">
            <w:pPr>
              <w:spacing w:line="313" w:lineRule="auto"/>
              <w:rPr>
                <w:rFonts w:ascii="Arial"/>
                <w:sz w:val="21"/>
              </w:rPr>
            </w:pPr>
          </w:p>
          <w:p w14:paraId="27FEC332">
            <w:pPr>
              <w:pStyle w:val="6"/>
              <w:spacing w:before="65" w:line="254" w:lineRule="auto"/>
              <w:ind w:left="195" w:right="71" w:hanging="99"/>
            </w:pPr>
            <w:r>
              <w:rPr>
                <w:spacing w:val="7"/>
              </w:rPr>
              <w:t>工期保证体系</w:t>
            </w:r>
            <w:r>
              <w:rPr>
                <w:spacing w:val="8"/>
              </w:rPr>
              <w:t>及保证措施</w:t>
            </w:r>
          </w:p>
        </w:tc>
        <w:tc>
          <w:tcPr>
            <w:tcW w:w="638" w:type="dxa"/>
            <w:vAlign w:val="top"/>
          </w:tcPr>
          <w:p w14:paraId="7B2B9592">
            <w:pPr>
              <w:spacing w:line="254" w:lineRule="auto"/>
              <w:rPr>
                <w:rFonts w:ascii="Arial"/>
                <w:sz w:val="21"/>
              </w:rPr>
            </w:pPr>
          </w:p>
          <w:p w14:paraId="696FDC76">
            <w:pPr>
              <w:spacing w:line="254" w:lineRule="auto"/>
              <w:rPr>
                <w:rFonts w:ascii="Arial"/>
                <w:sz w:val="21"/>
              </w:rPr>
            </w:pPr>
          </w:p>
          <w:p w14:paraId="680E130A">
            <w:pPr>
              <w:spacing w:line="254" w:lineRule="auto"/>
              <w:rPr>
                <w:rFonts w:ascii="Arial"/>
                <w:sz w:val="21"/>
              </w:rPr>
            </w:pPr>
          </w:p>
          <w:p w14:paraId="2A23298D">
            <w:pPr>
              <w:pStyle w:val="6"/>
              <w:spacing w:before="65" w:line="228" w:lineRule="auto"/>
              <w:ind w:left="144"/>
            </w:pPr>
            <w:r>
              <w:rPr>
                <w:spacing w:val="-4"/>
              </w:rPr>
              <w:t>5</w:t>
            </w:r>
            <w:r>
              <w:rPr>
                <w:spacing w:val="-36"/>
              </w:rPr>
              <w:t xml:space="preserve"> </w:t>
            </w:r>
            <w:r>
              <w:rPr>
                <w:spacing w:val="-4"/>
              </w:rPr>
              <w:t>分</w:t>
            </w:r>
          </w:p>
        </w:tc>
        <w:tc>
          <w:tcPr>
            <w:tcW w:w="4249" w:type="dxa"/>
            <w:vAlign w:val="top"/>
          </w:tcPr>
          <w:p w14:paraId="0A135BB4">
            <w:pPr>
              <w:pStyle w:val="6"/>
              <w:spacing w:before="51" w:line="288" w:lineRule="auto"/>
              <w:ind w:left="118" w:right="228" w:hanging="4"/>
            </w:pPr>
            <w:r>
              <w:rPr>
                <w:spacing w:val="11"/>
              </w:rPr>
              <w:t>措施完善，科学合理，实施性强，得</w:t>
            </w:r>
            <w:r>
              <w:rPr>
                <w:spacing w:val="-20"/>
              </w:rPr>
              <w:t xml:space="preserve"> </w:t>
            </w:r>
            <w:r>
              <w:rPr>
                <w:spacing w:val="11"/>
              </w:rPr>
              <w:t>4.0-</w:t>
            </w:r>
            <w:r>
              <w:t xml:space="preserve"> 5.0</w:t>
            </w:r>
            <w:r>
              <w:rPr>
                <w:spacing w:val="-38"/>
              </w:rPr>
              <w:t xml:space="preserve"> </w:t>
            </w:r>
            <w:r>
              <w:t>分</w:t>
            </w:r>
            <w:r>
              <w:rPr>
                <w:spacing w:val="-58"/>
              </w:rPr>
              <w:t xml:space="preserve"> </w:t>
            </w:r>
            <w:r>
              <w:t>;</w:t>
            </w:r>
          </w:p>
          <w:p w14:paraId="7519A768">
            <w:pPr>
              <w:pStyle w:val="6"/>
              <w:spacing w:line="288" w:lineRule="auto"/>
              <w:ind w:left="118" w:right="149" w:hanging="4"/>
            </w:pPr>
            <w:r>
              <w:rPr>
                <w:spacing w:val="9"/>
              </w:rPr>
              <w:t>措施较完善，措施较合理，实施性较强，得</w:t>
            </w:r>
            <w:r>
              <w:rPr>
                <w:spacing w:val="3"/>
              </w:rPr>
              <w:t>3.0－4.0</w:t>
            </w:r>
            <w:r>
              <w:rPr>
                <w:spacing w:val="-38"/>
              </w:rPr>
              <w:t xml:space="preserve"> </w:t>
            </w:r>
            <w:r>
              <w:rPr>
                <w:spacing w:val="3"/>
              </w:rPr>
              <w:t>分</w:t>
            </w:r>
            <w:r>
              <w:rPr>
                <w:spacing w:val="-59"/>
              </w:rPr>
              <w:t xml:space="preserve"> </w:t>
            </w:r>
            <w:r>
              <w:rPr>
                <w:spacing w:val="3"/>
              </w:rPr>
              <w:t>;</w:t>
            </w:r>
          </w:p>
          <w:p w14:paraId="208D7341">
            <w:pPr>
              <w:pStyle w:val="6"/>
              <w:spacing w:line="261" w:lineRule="auto"/>
              <w:ind w:left="114" w:right="53"/>
            </w:pPr>
            <w:r>
              <w:rPr>
                <w:spacing w:val="3"/>
              </w:rPr>
              <w:t>措施基本完善，措施基本合理，实施性一般，</w:t>
            </w:r>
            <w:r>
              <w:t>得</w:t>
            </w:r>
            <w:r>
              <w:rPr>
                <w:spacing w:val="-35"/>
              </w:rPr>
              <w:t xml:space="preserve"> </w:t>
            </w:r>
            <w:r>
              <w:t>3.0</w:t>
            </w:r>
            <w:r>
              <w:rPr>
                <w:spacing w:val="-38"/>
              </w:rPr>
              <w:t xml:space="preserve"> </w:t>
            </w:r>
            <w:r>
              <w:t>分。</w:t>
            </w:r>
          </w:p>
        </w:tc>
      </w:tr>
      <w:tr w14:paraId="23B8E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66" w:type="dxa"/>
            <w:vMerge w:val="continue"/>
            <w:tcBorders>
              <w:top w:val="nil"/>
              <w:bottom w:val="nil"/>
            </w:tcBorders>
            <w:vAlign w:val="top"/>
          </w:tcPr>
          <w:p w14:paraId="21E69CDD">
            <w:pPr>
              <w:rPr>
                <w:rFonts w:ascii="Arial"/>
                <w:sz w:val="21"/>
              </w:rPr>
            </w:pPr>
          </w:p>
        </w:tc>
        <w:tc>
          <w:tcPr>
            <w:tcW w:w="906" w:type="dxa"/>
            <w:vMerge w:val="continue"/>
            <w:tcBorders>
              <w:top w:val="nil"/>
              <w:bottom w:val="nil"/>
            </w:tcBorders>
            <w:vAlign w:val="top"/>
          </w:tcPr>
          <w:p w14:paraId="04E439CF">
            <w:pPr>
              <w:rPr>
                <w:rFonts w:ascii="Arial"/>
                <w:sz w:val="21"/>
              </w:rPr>
            </w:pPr>
          </w:p>
        </w:tc>
        <w:tc>
          <w:tcPr>
            <w:tcW w:w="831" w:type="dxa"/>
            <w:vMerge w:val="continue"/>
            <w:tcBorders>
              <w:top w:val="nil"/>
              <w:bottom w:val="nil"/>
            </w:tcBorders>
            <w:vAlign w:val="top"/>
          </w:tcPr>
          <w:p w14:paraId="2C1F7F1E">
            <w:pPr>
              <w:rPr>
                <w:rFonts w:ascii="Arial"/>
                <w:sz w:val="21"/>
              </w:rPr>
            </w:pPr>
          </w:p>
        </w:tc>
        <w:tc>
          <w:tcPr>
            <w:tcW w:w="1420" w:type="dxa"/>
            <w:vAlign w:val="top"/>
          </w:tcPr>
          <w:p w14:paraId="1231CE7E">
            <w:pPr>
              <w:spacing w:line="246" w:lineRule="auto"/>
              <w:rPr>
                <w:rFonts w:ascii="Arial"/>
                <w:sz w:val="21"/>
              </w:rPr>
            </w:pPr>
          </w:p>
          <w:p w14:paraId="3340018A">
            <w:pPr>
              <w:spacing w:line="246" w:lineRule="auto"/>
              <w:rPr>
                <w:rFonts w:ascii="Arial"/>
                <w:sz w:val="21"/>
              </w:rPr>
            </w:pPr>
          </w:p>
          <w:p w14:paraId="678F0AE5">
            <w:pPr>
              <w:pStyle w:val="6"/>
              <w:spacing w:before="65" w:line="228" w:lineRule="auto"/>
              <w:ind w:left="43"/>
            </w:pPr>
            <w:r>
              <w:rPr>
                <w:spacing w:val="7"/>
              </w:rPr>
              <w:t>工程质量管理</w:t>
            </w:r>
          </w:p>
          <w:p w14:paraId="1B0FD7F9">
            <w:pPr>
              <w:pStyle w:val="6"/>
              <w:spacing w:before="24" w:line="228" w:lineRule="auto"/>
              <w:ind w:left="40"/>
            </w:pPr>
            <w:r>
              <w:rPr>
                <w:spacing w:val="8"/>
              </w:rPr>
              <w:t>体系及保证措</w:t>
            </w:r>
          </w:p>
          <w:p w14:paraId="3E3B2EA9">
            <w:pPr>
              <w:pStyle w:val="6"/>
              <w:spacing w:before="23" w:line="231" w:lineRule="auto"/>
              <w:ind w:left="563"/>
            </w:pPr>
            <w:r>
              <w:rPr>
                <w:spacing w:val="1"/>
              </w:rPr>
              <w:t>施</w:t>
            </w:r>
          </w:p>
        </w:tc>
        <w:tc>
          <w:tcPr>
            <w:tcW w:w="638" w:type="dxa"/>
            <w:vAlign w:val="top"/>
          </w:tcPr>
          <w:p w14:paraId="1E3BFFA1">
            <w:pPr>
              <w:spacing w:line="254" w:lineRule="auto"/>
              <w:rPr>
                <w:rFonts w:ascii="Arial"/>
                <w:sz w:val="21"/>
              </w:rPr>
            </w:pPr>
          </w:p>
          <w:p w14:paraId="7D829F68">
            <w:pPr>
              <w:spacing w:line="254" w:lineRule="auto"/>
              <w:rPr>
                <w:rFonts w:ascii="Arial"/>
                <w:sz w:val="21"/>
              </w:rPr>
            </w:pPr>
          </w:p>
          <w:p w14:paraId="5AE32130">
            <w:pPr>
              <w:spacing w:line="254" w:lineRule="auto"/>
              <w:rPr>
                <w:rFonts w:ascii="Arial"/>
                <w:sz w:val="21"/>
              </w:rPr>
            </w:pPr>
          </w:p>
          <w:p w14:paraId="360955C7">
            <w:pPr>
              <w:pStyle w:val="6"/>
              <w:spacing w:before="65" w:line="228" w:lineRule="auto"/>
              <w:ind w:left="144"/>
            </w:pPr>
            <w:r>
              <w:rPr>
                <w:spacing w:val="-4"/>
              </w:rPr>
              <w:t>5</w:t>
            </w:r>
            <w:r>
              <w:rPr>
                <w:spacing w:val="-36"/>
              </w:rPr>
              <w:t xml:space="preserve"> </w:t>
            </w:r>
            <w:r>
              <w:rPr>
                <w:spacing w:val="-4"/>
              </w:rPr>
              <w:t>分</w:t>
            </w:r>
          </w:p>
        </w:tc>
        <w:tc>
          <w:tcPr>
            <w:tcW w:w="4249" w:type="dxa"/>
            <w:vAlign w:val="top"/>
          </w:tcPr>
          <w:p w14:paraId="0A903A62">
            <w:pPr>
              <w:pStyle w:val="6"/>
              <w:spacing w:before="52" w:line="288" w:lineRule="auto"/>
              <w:ind w:left="118" w:right="228" w:hanging="4"/>
            </w:pPr>
            <w:r>
              <w:rPr>
                <w:spacing w:val="11"/>
              </w:rPr>
              <w:t>措施完善，科学合理，实施性强，得</w:t>
            </w:r>
            <w:r>
              <w:rPr>
                <w:spacing w:val="-20"/>
              </w:rPr>
              <w:t xml:space="preserve"> </w:t>
            </w:r>
            <w:r>
              <w:rPr>
                <w:spacing w:val="11"/>
              </w:rPr>
              <w:t>4.0-</w:t>
            </w:r>
            <w:r>
              <w:t xml:space="preserve"> 5.0</w:t>
            </w:r>
            <w:r>
              <w:rPr>
                <w:spacing w:val="-38"/>
              </w:rPr>
              <w:t xml:space="preserve"> </w:t>
            </w:r>
            <w:r>
              <w:t>分</w:t>
            </w:r>
            <w:r>
              <w:rPr>
                <w:spacing w:val="-58"/>
              </w:rPr>
              <w:t xml:space="preserve"> </w:t>
            </w:r>
            <w:r>
              <w:t>;</w:t>
            </w:r>
          </w:p>
          <w:p w14:paraId="01567A44">
            <w:pPr>
              <w:pStyle w:val="6"/>
              <w:spacing w:line="288" w:lineRule="auto"/>
              <w:ind w:left="118" w:right="149" w:hanging="4"/>
            </w:pPr>
            <w:r>
              <w:rPr>
                <w:spacing w:val="9"/>
              </w:rPr>
              <w:t>措施较完善，措施较合理，实施性较强，得</w:t>
            </w:r>
            <w:r>
              <w:rPr>
                <w:spacing w:val="3"/>
              </w:rPr>
              <w:t>3.0－4.0</w:t>
            </w:r>
            <w:r>
              <w:rPr>
                <w:spacing w:val="-38"/>
              </w:rPr>
              <w:t xml:space="preserve"> </w:t>
            </w:r>
            <w:r>
              <w:rPr>
                <w:spacing w:val="3"/>
              </w:rPr>
              <w:t>分</w:t>
            </w:r>
            <w:r>
              <w:rPr>
                <w:spacing w:val="-59"/>
              </w:rPr>
              <w:t xml:space="preserve"> </w:t>
            </w:r>
            <w:r>
              <w:rPr>
                <w:spacing w:val="3"/>
              </w:rPr>
              <w:t>;</w:t>
            </w:r>
          </w:p>
          <w:p w14:paraId="6A1CF235">
            <w:pPr>
              <w:pStyle w:val="6"/>
              <w:spacing w:line="261" w:lineRule="auto"/>
              <w:ind w:left="114" w:right="53"/>
            </w:pPr>
            <w:r>
              <w:rPr>
                <w:spacing w:val="3"/>
              </w:rPr>
              <w:t>措施基本完善，措施基本合理，实施性一般，</w:t>
            </w:r>
            <w:r>
              <w:t>得</w:t>
            </w:r>
            <w:r>
              <w:rPr>
                <w:spacing w:val="-35"/>
              </w:rPr>
              <w:t xml:space="preserve"> </w:t>
            </w:r>
            <w:r>
              <w:t>3.0</w:t>
            </w:r>
            <w:r>
              <w:rPr>
                <w:spacing w:val="-38"/>
              </w:rPr>
              <w:t xml:space="preserve"> </w:t>
            </w:r>
            <w:r>
              <w:t>分。</w:t>
            </w:r>
          </w:p>
        </w:tc>
      </w:tr>
      <w:tr w14:paraId="32769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66" w:type="dxa"/>
            <w:vMerge w:val="continue"/>
            <w:tcBorders>
              <w:top w:val="nil"/>
              <w:bottom w:val="nil"/>
            </w:tcBorders>
            <w:vAlign w:val="top"/>
          </w:tcPr>
          <w:p w14:paraId="614679CC">
            <w:pPr>
              <w:rPr>
                <w:rFonts w:ascii="Arial"/>
                <w:sz w:val="21"/>
              </w:rPr>
            </w:pPr>
          </w:p>
        </w:tc>
        <w:tc>
          <w:tcPr>
            <w:tcW w:w="906" w:type="dxa"/>
            <w:vMerge w:val="continue"/>
            <w:tcBorders>
              <w:top w:val="nil"/>
              <w:bottom w:val="nil"/>
            </w:tcBorders>
            <w:vAlign w:val="top"/>
          </w:tcPr>
          <w:p w14:paraId="1C595108">
            <w:pPr>
              <w:rPr>
                <w:rFonts w:ascii="Arial"/>
                <w:sz w:val="21"/>
              </w:rPr>
            </w:pPr>
          </w:p>
        </w:tc>
        <w:tc>
          <w:tcPr>
            <w:tcW w:w="831" w:type="dxa"/>
            <w:vMerge w:val="continue"/>
            <w:tcBorders>
              <w:top w:val="nil"/>
              <w:bottom w:val="nil"/>
            </w:tcBorders>
            <w:vAlign w:val="top"/>
          </w:tcPr>
          <w:p w14:paraId="02750E9B">
            <w:pPr>
              <w:rPr>
                <w:rFonts w:ascii="Arial"/>
                <w:sz w:val="21"/>
              </w:rPr>
            </w:pPr>
          </w:p>
        </w:tc>
        <w:tc>
          <w:tcPr>
            <w:tcW w:w="1420" w:type="dxa"/>
            <w:vAlign w:val="top"/>
          </w:tcPr>
          <w:p w14:paraId="09983008">
            <w:pPr>
              <w:spacing w:line="246" w:lineRule="auto"/>
              <w:rPr>
                <w:rFonts w:ascii="Arial"/>
                <w:sz w:val="21"/>
              </w:rPr>
            </w:pPr>
          </w:p>
          <w:p w14:paraId="504DE31B">
            <w:pPr>
              <w:spacing w:line="247" w:lineRule="auto"/>
              <w:rPr>
                <w:rFonts w:ascii="Arial"/>
                <w:sz w:val="21"/>
              </w:rPr>
            </w:pPr>
          </w:p>
          <w:p w14:paraId="40DCEED6">
            <w:pPr>
              <w:pStyle w:val="6"/>
              <w:spacing w:before="65" w:line="228" w:lineRule="auto"/>
              <w:ind w:left="45"/>
            </w:pPr>
            <w:r>
              <w:rPr>
                <w:spacing w:val="7"/>
              </w:rPr>
              <w:t>安全生产管理</w:t>
            </w:r>
          </w:p>
          <w:p w14:paraId="6C7CAE06">
            <w:pPr>
              <w:pStyle w:val="6"/>
              <w:spacing w:before="24" w:line="228" w:lineRule="auto"/>
              <w:ind w:left="40"/>
            </w:pPr>
            <w:r>
              <w:rPr>
                <w:spacing w:val="8"/>
              </w:rPr>
              <w:t>体系及保证措</w:t>
            </w:r>
          </w:p>
          <w:p w14:paraId="6638B092">
            <w:pPr>
              <w:pStyle w:val="6"/>
              <w:spacing w:before="25" w:line="231" w:lineRule="auto"/>
              <w:ind w:left="563"/>
            </w:pPr>
            <w:r>
              <w:rPr>
                <w:spacing w:val="1"/>
              </w:rPr>
              <w:t>施</w:t>
            </w:r>
          </w:p>
        </w:tc>
        <w:tc>
          <w:tcPr>
            <w:tcW w:w="638" w:type="dxa"/>
            <w:vAlign w:val="top"/>
          </w:tcPr>
          <w:p w14:paraId="3BE6A63D">
            <w:pPr>
              <w:spacing w:line="255" w:lineRule="auto"/>
              <w:rPr>
                <w:rFonts w:ascii="Arial"/>
                <w:sz w:val="21"/>
              </w:rPr>
            </w:pPr>
          </w:p>
          <w:p w14:paraId="3B5C2392">
            <w:pPr>
              <w:spacing w:line="255" w:lineRule="auto"/>
              <w:rPr>
                <w:rFonts w:ascii="Arial"/>
                <w:sz w:val="21"/>
              </w:rPr>
            </w:pPr>
          </w:p>
          <w:p w14:paraId="080BA80E">
            <w:pPr>
              <w:spacing w:line="255" w:lineRule="auto"/>
              <w:rPr>
                <w:rFonts w:ascii="Arial"/>
                <w:sz w:val="21"/>
              </w:rPr>
            </w:pPr>
          </w:p>
          <w:p w14:paraId="6DFC4F91">
            <w:pPr>
              <w:pStyle w:val="6"/>
              <w:spacing w:before="65" w:line="228" w:lineRule="auto"/>
              <w:ind w:left="144"/>
            </w:pPr>
            <w:r>
              <w:rPr>
                <w:spacing w:val="-4"/>
              </w:rPr>
              <w:t>5</w:t>
            </w:r>
            <w:r>
              <w:rPr>
                <w:spacing w:val="-36"/>
              </w:rPr>
              <w:t xml:space="preserve"> </w:t>
            </w:r>
            <w:r>
              <w:rPr>
                <w:spacing w:val="-4"/>
              </w:rPr>
              <w:t>分</w:t>
            </w:r>
          </w:p>
        </w:tc>
        <w:tc>
          <w:tcPr>
            <w:tcW w:w="4249" w:type="dxa"/>
            <w:vAlign w:val="top"/>
          </w:tcPr>
          <w:p w14:paraId="01DCFB7A">
            <w:pPr>
              <w:pStyle w:val="6"/>
              <w:spacing w:before="55" w:line="288" w:lineRule="auto"/>
              <w:ind w:left="118" w:right="228" w:hanging="4"/>
            </w:pPr>
            <w:r>
              <w:rPr>
                <w:spacing w:val="11"/>
              </w:rPr>
              <w:t>措施完善，科学合理，实施性强，得</w:t>
            </w:r>
            <w:r>
              <w:rPr>
                <w:spacing w:val="-20"/>
              </w:rPr>
              <w:t xml:space="preserve"> </w:t>
            </w:r>
            <w:r>
              <w:rPr>
                <w:spacing w:val="11"/>
              </w:rPr>
              <w:t>4.0-</w:t>
            </w:r>
            <w:r>
              <w:t xml:space="preserve"> 5.0</w:t>
            </w:r>
            <w:r>
              <w:rPr>
                <w:spacing w:val="-38"/>
              </w:rPr>
              <w:t xml:space="preserve"> </w:t>
            </w:r>
            <w:r>
              <w:t>分</w:t>
            </w:r>
            <w:r>
              <w:rPr>
                <w:spacing w:val="-58"/>
              </w:rPr>
              <w:t xml:space="preserve"> </w:t>
            </w:r>
            <w:r>
              <w:t>;</w:t>
            </w:r>
          </w:p>
          <w:p w14:paraId="09FDD638">
            <w:pPr>
              <w:pStyle w:val="6"/>
              <w:spacing w:line="288" w:lineRule="auto"/>
              <w:ind w:left="118" w:right="149" w:hanging="4"/>
            </w:pPr>
            <w:r>
              <w:rPr>
                <w:spacing w:val="9"/>
              </w:rPr>
              <w:t>措施较完善，措施较合理，实施性较强，得</w:t>
            </w:r>
            <w:r>
              <w:rPr>
                <w:spacing w:val="3"/>
              </w:rPr>
              <w:t>3.0－4.0</w:t>
            </w:r>
            <w:r>
              <w:rPr>
                <w:spacing w:val="-38"/>
              </w:rPr>
              <w:t xml:space="preserve"> </w:t>
            </w:r>
            <w:r>
              <w:rPr>
                <w:spacing w:val="3"/>
              </w:rPr>
              <w:t>分</w:t>
            </w:r>
            <w:r>
              <w:rPr>
                <w:spacing w:val="-59"/>
              </w:rPr>
              <w:t xml:space="preserve"> </w:t>
            </w:r>
            <w:r>
              <w:rPr>
                <w:spacing w:val="3"/>
              </w:rPr>
              <w:t>;</w:t>
            </w:r>
          </w:p>
          <w:p w14:paraId="377F6420">
            <w:pPr>
              <w:pStyle w:val="6"/>
              <w:spacing w:before="1" w:line="259" w:lineRule="auto"/>
              <w:ind w:left="114" w:right="53"/>
            </w:pPr>
            <w:r>
              <w:rPr>
                <w:spacing w:val="3"/>
              </w:rPr>
              <w:t>措施基本完善，措施基本合理，实施性一般，</w:t>
            </w:r>
            <w:r>
              <w:t>得</w:t>
            </w:r>
            <w:r>
              <w:rPr>
                <w:spacing w:val="-35"/>
              </w:rPr>
              <w:t xml:space="preserve"> </w:t>
            </w:r>
            <w:r>
              <w:t>3.0</w:t>
            </w:r>
            <w:r>
              <w:rPr>
                <w:spacing w:val="-38"/>
              </w:rPr>
              <w:t xml:space="preserve"> </w:t>
            </w:r>
            <w:r>
              <w:t>分。</w:t>
            </w:r>
          </w:p>
        </w:tc>
      </w:tr>
      <w:tr w14:paraId="684A4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66" w:type="dxa"/>
            <w:vMerge w:val="continue"/>
            <w:tcBorders>
              <w:top w:val="nil"/>
              <w:bottom w:val="nil"/>
            </w:tcBorders>
            <w:vAlign w:val="top"/>
          </w:tcPr>
          <w:p w14:paraId="2191EE39">
            <w:pPr>
              <w:rPr>
                <w:rFonts w:ascii="Arial"/>
                <w:sz w:val="21"/>
              </w:rPr>
            </w:pPr>
          </w:p>
        </w:tc>
        <w:tc>
          <w:tcPr>
            <w:tcW w:w="906" w:type="dxa"/>
            <w:vMerge w:val="continue"/>
            <w:tcBorders>
              <w:top w:val="nil"/>
              <w:bottom w:val="nil"/>
            </w:tcBorders>
            <w:vAlign w:val="top"/>
          </w:tcPr>
          <w:p w14:paraId="2CD58323">
            <w:pPr>
              <w:rPr>
                <w:rFonts w:ascii="Arial"/>
                <w:sz w:val="21"/>
              </w:rPr>
            </w:pPr>
          </w:p>
        </w:tc>
        <w:tc>
          <w:tcPr>
            <w:tcW w:w="831" w:type="dxa"/>
            <w:vMerge w:val="continue"/>
            <w:tcBorders>
              <w:top w:val="nil"/>
              <w:bottom w:val="nil"/>
            </w:tcBorders>
            <w:vAlign w:val="top"/>
          </w:tcPr>
          <w:p w14:paraId="1B4F3522">
            <w:pPr>
              <w:rPr>
                <w:rFonts w:ascii="Arial"/>
                <w:sz w:val="21"/>
              </w:rPr>
            </w:pPr>
          </w:p>
        </w:tc>
        <w:tc>
          <w:tcPr>
            <w:tcW w:w="1420" w:type="dxa"/>
            <w:vAlign w:val="top"/>
          </w:tcPr>
          <w:p w14:paraId="18BFB671">
            <w:pPr>
              <w:spacing w:line="247" w:lineRule="auto"/>
              <w:rPr>
                <w:rFonts w:ascii="Arial"/>
                <w:sz w:val="21"/>
              </w:rPr>
            </w:pPr>
          </w:p>
          <w:p w14:paraId="60C9F458">
            <w:pPr>
              <w:spacing w:line="247" w:lineRule="auto"/>
              <w:rPr>
                <w:rFonts w:ascii="Arial"/>
                <w:sz w:val="21"/>
              </w:rPr>
            </w:pPr>
          </w:p>
          <w:p w14:paraId="2F2B3E35">
            <w:pPr>
              <w:pStyle w:val="6"/>
              <w:spacing w:before="65" w:line="228" w:lineRule="auto"/>
              <w:ind w:left="44"/>
            </w:pPr>
            <w:r>
              <w:rPr>
                <w:spacing w:val="7"/>
              </w:rPr>
              <w:t>项目风险预测</w:t>
            </w:r>
          </w:p>
          <w:p w14:paraId="762D41EF">
            <w:pPr>
              <w:pStyle w:val="6"/>
              <w:spacing w:before="24" w:line="228" w:lineRule="auto"/>
              <w:ind w:left="45"/>
            </w:pPr>
            <w:r>
              <w:rPr>
                <w:spacing w:val="7"/>
              </w:rPr>
              <w:t>与防范，事故</w:t>
            </w:r>
          </w:p>
          <w:p w14:paraId="6A2D4CC1">
            <w:pPr>
              <w:pStyle w:val="6"/>
              <w:spacing w:before="26" w:line="228" w:lineRule="auto"/>
              <w:ind w:left="249"/>
            </w:pPr>
            <w:r>
              <w:rPr>
                <w:spacing w:val="7"/>
              </w:rPr>
              <w:t>应急预案</w:t>
            </w:r>
          </w:p>
        </w:tc>
        <w:tc>
          <w:tcPr>
            <w:tcW w:w="638" w:type="dxa"/>
            <w:vAlign w:val="top"/>
          </w:tcPr>
          <w:p w14:paraId="7F5121EF">
            <w:pPr>
              <w:spacing w:line="255" w:lineRule="auto"/>
              <w:rPr>
                <w:rFonts w:ascii="Arial"/>
                <w:sz w:val="21"/>
              </w:rPr>
            </w:pPr>
          </w:p>
          <w:p w14:paraId="57B0C672">
            <w:pPr>
              <w:spacing w:line="255" w:lineRule="auto"/>
              <w:rPr>
                <w:rFonts w:ascii="Arial"/>
                <w:sz w:val="21"/>
              </w:rPr>
            </w:pPr>
          </w:p>
          <w:p w14:paraId="355A1230">
            <w:pPr>
              <w:spacing w:line="256" w:lineRule="auto"/>
              <w:rPr>
                <w:rFonts w:ascii="Arial"/>
                <w:sz w:val="21"/>
              </w:rPr>
            </w:pPr>
          </w:p>
          <w:p w14:paraId="7E1034BE">
            <w:pPr>
              <w:pStyle w:val="6"/>
              <w:spacing w:before="65" w:line="228" w:lineRule="auto"/>
              <w:ind w:left="144"/>
            </w:pPr>
            <w:r>
              <w:rPr>
                <w:spacing w:val="-4"/>
              </w:rPr>
              <w:t>5</w:t>
            </w:r>
            <w:r>
              <w:rPr>
                <w:spacing w:val="-36"/>
              </w:rPr>
              <w:t xml:space="preserve"> </w:t>
            </w:r>
            <w:r>
              <w:rPr>
                <w:spacing w:val="-4"/>
              </w:rPr>
              <w:t>分</w:t>
            </w:r>
          </w:p>
        </w:tc>
        <w:tc>
          <w:tcPr>
            <w:tcW w:w="4249" w:type="dxa"/>
            <w:vAlign w:val="top"/>
          </w:tcPr>
          <w:p w14:paraId="37A97833">
            <w:pPr>
              <w:pStyle w:val="6"/>
              <w:spacing w:before="55" w:line="288" w:lineRule="auto"/>
              <w:ind w:left="117" w:right="228" w:hanging="3"/>
            </w:pPr>
            <w:r>
              <w:rPr>
                <w:spacing w:val="11"/>
              </w:rPr>
              <w:t>方案完善，科学合理，实施性强，得</w:t>
            </w:r>
            <w:r>
              <w:rPr>
                <w:spacing w:val="-21"/>
              </w:rPr>
              <w:t xml:space="preserve"> </w:t>
            </w:r>
            <w:r>
              <w:rPr>
                <w:spacing w:val="11"/>
              </w:rPr>
              <w:t>4.0-</w:t>
            </w:r>
            <w:r>
              <w:t xml:space="preserve"> 5.0</w:t>
            </w:r>
            <w:r>
              <w:rPr>
                <w:spacing w:val="-38"/>
              </w:rPr>
              <w:t xml:space="preserve"> </w:t>
            </w:r>
            <w:r>
              <w:t>分</w:t>
            </w:r>
            <w:r>
              <w:rPr>
                <w:spacing w:val="-58"/>
              </w:rPr>
              <w:t xml:space="preserve"> </w:t>
            </w:r>
            <w:r>
              <w:t>;</w:t>
            </w:r>
          </w:p>
          <w:p w14:paraId="6C3C3803">
            <w:pPr>
              <w:pStyle w:val="6"/>
              <w:spacing w:line="288" w:lineRule="auto"/>
              <w:ind w:left="117" w:right="149" w:hanging="3"/>
            </w:pPr>
            <w:r>
              <w:rPr>
                <w:spacing w:val="9"/>
              </w:rPr>
              <w:t>方案较完善，措施较合理，实施性较强，得</w:t>
            </w:r>
            <w:r>
              <w:rPr>
                <w:spacing w:val="3"/>
              </w:rPr>
              <w:t>3.0－4.0</w:t>
            </w:r>
            <w:r>
              <w:rPr>
                <w:spacing w:val="-38"/>
              </w:rPr>
              <w:t xml:space="preserve"> </w:t>
            </w:r>
            <w:r>
              <w:rPr>
                <w:spacing w:val="3"/>
              </w:rPr>
              <w:t>分</w:t>
            </w:r>
            <w:r>
              <w:rPr>
                <w:spacing w:val="-59"/>
              </w:rPr>
              <w:t xml:space="preserve"> </w:t>
            </w:r>
            <w:r>
              <w:rPr>
                <w:spacing w:val="3"/>
              </w:rPr>
              <w:t>;</w:t>
            </w:r>
          </w:p>
          <w:p w14:paraId="358E0179">
            <w:pPr>
              <w:pStyle w:val="6"/>
              <w:spacing w:line="259" w:lineRule="auto"/>
              <w:ind w:left="114" w:right="53"/>
            </w:pPr>
            <w:r>
              <w:rPr>
                <w:spacing w:val="3"/>
              </w:rPr>
              <w:t>方案基本完善，措施基本合理，实施性一般，</w:t>
            </w:r>
            <w:r>
              <w:t>得</w:t>
            </w:r>
            <w:r>
              <w:rPr>
                <w:spacing w:val="-35"/>
              </w:rPr>
              <w:t xml:space="preserve"> </w:t>
            </w:r>
            <w:r>
              <w:t>3.0</w:t>
            </w:r>
            <w:r>
              <w:rPr>
                <w:spacing w:val="-38"/>
              </w:rPr>
              <w:t xml:space="preserve"> </w:t>
            </w:r>
            <w:r>
              <w:t>分。</w:t>
            </w:r>
          </w:p>
        </w:tc>
      </w:tr>
      <w:tr w14:paraId="5E515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466" w:type="dxa"/>
            <w:vMerge w:val="continue"/>
            <w:tcBorders>
              <w:top w:val="nil"/>
            </w:tcBorders>
            <w:vAlign w:val="top"/>
          </w:tcPr>
          <w:p w14:paraId="2B073E02">
            <w:pPr>
              <w:rPr>
                <w:rFonts w:ascii="Arial"/>
                <w:sz w:val="21"/>
              </w:rPr>
            </w:pPr>
          </w:p>
        </w:tc>
        <w:tc>
          <w:tcPr>
            <w:tcW w:w="906" w:type="dxa"/>
            <w:vMerge w:val="continue"/>
            <w:tcBorders>
              <w:top w:val="nil"/>
            </w:tcBorders>
            <w:vAlign w:val="top"/>
          </w:tcPr>
          <w:p w14:paraId="6654A7FF">
            <w:pPr>
              <w:rPr>
                <w:rFonts w:ascii="Arial"/>
                <w:sz w:val="21"/>
              </w:rPr>
            </w:pPr>
          </w:p>
        </w:tc>
        <w:tc>
          <w:tcPr>
            <w:tcW w:w="831" w:type="dxa"/>
            <w:vMerge w:val="continue"/>
            <w:tcBorders>
              <w:top w:val="nil"/>
            </w:tcBorders>
            <w:vAlign w:val="top"/>
          </w:tcPr>
          <w:p w14:paraId="0DC06D8D">
            <w:pPr>
              <w:rPr>
                <w:rFonts w:ascii="Arial"/>
                <w:sz w:val="21"/>
              </w:rPr>
            </w:pPr>
          </w:p>
        </w:tc>
        <w:tc>
          <w:tcPr>
            <w:tcW w:w="1420" w:type="dxa"/>
            <w:vAlign w:val="top"/>
          </w:tcPr>
          <w:p w14:paraId="109D114E">
            <w:pPr>
              <w:spacing w:line="315" w:lineRule="auto"/>
              <w:rPr>
                <w:rFonts w:ascii="Arial"/>
                <w:sz w:val="21"/>
              </w:rPr>
            </w:pPr>
          </w:p>
          <w:p w14:paraId="53DEE5CD">
            <w:pPr>
              <w:spacing w:line="315" w:lineRule="auto"/>
              <w:rPr>
                <w:rFonts w:ascii="Arial"/>
                <w:sz w:val="21"/>
              </w:rPr>
            </w:pPr>
          </w:p>
          <w:p w14:paraId="6950A851">
            <w:pPr>
              <w:pStyle w:val="6"/>
              <w:spacing w:before="66" w:line="252" w:lineRule="auto"/>
              <w:ind w:left="610" w:right="184" w:hanging="417"/>
            </w:pPr>
            <w:r>
              <w:rPr>
                <w:spacing w:val="7"/>
              </w:rPr>
              <w:t>交通组织方</w:t>
            </w:r>
            <w:r>
              <w:t>案</w:t>
            </w:r>
          </w:p>
        </w:tc>
        <w:tc>
          <w:tcPr>
            <w:tcW w:w="638" w:type="dxa"/>
            <w:vAlign w:val="top"/>
          </w:tcPr>
          <w:p w14:paraId="315C48D3">
            <w:pPr>
              <w:spacing w:line="255" w:lineRule="auto"/>
              <w:rPr>
                <w:rFonts w:ascii="Arial"/>
                <w:sz w:val="21"/>
              </w:rPr>
            </w:pPr>
          </w:p>
          <w:p w14:paraId="7416D8F0">
            <w:pPr>
              <w:spacing w:line="256" w:lineRule="auto"/>
              <w:rPr>
                <w:rFonts w:ascii="Arial"/>
                <w:sz w:val="21"/>
              </w:rPr>
            </w:pPr>
          </w:p>
          <w:p w14:paraId="75FDCD01">
            <w:pPr>
              <w:spacing w:line="256" w:lineRule="auto"/>
              <w:rPr>
                <w:rFonts w:ascii="Arial"/>
                <w:sz w:val="21"/>
              </w:rPr>
            </w:pPr>
          </w:p>
          <w:p w14:paraId="3FF3E5F1">
            <w:pPr>
              <w:pStyle w:val="6"/>
              <w:spacing w:before="65" w:line="228" w:lineRule="auto"/>
              <w:ind w:left="144"/>
            </w:pPr>
            <w:r>
              <w:rPr>
                <w:spacing w:val="-4"/>
              </w:rPr>
              <w:t>5</w:t>
            </w:r>
            <w:r>
              <w:rPr>
                <w:spacing w:val="-36"/>
              </w:rPr>
              <w:t xml:space="preserve"> </w:t>
            </w:r>
            <w:r>
              <w:rPr>
                <w:spacing w:val="-4"/>
              </w:rPr>
              <w:t>分</w:t>
            </w:r>
          </w:p>
        </w:tc>
        <w:tc>
          <w:tcPr>
            <w:tcW w:w="4249" w:type="dxa"/>
            <w:vAlign w:val="top"/>
          </w:tcPr>
          <w:p w14:paraId="06B207E8">
            <w:pPr>
              <w:pStyle w:val="6"/>
              <w:spacing w:before="56" w:line="288" w:lineRule="auto"/>
              <w:ind w:left="117" w:right="228" w:hanging="3"/>
            </w:pPr>
            <w:r>
              <w:rPr>
                <w:spacing w:val="11"/>
              </w:rPr>
              <w:t>方案完善，科学合理，实施性强，得</w:t>
            </w:r>
            <w:r>
              <w:rPr>
                <w:spacing w:val="-21"/>
              </w:rPr>
              <w:t xml:space="preserve"> </w:t>
            </w:r>
            <w:r>
              <w:rPr>
                <w:spacing w:val="11"/>
              </w:rPr>
              <w:t>4.0-</w:t>
            </w:r>
            <w:r>
              <w:t xml:space="preserve"> 5.0</w:t>
            </w:r>
            <w:r>
              <w:rPr>
                <w:spacing w:val="-38"/>
              </w:rPr>
              <w:t xml:space="preserve"> </w:t>
            </w:r>
            <w:r>
              <w:t>分</w:t>
            </w:r>
            <w:r>
              <w:rPr>
                <w:spacing w:val="-58"/>
              </w:rPr>
              <w:t xml:space="preserve"> </w:t>
            </w:r>
            <w:r>
              <w:t>;</w:t>
            </w:r>
          </w:p>
          <w:p w14:paraId="74353DA5">
            <w:pPr>
              <w:pStyle w:val="6"/>
              <w:spacing w:line="288" w:lineRule="auto"/>
              <w:ind w:left="117" w:right="149" w:hanging="3"/>
            </w:pPr>
            <w:r>
              <w:rPr>
                <w:spacing w:val="9"/>
              </w:rPr>
              <w:t>方案较完善，措施较合理，实施性较强，得</w:t>
            </w:r>
            <w:r>
              <w:rPr>
                <w:spacing w:val="3"/>
              </w:rPr>
              <w:t>3.0－4.0</w:t>
            </w:r>
            <w:r>
              <w:rPr>
                <w:spacing w:val="-38"/>
              </w:rPr>
              <w:t xml:space="preserve"> </w:t>
            </w:r>
            <w:r>
              <w:rPr>
                <w:spacing w:val="3"/>
              </w:rPr>
              <w:t>分</w:t>
            </w:r>
            <w:r>
              <w:rPr>
                <w:spacing w:val="-59"/>
              </w:rPr>
              <w:t xml:space="preserve"> </w:t>
            </w:r>
            <w:r>
              <w:rPr>
                <w:spacing w:val="3"/>
              </w:rPr>
              <w:t>;</w:t>
            </w:r>
          </w:p>
          <w:p w14:paraId="6E781FEE">
            <w:pPr>
              <w:pStyle w:val="6"/>
              <w:spacing w:before="1" w:line="261" w:lineRule="auto"/>
              <w:ind w:left="114" w:right="53"/>
            </w:pPr>
            <w:r>
              <w:rPr>
                <w:spacing w:val="3"/>
              </w:rPr>
              <w:t>方案基本完善，措施基本合理，实施性一般，</w:t>
            </w:r>
            <w:r>
              <w:t>得</w:t>
            </w:r>
            <w:r>
              <w:rPr>
                <w:spacing w:val="-35"/>
              </w:rPr>
              <w:t xml:space="preserve"> </w:t>
            </w:r>
            <w:r>
              <w:t>3.0</w:t>
            </w:r>
            <w:r>
              <w:rPr>
                <w:spacing w:val="-38"/>
              </w:rPr>
              <w:t xml:space="preserve"> </w:t>
            </w:r>
            <w:r>
              <w:t>分。</w:t>
            </w:r>
          </w:p>
        </w:tc>
      </w:tr>
    </w:tbl>
    <w:p w14:paraId="385CEA20">
      <w:pPr>
        <w:pStyle w:val="2"/>
        <w:spacing w:before="255" w:line="228" w:lineRule="auto"/>
        <w:ind w:left="112"/>
        <w:rPr>
          <w:sz w:val="20"/>
          <w:szCs w:val="20"/>
        </w:rPr>
      </w:pPr>
      <w:r>
        <w:rPr>
          <w:b/>
          <w:bCs/>
          <w:spacing w:val="2"/>
          <w:sz w:val="20"/>
          <w:szCs w:val="20"/>
        </w:rPr>
        <w:t>注</w:t>
      </w:r>
      <w:r>
        <w:rPr>
          <w:b/>
          <w:bCs/>
          <w:spacing w:val="-49"/>
          <w:w w:val="91"/>
          <w:sz w:val="20"/>
          <w:szCs w:val="20"/>
        </w:rPr>
        <w:t>：（</w:t>
      </w:r>
      <w:r>
        <w:rPr>
          <w:b/>
          <w:bCs/>
          <w:spacing w:val="2"/>
          <w:sz w:val="20"/>
          <w:szCs w:val="20"/>
        </w:rPr>
        <w:t>1）第</w:t>
      </w:r>
      <w:r>
        <w:rPr>
          <w:spacing w:val="-32"/>
          <w:sz w:val="20"/>
          <w:szCs w:val="20"/>
        </w:rPr>
        <w:t xml:space="preserve"> </w:t>
      </w:r>
      <w:r>
        <w:rPr>
          <w:b/>
          <w:bCs/>
          <w:spacing w:val="2"/>
          <w:sz w:val="20"/>
          <w:szCs w:val="20"/>
        </w:rPr>
        <w:t>2.2.4（1）、（3）各项评委打分保留</w:t>
      </w:r>
      <w:r>
        <w:rPr>
          <w:spacing w:val="-21"/>
          <w:sz w:val="20"/>
          <w:szCs w:val="20"/>
        </w:rPr>
        <w:t xml:space="preserve"> </w:t>
      </w:r>
      <w:r>
        <w:rPr>
          <w:b/>
          <w:bCs/>
          <w:spacing w:val="2"/>
          <w:sz w:val="20"/>
          <w:szCs w:val="20"/>
        </w:rPr>
        <w:t>1</w:t>
      </w:r>
      <w:r>
        <w:rPr>
          <w:spacing w:val="-38"/>
          <w:sz w:val="20"/>
          <w:szCs w:val="20"/>
        </w:rPr>
        <w:t xml:space="preserve"> </w:t>
      </w:r>
      <w:r>
        <w:rPr>
          <w:b/>
          <w:bCs/>
          <w:spacing w:val="2"/>
          <w:sz w:val="20"/>
          <w:szCs w:val="20"/>
        </w:rPr>
        <w:t>位小数，汇总得分保留小数点后两位。</w:t>
      </w:r>
    </w:p>
    <w:p w14:paraId="4768B562">
      <w:pPr>
        <w:spacing w:line="228" w:lineRule="auto"/>
        <w:rPr>
          <w:sz w:val="20"/>
          <w:szCs w:val="20"/>
        </w:rPr>
        <w:sectPr>
          <w:footerReference r:id="rId25" w:type="default"/>
          <w:pgSz w:w="11906" w:h="16839"/>
          <w:pgMar w:top="400" w:right="1695" w:bottom="1378" w:left="1695" w:header="0" w:footer="1212" w:gutter="0"/>
          <w:cols w:space="720" w:num="1"/>
        </w:sectPr>
      </w:pPr>
    </w:p>
    <w:p w14:paraId="565FB34A">
      <w:pPr>
        <w:spacing w:line="255" w:lineRule="auto"/>
        <w:rPr>
          <w:rFonts w:ascii="Arial"/>
          <w:sz w:val="21"/>
        </w:rPr>
      </w:pPr>
    </w:p>
    <w:p w14:paraId="2C1FAC3C">
      <w:pPr>
        <w:spacing w:line="255" w:lineRule="auto"/>
        <w:rPr>
          <w:rFonts w:ascii="Arial"/>
          <w:sz w:val="21"/>
        </w:rPr>
      </w:pPr>
    </w:p>
    <w:p w14:paraId="7DE8B381">
      <w:pPr>
        <w:spacing w:line="255" w:lineRule="auto"/>
        <w:rPr>
          <w:rFonts w:ascii="Arial"/>
          <w:sz w:val="21"/>
        </w:rPr>
      </w:pPr>
    </w:p>
    <w:p w14:paraId="3EE0A3C8">
      <w:pPr>
        <w:spacing w:line="255" w:lineRule="auto"/>
        <w:rPr>
          <w:rFonts w:ascii="Arial"/>
          <w:sz w:val="21"/>
        </w:rPr>
      </w:pPr>
    </w:p>
    <w:p w14:paraId="2B02CBE7">
      <w:pPr>
        <w:pStyle w:val="2"/>
        <w:spacing w:before="65" w:line="227" w:lineRule="auto"/>
        <w:ind w:left="32"/>
        <w:rPr>
          <w:sz w:val="20"/>
          <w:szCs w:val="20"/>
        </w:rPr>
      </w:pPr>
      <w:r>
        <w:rPr>
          <w:b/>
          <w:bCs/>
          <w:spacing w:val="7"/>
          <w:sz w:val="20"/>
          <w:szCs w:val="20"/>
        </w:rPr>
        <w:t>（2）承包人建议书和承包人实施方案评分因素细分项缺</w:t>
      </w:r>
      <w:r>
        <w:rPr>
          <w:b/>
          <w:bCs/>
          <w:spacing w:val="6"/>
          <w:sz w:val="20"/>
          <w:szCs w:val="20"/>
        </w:rPr>
        <w:t>项，则该项得</w:t>
      </w:r>
      <w:r>
        <w:rPr>
          <w:spacing w:val="-35"/>
          <w:sz w:val="20"/>
          <w:szCs w:val="20"/>
        </w:rPr>
        <w:t xml:space="preserve"> </w:t>
      </w:r>
      <w:r>
        <w:rPr>
          <w:b/>
          <w:bCs/>
          <w:spacing w:val="6"/>
          <w:sz w:val="20"/>
          <w:szCs w:val="20"/>
        </w:rPr>
        <w:t>0</w:t>
      </w:r>
      <w:r>
        <w:rPr>
          <w:spacing w:val="-35"/>
          <w:sz w:val="20"/>
          <w:szCs w:val="20"/>
        </w:rPr>
        <w:t xml:space="preserve"> </w:t>
      </w:r>
      <w:r>
        <w:rPr>
          <w:b/>
          <w:bCs/>
          <w:spacing w:val="6"/>
          <w:sz w:val="20"/>
          <w:szCs w:val="20"/>
        </w:rPr>
        <w:t>分。</w:t>
      </w:r>
    </w:p>
    <w:p w14:paraId="7A54AA43">
      <w:pPr>
        <w:pStyle w:val="2"/>
        <w:spacing w:before="185" w:line="289" w:lineRule="auto"/>
        <w:ind w:left="21" w:right="15" w:firstLine="10"/>
        <w:rPr>
          <w:sz w:val="20"/>
          <w:szCs w:val="20"/>
        </w:rPr>
      </w:pPr>
      <w:r>
        <w:rPr>
          <w:b/>
          <w:bCs/>
          <w:spacing w:val="8"/>
          <w:sz w:val="20"/>
          <w:szCs w:val="20"/>
        </w:rPr>
        <w:t>（3）各评分因素（资信业绩评分项除外）得分一般不得低于其权重分值的</w:t>
      </w:r>
      <w:r>
        <w:rPr>
          <w:spacing w:val="-30"/>
          <w:sz w:val="20"/>
          <w:szCs w:val="20"/>
        </w:rPr>
        <w:t xml:space="preserve"> </w:t>
      </w:r>
      <w:r>
        <w:rPr>
          <w:b/>
          <w:bCs/>
          <w:spacing w:val="8"/>
          <w:sz w:val="20"/>
          <w:szCs w:val="20"/>
        </w:rPr>
        <w:t>60%，评标委员</w:t>
      </w:r>
      <w:r>
        <w:rPr>
          <w:b/>
          <w:bCs/>
          <w:spacing w:val="7"/>
          <w:sz w:val="20"/>
          <w:szCs w:val="20"/>
        </w:rPr>
        <w:t>会成员对某一项评分因素的评分低于权重分值</w:t>
      </w:r>
      <w:r>
        <w:rPr>
          <w:spacing w:val="-21"/>
          <w:sz w:val="20"/>
          <w:szCs w:val="20"/>
        </w:rPr>
        <w:t xml:space="preserve"> </w:t>
      </w:r>
      <w:r>
        <w:rPr>
          <w:b/>
          <w:bCs/>
          <w:spacing w:val="7"/>
          <w:sz w:val="20"/>
          <w:szCs w:val="20"/>
        </w:rPr>
        <w:t>60%的，应在评标报告中作出说明。</w:t>
      </w:r>
    </w:p>
    <w:sectPr>
      <w:footerReference r:id="rId26" w:type="default"/>
      <w:pgSz w:w="11906" w:h="16839"/>
      <w:pgMar w:top="400" w:right="1785" w:bottom="1378" w:left="1785" w:header="0" w:footer="12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A5AEB">
    <w:pPr>
      <w:spacing w:line="168" w:lineRule="auto"/>
      <w:ind w:left="4871"/>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75C33">
    <w:pPr>
      <w:spacing w:line="169" w:lineRule="auto"/>
      <w:ind w:left="4131"/>
      <w:rPr>
        <w:rFonts w:ascii="Calibri" w:hAnsi="Calibri" w:eastAsia="Calibri" w:cs="Calibri"/>
        <w:sz w:val="18"/>
        <w:szCs w:val="18"/>
      </w:rPr>
    </w:pPr>
    <w:r>
      <w:rPr>
        <w:rFonts w:ascii="Calibri" w:hAnsi="Calibri" w:eastAsia="Calibri" w:cs="Calibri"/>
        <w:spacing w:val="-8"/>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7F30C">
    <w:pPr>
      <w:spacing w:line="168" w:lineRule="auto"/>
      <w:ind w:left="4131"/>
      <w:rPr>
        <w:rFonts w:ascii="Calibri" w:hAnsi="Calibri" w:eastAsia="Calibri" w:cs="Calibri"/>
        <w:sz w:val="18"/>
        <w:szCs w:val="18"/>
      </w:rPr>
    </w:pPr>
    <w:r>
      <w:rPr>
        <w:rFonts w:ascii="Calibri" w:hAnsi="Calibri" w:eastAsia="Calibri" w:cs="Calibri"/>
        <w:spacing w:val="-8"/>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A8CB3">
    <w:pPr>
      <w:spacing w:line="169" w:lineRule="auto"/>
      <w:ind w:left="4131"/>
      <w:rPr>
        <w:rFonts w:ascii="Calibri" w:hAnsi="Calibri" w:eastAsia="Calibri" w:cs="Calibri"/>
        <w:sz w:val="18"/>
        <w:szCs w:val="18"/>
      </w:rPr>
    </w:pPr>
    <w:r>
      <w:rPr>
        <w:rFonts w:ascii="Calibri" w:hAnsi="Calibri" w:eastAsia="Calibri" w:cs="Calibri"/>
        <w:spacing w:val="-8"/>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AE7F">
    <w:pPr>
      <w:spacing w:line="169" w:lineRule="auto"/>
      <w:ind w:left="4131"/>
      <w:rPr>
        <w:rFonts w:ascii="Calibri" w:hAnsi="Calibri" w:eastAsia="Calibri" w:cs="Calibri"/>
        <w:sz w:val="18"/>
        <w:szCs w:val="18"/>
      </w:rPr>
    </w:pPr>
    <w:r>
      <w:rPr>
        <w:rFonts w:ascii="Calibri" w:hAnsi="Calibri" w:eastAsia="Calibri" w:cs="Calibri"/>
        <w:spacing w:val="-8"/>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93CD9">
    <w:pPr>
      <w:spacing w:line="168" w:lineRule="auto"/>
      <w:ind w:left="4131"/>
      <w:rPr>
        <w:rFonts w:ascii="Calibri" w:hAnsi="Calibri" w:eastAsia="Calibri" w:cs="Calibri"/>
        <w:sz w:val="18"/>
        <w:szCs w:val="18"/>
      </w:rPr>
    </w:pPr>
    <w:r>
      <w:rPr>
        <w:rFonts w:ascii="Calibri" w:hAnsi="Calibri" w:eastAsia="Calibri" w:cs="Calibri"/>
        <w:spacing w:val="-8"/>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1AFC">
    <w:pPr>
      <w:spacing w:line="168" w:lineRule="auto"/>
      <w:ind w:left="4131"/>
      <w:rPr>
        <w:rFonts w:ascii="Calibri" w:hAnsi="Calibri" w:eastAsia="Calibri" w:cs="Calibri"/>
        <w:sz w:val="18"/>
        <w:szCs w:val="18"/>
      </w:rPr>
    </w:pPr>
    <w:r>
      <w:rPr>
        <w:rFonts w:ascii="Calibri" w:hAnsi="Calibri" w:eastAsia="Calibri" w:cs="Calibri"/>
        <w:spacing w:val="-8"/>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315A">
    <w:pPr>
      <w:spacing w:line="169" w:lineRule="auto"/>
      <w:ind w:left="4131"/>
      <w:rPr>
        <w:rFonts w:ascii="Calibri" w:hAnsi="Calibri" w:eastAsia="Calibri" w:cs="Calibri"/>
        <w:sz w:val="18"/>
        <w:szCs w:val="18"/>
      </w:rPr>
    </w:pPr>
    <w:r>
      <w:rPr>
        <w:rFonts w:ascii="Calibri" w:hAnsi="Calibri" w:eastAsia="Calibri" w:cs="Calibri"/>
        <w:spacing w:val="-8"/>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9EDA">
    <w:pPr>
      <w:spacing w:line="168" w:lineRule="auto"/>
      <w:ind w:left="4131"/>
      <w:rPr>
        <w:rFonts w:ascii="Calibri" w:hAnsi="Calibri" w:eastAsia="Calibri" w:cs="Calibri"/>
        <w:sz w:val="18"/>
        <w:szCs w:val="18"/>
      </w:rPr>
    </w:pPr>
    <w:r>
      <w:rPr>
        <w:rFonts w:ascii="Calibri" w:hAnsi="Calibri" w:eastAsia="Calibri" w:cs="Calibri"/>
        <w:spacing w:val="-8"/>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FD75">
    <w:pPr>
      <w:spacing w:line="169" w:lineRule="auto"/>
      <w:ind w:left="4180"/>
      <w:rPr>
        <w:rFonts w:ascii="Calibri" w:hAnsi="Calibri" w:eastAsia="Calibri" w:cs="Calibri"/>
        <w:sz w:val="18"/>
        <w:szCs w:val="18"/>
      </w:rPr>
    </w:pPr>
    <w:r>
      <w:rPr>
        <w:rFonts w:ascii="Calibri" w:hAnsi="Calibri" w:eastAsia="Calibri" w:cs="Calibri"/>
        <w:spacing w:val="-8"/>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F4F4">
    <w:pPr>
      <w:spacing w:line="169" w:lineRule="auto"/>
      <w:ind w:left="4180"/>
      <w:rPr>
        <w:rFonts w:ascii="Calibri" w:hAnsi="Calibri" w:eastAsia="Calibri" w:cs="Calibri"/>
        <w:sz w:val="18"/>
        <w:szCs w:val="18"/>
      </w:rPr>
    </w:pPr>
    <w:r>
      <w:rPr>
        <w:rFonts w:ascii="Calibri" w:hAnsi="Calibri" w:eastAsia="Calibri" w:cs="Calibri"/>
        <w:spacing w:val="-8"/>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09B5F">
    <w:pPr>
      <w:spacing w:line="169" w:lineRule="auto"/>
      <w:ind w:left="4130"/>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68358">
    <w:pPr>
      <w:spacing w:line="169" w:lineRule="auto"/>
      <w:ind w:left="4084"/>
      <w:rPr>
        <w:rFonts w:ascii="Calibri" w:hAnsi="Calibri" w:eastAsia="Calibri" w:cs="Calibri"/>
        <w:sz w:val="18"/>
        <w:szCs w:val="18"/>
      </w:rPr>
    </w:pPr>
    <w:r>
      <w:rPr>
        <w:rFonts w:ascii="Calibri" w:hAnsi="Calibri" w:eastAsia="Calibri" w:cs="Calibri"/>
        <w:spacing w:val="-6"/>
        <w:sz w:val="18"/>
        <w:szCs w:val="18"/>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E6D7">
    <w:pPr>
      <w:spacing w:line="169" w:lineRule="auto"/>
      <w:ind w:left="4129"/>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7B162">
    <w:pPr>
      <w:spacing w:line="168" w:lineRule="auto"/>
      <w:ind w:left="4289"/>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BE83">
    <w:pPr>
      <w:spacing w:line="167" w:lineRule="auto"/>
      <w:ind w:left="4228"/>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DF3A3">
    <w:pPr>
      <w:spacing w:line="169" w:lineRule="auto"/>
      <w:ind w:left="4228"/>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71A5">
    <w:pPr>
      <w:spacing w:line="167" w:lineRule="auto"/>
      <w:ind w:left="4225"/>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14FE">
    <w:pPr>
      <w:spacing w:line="169" w:lineRule="auto"/>
      <w:ind w:left="4127"/>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8B657">
    <w:pPr>
      <w:spacing w:line="169" w:lineRule="auto"/>
      <w:ind w:left="4127"/>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F53BE">
    <w:pPr>
      <w:spacing w:before="62" w:line="204" w:lineRule="auto"/>
      <w:ind w:left="2247"/>
      <w:rPr>
        <w:rFonts w:ascii="黑体" w:hAnsi="黑体" w:eastAsia="黑体" w:cs="黑体"/>
        <w:sz w:val="24"/>
        <w:szCs w:val="24"/>
      </w:rPr>
    </w:pPr>
    <w:r>
      <w:rPr>
        <w:rFonts w:ascii="黑体" w:hAnsi="黑体" w:eastAsia="黑体" w:cs="黑体"/>
        <w:spacing w:val="1"/>
        <w:sz w:val="24"/>
        <w:szCs w:val="24"/>
      </w:rPr>
      <w:t>附录3</w:t>
    </w:r>
    <w:r>
      <w:rPr>
        <w:rFonts w:ascii="黑体" w:hAnsi="黑体" w:eastAsia="黑体" w:cs="黑体"/>
        <w:spacing w:val="-41"/>
        <w:sz w:val="24"/>
        <w:szCs w:val="24"/>
      </w:rPr>
      <w:t xml:space="preserve"> </w:t>
    </w:r>
    <w:r>
      <w:rPr>
        <w:rFonts w:ascii="黑体" w:hAnsi="黑体" w:eastAsia="黑体" w:cs="黑体"/>
        <w:spacing w:val="1"/>
        <w:sz w:val="24"/>
        <w:szCs w:val="24"/>
      </w:rPr>
      <w:t>资格审查条件（业绩最低要求）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FFDA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09037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2243</Words>
  <Characters>2689</Characters>
  <TotalTime>0</TotalTime>
  <ScaleCrop>false</ScaleCrop>
  <LinksUpToDate>false</LinksUpToDate>
  <CharactersWithSpaces>2911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2026-06-15T09:49:00Z</dcterms:created>
  <dc:creator>Administrator</dc:creator>
  <cp:lastModifiedBy>鲁鹏</cp:lastModifiedBy>
  <dcterms:modified xsi:type="dcterms:W3CDTF">2026-06-16T00:30:10Z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2026-06-16T08:29:42Z</vt:filetime>
  </property>
  <property fmtid="{D5CDD505-2E9C-101B-9397-08002B2CF9AE}" pid="4" name="KSOTemplateDocerSaveRecord">
    <vt:lpwstr>eyJoZGlkIjoiZTA1YTI0OTcwNDE0NTQzZDM0YzRmNzdiNWZhYzVhNDUiLCJ1c2VySWQiOiIxNzY1NTIzODU5In0=</vt:lpwstr>
  </property>
  <property fmtid="{D5CDD505-2E9C-101B-9397-08002B2CF9AE}" pid="5" name="KSOProductBuildVer">
    <vt:lpwstr>2052-12.1.0.26895</vt:lpwstr>
  </property>
  <property fmtid="{D5CDD505-2E9C-101B-9397-08002B2CF9AE}" pid="6" name="ICV">
    <vt:lpwstr>7F328AECD478468CBEDAD211C5C3D9A2_12</vt:lpwstr>
  </property>
</Properties>
</file>