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AD166">
      <w:pPr>
        <w:widowControl/>
        <w:spacing w:line="360" w:lineRule="auto"/>
        <w:jc w:val="left"/>
        <w:outlineLvl w:val="2"/>
        <w:rPr>
          <w:rFonts w:ascii="宋体" w:hAnsi="宋体" w:cs="宋体"/>
          <w:bCs/>
          <w:color w:val="auto"/>
          <w:sz w:val="24"/>
          <w:highlight w:val="none"/>
        </w:rPr>
      </w:pPr>
      <w:r>
        <w:rPr>
          <w:rStyle w:val="19"/>
          <w:rFonts w:hint="eastAsia" w:ascii="宋体" w:hAnsi="宋体" w:eastAsia="宋体" w:cs="宋体"/>
          <w:b/>
          <w:color w:val="auto"/>
          <w:highlight w:val="none"/>
        </w:rPr>
        <w:t>附件</w:t>
      </w:r>
      <w:r>
        <w:rPr>
          <w:rStyle w:val="19"/>
          <w:rFonts w:hint="eastAsia" w:ascii="宋体" w:hAnsi="宋体" w:cs="宋体"/>
          <w:b/>
          <w:color w:val="auto"/>
          <w:highlight w:val="none"/>
        </w:rPr>
        <w:t>1</w:t>
      </w:r>
      <w:r>
        <w:rPr>
          <w:rStyle w:val="19"/>
          <w:rFonts w:hint="eastAsia" w:ascii="宋体" w:hAnsi="宋体" w:eastAsia="宋体" w:cs="宋体"/>
          <w:b/>
          <w:color w:val="auto"/>
          <w:highlight w:val="none"/>
        </w:rPr>
        <w:t>：</w:t>
      </w:r>
      <w:r>
        <w:rPr>
          <w:rFonts w:hint="eastAsia" w:ascii="宋体" w:hAnsi="宋体" w:cs="宋体"/>
          <w:b/>
          <w:color w:val="auto"/>
          <w:sz w:val="24"/>
          <w:highlight w:val="none"/>
        </w:rPr>
        <w:t>资格审查条件</w:t>
      </w:r>
    </w:p>
    <w:p w14:paraId="23C44E12">
      <w:pPr>
        <w:jc w:val="center"/>
        <w:rPr>
          <w:rStyle w:val="19"/>
          <w:rFonts w:ascii="宋体" w:hAnsi="宋体" w:eastAsia="宋体" w:cs="宋体"/>
          <w:bCs/>
          <w:color w:val="auto"/>
          <w:highlight w:val="none"/>
        </w:rPr>
      </w:pPr>
    </w:p>
    <w:p w14:paraId="74D203B1">
      <w:pPr>
        <w:jc w:val="center"/>
        <w:rPr>
          <w:rStyle w:val="19"/>
          <w:rFonts w:ascii="宋体" w:hAnsi="宋体" w:eastAsia="宋体" w:cs="宋体"/>
          <w:bCs/>
          <w:color w:val="auto"/>
          <w:highlight w:val="none"/>
        </w:rPr>
      </w:pPr>
      <w:r>
        <w:rPr>
          <w:rStyle w:val="19"/>
          <w:rFonts w:hint="eastAsia" w:ascii="宋体" w:hAnsi="宋体" w:eastAsia="宋体" w:cs="宋体"/>
          <w:bCs/>
          <w:color w:val="auto"/>
          <w:highlight w:val="none"/>
        </w:rPr>
        <w:t>附录1  资格审查条件（资质最低条件）</w:t>
      </w:r>
    </w:p>
    <w:tbl>
      <w:tblPr>
        <w:tblStyle w:val="13"/>
        <w:tblW w:w="908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7957"/>
      </w:tblGrid>
      <w:tr w14:paraId="0F6DCBB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516" w:hRule="atLeast"/>
          <w:jc w:val="center"/>
        </w:trPr>
        <w:tc>
          <w:tcPr>
            <w:tcW w:w="1130" w:type="dxa"/>
            <w:tcBorders>
              <w:top w:val="single" w:color="auto" w:sz="2" w:space="0"/>
              <w:left w:val="single" w:color="auto" w:sz="2" w:space="0"/>
              <w:bottom w:val="single" w:color="auto" w:sz="2" w:space="0"/>
              <w:right w:val="single" w:color="auto" w:sz="2" w:space="0"/>
            </w:tcBorders>
            <w:vAlign w:val="center"/>
          </w:tcPr>
          <w:p w14:paraId="74EF2FD8">
            <w:pPr>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标段</w:t>
            </w:r>
          </w:p>
        </w:tc>
        <w:tc>
          <w:tcPr>
            <w:tcW w:w="7957" w:type="dxa"/>
            <w:tcBorders>
              <w:top w:val="single" w:color="auto" w:sz="2" w:space="0"/>
              <w:left w:val="single" w:color="auto" w:sz="2" w:space="0"/>
              <w:bottom w:val="single" w:color="auto" w:sz="2" w:space="0"/>
              <w:right w:val="single" w:color="auto" w:sz="2" w:space="0"/>
            </w:tcBorders>
            <w:vAlign w:val="center"/>
          </w:tcPr>
          <w:p w14:paraId="05F7155B">
            <w:pPr>
              <w:jc w:val="center"/>
              <w:rPr>
                <w:rFonts w:hint="eastAsia" w:ascii="宋体" w:hAnsi="宋体" w:cs="宋体"/>
                <w:bCs/>
                <w:color w:val="auto"/>
                <w:szCs w:val="21"/>
                <w:highlight w:val="none"/>
              </w:rPr>
            </w:pPr>
            <w:r>
              <w:rPr>
                <w:rFonts w:hint="eastAsia" w:ascii="宋体" w:hAnsi="宋体" w:cs="宋体"/>
                <w:bCs/>
                <w:color w:val="auto"/>
                <w:szCs w:val="21"/>
                <w:highlight w:val="none"/>
              </w:rPr>
              <w:t>资质要求</w:t>
            </w:r>
          </w:p>
        </w:tc>
      </w:tr>
      <w:tr w14:paraId="0D460D6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30" w:type="dxa"/>
            <w:tcBorders>
              <w:top w:val="single" w:color="auto" w:sz="2" w:space="0"/>
              <w:left w:val="single" w:color="auto" w:sz="2" w:space="0"/>
              <w:bottom w:val="single" w:color="auto" w:sz="2" w:space="0"/>
              <w:right w:val="single" w:color="auto" w:sz="2" w:space="0"/>
            </w:tcBorders>
            <w:vAlign w:val="center"/>
          </w:tcPr>
          <w:p w14:paraId="0864FD0C">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YH标段</w:t>
            </w:r>
          </w:p>
        </w:tc>
        <w:tc>
          <w:tcPr>
            <w:tcW w:w="7957" w:type="dxa"/>
            <w:tcBorders>
              <w:top w:val="single" w:color="auto" w:sz="2" w:space="0"/>
              <w:left w:val="single" w:color="auto" w:sz="2" w:space="0"/>
              <w:bottom w:val="single" w:color="auto" w:sz="2" w:space="0"/>
              <w:right w:val="single" w:color="auto" w:sz="2" w:space="0"/>
            </w:tcBorders>
            <w:vAlign w:val="center"/>
          </w:tcPr>
          <w:p w14:paraId="3C624D36">
            <w:pPr>
              <w:spacing w:line="340" w:lineRule="exact"/>
              <w:ind w:firstLine="630" w:firstLineChars="300"/>
              <w:rPr>
                <w:rFonts w:hint="eastAsia" w:ascii="宋体" w:hAnsi="宋体" w:cs="宋体"/>
                <w:bCs/>
                <w:color w:val="auto"/>
                <w:highlight w:val="none"/>
              </w:rPr>
            </w:pPr>
            <w:r>
              <w:rPr>
                <w:rFonts w:hint="eastAsia" w:ascii="宋体" w:hAnsi="宋体" w:cs="宋体"/>
                <w:bCs/>
                <w:color w:val="auto"/>
                <w:highlight w:val="none"/>
              </w:rPr>
              <w:t>在中华人民共和国境内注册的独立法人或其他组织，</w:t>
            </w:r>
            <w:r>
              <w:rPr>
                <w:rFonts w:hint="eastAsia" w:ascii="宋体" w:hAnsi="宋体" w:eastAsia="宋体" w:cs="宋体"/>
                <w:bCs/>
                <w:color w:val="auto"/>
                <w:highlight w:val="none"/>
                <w:lang w:eastAsia="zh-CN"/>
              </w:rPr>
              <w:t>投标人须持有有效</w:t>
            </w:r>
            <w:r>
              <w:rPr>
                <w:rFonts w:hint="eastAsia" w:ascii="宋体" w:hAnsi="宋体" w:eastAsia="宋体" w:cs="宋体"/>
                <w:bCs/>
                <w:color w:val="auto"/>
                <w:highlight w:val="none"/>
                <w:lang w:val="en-US" w:eastAsia="zh-CN"/>
              </w:rPr>
              <w:t>的</w:t>
            </w:r>
            <w:r>
              <w:rPr>
                <w:rFonts w:hint="eastAsia" w:ascii="宋体" w:hAnsi="宋体" w:eastAsia="宋体" w:cs="宋体"/>
                <w:bCs/>
                <w:color w:val="auto"/>
                <w:highlight w:val="none"/>
                <w:lang w:eastAsia="zh-CN"/>
              </w:rPr>
              <w:t>营业执照，</w:t>
            </w:r>
            <w:r>
              <w:rPr>
                <w:rFonts w:hint="eastAsia" w:ascii="宋体" w:hAnsi="宋体" w:cs="宋体"/>
                <w:bCs/>
                <w:color w:val="auto"/>
                <w:highlight w:val="none"/>
                <w:lang w:eastAsia="zh-CN"/>
              </w:rPr>
              <w:t>投标人应为银行总行或市级及以上分行机构</w:t>
            </w:r>
            <w:r>
              <w:rPr>
                <w:rFonts w:hint="eastAsia" w:ascii="宋体" w:hAnsi="宋体" w:eastAsia="宋体" w:cs="宋体"/>
                <w:bCs/>
                <w:color w:val="auto"/>
                <w:highlight w:val="none"/>
                <w:lang w:eastAsia="zh-CN"/>
              </w:rPr>
              <w:t>，银行总行为中国银行间市场交易商协会非金融企业债务融资工具主承销商。</w:t>
            </w:r>
          </w:p>
        </w:tc>
      </w:tr>
      <w:tr w14:paraId="2DBD96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130" w:type="dxa"/>
            <w:tcBorders>
              <w:top w:val="single" w:color="auto" w:sz="2" w:space="0"/>
              <w:left w:val="single" w:color="auto" w:sz="2" w:space="0"/>
              <w:bottom w:val="single" w:color="auto" w:sz="2" w:space="0"/>
              <w:right w:val="single" w:color="auto" w:sz="2" w:space="0"/>
            </w:tcBorders>
            <w:vAlign w:val="center"/>
          </w:tcPr>
          <w:p w14:paraId="7A68EFA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ZQ标段</w:t>
            </w:r>
          </w:p>
        </w:tc>
        <w:tc>
          <w:tcPr>
            <w:tcW w:w="7957" w:type="dxa"/>
            <w:tcBorders>
              <w:top w:val="single" w:color="auto" w:sz="2" w:space="0"/>
              <w:left w:val="single" w:color="auto" w:sz="2" w:space="0"/>
              <w:bottom w:val="single" w:color="auto" w:sz="2" w:space="0"/>
              <w:right w:val="single" w:color="auto" w:sz="2" w:space="0"/>
            </w:tcBorders>
            <w:vAlign w:val="center"/>
          </w:tcPr>
          <w:p w14:paraId="357FC0E4">
            <w:pPr>
              <w:spacing w:line="3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在中华人民共和国境内注册的独立法人或其他组织，</w:t>
            </w:r>
            <w:r>
              <w:rPr>
                <w:rFonts w:hint="eastAsia" w:ascii="宋体" w:hAnsi="宋体" w:eastAsia="宋体" w:cs="宋体"/>
                <w:bCs/>
                <w:color w:val="auto"/>
                <w:highlight w:val="none"/>
                <w:lang w:eastAsia="zh-CN"/>
              </w:rPr>
              <w:t>投标人须持有有效</w:t>
            </w:r>
            <w:r>
              <w:rPr>
                <w:rFonts w:hint="eastAsia" w:ascii="宋体" w:hAnsi="宋体" w:eastAsia="宋体" w:cs="宋体"/>
                <w:bCs/>
                <w:color w:val="auto"/>
                <w:highlight w:val="none"/>
                <w:lang w:val="en-US" w:eastAsia="zh-CN"/>
              </w:rPr>
              <w:t>的</w:t>
            </w:r>
            <w:r>
              <w:rPr>
                <w:rFonts w:hint="eastAsia" w:ascii="宋体" w:hAnsi="宋体" w:eastAsia="宋体" w:cs="宋体"/>
                <w:bCs/>
                <w:color w:val="auto"/>
                <w:highlight w:val="none"/>
                <w:lang w:eastAsia="zh-CN"/>
              </w:rPr>
              <w:t>营业执照，具有中国证券监督管理委员会颁发的《经营证券期货业务许可证》</w:t>
            </w:r>
            <w:r>
              <w:rPr>
                <w:rFonts w:hint="eastAsia" w:ascii="宋体" w:hAnsi="宋体" w:cs="宋体"/>
                <w:bCs/>
                <w:color w:val="auto"/>
                <w:highlight w:val="none"/>
                <w:lang w:eastAsia="zh-CN"/>
              </w:rPr>
              <w:t>，</w:t>
            </w:r>
            <w:r>
              <w:rPr>
                <w:rFonts w:hint="eastAsia" w:ascii="宋体" w:hAnsi="宋体" w:eastAsia="宋体" w:cs="宋体"/>
                <w:bCs/>
                <w:color w:val="auto"/>
                <w:highlight w:val="none"/>
                <w:lang w:eastAsia="zh-CN"/>
              </w:rPr>
              <w:t>投标人应为中国银行间市场交易商协会非金融企业债务融资工具主承销商。</w:t>
            </w:r>
          </w:p>
        </w:tc>
      </w:tr>
    </w:tbl>
    <w:p w14:paraId="38D0E0B0">
      <w:pPr>
        <w:jc w:val="center"/>
        <w:rPr>
          <w:rStyle w:val="19"/>
          <w:rFonts w:ascii="宋体" w:hAnsi="宋体" w:eastAsia="宋体" w:cs="宋体"/>
          <w:bCs/>
          <w:color w:val="auto"/>
          <w:highlight w:val="none"/>
        </w:rPr>
      </w:pPr>
    </w:p>
    <w:p w14:paraId="5A7D72F6">
      <w:pPr>
        <w:jc w:val="center"/>
        <w:rPr>
          <w:rFonts w:ascii="宋体" w:hAnsi="宋体" w:cs="宋体"/>
          <w:bCs/>
          <w:color w:val="auto"/>
          <w:sz w:val="18"/>
          <w:szCs w:val="18"/>
          <w:highlight w:val="none"/>
        </w:rPr>
      </w:pPr>
      <w:r>
        <w:rPr>
          <w:rStyle w:val="19"/>
          <w:rFonts w:hint="eastAsia" w:ascii="宋体" w:hAnsi="宋体" w:eastAsia="宋体" w:cs="宋体"/>
          <w:bCs/>
          <w:color w:val="auto"/>
          <w:highlight w:val="none"/>
        </w:rPr>
        <w:t>附录</w:t>
      </w:r>
      <w:r>
        <w:rPr>
          <w:rStyle w:val="19"/>
          <w:rFonts w:hint="eastAsia" w:ascii="宋体" w:hAnsi="宋体" w:cs="宋体"/>
          <w:bCs/>
          <w:color w:val="auto"/>
          <w:highlight w:val="none"/>
        </w:rPr>
        <w:t>2</w:t>
      </w:r>
      <w:r>
        <w:rPr>
          <w:rStyle w:val="19"/>
          <w:rFonts w:hint="eastAsia" w:ascii="宋体" w:hAnsi="宋体" w:eastAsia="宋体" w:cs="宋体"/>
          <w:bCs/>
          <w:color w:val="auto"/>
          <w:highlight w:val="none"/>
        </w:rPr>
        <w:t xml:space="preserve">  资格审查条件（信誉最低要求）</w:t>
      </w: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5D51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99" w:type="dxa"/>
            <w:vAlign w:val="center"/>
          </w:tcPr>
          <w:p w14:paraId="2A128CBF">
            <w:pPr>
              <w:jc w:val="center"/>
              <w:rPr>
                <w:rFonts w:ascii="宋体" w:hAnsi="宋体" w:cs="宋体"/>
                <w:bCs/>
                <w:color w:val="auto"/>
                <w:highlight w:val="none"/>
              </w:rPr>
            </w:pPr>
            <w:r>
              <w:rPr>
                <w:rFonts w:hint="eastAsia" w:ascii="宋体" w:hAnsi="宋体" w:cs="宋体"/>
                <w:bCs/>
                <w:color w:val="auto"/>
                <w:highlight w:val="none"/>
              </w:rPr>
              <w:t>信誉要求</w:t>
            </w:r>
          </w:p>
        </w:tc>
      </w:tr>
      <w:tr w14:paraId="342B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099" w:type="dxa"/>
            <w:vAlign w:val="center"/>
          </w:tcPr>
          <w:p w14:paraId="50B5F1FF">
            <w:pPr>
              <w:spacing w:line="340" w:lineRule="exact"/>
              <w:ind w:firstLine="420" w:firstLineChars="200"/>
              <w:rPr>
                <w:rFonts w:hAnsi="宋体"/>
                <w:bCs/>
                <w:color w:val="auto"/>
                <w:highlight w:val="none"/>
              </w:rPr>
            </w:pPr>
            <w:r>
              <w:rPr>
                <w:rFonts w:hint="eastAsia"/>
                <w:color w:val="auto"/>
                <w:highlight w:val="none"/>
                <w:lang w:eastAsia="zh-CN"/>
              </w:rPr>
              <w:t>投标</w:t>
            </w:r>
            <w:r>
              <w:rPr>
                <w:rFonts w:hint="eastAsia"/>
                <w:color w:val="auto"/>
                <w:highlight w:val="none"/>
                <w:lang w:val="en-US" w:eastAsia="zh-CN"/>
              </w:rPr>
              <w:t>在近1年内（2025年6月1日至今）不曾在</w:t>
            </w:r>
            <w:r>
              <w:rPr>
                <w:rFonts w:hint="eastAsia" w:ascii="宋体"/>
                <w:b w:val="0"/>
                <w:bCs w:val="0"/>
                <w:color w:val="auto"/>
                <w:sz w:val="21"/>
                <w:szCs w:val="21"/>
                <w:highlight w:val="none"/>
                <w:u w:val="none"/>
                <w:lang w:val="en-US" w:eastAsia="zh-CN"/>
              </w:rPr>
              <w:t>金融</w:t>
            </w:r>
            <w:r>
              <w:rPr>
                <w:rFonts w:hint="eastAsia"/>
                <w:color w:val="auto"/>
                <w:highlight w:val="none"/>
                <w:lang w:val="en-US" w:eastAsia="zh-CN"/>
              </w:rPr>
              <w:t>服务合同中违约而被驱逐或因投标人自身的原因而使合同被解除</w:t>
            </w:r>
            <w:r>
              <w:rPr>
                <w:rFonts w:hint="eastAsia"/>
                <w:color w:val="auto"/>
                <w:highlight w:val="none"/>
              </w:rPr>
              <w:t>。</w:t>
            </w:r>
          </w:p>
        </w:tc>
      </w:tr>
    </w:tbl>
    <w:p w14:paraId="42F7F2AE">
      <w:pPr>
        <w:rPr>
          <w:rStyle w:val="19"/>
          <w:rFonts w:ascii="宋体" w:hAnsi="宋体" w:eastAsia="宋体" w:cs="宋体"/>
          <w:bCs/>
          <w:color w:val="auto"/>
          <w:sz w:val="18"/>
          <w:szCs w:val="18"/>
          <w:highlight w:val="none"/>
        </w:rPr>
      </w:pPr>
    </w:p>
    <w:p w14:paraId="78310E10">
      <w:pPr>
        <w:pStyle w:val="9"/>
        <w:rPr>
          <w:color w:val="auto"/>
          <w:highlight w:val="none"/>
        </w:rPr>
      </w:pPr>
    </w:p>
    <w:p w14:paraId="3BC1055A">
      <w:pPr>
        <w:spacing w:line="360" w:lineRule="auto"/>
        <w:outlineLvl w:val="2"/>
        <w:rPr>
          <w:rFonts w:ascii="宋体" w:hAnsi="宋体" w:cs="宋体"/>
          <w:b/>
          <w:color w:val="auto"/>
          <w:sz w:val="24"/>
          <w:highlight w:val="none"/>
        </w:rPr>
      </w:pPr>
      <w:r>
        <w:rPr>
          <w:rFonts w:hint="eastAsia" w:ascii="宋体" w:hAnsi="宋体" w:cs="宋体"/>
          <w:color w:val="auto"/>
          <w:sz w:val="24"/>
          <w:highlight w:val="none"/>
        </w:rPr>
        <w:br w:type="page"/>
      </w:r>
      <w:r>
        <w:rPr>
          <w:rStyle w:val="19"/>
          <w:rFonts w:hint="eastAsia" w:ascii="宋体" w:hAnsi="宋体" w:eastAsia="宋体" w:cs="宋体"/>
          <w:b/>
          <w:color w:val="auto"/>
          <w:highlight w:val="none"/>
        </w:rPr>
        <w:t>附件</w:t>
      </w:r>
      <w:r>
        <w:rPr>
          <w:rStyle w:val="19"/>
          <w:rFonts w:hint="eastAsia" w:ascii="宋体" w:hAnsi="宋体" w:cs="宋体"/>
          <w:b/>
          <w:color w:val="auto"/>
          <w:highlight w:val="none"/>
        </w:rPr>
        <w:t>2</w:t>
      </w:r>
      <w:r>
        <w:rPr>
          <w:rStyle w:val="19"/>
          <w:rFonts w:hint="eastAsia" w:ascii="宋体" w:hAnsi="宋体" w:eastAsia="宋体" w:cs="宋体"/>
          <w:b/>
          <w:color w:val="auto"/>
          <w:highlight w:val="none"/>
        </w:rPr>
        <w:t>：</w:t>
      </w:r>
      <w:r>
        <w:rPr>
          <w:rFonts w:hint="eastAsia" w:ascii="宋体" w:hAnsi="宋体" w:cs="宋体"/>
          <w:b/>
          <w:color w:val="auto"/>
          <w:sz w:val="24"/>
          <w:highlight w:val="none"/>
        </w:rPr>
        <w:t>评标办法</w:t>
      </w:r>
    </w:p>
    <w:p w14:paraId="67B84589">
      <w:pPr>
        <w:pStyle w:val="4"/>
        <w:snapToGrid w:val="0"/>
        <w:spacing w:before="120" w:after="120" w:line="240" w:lineRule="auto"/>
        <w:rPr>
          <w:color w:val="auto"/>
          <w:sz w:val="24"/>
          <w:szCs w:val="24"/>
          <w:highlight w:val="none"/>
        </w:rPr>
      </w:pPr>
      <w:bookmarkStart w:id="0" w:name="_Toc138793770"/>
      <w:bookmarkStart w:id="1" w:name="_Toc146029312"/>
      <w:bookmarkStart w:id="2" w:name="_Toc65857110"/>
      <w:bookmarkStart w:id="3" w:name="_Toc65820978"/>
      <w:bookmarkStart w:id="4" w:name="_Toc66337244"/>
      <w:bookmarkStart w:id="5" w:name="_Toc141783238"/>
      <w:bookmarkStart w:id="6" w:name="_Toc66984522"/>
      <w:bookmarkStart w:id="7" w:name="_Toc146320979"/>
      <w:r>
        <w:rPr>
          <w:rFonts w:hint="eastAsia"/>
          <w:color w:val="auto"/>
          <w:sz w:val="24"/>
          <w:szCs w:val="24"/>
          <w:highlight w:val="none"/>
        </w:rPr>
        <w:t>评标办法前附表</w:t>
      </w:r>
      <w:bookmarkEnd w:id="0"/>
      <w:bookmarkEnd w:id="1"/>
      <w:bookmarkEnd w:id="2"/>
      <w:bookmarkEnd w:id="3"/>
      <w:bookmarkEnd w:id="4"/>
      <w:bookmarkEnd w:id="5"/>
      <w:bookmarkEnd w:id="6"/>
      <w:bookmarkEnd w:id="7"/>
    </w:p>
    <w:tbl>
      <w:tblPr>
        <w:tblStyle w:val="1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63"/>
        <w:gridCol w:w="7183"/>
      </w:tblGrid>
      <w:tr w14:paraId="2DA1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8" w:type="dxa"/>
            <w:vAlign w:val="center"/>
          </w:tcPr>
          <w:p w14:paraId="54D59DB7">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63" w:type="dxa"/>
            <w:vAlign w:val="center"/>
          </w:tcPr>
          <w:p w14:paraId="7F819FEF">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7183" w:type="dxa"/>
            <w:vAlign w:val="center"/>
          </w:tcPr>
          <w:p w14:paraId="2A6531FA">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评审因素与评审标准</w:t>
            </w:r>
          </w:p>
        </w:tc>
      </w:tr>
      <w:tr w14:paraId="0FA4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18" w:type="dxa"/>
            <w:vAlign w:val="center"/>
          </w:tcPr>
          <w:p w14:paraId="35120C6E">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3" w:type="dxa"/>
            <w:vAlign w:val="center"/>
          </w:tcPr>
          <w:p w14:paraId="239ACEBB">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183" w:type="dxa"/>
            <w:vAlign w:val="center"/>
          </w:tcPr>
          <w:p w14:paraId="16CCFDE3">
            <w:pPr>
              <w:ind w:firstLine="315" w:firstLineChars="150"/>
              <w:jc w:val="left"/>
              <w:rPr>
                <w:rFonts w:hint="default"/>
                <w:color w:val="auto"/>
                <w:highlight w:val="none"/>
                <w:lang w:val="en-US" w:eastAsia="zh-CN"/>
              </w:rPr>
            </w:pPr>
            <w:r>
              <w:rPr>
                <w:rFonts w:hint="eastAsia"/>
                <w:color w:val="auto"/>
                <w:highlight w:val="none"/>
              </w:rPr>
              <w:t>本次</w:t>
            </w:r>
            <w:r>
              <w:rPr>
                <w:rFonts w:hint="eastAsia"/>
                <w:color w:val="auto"/>
                <w:highlight w:val="none"/>
                <w:lang w:eastAsia="zh-CN"/>
              </w:rPr>
              <w:t>评标</w:t>
            </w:r>
            <w:r>
              <w:rPr>
                <w:rFonts w:hint="eastAsia"/>
                <w:color w:val="auto"/>
                <w:highlight w:val="none"/>
              </w:rPr>
              <w:t>采用综合评估法。</w:t>
            </w:r>
            <w:r>
              <w:rPr>
                <w:rFonts w:hint="eastAsia"/>
                <w:color w:val="auto"/>
                <w:highlight w:val="none"/>
                <w:lang w:eastAsia="zh-CN"/>
              </w:rPr>
              <w:t>评标</w:t>
            </w:r>
            <w:r>
              <w:rPr>
                <w:rFonts w:hint="eastAsia"/>
                <w:color w:val="auto"/>
                <w:highlight w:val="none"/>
              </w:rPr>
              <w:t>委员会对满足招标文件实质性要求的投标文件，按照本章第2.2款规定的评分标准进行打分，并按得分由高到低顺序</w:t>
            </w:r>
            <w:r>
              <w:rPr>
                <w:rFonts w:hint="eastAsia"/>
                <w:color w:val="auto"/>
                <w:highlight w:val="none"/>
                <w:lang w:eastAsia="zh-CN"/>
              </w:rPr>
              <w:t>，</w:t>
            </w:r>
            <w:r>
              <w:rPr>
                <w:rFonts w:hint="eastAsia"/>
                <w:color w:val="auto"/>
                <w:highlight w:val="none"/>
                <w:lang w:val="en-US" w:eastAsia="zh-CN"/>
              </w:rPr>
              <w:t>YH标段推</w:t>
            </w:r>
            <w:r>
              <w:rPr>
                <w:rFonts w:hint="eastAsia"/>
                <w:color w:val="auto"/>
                <w:highlight w:val="none"/>
              </w:rPr>
              <w:t>荐</w:t>
            </w:r>
            <w:r>
              <w:rPr>
                <w:rFonts w:hint="eastAsia"/>
                <w:color w:val="auto"/>
                <w:highlight w:val="none"/>
                <w:lang w:val="en-US" w:eastAsia="zh-CN"/>
              </w:rPr>
              <w:t>不超过15名</w:t>
            </w:r>
            <w:r>
              <w:rPr>
                <w:rFonts w:hint="eastAsia"/>
                <w:color w:val="auto"/>
                <w:highlight w:val="none"/>
              </w:rPr>
              <w:t>候选人</w:t>
            </w:r>
            <w:r>
              <w:rPr>
                <w:rFonts w:hint="eastAsia"/>
                <w:color w:val="auto"/>
                <w:highlight w:val="none"/>
                <w:lang w:eastAsia="zh-CN"/>
              </w:rPr>
              <w:t>，</w:t>
            </w:r>
            <w:r>
              <w:rPr>
                <w:rFonts w:hint="eastAsia"/>
                <w:color w:val="auto"/>
                <w:highlight w:val="none"/>
                <w:lang w:val="en-US" w:eastAsia="zh-CN"/>
              </w:rPr>
              <w:t>ZQ标段推荐不超过6名候选人</w:t>
            </w:r>
            <w:r>
              <w:rPr>
                <w:rFonts w:hint="eastAsia"/>
                <w:color w:val="auto"/>
                <w:highlight w:val="none"/>
              </w:rPr>
              <w:t>。</w:t>
            </w:r>
          </w:p>
          <w:p w14:paraId="369F6E0C">
            <w:pPr>
              <w:ind w:firstLine="315" w:firstLineChars="150"/>
              <w:jc w:val="left"/>
              <w:rPr>
                <w:rFonts w:hint="eastAsia"/>
                <w:color w:val="auto"/>
                <w:highlight w:val="none"/>
              </w:rPr>
            </w:pPr>
            <w:r>
              <w:rPr>
                <w:rFonts w:hint="eastAsia"/>
                <w:color w:val="auto"/>
                <w:highlight w:val="none"/>
              </w:rPr>
              <w:t>综合评分相等时，</w:t>
            </w:r>
            <w:r>
              <w:rPr>
                <w:rFonts w:hint="eastAsia"/>
                <w:color w:val="auto"/>
                <w:highlight w:val="none"/>
                <w:lang w:eastAsia="zh-CN"/>
              </w:rPr>
              <w:t>评标</w:t>
            </w:r>
            <w:r>
              <w:rPr>
                <w:rFonts w:hint="eastAsia"/>
                <w:color w:val="auto"/>
                <w:highlight w:val="none"/>
              </w:rPr>
              <w:t>委员会依次按照以下优先顺序推荐候选人：</w:t>
            </w:r>
          </w:p>
          <w:p w14:paraId="62DB89DB">
            <w:pPr>
              <w:ind w:firstLine="315" w:firstLineChars="150"/>
              <w:jc w:val="left"/>
              <w:rPr>
                <w:rFonts w:hint="eastAsia"/>
                <w:color w:val="auto"/>
                <w:highlight w:val="none"/>
              </w:rPr>
            </w:pPr>
            <w:r>
              <w:rPr>
                <w:rFonts w:hint="eastAsia"/>
                <w:color w:val="auto"/>
                <w:highlight w:val="none"/>
              </w:rPr>
              <w:t>（1）</w:t>
            </w:r>
            <w:r>
              <w:rPr>
                <w:rFonts w:hint="eastAsia"/>
                <w:color w:val="auto"/>
                <w:highlight w:val="none"/>
                <w:lang w:eastAsia="zh-CN"/>
              </w:rPr>
              <w:t>评标价</w:t>
            </w:r>
            <w:r>
              <w:rPr>
                <w:rFonts w:hint="eastAsia"/>
                <w:color w:val="auto"/>
                <w:highlight w:val="none"/>
              </w:rPr>
              <w:t>低的投标人优先；</w:t>
            </w:r>
          </w:p>
          <w:p w14:paraId="08AD9EB2">
            <w:pPr>
              <w:ind w:firstLine="315" w:firstLineChars="150"/>
              <w:jc w:val="left"/>
              <w:rPr>
                <w:rFonts w:hint="eastAsia"/>
                <w:color w:val="auto"/>
                <w:highlight w:val="none"/>
              </w:rPr>
            </w:pPr>
            <w:r>
              <w:rPr>
                <w:rFonts w:hint="eastAsia"/>
                <w:color w:val="auto"/>
                <w:highlight w:val="none"/>
              </w:rPr>
              <w:t>（2）商务部分得分较</w:t>
            </w:r>
            <w:r>
              <w:rPr>
                <w:rFonts w:hint="eastAsia"/>
                <w:color w:val="auto"/>
                <w:highlight w:val="none"/>
                <w:lang w:val="en-US" w:eastAsia="zh-CN"/>
              </w:rPr>
              <w:t>高</w:t>
            </w:r>
            <w:r>
              <w:rPr>
                <w:rFonts w:hint="eastAsia"/>
                <w:color w:val="auto"/>
                <w:highlight w:val="none"/>
              </w:rPr>
              <w:t>的优先；</w:t>
            </w:r>
          </w:p>
          <w:p w14:paraId="754B2D43">
            <w:pPr>
              <w:ind w:firstLine="315" w:firstLineChars="150"/>
              <w:jc w:val="left"/>
              <w:rPr>
                <w:rFonts w:hint="eastAsia"/>
                <w:color w:val="auto"/>
                <w:highlight w:val="none"/>
              </w:rPr>
            </w:pPr>
            <w:r>
              <w:rPr>
                <w:rFonts w:hint="eastAsia"/>
                <w:color w:val="auto"/>
                <w:highlight w:val="none"/>
              </w:rPr>
              <w:t>（3）</w:t>
            </w:r>
            <w:r>
              <w:rPr>
                <w:rFonts w:hint="eastAsia"/>
                <w:color w:val="auto"/>
                <w:highlight w:val="none"/>
                <w:lang w:eastAsia="zh-CN"/>
              </w:rPr>
              <w:t>评标</w:t>
            </w:r>
            <w:r>
              <w:rPr>
                <w:rFonts w:hint="eastAsia"/>
                <w:color w:val="auto"/>
                <w:highlight w:val="none"/>
              </w:rPr>
              <w:t>委员会综合考量，投票决定优先顺序。</w:t>
            </w:r>
          </w:p>
          <w:p w14:paraId="1E0AECC4">
            <w:pPr>
              <w:ind w:firstLine="315" w:firstLineChars="150"/>
              <w:jc w:val="left"/>
              <w:rPr>
                <w:rFonts w:ascii="宋体" w:hAnsi="宋体" w:cs="宋体"/>
                <w:color w:val="auto"/>
                <w:szCs w:val="21"/>
                <w:highlight w:val="none"/>
              </w:rPr>
            </w:pPr>
            <w:r>
              <w:rPr>
                <w:rFonts w:hint="eastAsia" w:ascii="宋体" w:hAnsi="宋体" w:eastAsia="宋体" w:cs="宋体"/>
                <w:bCs/>
                <w:color w:val="auto"/>
                <w:highlight w:val="none"/>
                <w:lang w:val="en-US" w:eastAsia="zh-CN"/>
              </w:rPr>
              <w:t>若通过资格评审的投标人少于或等于规定家数（YH标15家、ZQ标6家），则评标委员会不再进行打分，全部推荐为候选人</w:t>
            </w:r>
            <w:r>
              <w:rPr>
                <w:rFonts w:hint="eastAsia" w:ascii="Times New Roman" w:hAnsi="Times New Roman" w:eastAsia="宋体" w:cs="Times New Roman"/>
                <w:color w:val="auto"/>
                <w:kern w:val="2"/>
                <w:sz w:val="21"/>
                <w:szCs w:val="24"/>
                <w:highlight w:val="none"/>
                <w:lang w:val="en-US" w:eastAsia="zh-CN" w:bidi="ar-SA"/>
              </w:rPr>
              <w:t>。</w:t>
            </w:r>
          </w:p>
        </w:tc>
      </w:tr>
      <w:tr w14:paraId="10D8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Align w:val="center"/>
          </w:tcPr>
          <w:p w14:paraId="1704BB03">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2.1.1</w:t>
            </w:r>
          </w:p>
          <w:p w14:paraId="360D3CC0">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463" w:type="dxa"/>
            <w:vAlign w:val="center"/>
          </w:tcPr>
          <w:p w14:paraId="646C263F">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183" w:type="dxa"/>
            <w:vAlign w:val="center"/>
          </w:tcPr>
          <w:p w14:paraId="4E006BBB">
            <w:pPr>
              <w:tabs>
                <w:tab w:val="left" w:pos="3060"/>
              </w:tabs>
              <w:snapToGrid w:val="0"/>
              <w:spacing w:line="320" w:lineRule="exact"/>
              <w:rPr>
                <w:rFonts w:ascii="宋体" w:hAnsi="宋体" w:cs="宋体"/>
                <w:color w:val="auto"/>
                <w:highlight w:val="none"/>
              </w:rPr>
            </w:pPr>
            <w:r>
              <w:rPr>
                <w:rFonts w:hint="eastAsia" w:ascii="宋体" w:hAnsi="宋体" w:cs="宋体"/>
                <w:b/>
                <w:bCs/>
                <w:color w:val="auto"/>
                <w:highlight w:val="none"/>
              </w:rPr>
              <w:t>第一个信封（</w:t>
            </w:r>
            <w:r>
              <w:rPr>
                <w:rFonts w:hint="eastAsia" w:ascii="宋体" w:hAnsi="宋体" w:cs="宋体"/>
                <w:b/>
                <w:bCs/>
                <w:color w:val="auto"/>
                <w:highlight w:val="none"/>
                <w:lang w:eastAsia="zh-CN"/>
              </w:rPr>
              <w:t>商务</w:t>
            </w:r>
            <w:r>
              <w:rPr>
                <w:rFonts w:hint="eastAsia" w:ascii="宋体" w:hAnsi="宋体" w:cs="宋体"/>
                <w:b/>
                <w:bCs/>
                <w:color w:val="auto"/>
                <w:highlight w:val="none"/>
                <w:lang w:val="en-US" w:eastAsia="zh-CN"/>
              </w:rPr>
              <w:t>文件</w:t>
            </w:r>
            <w:r>
              <w:rPr>
                <w:rFonts w:hint="eastAsia" w:ascii="宋体" w:hAnsi="宋体" w:cs="宋体"/>
                <w:b/>
                <w:bCs/>
                <w:color w:val="auto"/>
                <w:highlight w:val="none"/>
              </w:rPr>
              <w:t>）评审标准：</w:t>
            </w:r>
          </w:p>
          <w:p w14:paraId="778BD807">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（1）投标文件按照招标文件规定的格式、内容填写，字迹清晰可辨：</w:t>
            </w:r>
          </w:p>
          <w:p w14:paraId="7CE8F3A7">
            <w:pPr>
              <w:tabs>
                <w:tab w:val="left" w:pos="3060"/>
              </w:tabs>
              <w:snapToGrid w:val="0"/>
              <w:spacing w:line="32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a．投标函按招标文件规定填报了招标人名称、项目名称、</w:t>
            </w:r>
            <w:r>
              <w:rPr>
                <w:rFonts w:hint="eastAsia" w:ascii="宋体" w:hAnsi="宋体" w:cs="宋体"/>
                <w:color w:val="auto"/>
                <w:highlight w:val="none"/>
                <w:lang w:eastAsia="zh-CN"/>
              </w:rPr>
              <w:t>标段号、</w:t>
            </w:r>
            <w:r>
              <w:rPr>
                <w:rFonts w:hint="eastAsia" w:ascii="宋体" w:hAnsi="宋体" w:cs="宋体"/>
                <w:color w:val="auto"/>
                <w:highlight w:val="none"/>
              </w:rPr>
              <w:t>补遗书编号（如有）、</w:t>
            </w:r>
            <w:r>
              <w:rPr>
                <w:rFonts w:hint="eastAsia" w:ascii="宋体" w:hAnsi="宋体" w:cs="宋体"/>
                <w:color w:val="auto"/>
                <w:highlight w:val="none"/>
                <w:lang w:eastAsia="zh-CN"/>
              </w:rPr>
              <w:t>服务期限</w:t>
            </w:r>
            <w:r>
              <w:rPr>
                <w:rFonts w:hint="eastAsia" w:ascii="宋体" w:hAnsi="宋体" w:cs="宋体"/>
                <w:color w:val="auto"/>
                <w:highlight w:val="none"/>
              </w:rPr>
              <w:t>等内容；</w:t>
            </w:r>
          </w:p>
          <w:p w14:paraId="62214880">
            <w:pP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05943898">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（2）投标文件上法定代表人或其授权代理人的签字、投标人的单位章盖章齐全，符合招标文件规定。</w:t>
            </w:r>
          </w:p>
          <w:p w14:paraId="6BF4AE26">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zCs w:val="21"/>
                <w:highlight w:val="none"/>
              </w:rPr>
              <w:t>投标人法定代表人授权委托代理人签署投标文件的，须提交授权委托书，授权委托书的签字盖章符合招标文件规定</w:t>
            </w:r>
            <w:r>
              <w:rPr>
                <w:rFonts w:hint="eastAsia" w:ascii="宋体" w:hAnsi="宋体" w:cs="宋体"/>
                <w:color w:val="auto"/>
                <w:highlight w:val="none"/>
              </w:rPr>
              <w:t>。</w:t>
            </w:r>
          </w:p>
          <w:p w14:paraId="1E96DA5C">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投标人法定代表人亲自签署投标文件的，提供了法定代表人身份证明,法定代表人身份证明的签字盖章符合招标文件规定</w:t>
            </w:r>
            <w:r>
              <w:rPr>
                <w:rFonts w:hint="eastAsia" w:ascii="宋体" w:hAnsi="宋体" w:cs="宋体"/>
                <w:color w:val="auto"/>
                <w:highlight w:val="none"/>
              </w:rPr>
              <w:t>。</w:t>
            </w:r>
          </w:p>
          <w:p w14:paraId="598EA2E0">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（5）投标人未以联合体形式投标。</w:t>
            </w:r>
          </w:p>
          <w:p w14:paraId="1FFC75B5">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（6）投标人未对本项目提出分包计划。</w:t>
            </w:r>
          </w:p>
          <w:p w14:paraId="29519C21">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（7）投标人未提交两个以上不同的投标文件或备选方案。</w:t>
            </w:r>
          </w:p>
          <w:p w14:paraId="4AB39710">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（8）投标文件中未出现有关投标报价的内容。</w:t>
            </w:r>
          </w:p>
          <w:p w14:paraId="6A18F9C9">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（9）投标文件载明的招标项目完成期限未超过招标文件规定的</w:t>
            </w:r>
            <w:r>
              <w:rPr>
                <w:rFonts w:hint="eastAsia" w:ascii="宋体" w:hAnsi="宋体" w:cs="宋体"/>
                <w:color w:val="auto"/>
                <w:highlight w:val="none"/>
                <w:lang w:eastAsia="zh-CN"/>
              </w:rPr>
              <w:t>服务期限</w:t>
            </w:r>
            <w:r>
              <w:rPr>
                <w:rFonts w:hint="eastAsia" w:ascii="宋体" w:hAnsi="宋体" w:cs="宋体"/>
                <w:color w:val="auto"/>
                <w:highlight w:val="none"/>
              </w:rPr>
              <w:t>。</w:t>
            </w:r>
          </w:p>
          <w:p w14:paraId="45D59A87">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（10）投标文件对招标文件的实质性要求和条件作出响应。</w:t>
            </w:r>
          </w:p>
          <w:p w14:paraId="2E9DFB82">
            <w:pPr>
              <w:tabs>
                <w:tab w:val="left" w:pos="3060"/>
              </w:tabs>
              <w:snapToGrid w:val="0"/>
              <w:spacing w:line="32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（11）递交的投标文件与所投标段一致</w:t>
            </w:r>
            <w:r>
              <w:rPr>
                <w:rFonts w:hint="eastAsia" w:ascii="宋体" w:hAnsi="宋体" w:eastAsia="宋体" w:cs="宋体"/>
                <w:color w:val="auto"/>
                <w:highlight w:val="none"/>
                <w:lang w:eastAsia="zh-CN"/>
              </w:rPr>
              <w:t>。</w:t>
            </w:r>
          </w:p>
          <w:p w14:paraId="402AD189">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）权利义务符合招标文件规定：</w:t>
            </w:r>
          </w:p>
          <w:p w14:paraId="375D5369">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a.投标人应接受招标文件规定的风险划分原则，未提出新的风险划分办法；</w:t>
            </w:r>
          </w:p>
          <w:p w14:paraId="521EB384">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b.投标人未增加发包人的责任范围，或减少投标人义务；</w:t>
            </w:r>
          </w:p>
          <w:p w14:paraId="2E21866D">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c.投标人未提出不同的支付办法；</w:t>
            </w:r>
          </w:p>
          <w:p w14:paraId="5DE8B350">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d.投标人对合同纠纷、事故处理办法未提出异议；</w:t>
            </w:r>
          </w:p>
          <w:p w14:paraId="4D8525FF">
            <w:pP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e.投标人在投标活动中无欺诈行为；</w:t>
            </w:r>
          </w:p>
          <w:p w14:paraId="16DB3B1B">
            <w:pPr>
              <w:tabs>
                <w:tab w:val="left" w:pos="3060"/>
              </w:tabs>
              <w:snapToGrid w:val="0"/>
              <w:spacing w:line="320" w:lineRule="exact"/>
              <w:ind w:firstLine="210" w:firstLineChars="100"/>
              <w:rPr>
                <w:rFonts w:hint="eastAsia" w:ascii="宋体" w:hAnsi="宋体" w:cs="宋体"/>
                <w:color w:val="auto"/>
                <w:highlight w:val="none"/>
              </w:rPr>
            </w:pPr>
            <w:r>
              <w:rPr>
                <w:rFonts w:hint="eastAsia" w:ascii="宋体" w:hAnsi="宋体" w:cs="宋体"/>
                <w:color w:val="auto"/>
                <w:highlight w:val="none"/>
              </w:rPr>
              <w:t>f.投标人未对合同条款有重要保留。</w:t>
            </w:r>
          </w:p>
          <w:p w14:paraId="373F6E3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）投标人不存在投标人须知前附表4.4(1)、(3)项规定的情形</w:t>
            </w:r>
            <w:r>
              <w:rPr>
                <w:rFonts w:hint="eastAsia" w:ascii="宋体" w:hAnsi="宋体" w:eastAsia="宋体" w:cs="宋体"/>
                <w:color w:val="auto"/>
                <w:sz w:val="21"/>
                <w:szCs w:val="21"/>
                <w:highlight w:val="none"/>
                <w:lang w:eastAsia="zh-CN"/>
              </w:rPr>
              <w:t>。</w:t>
            </w:r>
          </w:p>
          <w:p w14:paraId="40E50E4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eastAsia="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w:t>
            </w:r>
            <w:r>
              <w:rPr>
                <w:rFonts w:hint="eastAsia" w:ascii="宋体" w:hAnsi="宋体" w:cs="宋体"/>
                <w:color w:val="auto"/>
                <w:sz w:val="21"/>
                <w:szCs w:val="21"/>
                <w:highlight w:val="none"/>
                <w:lang w:val="en-US" w:eastAsia="zh-CN"/>
              </w:rPr>
              <w:t>因</w:t>
            </w:r>
            <w:r>
              <w:rPr>
                <w:rFonts w:hint="eastAsia" w:ascii="宋体" w:hAnsi="宋体" w:eastAsia="宋体" w:cs="宋体"/>
                <w:color w:val="auto"/>
                <w:sz w:val="21"/>
                <w:szCs w:val="21"/>
                <w:highlight w:val="none"/>
              </w:rPr>
              <w:t>投标人须知前附表4.4(2)项规定的情形</w:t>
            </w:r>
            <w:r>
              <w:rPr>
                <w:rFonts w:hint="eastAsia" w:ascii="宋体" w:hAnsi="宋体" w:eastAsia="宋体" w:cs="宋体"/>
                <w:color w:val="auto"/>
                <w:sz w:val="21"/>
                <w:szCs w:val="21"/>
                <w:highlight w:val="none"/>
                <w:lang w:val="en-US" w:eastAsia="zh-CN"/>
              </w:rPr>
              <w:t>被评标委员会认定</w:t>
            </w:r>
            <w:r>
              <w:rPr>
                <w:rFonts w:hint="eastAsia" w:ascii="宋体" w:hAnsi="宋体" w:cs="宋体"/>
                <w:color w:val="auto"/>
                <w:sz w:val="21"/>
                <w:szCs w:val="21"/>
                <w:highlight w:val="none"/>
              </w:rPr>
              <w:t>投标文件异常一致或投标活动异常关联</w:t>
            </w:r>
            <w:r>
              <w:rPr>
                <w:rFonts w:hint="eastAsia" w:ascii="宋体" w:hAnsi="宋体" w:cs="宋体"/>
                <w:color w:val="auto"/>
                <w:sz w:val="21"/>
                <w:szCs w:val="21"/>
                <w:highlight w:val="none"/>
                <w:lang w:eastAsia="zh-CN"/>
              </w:rPr>
              <w:t>。</w:t>
            </w:r>
          </w:p>
          <w:p w14:paraId="724F3610">
            <w:pPr>
              <w:shd w:val="clear"/>
              <w:tabs>
                <w:tab w:val="left" w:pos="3060"/>
              </w:tabs>
              <w:snapToGrid w:val="0"/>
              <w:spacing w:line="320" w:lineRule="exact"/>
              <w:rPr>
                <w:rFonts w:hint="eastAsia" w:ascii="宋体" w:hAnsi="宋体" w:cs="宋体"/>
                <w:color w:val="auto"/>
                <w:sz w:val="21"/>
                <w:szCs w:val="21"/>
                <w:highlight w:val="none"/>
              </w:rPr>
            </w:pPr>
            <w:r>
              <w:rPr>
                <w:rFonts w:hint="eastAsia" w:ascii="宋体" w:hAnsi="宋体" w:cs="宋体"/>
                <w:b/>
                <w:bCs/>
                <w:color w:val="auto"/>
                <w:sz w:val="21"/>
                <w:szCs w:val="21"/>
                <w:highlight w:val="none"/>
              </w:rPr>
              <w:t>第一个信封（</w:t>
            </w:r>
            <w:r>
              <w:rPr>
                <w:rFonts w:hint="eastAsia" w:ascii="宋体" w:hAnsi="宋体" w:cs="宋体"/>
                <w:b/>
                <w:bCs/>
                <w:color w:val="auto"/>
                <w:sz w:val="21"/>
                <w:szCs w:val="21"/>
                <w:highlight w:val="none"/>
                <w:lang w:val="en-US" w:eastAsia="zh-CN"/>
              </w:rPr>
              <w:t>服务方案</w:t>
            </w:r>
            <w:r>
              <w:rPr>
                <w:rFonts w:hint="eastAsia" w:ascii="宋体" w:hAnsi="宋体" w:cs="宋体"/>
                <w:b/>
                <w:bCs/>
                <w:color w:val="auto"/>
                <w:sz w:val="21"/>
                <w:szCs w:val="21"/>
                <w:highlight w:val="none"/>
              </w:rPr>
              <w:t>）评审标准（暗标部分）:</w:t>
            </w:r>
          </w:p>
          <w:p w14:paraId="250DEF20">
            <w:pPr>
              <w:keepNext w:val="0"/>
              <w:keepLines w:val="0"/>
              <w:pageBreakBefore w:val="0"/>
              <w:widowControl w:val="0"/>
              <w:shd w:val="clear"/>
              <w:tabs>
                <w:tab w:val="left" w:pos="3060"/>
              </w:tabs>
              <w:kinsoku/>
              <w:wordWrap/>
              <w:overflowPunct/>
              <w:topLinePunct w:val="0"/>
              <w:bidi w:val="0"/>
              <w:snapToGrid w:val="0"/>
              <w:spacing w:line="320" w:lineRule="exact"/>
              <w:textAlignment w:val="auto"/>
              <w:rPr>
                <w:rFonts w:ascii="宋体" w:hAnsi="宋体"/>
                <w:b/>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服务方案</w:t>
            </w:r>
            <w:r>
              <w:rPr>
                <w:rFonts w:hint="eastAsia" w:ascii="宋体" w:hAnsi="宋体" w:cs="宋体"/>
                <w:color w:val="auto"/>
                <w:sz w:val="21"/>
                <w:szCs w:val="21"/>
                <w:highlight w:val="none"/>
              </w:rPr>
              <w:t>（暗标）编制符合招标文件第二章“投标人须知”第10.</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款的规定。</w:t>
            </w:r>
          </w:p>
          <w:p w14:paraId="7429783E">
            <w:pPr>
              <w:tabs>
                <w:tab w:val="left" w:pos="3060"/>
              </w:tabs>
              <w:snapToGrid w:val="0"/>
              <w:spacing w:line="320" w:lineRule="exact"/>
              <w:rPr>
                <w:rFonts w:ascii="宋体" w:hAnsi="宋体" w:cs="宋体"/>
                <w:color w:val="auto"/>
                <w:highlight w:val="none"/>
              </w:rPr>
            </w:pPr>
            <w:r>
              <w:rPr>
                <w:rFonts w:hint="eastAsia" w:ascii="宋体" w:hAnsi="宋体" w:cs="宋体"/>
                <w:b/>
                <w:bCs/>
                <w:color w:val="auto"/>
                <w:highlight w:val="none"/>
              </w:rPr>
              <w:t>第二个信封（报价文件）评审标准：</w:t>
            </w:r>
          </w:p>
          <w:p w14:paraId="621A141A">
            <w:pPr>
              <w:tabs>
                <w:tab w:val="left" w:pos="3060"/>
              </w:tabs>
              <w:snapToGrid w:val="0"/>
              <w:spacing w:line="320" w:lineRule="exact"/>
              <w:ind w:firstLine="210" w:firstLineChars="100"/>
              <w:rPr>
                <w:rFonts w:hint="eastAsia" w:ascii="宋体" w:hAnsi="宋体" w:eastAsia="宋体" w:cs="宋体"/>
                <w:color w:val="auto"/>
                <w:highlight w:val="none"/>
                <w:lang w:eastAsia="zh-CN"/>
              </w:rPr>
            </w:pPr>
            <w:r>
              <w:rPr>
                <w:rFonts w:hint="eastAsia" w:ascii="宋体" w:hAnsi="宋体" w:cs="宋体"/>
                <w:color w:val="auto"/>
                <w:highlight w:val="none"/>
              </w:rPr>
              <w:t>（1）投标文件按照招标文件规定的格式、内容填写，字迹清晰可辨，内容齐全完整：</w:t>
            </w:r>
          </w:p>
          <w:p w14:paraId="2A9F8F56">
            <w:pP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a．投标函按招标文件规定填报了招标人名称、项目名称、</w:t>
            </w:r>
            <w:r>
              <w:rPr>
                <w:rFonts w:hint="eastAsia" w:ascii="宋体" w:hAnsi="宋体" w:cs="宋体"/>
                <w:color w:val="auto"/>
                <w:highlight w:val="none"/>
                <w:lang w:val="en-US" w:eastAsia="zh-CN"/>
              </w:rPr>
              <w:t>标段号、</w:t>
            </w:r>
            <w:r>
              <w:rPr>
                <w:rFonts w:hint="eastAsia" w:ascii="宋体" w:hAnsi="宋体" w:cs="宋体"/>
                <w:color w:val="auto"/>
                <w:highlight w:val="none"/>
              </w:rPr>
              <w:t>补遗书编号（如有）、投标报价；</w:t>
            </w:r>
          </w:p>
          <w:p w14:paraId="6468D5E7">
            <w:pP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6D90CB0B">
            <w:pP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（2）投标文件上法定代表人或其授权代理人的签字、投标人的单位章盖章齐全，符合招标文件规定。</w:t>
            </w:r>
          </w:p>
          <w:p w14:paraId="0D69605D">
            <w:pP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（3）投标报价未超过招标文件设定的最高投标限价。</w:t>
            </w:r>
          </w:p>
          <w:p w14:paraId="736D56BB">
            <w:pP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（4）投标报价能够确定具体数值。</w:t>
            </w:r>
          </w:p>
          <w:p w14:paraId="130623F5">
            <w:pP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（5）投标人未提交两个以上不同的投标报价。</w:t>
            </w:r>
          </w:p>
          <w:p w14:paraId="0527839C">
            <w:pPr>
              <w:tabs>
                <w:tab w:val="left" w:pos="3060"/>
              </w:tabs>
              <w:snapToGrid w:val="0"/>
              <w:spacing w:line="320" w:lineRule="exact"/>
              <w:ind w:firstLine="205" w:firstLineChars="9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递交的投标文件与所投标段一致</w:t>
            </w:r>
            <w:r>
              <w:rPr>
                <w:rFonts w:hint="eastAsia" w:ascii="宋体" w:hAnsi="宋体" w:eastAsia="宋体" w:cs="宋体"/>
                <w:color w:val="auto"/>
                <w:highlight w:val="none"/>
                <w:lang w:eastAsia="zh-CN"/>
              </w:rPr>
              <w:t>。</w:t>
            </w:r>
          </w:p>
          <w:p w14:paraId="5F0FE09F">
            <w:pPr>
              <w:tabs>
                <w:tab w:val="left" w:pos="3060"/>
              </w:tabs>
              <w:snapToGrid w:val="0"/>
              <w:spacing w:line="320" w:lineRule="exact"/>
              <w:ind w:firstLine="205" w:firstLineChars="98"/>
              <w:rPr>
                <w:rFonts w:hint="eastAsia" w:ascii="宋体" w:hAnsi="宋体" w:eastAsia="宋体" w:cs="宋体"/>
                <w:color w:val="auto"/>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）投标人未提交调价函。</w:t>
            </w:r>
            <w:r>
              <w:rPr>
                <w:rFonts w:hint="eastAsia" w:ascii="宋体" w:hAnsi="宋体" w:cs="宋体"/>
                <w:color w:val="auto"/>
                <w:highlight w:val="none"/>
                <w:lang w:val="en-US" w:eastAsia="zh-CN"/>
              </w:rPr>
              <w:t xml:space="preserve"> </w:t>
            </w:r>
          </w:p>
          <w:p w14:paraId="1A7BC96B">
            <w:pPr>
              <w:tabs>
                <w:tab w:val="left" w:pos="3060"/>
              </w:tabs>
              <w:snapToGrid w:val="0"/>
              <w:spacing w:line="320" w:lineRule="exact"/>
              <w:ind w:firstLine="205" w:firstLineChars="98"/>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投标人不存在投标人须知前附表4.4(1)、(3)项规定的情形</w:t>
            </w:r>
            <w:r>
              <w:rPr>
                <w:rFonts w:hint="eastAsia" w:ascii="宋体" w:hAnsi="宋体" w:eastAsia="宋体" w:cs="宋体"/>
                <w:color w:val="auto"/>
                <w:highlight w:val="none"/>
                <w:lang w:eastAsia="zh-CN"/>
              </w:rPr>
              <w:t>。</w:t>
            </w:r>
          </w:p>
          <w:p w14:paraId="0D1BD54F">
            <w:pPr>
              <w:tabs>
                <w:tab w:val="left" w:pos="3060"/>
              </w:tabs>
              <w:snapToGrid w:val="0"/>
              <w:spacing w:line="320" w:lineRule="exact"/>
              <w:ind w:firstLine="205" w:firstLineChars="98"/>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）投标人不存在</w:t>
            </w:r>
            <w:r>
              <w:rPr>
                <w:rFonts w:hint="eastAsia" w:ascii="宋体" w:hAnsi="宋体" w:eastAsia="宋体" w:cs="宋体"/>
                <w:color w:val="auto"/>
                <w:highlight w:val="none"/>
                <w:lang w:val="en-US" w:eastAsia="zh-CN"/>
              </w:rPr>
              <w:t>因</w:t>
            </w:r>
            <w:r>
              <w:rPr>
                <w:rFonts w:hint="eastAsia" w:ascii="宋体" w:hAnsi="宋体" w:eastAsia="宋体" w:cs="宋体"/>
                <w:color w:val="auto"/>
                <w:highlight w:val="none"/>
              </w:rPr>
              <w:t>投标人须知前附表4.4(2)项规定的情形</w:t>
            </w:r>
            <w:r>
              <w:rPr>
                <w:rFonts w:hint="eastAsia" w:ascii="宋体" w:hAnsi="宋体" w:eastAsia="宋体" w:cs="宋体"/>
                <w:color w:val="auto"/>
                <w:highlight w:val="none"/>
                <w:lang w:val="en-US" w:eastAsia="zh-CN"/>
              </w:rPr>
              <w:t>被评标委员会认定为</w:t>
            </w:r>
            <w:r>
              <w:rPr>
                <w:rFonts w:hint="eastAsia" w:ascii="宋体" w:hAnsi="宋体" w:eastAsia="宋体" w:cs="宋体"/>
                <w:color w:val="auto"/>
                <w:highlight w:val="none"/>
              </w:rPr>
              <w:t>投标文件异常一致或投标活动异常关联活动情形</w:t>
            </w:r>
            <w:r>
              <w:rPr>
                <w:rFonts w:hint="eastAsia" w:ascii="宋体" w:hAnsi="宋体" w:eastAsia="宋体" w:cs="宋体"/>
                <w:color w:val="auto"/>
                <w:highlight w:val="none"/>
                <w:lang w:val="en-US" w:eastAsia="zh-CN"/>
              </w:rPr>
              <w:t>。</w:t>
            </w:r>
          </w:p>
          <w:p w14:paraId="2B43F3D9">
            <w:pPr>
              <w:tabs>
                <w:tab w:val="left" w:pos="3060"/>
              </w:tabs>
              <w:snapToGrid w:val="0"/>
              <w:spacing w:line="320" w:lineRule="exact"/>
              <w:ind w:firstLine="205" w:firstLineChars="98"/>
              <w:rPr>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lang w:val="en-US" w:eastAsia="zh-CN"/>
              </w:rPr>
              <w:t>未</w:t>
            </w:r>
            <w:r>
              <w:rPr>
                <w:rFonts w:hint="eastAsia" w:ascii="宋体" w:hAnsi="宋体" w:eastAsia="宋体" w:cs="宋体"/>
                <w:color w:val="auto"/>
                <w:highlight w:val="none"/>
                <w:lang w:eastAsia="zh-CN"/>
              </w:rPr>
              <w:t>被评标委员会认定为低于成本或</w:t>
            </w:r>
            <w:r>
              <w:rPr>
                <w:rFonts w:hint="eastAsia" w:ascii="宋体" w:hAnsi="宋体" w:eastAsia="宋体" w:cs="宋体"/>
                <w:color w:val="auto"/>
                <w:highlight w:val="none"/>
                <w:lang w:val="en-US" w:eastAsia="zh-CN"/>
              </w:rPr>
              <w:t>影</w:t>
            </w:r>
            <w:r>
              <w:rPr>
                <w:rFonts w:hint="eastAsia" w:ascii="宋体" w:hAnsi="宋体" w:eastAsia="宋体" w:cs="宋体"/>
                <w:color w:val="auto"/>
                <w:highlight w:val="none"/>
                <w:lang w:eastAsia="zh-CN"/>
              </w:rPr>
              <w:t>响履约的异常低价竟标</w:t>
            </w:r>
            <w:r>
              <w:rPr>
                <w:rFonts w:hint="eastAsia" w:ascii="宋体" w:hAnsi="宋体" w:cs="宋体"/>
                <w:strike w:val="0"/>
                <w:dstrike w:val="0"/>
                <w:color w:val="auto"/>
                <w:highlight w:val="none"/>
                <w:lang w:eastAsia="zh-CN"/>
              </w:rPr>
              <w:t>。</w:t>
            </w:r>
          </w:p>
        </w:tc>
      </w:tr>
      <w:tr w14:paraId="45B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02D8E891">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463" w:type="dxa"/>
            <w:vAlign w:val="center"/>
          </w:tcPr>
          <w:p w14:paraId="43BE610B">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7183" w:type="dxa"/>
            <w:vAlign w:val="center"/>
          </w:tcPr>
          <w:p w14:paraId="0FB2AE7E">
            <w:pPr>
              <w:tabs>
                <w:tab w:val="left" w:pos="3060"/>
              </w:tabs>
              <w:spacing w:line="320" w:lineRule="exact"/>
              <w:rPr>
                <w:rFonts w:hint="eastAsia" w:ascii="宋体" w:hAnsi="宋体" w:cs="宋体"/>
                <w:color w:val="auto"/>
                <w:szCs w:val="21"/>
                <w:highlight w:val="none"/>
              </w:rPr>
            </w:pPr>
            <w:r>
              <w:rPr>
                <w:rFonts w:hint="eastAsia" w:ascii="宋体" w:hAnsi="宋体" w:cs="宋体"/>
                <w:color w:val="auto"/>
                <w:szCs w:val="21"/>
                <w:highlight w:val="none"/>
              </w:rPr>
              <w:t>（1）投标人具备有效的营业执照；</w:t>
            </w:r>
          </w:p>
          <w:p w14:paraId="683924BC">
            <w:pPr>
              <w:tabs>
                <w:tab w:val="left" w:pos="3060"/>
              </w:tabs>
              <w:spacing w:line="32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）投标人具备有效的</w:t>
            </w:r>
            <w:r>
              <w:rPr>
                <w:rFonts w:hint="eastAsia" w:ascii="宋体" w:hAnsi="宋体" w:cs="宋体"/>
                <w:color w:val="auto"/>
                <w:szCs w:val="21"/>
                <w:highlight w:val="none"/>
                <w:lang w:val="en-US" w:eastAsia="zh-CN"/>
              </w:rPr>
              <w:t>资质证书（仅适用于2标段）</w:t>
            </w:r>
            <w:r>
              <w:rPr>
                <w:rFonts w:hint="eastAsia" w:ascii="宋体" w:hAnsi="宋体" w:cs="宋体"/>
                <w:color w:val="auto"/>
                <w:szCs w:val="21"/>
                <w:highlight w:val="none"/>
              </w:rPr>
              <w:t>；</w:t>
            </w:r>
          </w:p>
          <w:p w14:paraId="0DA78DA9">
            <w:pP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）投标人的资质符合招标文件规定；</w:t>
            </w:r>
          </w:p>
          <w:p w14:paraId="71EF5144">
            <w:pP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）投标人的信誉符合招标文件规定；</w:t>
            </w:r>
          </w:p>
          <w:p w14:paraId="5546DEBE">
            <w:pP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）投标人不存在第二章“投标人须知”1.4.3项或第1.4.4项规定的任何一种情形。</w:t>
            </w:r>
          </w:p>
        </w:tc>
      </w:tr>
      <w:tr w14:paraId="6C16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1CEB9B7D">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463" w:type="dxa"/>
            <w:vAlign w:val="center"/>
          </w:tcPr>
          <w:p w14:paraId="7563F61C">
            <w:pPr>
              <w:spacing w:line="264" w:lineRule="auto"/>
              <w:ind w:leftChars="-51" w:hanging="107" w:hangingChars="51"/>
              <w:jc w:val="center"/>
              <w:rPr>
                <w:rFonts w:ascii="宋体" w:hAnsi="宋体" w:cs="宋体"/>
                <w:color w:val="auto"/>
                <w:szCs w:val="21"/>
                <w:highlight w:val="none"/>
              </w:rPr>
            </w:pPr>
            <w:r>
              <w:rPr>
                <w:rFonts w:hint="eastAsia" w:ascii="宋体" w:hAnsi="宋体" w:cs="宋体"/>
                <w:color w:val="auto"/>
                <w:szCs w:val="21"/>
                <w:highlight w:val="none"/>
              </w:rPr>
              <w:t>分值构成</w:t>
            </w:r>
          </w:p>
          <w:p w14:paraId="551A6DFC">
            <w:pPr>
              <w:spacing w:line="264" w:lineRule="auto"/>
              <w:ind w:leftChars="-51" w:right="-61" w:rightChars="-29" w:hanging="107" w:hangingChars="51"/>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7183" w:type="dxa"/>
            <w:vAlign w:val="center"/>
          </w:tcPr>
          <w:p w14:paraId="0761014E">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第一个信封（商务及服务方案文件）评分分值构成：</w:t>
            </w:r>
          </w:p>
          <w:p w14:paraId="57804395">
            <w:pPr>
              <w:autoSpaceDE w:val="0"/>
              <w:autoSpaceDN w:val="0"/>
              <w:adjustRightInd w:val="0"/>
              <w:rPr>
                <w:rFonts w:ascii="宋体" w:hAnsi="宋体" w:cs="宋体"/>
                <w:bCs/>
                <w:color w:val="auto"/>
                <w:kern w:val="0"/>
                <w:highlight w:val="none"/>
              </w:rPr>
            </w:pPr>
            <w:r>
              <w:rPr>
                <w:rFonts w:hint="eastAsia" w:ascii="宋体" w:hAnsi="宋体" w:cs="宋体"/>
                <w:bCs/>
                <w:color w:val="auto"/>
                <w:kern w:val="0"/>
                <w:highlight w:val="none"/>
              </w:rPr>
              <w:t>（1）商务部分       30分</w:t>
            </w:r>
          </w:p>
          <w:p w14:paraId="31BE3900">
            <w:pPr>
              <w:autoSpaceDE w:val="0"/>
              <w:autoSpaceDN w:val="0"/>
              <w:adjustRightInd w:val="0"/>
              <w:rPr>
                <w:rFonts w:ascii="宋体" w:hAnsi="宋体" w:cs="宋体"/>
                <w:bCs/>
                <w:color w:val="auto"/>
                <w:kern w:val="0"/>
                <w:highlight w:val="none"/>
              </w:rPr>
            </w:pPr>
            <w:r>
              <w:rPr>
                <w:rFonts w:hint="eastAsia" w:ascii="宋体" w:hAnsi="宋体" w:cs="宋体"/>
                <w:bCs/>
                <w:color w:val="auto"/>
                <w:kern w:val="0"/>
                <w:highlight w:val="none"/>
              </w:rPr>
              <w:t>（2）服务方案部分</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暗标</w:t>
            </w:r>
            <w:r>
              <w:rPr>
                <w:rFonts w:hint="eastAsia" w:ascii="宋体" w:hAnsi="宋体" w:cs="宋体"/>
                <w:bCs/>
                <w:color w:val="auto"/>
                <w:kern w:val="0"/>
                <w:highlight w:val="none"/>
                <w:lang w:eastAsia="zh-CN"/>
              </w:rPr>
              <w:t>）</w:t>
            </w:r>
            <w:r>
              <w:rPr>
                <w:rFonts w:hint="eastAsia" w:ascii="宋体" w:hAnsi="宋体" w:cs="宋体"/>
                <w:bCs/>
                <w:color w:val="auto"/>
                <w:kern w:val="0"/>
                <w:highlight w:val="none"/>
              </w:rPr>
              <w:t xml:space="preserve">   40分</w:t>
            </w:r>
          </w:p>
          <w:p w14:paraId="4A96D72C">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第二个信封（报价文件）评分分值构成：</w:t>
            </w:r>
          </w:p>
          <w:p w14:paraId="4FD1570B">
            <w:pPr>
              <w:jc w:val="left"/>
              <w:rPr>
                <w:rFonts w:ascii="宋体" w:hAnsi="宋体" w:cs="宋体"/>
                <w:color w:val="auto"/>
                <w:szCs w:val="21"/>
                <w:highlight w:val="none"/>
              </w:rPr>
            </w:pPr>
            <w:r>
              <w:rPr>
                <w:rFonts w:hint="eastAsia" w:ascii="宋体" w:hAnsi="宋体" w:cs="宋体"/>
                <w:bCs/>
                <w:color w:val="auto"/>
                <w:kern w:val="0"/>
                <w:highlight w:val="none"/>
              </w:rPr>
              <w:t>（1）评标价：       30分</w:t>
            </w:r>
          </w:p>
        </w:tc>
      </w:tr>
      <w:tr w14:paraId="1387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3137BB7B">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463" w:type="dxa"/>
            <w:vAlign w:val="center"/>
          </w:tcPr>
          <w:p w14:paraId="361CE7F7">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83" w:type="dxa"/>
            <w:vAlign w:val="center"/>
          </w:tcPr>
          <w:p w14:paraId="5C94C784">
            <w:pPr>
              <w:snapToGrid w:val="0"/>
              <w:spacing w:line="320" w:lineRule="exact"/>
              <w:jc w:val="left"/>
              <w:rPr>
                <w:b/>
                <w:color w:val="auto"/>
                <w:highlight w:val="none"/>
              </w:rPr>
            </w:pPr>
            <w:r>
              <w:rPr>
                <w:b/>
                <w:color w:val="auto"/>
                <w:highlight w:val="none"/>
              </w:rPr>
              <w:t>评标基准价的计算：</w:t>
            </w:r>
          </w:p>
          <w:p w14:paraId="4A1604C0">
            <w:pPr>
              <w:snapToGrid w:val="0"/>
              <w:spacing w:line="320" w:lineRule="exact"/>
              <w:ind w:right="113"/>
              <w:rPr>
                <w:color w:val="auto"/>
                <w:szCs w:val="21"/>
                <w:highlight w:val="none"/>
              </w:rPr>
            </w:pPr>
            <w:r>
              <w:rPr>
                <w:color w:val="auto"/>
                <w:szCs w:val="21"/>
                <w:highlight w:val="none"/>
              </w:rPr>
              <w:t>在开标现场，招标人将当场计算并宣布评标基准价。</w:t>
            </w:r>
          </w:p>
          <w:p w14:paraId="62DF5101">
            <w:pPr>
              <w:snapToGrid w:val="0"/>
              <w:spacing w:line="320" w:lineRule="exact"/>
              <w:ind w:left="113" w:right="113" w:firstLine="210" w:firstLineChars="100"/>
              <w:rPr>
                <w:color w:val="auto"/>
                <w:szCs w:val="21"/>
                <w:highlight w:val="none"/>
              </w:rPr>
            </w:pPr>
            <w:r>
              <w:rPr>
                <w:color w:val="auto"/>
                <w:szCs w:val="21"/>
                <w:highlight w:val="none"/>
              </w:rPr>
              <w:t>（1）评标价的确定：</w:t>
            </w:r>
          </w:p>
          <w:p w14:paraId="16A9E638">
            <w:pPr>
              <w:snapToGrid w:val="0"/>
              <w:spacing w:line="320" w:lineRule="exact"/>
              <w:ind w:left="113" w:right="113" w:firstLine="210" w:firstLineChars="100"/>
              <w:rPr>
                <w:rFonts w:hint="eastAsia" w:eastAsia="宋体"/>
                <w:color w:val="auto"/>
                <w:szCs w:val="21"/>
                <w:highlight w:val="none"/>
                <w:lang w:eastAsia="zh-CN"/>
              </w:rPr>
            </w:pPr>
            <w:r>
              <w:rPr>
                <w:color w:val="auto"/>
                <w:szCs w:val="21"/>
                <w:highlight w:val="none"/>
              </w:rPr>
              <w:t>评标价=投标函报价</w:t>
            </w:r>
            <w:r>
              <w:rPr>
                <w:rFonts w:hint="eastAsia"/>
                <w:color w:val="auto"/>
                <w:szCs w:val="21"/>
                <w:highlight w:val="none"/>
                <w:lang w:val="en-US" w:eastAsia="zh-CN"/>
              </w:rPr>
              <w:t xml:space="preserve">  </w:t>
            </w:r>
          </w:p>
          <w:p w14:paraId="7B50DDBA">
            <w:pPr>
              <w:snapToGrid w:val="0"/>
              <w:spacing w:line="320" w:lineRule="exact"/>
              <w:ind w:left="113" w:right="113" w:firstLine="210" w:firstLineChars="100"/>
              <w:rPr>
                <w:color w:val="auto"/>
                <w:szCs w:val="21"/>
                <w:highlight w:val="none"/>
              </w:rPr>
            </w:pPr>
            <w:r>
              <w:rPr>
                <w:color w:val="auto"/>
                <w:szCs w:val="21"/>
                <w:highlight w:val="none"/>
              </w:rPr>
              <w:t>（2）评标价平均值的计算：</w:t>
            </w:r>
          </w:p>
          <w:p w14:paraId="6616BDD1">
            <w:pPr>
              <w:snapToGrid w:val="0"/>
              <w:spacing w:line="320" w:lineRule="exact"/>
              <w:ind w:right="113" w:firstLine="420" w:firstLineChars="200"/>
              <w:rPr>
                <w:rFonts w:ascii="宋体" w:hAnsi="宋体" w:cs="宋体"/>
                <w:color w:val="auto"/>
                <w:szCs w:val="21"/>
                <w:highlight w:val="none"/>
              </w:rPr>
            </w:pPr>
            <w:r>
              <w:rPr>
                <w:rFonts w:hint="eastAsia" w:ascii="宋体" w:hAnsi="宋体" w:cs="宋体"/>
                <w:color w:val="auto"/>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家</w:t>
            </w:r>
            <w:r>
              <w:rPr>
                <w:rFonts w:hint="eastAsia" w:ascii="宋体" w:hAnsi="宋体" w:cs="宋体"/>
                <w:color w:val="auto"/>
                <w:szCs w:val="21"/>
                <w:highlight w:val="none"/>
              </w:rPr>
              <w:t>时，则计算评标价平均值时不去掉最高值和最低值）。</w:t>
            </w:r>
          </w:p>
          <w:p w14:paraId="1E672241">
            <w:pPr>
              <w:snapToGrid w:val="0"/>
              <w:spacing w:line="320" w:lineRule="exact"/>
              <w:ind w:right="113" w:firstLine="420" w:firstLineChars="200"/>
              <w:rPr>
                <w:rFonts w:ascii="宋体" w:hAnsi="宋体" w:cs="宋体"/>
                <w:color w:val="auto"/>
                <w:szCs w:val="21"/>
                <w:highlight w:val="none"/>
              </w:rPr>
            </w:pPr>
            <w:r>
              <w:rPr>
                <w:rFonts w:hint="eastAsia" w:ascii="宋体" w:hAnsi="宋体" w:cs="宋体"/>
                <w:color w:val="auto"/>
                <w:szCs w:val="21"/>
                <w:highlight w:val="none"/>
              </w:rPr>
              <w:t>（3）评标基准价的确定：</w:t>
            </w:r>
          </w:p>
          <w:p w14:paraId="48F2F8CF">
            <w:pPr>
              <w:autoSpaceDE w:val="0"/>
              <w:autoSpaceDN w:val="0"/>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将评标价平均值直接作为评标基准价（评标基准价保留两位小数，小数点后第三位四舍五入）。</w:t>
            </w:r>
          </w:p>
          <w:p w14:paraId="799FE517">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12F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2684EE5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right="0" w:rightChars="0"/>
              <w:jc w:val="center"/>
              <w:textAlignment w:val="auto"/>
              <w:rPr>
                <w:rFonts w:hint="eastAsia" w:ascii="宋体" w:hAnsi="宋体" w:cs="宋体"/>
                <w:color w:val="auto"/>
                <w:szCs w:val="21"/>
                <w:highlight w:val="none"/>
              </w:rPr>
            </w:pPr>
            <w:r>
              <w:rPr>
                <w:rFonts w:hint="eastAsia" w:ascii="宋体" w:hAnsi="宋体" w:cs="宋体"/>
                <w:strike w:val="0"/>
                <w:dstrike w:val="0"/>
                <w:color w:val="auto"/>
                <w:sz w:val="21"/>
                <w:szCs w:val="21"/>
                <w:highlight w:val="none"/>
                <w:lang w:val="en-US" w:eastAsia="zh-CN"/>
              </w:rPr>
              <w:t>3.5.3</w:t>
            </w:r>
          </w:p>
        </w:tc>
        <w:tc>
          <w:tcPr>
            <w:tcW w:w="1463" w:type="dxa"/>
            <w:vAlign w:val="center"/>
          </w:tcPr>
          <w:p w14:paraId="2CD555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异常低价情形</w:t>
            </w:r>
          </w:p>
        </w:tc>
        <w:tc>
          <w:tcPr>
            <w:tcW w:w="7183" w:type="dxa"/>
            <w:vAlign w:val="center"/>
          </w:tcPr>
          <w:p w14:paraId="0282F440">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本款修改为：</w:t>
            </w:r>
          </w:p>
          <w:p w14:paraId="38E5803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投标，否决其投标</w:t>
            </w:r>
            <w:r>
              <w:rPr>
                <w:rFonts w:hint="eastAsia" w:ascii="宋体" w:hAnsi="宋体" w:cs="宋体"/>
                <w:bCs/>
                <w:color w:val="auto"/>
                <w:sz w:val="21"/>
                <w:szCs w:val="21"/>
                <w:highlight w:val="none"/>
                <w:lang w:val="en-US" w:eastAsia="zh-CN"/>
              </w:rPr>
              <w:t>。</w:t>
            </w:r>
          </w:p>
        </w:tc>
      </w:tr>
      <w:tr w14:paraId="1EE2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4F7BFAA8">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1463" w:type="dxa"/>
            <w:vAlign w:val="center"/>
          </w:tcPr>
          <w:p w14:paraId="0A868EA3">
            <w:pPr>
              <w:adjustRightInd w:val="0"/>
              <w:snapToGrid w:val="0"/>
              <w:spacing w:line="320" w:lineRule="exact"/>
              <w:jc w:val="center"/>
              <w:rPr>
                <w:rFonts w:ascii="宋体" w:hAnsi="宋体" w:cs="宋体"/>
                <w:snapToGrid w:val="0"/>
                <w:color w:val="auto"/>
                <w:kern w:val="0"/>
                <w:szCs w:val="21"/>
                <w:highlight w:val="none"/>
              </w:rPr>
            </w:pPr>
            <w:r>
              <w:rPr>
                <w:rFonts w:hint="eastAsia" w:ascii="宋体" w:hAnsi="宋体" w:cs="宋体"/>
                <w:color w:val="auto"/>
                <w:szCs w:val="21"/>
                <w:highlight w:val="none"/>
              </w:rPr>
              <w:t>信息查询</w:t>
            </w:r>
          </w:p>
        </w:tc>
        <w:tc>
          <w:tcPr>
            <w:tcW w:w="7183" w:type="dxa"/>
            <w:vAlign w:val="center"/>
          </w:tcPr>
          <w:p w14:paraId="39F36CC5">
            <w:pPr>
              <w:autoSpaceDE w:val="0"/>
              <w:autoSpaceDN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本款修改为：</w:t>
            </w:r>
          </w:p>
          <w:p w14:paraId="0AD94630">
            <w:pPr>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信用情况网页截图内容与在国家企业信用信息公示系统（https://www.gsxt.gov.cn/）中被列入严重违法失信名单（黑名单）（不含分公司）、在“信用中国”网站（https://www.creditchina.gov.cn/）中被列入经营（活动）异常名录、重大税收违法失信主体、政府采购严重违法失信行为记录名单（均不含分公司）和在中国执行信息公开网（zxgk.court.gov.cn）中被列入失信被执行人（不含分公司）的复核结果一致。</w:t>
            </w:r>
          </w:p>
          <w:p w14:paraId="395D486C">
            <w:pPr>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如投标人未提供相关网页截图或所附截图与复核结果不一致，评标委员会应否决其投标。</w:t>
            </w:r>
          </w:p>
        </w:tc>
      </w:tr>
      <w:tr w14:paraId="374D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3"/>
            <w:vAlign w:val="center"/>
          </w:tcPr>
          <w:p w14:paraId="303DFEB5">
            <w:pPr>
              <w:spacing w:line="264" w:lineRule="auto"/>
              <w:rPr>
                <w:rFonts w:ascii="宋体" w:hAnsi="宋体" w:cs="宋体"/>
                <w:color w:val="auto"/>
                <w:szCs w:val="21"/>
                <w:highlight w:val="none"/>
              </w:rPr>
            </w:pPr>
            <w:r>
              <w:rPr>
                <w:rFonts w:hint="eastAsia" w:ascii="宋体" w:hAnsi="宋体" w:cs="宋体"/>
                <w:color w:val="auto"/>
                <w:szCs w:val="21"/>
                <w:highlight w:val="none"/>
              </w:rPr>
              <w:t>需要补充的其他内容：无</w:t>
            </w:r>
          </w:p>
        </w:tc>
      </w:tr>
    </w:tbl>
    <w:p w14:paraId="3896FFF3">
      <w:pPr>
        <w:pStyle w:val="21"/>
        <w:rPr>
          <w:rFonts w:ascii="宋体" w:hAnsi="宋体" w:cs="宋体"/>
          <w:bCs/>
          <w:color w:val="auto"/>
          <w:highlight w:val="none"/>
        </w:rPr>
      </w:pPr>
      <w:r>
        <w:rPr>
          <w:rFonts w:ascii="宋体" w:hAnsi="宋体" w:cs="宋体"/>
          <w:bCs/>
          <w:color w:val="auto"/>
          <w:highlight w:val="none"/>
        </w:rPr>
        <w:br w:type="page"/>
      </w:r>
    </w:p>
    <w:p w14:paraId="3A758E0D">
      <w:pPr>
        <w:pStyle w:val="21"/>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YH标段（银行类）详细评审因素</w:t>
      </w:r>
    </w:p>
    <w:tbl>
      <w:tblPr>
        <w:tblStyle w:val="13"/>
        <w:tblW w:w="8999" w:type="dxa"/>
        <w:tblInd w:w="93" w:type="dxa"/>
        <w:tblLayout w:type="fixed"/>
        <w:tblCellMar>
          <w:top w:w="0" w:type="dxa"/>
          <w:left w:w="108" w:type="dxa"/>
          <w:bottom w:w="0" w:type="dxa"/>
          <w:right w:w="108" w:type="dxa"/>
        </w:tblCellMar>
      </w:tblPr>
      <w:tblGrid>
        <w:gridCol w:w="704"/>
        <w:gridCol w:w="675"/>
        <w:gridCol w:w="675"/>
        <w:gridCol w:w="585"/>
        <w:gridCol w:w="6360"/>
      </w:tblGrid>
      <w:tr w14:paraId="0BFBF34F">
        <w:tblPrEx>
          <w:tblCellMar>
            <w:top w:w="0" w:type="dxa"/>
            <w:left w:w="108" w:type="dxa"/>
            <w:bottom w:w="0" w:type="dxa"/>
            <w:right w:w="108" w:type="dxa"/>
          </w:tblCellMar>
        </w:tblPrEx>
        <w:trPr>
          <w:trHeight w:val="360" w:hRule="atLeast"/>
        </w:trPr>
        <w:tc>
          <w:tcPr>
            <w:tcW w:w="2639" w:type="dxa"/>
            <w:gridSpan w:val="4"/>
            <w:tcBorders>
              <w:top w:val="single" w:color="000000" w:sz="4" w:space="0"/>
              <w:left w:val="single" w:color="000000" w:sz="4" w:space="0"/>
              <w:bottom w:val="single" w:color="000000" w:sz="4" w:space="0"/>
              <w:right w:val="single" w:color="000000" w:sz="4" w:space="0"/>
            </w:tcBorders>
            <w:vAlign w:val="center"/>
          </w:tcPr>
          <w:p w14:paraId="13C1CE4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评审因素与权重分值</w:t>
            </w:r>
          </w:p>
        </w:tc>
        <w:tc>
          <w:tcPr>
            <w:tcW w:w="6360" w:type="dxa"/>
            <w:vMerge w:val="restart"/>
            <w:tcBorders>
              <w:top w:val="single" w:color="000000" w:sz="4" w:space="0"/>
              <w:left w:val="single" w:color="000000" w:sz="4" w:space="0"/>
              <w:bottom w:val="single" w:color="000000" w:sz="4" w:space="0"/>
              <w:right w:val="single" w:color="000000" w:sz="4" w:space="0"/>
            </w:tcBorders>
            <w:vAlign w:val="center"/>
          </w:tcPr>
          <w:p w14:paraId="2699970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评分标准</w:t>
            </w:r>
          </w:p>
        </w:tc>
      </w:tr>
      <w:tr w14:paraId="332F2705">
        <w:tblPrEx>
          <w:tblCellMar>
            <w:top w:w="0" w:type="dxa"/>
            <w:left w:w="108" w:type="dxa"/>
            <w:bottom w:w="0" w:type="dxa"/>
            <w:right w:w="108" w:type="dxa"/>
          </w:tblCellMar>
        </w:tblPrEx>
        <w:trPr>
          <w:trHeight w:val="1301" w:hRule="atLeast"/>
        </w:trPr>
        <w:tc>
          <w:tcPr>
            <w:tcW w:w="704" w:type="dxa"/>
            <w:vMerge w:val="restart"/>
            <w:tcBorders>
              <w:top w:val="single" w:color="000000" w:sz="4" w:space="0"/>
              <w:left w:val="single" w:color="000000" w:sz="4" w:space="0"/>
              <w:bottom w:val="single" w:color="auto" w:sz="4" w:space="0"/>
              <w:right w:val="single" w:color="000000" w:sz="4" w:space="0"/>
            </w:tcBorders>
            <w:vAlign w:val="center"/>
          </w:tcPr>
          <w:p w14:paraId="0229393E">
            <w:pPr>
              <w:widowControl/>
              <w:spacing w:line="240" w:lineRule="atLeast"/>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评分</w:t>
            </w:r>
          </w:p>
          <w:p w14:paraId="528BB58D">
            <w:pPr>
              <w:widowControl/>
              <w:spacing w:line="240" w:lineRule="atLeast"/>
              <w:jc w:val="center"/>
              <w:textAlignment w:val="center"/>
              <w:rPr>
                <w:rFonts w:hint="eastAsia" w:ascii="宋体" w:hAnsi="宋体" w:eastAsia="宋体" w:cs="宋体"/>
                <w:b/>
                <w:bCs/>
                <w:color w:val="auto"/>
                <w:sz w:val="20"/>
                <w:szCs w:val="20"/>
                <w:highlight w:val="none"/>
                <w:lang w:eastAsia="zh-CN"/>
              </w:rPr>
            </w:pPr>
            <w:r>
              <w:rPr>
                <w:rFonts w:hint="eastAsia" w:ascii="宋体" w:hAnsi="宋体" w:cs="宋体"/>
                <w:b/>
                <w:bCs/>
                <w:color w:val="auto"/>
                <w:kern w:val="0"/>
                <w:sz w:val="20"/>
                <w:szCs w:val="20"/>
                <w:highlight w:val="none"/>
                <w:lang w:bidi="ar"/>
              </w:rPr>
              <w:t>因素</w:t>
            </w:r>
          </w:p>
        </w:tc>
        <w:tc>
          <w:tcPr>
            <w:tcW w:w="675" w:type="dxa"/>
            <w:vMerge w:val="restart"/>
            <w:tcBorders>
              <w:top w:val="single" w:color="000000" w:sz="4" w:space="0"/>
              <w:left w:val="single" w:color="000000" w:sz="4" w:space="0"/>
              <w:bottom w:val="single" w:color="auto" w:sz="4" w:space="0"/>
              <w:right w:val="single" w:color="000000" w:sz="4" w:space="0"/>
            </w:tcBorders>
            <w:vAlign w:val="center"/>
          </w:tcPr>
          <w:p w14:paraId="6757D62A">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评分因素权重分值</w:t>
            </w:r>
          </w:p>
        </w:tc>
        <w:tc>
          <w:tcPr>
            <w:tcW w:w="675" w:type="dxa"/>
            <w:vMerge w:val="restart"/>
            <w:tcBorders>
              <w:top w:val="single" w:color="000000" w:sz="4" w:space="0"/>
              <w:left w:val="single" w:color="000000" w:sz="4" w:space="0"/>
              <w:bottom w:val="single" w:color="auto" w:sz="4" w:space="0"/>
              <w:right w:val="single" w:color="000000" w:sz="4" w:space="0"/>
            </w:tcBorders>
            <w:vAlign w:val="center"/>
          </w:tcPr>
          <w:p w14:paraId="09DBF218">
            <w:pPr>
              <w:widowControl/>
              <w:spacing w:line="240" w:lineRule="atLeast"/>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各评分因素</w:t>
            </w:r>
          </w:p>
          <w:p w14:paraId="52B3070B">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细分项</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19614A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39B409C5">
            <w:pPr>
              <w:jc w:val="center"/>
              <w:rPr>
                <w:rFonts w:ascii="宋体" w:hAnsi="宋体" w:cs="宋体"/>
                <w:b/>
                <w:bCs/>
                <w:color w:val="auto"/>
                <w:szCs w:val="21"/>
                <w:highlight w:val="none"/>
              </w:rPr>
            </w:pPr>
          </w:p>
        </w:tc>
      </w:tr>
      <w:tr w14:paraId="748A53D5">
        <w:tblPrEx>
          <w:tblCellMar>
            <w:top w:w="0" w:type="dxa"/>
            <w:left w:w="108" w:type="dxa"/>
            <w:bottom w:w="0" w:type="dxa"/>
            <w:right w:w="108" w:type="dxa"/>
          </w:tblCellMar>
        </w:tblPrEx>
        <w:trPr>
          <w:trHeight w:val="4594"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281614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商务部分</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18FF5D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30分</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332D02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全国范围内承销交易商协会产品金额和只数</w:t>
            </w:r>
          </w:p>
        </w:tc>
        <w:tc>
          <w:tcPr>
            <w:tcW w:w="585" w:type="dxa"/>
            <w:vMerge w:val="restart"/>
            <w:tcBorders>
              <w:top w:val="single" w:color="000000" w:sz="4" w:space="0"/>
              <w:left w:val="single" w:color="auto" w:sz="4" w:space="0"/>
              <w:bottom w:val="single" w:color="000000" w:sz="4" w:space="0"/>
              <w:right w:val="single" w:color="000000" w:sz="4" w:space="0"/>
            </w:tcBorders>
            <w:vAlign w:val="center"/>
          </w:tcPr>
          <w:p w14:paraId="2621E297">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1C64AAA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w:t>
            </w:r>
            <w:r>
              <w:rPr>
                <w:rFonts w:hint="eastAsia" w:ascii="宋体" w:hAnsi="宋体" w:cs="宋体"/>
                <w:i w:val="0"/>
                <w:iCs w:val="0"/>
                <w:color w:val="auto"/>
                <w:kern w:val="0"/>
                <w:sz w:val="21"/>
                <w:szCs w:val="21"/>
                <w:highlight w:val="none"/>
                <w:u w:val="none"/>
                <w:lang w:val="en-US" w:eastAsia="zh-CN" w:bidi="ar"/>
              </w:rPr>
              <w:t>银行间市场全产品（NAFMII口径，包括中期票据、短期融资券、超短期融资券、资产支持票据和定向工具（上述含永续品种））</w:t>
            </w:r>
            <w:r>
              <w:rPr>
                <w:rFonts w:hint="eastAsia" w:ascii="宋体" w:hAnsi="宋体" w:eastAsia="宋体" w:cs="宋体"/>
                <w:i w:val="0"/>
                <w:iCs w:val="0"/>
                <w:color w:val="auto"/>
                <w:kern w:val="0"/>
                <w:sz w:val="21"/>
                <w:szCs w:val="21"/>
                <w:highlight w:val="none"/>
                <w:u w:val="none"/>
                <w:lang w:val="en-US" w:eastAsia="zh-CN" w:bidi="ar"/>
              </w:rPr>
              <w:t>承销累计金额：</w:t>
            </w:r>
          </w:p>
          <w:p w14:paraId="1D9CE2C5">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按照承销总金额评分，</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分，承销金额＜</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00亿元得0分。</w:t>
            </w:r>
          </w:p>
          <w:p w14:paraId="0A8B97A0">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7E18B8D8">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ascii="宋体" w:hAnsi="宋体" w:eastAsia="宋体" w:cs="宋体"/>
                <w:i w:val="0"/>
                <w:iCs w:val="0"/>
                <w:color w:val="auto"/>
                <w:kern w:val="0"/>
                <w:sz w:val="21"/>
                <w:szCs w:val="21"/>
                <w:highlight w:val="none"/>
                <w:u w:val="none"/>
                <w:lang w:val="en-US" w:eastAsia="zh-CN" w:bidi="ar"/>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ascii="宋体" w:hAnsi="宋体" w:eastAsia="宋体" w:cs="宋体"/>
                <w:i w:val="0"/>
                <w:iCs w:val="0"/>
                <w:color w:val="auto"/>
                <w:kern w:val="0"/>
                <w:sz w:val="21"/>
                <w:szCs w:val="21"/>
                <w:highlight w:val="none"/>
                <w:u w:val="none"/>
                <w:lang w:val="en-US" w:eastAsia="zh-CN" w:bidi="ar"/>
              </w:rPr>
              <w:t>）；机构类型【</w:t>
            </w:r>
            <w:r>
              <w:rPr>
                <w:rFonts w:hint="eastAsia" w:ascii="宋体" w:hAnsi="宋体" w:cs="宋体"/>
                <w:i w:val="0"/>
                <w:iCs w:val="0"/>
                <w:color w:val="auto"/>
                <w:kern w:val="0"/>
                <w:sz w:val="21"/>
                <w:szCs w:val="21"/>
                <w:highlight w:val="none"/>
                <w:u w:val="none"/>
                <w:lang w:val="en-US" w:eastAsia="zh-CN" w:bidi="ar"/>
              </w:rPr>
              <w:t>银行</w:t>
            </w:r>
            <w:r>
              <w:rPr>
                <w:rFonts w:hint="eastAsia" w:ascii="宋体" w:hAnsi="宋体" w:eastAsia="宋体" w:cs="宋体"/>
                <w:i w:val="0"/>
                <w:iCs w:val="0"/>
                <w:color w:val="auto"/>
                <w:kern w:val="0"/>
                <w:sz w:val="21"/>
                <w:szCs w:val="21"/>
                <w:highlight w:val="none"/>
                <w:u w:val="none"/>
                <w:lang w:val="en-US" w:eastAsia="zh-CN" w:bidi="ar"/>
              </w:rPr>
              <w:t>】；债券分类（wind）（旧）：中期票据、定向工具、交易商协会ABN、短期融资券（一般短期融资券、超短期融资券）、项目收益票据；企业性质：全部；主体评级：全部；地域分类：全国；合并母子公司进行查询</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7F66BC22">
        <w:tblPrEx>
          <w:tblCellMar>
            <w:top w:w="0" w:type="dxa"/>
            <w:left w:w="108" w:type="dxa"/>
            <w:bottom w:w="0" w:type="dxa"/>
            <w:right w:w="108" w:type="dxa"/>
          </w:tblCellMar>
        </w:tblPrEx>
        <w:trPr>
          <w:trHeight w:val="4398"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14:paraId="440B555B">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6A3D0EE9">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auto" w:sz="4" w:space="0"/>
            </w:tcBorders>
            <w:vAlign w:val="center"/>
          </w:tcPr>
          <w:p w14:paraId="495D4F1A">
            <w:pPr>
              <w:jc w:val="center"/>
              <w:rPr>
                <w:rFonts w:ascii="宋体" w:hAnsi="宋体" w:cs="宋体"/>
                <w:color w:val="auto"/>
                <w:szCs w:val="21"/>
                <w:highlight w:val="none"/>
              </w:rPr>
            </w:pPr>
          </w:p>
        </w:tc>
        <w:tc>
          <w:tcPr>
            <w:tcW w:w="585" w:type="dxa"/>
            <w:vMerge w:val="restart"/>
            <w:tcBorders>
              <w:top w:val="single" w:color="000000" w:sz="4" w:space="0"/>
              <w:left w:val="single" w:color="auto" w:sz="4" w:space="0"/>
              <w:bottom w:val="single" w:color="000000" w:sz="4" w:space="0"/>
              <w:right w:val="single" w:color="000000" w:sz="4" w:space="0"/>
            </w:tcBorders>
            <w:vAlign w:val="center"/>
          </w:tcPr>
          <w:p w14:paraId="6E95799B">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152D3F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w:t>
            </w:r>
            <w:r>
              <w:rPr>
                <w:rFonts w:hint="eastAsia" w:ascii="宋体" w:hAnsi="宋体" w:cs="宋体"/>
                <w:i w:val="0"/>
                <w:iCs w:val="0"/>
                <w:color w:val="auto"/>
                <w:kern w:val="0"/>
                <w:sz w:val="21"/>
                <w:szCs w:val="21"/>
                <w:highlight w:val="none"/>
                <w:u w:val="none"/>
                <w:lang w:val="en-US" w:eastAsia="zh-CN" w:bidi="ar"/>
              </w:rPr>
              <w:t>银行间市场全产品（NAFMII口径，包括中期票据、短期融资券、超短期融资券、资产支持票据和定向工具（上述含永续品种））</w:t>
            </w:r>
            <w:r>
              <w:rPr>
                <w:rFonts w:hint="eastAsia" w:ascii="宋体" w:hAnsi="宋体" w:eastAsia="宋体" w:cs="宋体"/>
                <w:i w:val="0"/>
                <w:iCs w:val="0"/>
                <w:color w:val="auto"/>
                <w:kern w:val="0"/>
                <w:sz w:val="21"/>
                <w:szCs w:val="21"/>
                <w:highlight w:val="none"/>
                <w:u w:val="none"/>
                <w:lang w:val="en-US" w:eastAsia="zh-CN" w:bidi="ar"/>
              </w:rPr>
              <w:t>承销累计只数：</w:t>
            </w:r>
          </w:p>
          <w:p w14:paraId="2F6B4E67">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w:t>
            </w:r>
            <w:r>
              <w:rPr>
                <w:rFonts w:hint="eastAsia" w:ascii="宋体" w:hAnsi="宋体" w:eastAsia="宋体" w:cs="宋体"/>
                <w:i w:val="0"/>
                <w:iCs w:val="0"/>
                <w:color w:val="auto"/>
                <w:kern w:val="0"/>
                <w:sz w:val="21"/>
                <w:szCs w:val="21"/>
                <w:highlight w:val="none"/>
                <w:u w:val="none"/>
                <w:lang w:val="en-US" w:eastAsia="zh-CN" w:bidi="ar"/>
              </w:rPr>
              <w:t>只数</w:t>
            </w:r>
            <w:r>
              <w:rPr>
                <w:rFonts w:hint="eastAsia" w:ascii="宋体" w:hAnsi="宋体" w:cs="宋体"/>
                <w:i w:val="0"/>
                <w:iCs w:val="0"/>
                <w:color w:val="auto"/>
                <w:kern w:val="0"/>
                <w:sz w:val="21"/>
                <w:szCs w:val="21"/>
                <w:highlight w:val="none"/>
                <w:u w:val="none"/>
                <w:lang w:val="en-US" w:eastAsia="zh-CN" w:bidi="ar"/>
              </w:rPr>
              <w:t>评分</w:t>
            </w:r>
            <w:r>
              <w:rPr>
                <w:rFonts w:hint="eastAsia" w:ascii="宋体" w:hAnsi="宋体" w:eastAsia="宋体" w:cs="宋体"/>
                <w:i w:val="0"/>
                <w:iCs w:val="0"/>
                <w:color w:val="auto"/>
                <w:kern w:val="0"/>
                <w:sz w:val="21"/>
                <w:szCs w:val="21"/>
                <w:highlight w:val="none"/>
                <w:u w:val="none"/>
                <w:lang w:val="en-US" w:eastAsia="zh-CN" w:bidi="ar"/>
              </w:rPr>
              <w:t>：承销只数≥200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分，10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0只≤承销只数＜20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只≤承销只数＜10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分，承销只数＜</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0只得0分。</w:t>
            </w:r>
          </w:p>
          <w:p w14:paraId="397B4363">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35291969">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ascii="宋体" w:hAnsi="宋体" w:eastAsia="宋体" w:cs="宋体"/>
                <w:i w:val="0"/>
                <w:iCs w:val="0"/>
                <w:color w:val="auto"/>
                <w:kern w:val="0"/>
                <w:sz w:val="21"/>
                <w:szCs w:val="21"/>
                <w:highlight w:val="none"/>
                <w:u w:val="none"/>
                <w:lang w:val="en-US" w:eastAsia="zh-CN" w:bidi="ar"/>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ascii="宋体" w:hAnsi="宋体" w:eastAsia="宋体" w:cs="宋体"/>
                <w:i w:val="0"/>
                <w:iCs w:val="0"/>
                <w:color w:val="auto"/>
                <w:kern w:val="0"/>
                <w:sz w:val="21"/>
                <w:szCs w:val="21"/>
                <w:highlight w:val="none"/>
                <w:u w:val="none"/>
                <w:lang w:val="en-US" w:eastAsia="zh-CN" w:bidi="ar"/>
              </w:rPr>
              <w:t>）；机构类型【</w:t>
            </w:r>
            <w:r>
              <w:rPr>
                <w:rFonts w:hint="eastAsia" w:ascii="宋体" w:hAnsi="宋体" w:cs="宋体"/>
                <w:i w:val="0"/>
                <w:iCs w:val="0"/>
                <w:color w:val="auto"/>
                <w:kern w:val="0"/>
                <w:sz w:val="21"/>
                <w:szCs w:val="21"/>
                <w:highlight w:val="none"/>
                <w:u w:val="none"/>
                <w:lang w:val="en-US" w:eastAsia="zh-CN" w:bidi="ar"/>
              </w:rPr>
              <w:t>银行</w:t>
            </w:r>
            <w:r>
              <w:rPr>
                <w:rFonts w:hint="eastAsia" w:ascii="宋体" w:hAnsi="宋体" w:eastAsia="宋体" w:cs="宋体"/>
                <w:i w:val="0"/>
                <w:iCs w:val="0"/>
                <w:color w:val="auto"/>
                <w:kern w:val="0"/>
                <w:sz w:val="21"/>
                <w:szCs w:val="21"/>
                <w:highlight w:val="none"/>
                <w:u w:val="none"/>
                <w:lang w:val="en-US" w:eastAsia="zh-CN" w:bidi="ar"/>
              </w:rPr>
              <w:t>】；债券分类（wind）（旧）：中期票据、定向工具、交易商协会ABN、短期融资券（一般短期融资券、超短期融资券）、项目收益票据；企业性质：全部；主体评级：全部；地域分类：全国；合并母子公司进行查询</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34913068">
        <w:tblPrEx>
          <w:tblCellMar>
            <w:top w:w="0" w:type="dxa"/>
            <w:left w:w="108" w:type="dxa"/>
            <w:bottom w:w="0" w:type="dxa"/>
            <w:right w:w="108" w:type="dxa"/>
          </w:tblCellMar>
        </w:tblPrEx>
        <w:trPr>
          <w:trHeight w:val="2526"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14:paraId="60A0C318">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5D5AA30E">
            <w:pPr>
              <w:jc w:val="center"/>
              <w:rPr>
                <w:rFonts w:ascii="宋体" w:hAnsi="宋体" w:cs="宋体"/>
                <w:color w:val="auto"/>
                <w:szCs w:val="21"/>
                <w:highlight w:val="none"/>
              </w:rPr>
            </w:pPr>
          </w:p>
        </w:tc>
        <w:tc>
          <w:tcPr>
            <w:tcW w:w="675" w:type="dxa"/>
            <w:vMerge w:val="restart"/>
            <w:tcBorders>
              <w:top w:val="single" w:color="auto" w:sz="4" w:space="0"/>
              <w:left w:val="single" w:color="000000" w:sz="4" w:space="0"/>
              <w:bottom w:val="single" w:color="auto" w:sz="4" w:space="0"/>
              <w:right w:val="single" w:color="000000" w:sz="4" w:space="0"/>
            </w:tcBorders>
            <w:vAlign w:val="center"/>
          </w:tcPr>
          <w:p w14:paraId="4A24E45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全国范围内</w:t>
            </w:r>
            <w:r>
              <w:rPr>
                <w:rFonts w:hint="eastAsia" w:ascii="宋体" w:hAnsi="宋体" w:cs="宋体"/>
                <w:color w:val="auto"/>
                <w:kern w:val="0"/>
                <w:szCs w:val="21"/>
                <w:highlight w:val="none"/>
                <w:lang w:bidi="ar"/>
              </w:rPr>
              <w:t>承销</w:t>
            </w:r>
            <w:r>
              <w:rPr>
                <w:rFonts w:hint="eastAsia" w:ascii="宋体" w:hAnsi="宋体" w:cs="宋体"/>
                <w:color w:val="auto"/>
                <w:kern w:val="0"/>
                <w:szCs w:val="21"/>
                <w:highlight w:val="none"/>
                <w:lang w:val="en-US" w:eastAsia="zh-CN" w:bidi="ar"/>
              </w:rPr>
              <w:t>中期票据和超短期融资券</w:t>
            </w:r>
            <w:r>
              <w:rPr>
                <w:rFonts w:hint="eastAsia" w:ascii="宋体" w:hAnsi="宋体" w:cs="宋体"/>
                <w:color w:val="auto"/>
                <w:kern w:val="0"/>
                <w:szCs w:val="21"/>
                <w:highlight w:val="none"/>
                <w:lang w:bidi="ar"/>
              </w:rPr>
              <w:t>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AD5B4F8">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05A8D8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全国范围内承销中期票据和超短期融资券金额：</w:t>
            </w:r>
          </w:p>
          <w:p w14:paraId="40796996">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按照承销总金额评分，</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10000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5000</w:t>
            </w:r>
            <w:r>
              <w:rPr>
                <w:rFonts w:hint="eastAsia" w:ascii="宋体" w:hAnsi="宋体" w:eastAsia="宋体" w:cs="宋体"/>
                <w:i w:val="0"/>
                <w:iCs w:val="0"/>
                <w:color w:val="auto"/>
                <w:kern w:val="0"/>
                <w:sz w:val="21"/>
                <w:szCs w:val="21"/>
                <w:highlight w:val="none"/>
                <w:u w:val="none"/>
                <w:lang w:val="en-US" w:eastAsia="zh-CN" w:bidi="ar"/>
              </w:rPr>
              <w:t>亿元≤承销金额＜</w:t>
            </w:r>
            <w:r>
              <w:rPr>
                <w:rFonts w:hint="eastAsia" w:ascii="宋体" w:hAnsi="宋体" w:cs="宋体"/>
                <w:i w:val="0"/>
                <w:iCs w:val="0"/>
                <w:color w:val="auto"/>
                <w:kern w:val="0"/>
                <w:sz w:val="21"/>
                <w:szCs w:val="21"/>
                <w:highlight w:val="none"/>
                <w:u w:val="none"/>
                <w:lang w:val="en-US" w:eastAsia="zh-CN" w:bidi="ar"/>
              </w:rPr>
              <w:t>10000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分，2</w:t>
            </w:r>
            <w:r>
              <w:rPr>
                <w:rFonts w:hint="eastAsia" w:ascii="宋体" w:hAnsi="宋体" w:cs="宋体"/>
                <w:i w:val="0"/>
                <w:iCs w:val="0"/>
                <w:color w:val="auto"/>
                <w:kern w:val="0"/>
                <w:sz w:val="21"/>
                <w:szCs w:val="21"/>
                <w:highlight w:val="none"/>
                <w:u w:val="none"/>
                <w:lang w:val="en-US" w:eastAsia="zh-CN" w:bidi="ar"/>
              </w:rPr>
              <w:t>00</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5000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分，承销金额＜</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亿元得0分。</w:t>
            </w:r>
          </w:p>
          <w:p w14:paraId="6C270372">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40AFC457">
            <w:pPr>
              <w:keepNext w:val="0"/>
              <w:keepLines w:val="0"/>
              <w:widowControl/>
              <w:suppressLineNumbers w:val="0"/>
              <w:jc w:val="left"/>
              <w:textAlignment w:val="center"/>
              <w:rPr>
                <w:rFonts w:ascii="宋体" w:hAnsi="宋体" w:cs="宋体"/>
                <w:color w:val="auto"/>
                <w:szCs w:val="21"/>
                <w:highlight w:val="none"/>
              </w:rPr>
            </w:pPr>
            <w:r>
              <w:rPr>
                <w:rFonts w:hint="eastAsia"/>
                <w:color w:val="auto"/>
                <w:highlight w:val="none"/>
                <w:lang w:val="en-US" w:eastAsia="zh-CN"/>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color w:val="auto"/>
                <w:highlight w:val="none"/>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color w:val="auto"/>
                <w:highlight w:val="none"/>
              </w:rPr>
              <w:t>）；机构类型【</w:t>
            </w:r>
            <w:r>
              <w:rPr>
                <w:rFonts w:hint="eastAsia"/>
                <w:color w:val="auto"/>
                <w:highlight w:val="none"/>
                <w:lang w:val="en-US" w:eastAsia="zh-CN"/>
              </w:rPr>
              <w:t>银行</w:t>
            </w:r>
            <w:r>
              <w:rPr>
                <w:rFonts w:hint="eastAsia"/>
                <w:color w:val="auto"/>
                <w:highlight w:val="none"/>
              </w:rPr>
              <w:t>】；债券分类（wind）（旧）：中期票据、</w:t>
            </w:r>
            <w:r>
              <w:rPr>
                <w:rFonts w:hint="eastAsia"/>
                <w:color w:val="auto"/>
                <w:highlight w:val="none"/>
                <w:lang w:val="en-US" w:eastAsia="zh-CN"/>
              </w:rPr>
              <w:t>超</w:t>
            </w:r>
            <w:r>
              <w:rPr>
                <w:rFonts w:hint="eastAsia"/>
                <w:color w:val="auto"/>
                <w:highlight w:val="none"/>
              </w:rPr>
              <w:t>短期融资券；企业性质：全部；主体评级：全部；地域分类：全国；合并母子公司进行查询</w:t>
            </w:r>
            <w:r>
              <w:rPr>
                <w:rFonts w:hint="eastAsia"/>
                <w:color w:val="auto"/>
                <w:highlight w:val="none"/>
                <w:lang w:eastAsia="zh-CN"/>
              </w:rPr>
              <w:t>；</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color w:val="auto"/>
                <w:highlight w:val="none"/>
              </w:rPr>
              <w:t xml:space="preserve"> </w:t>
            </w:r>
          </w:p>
        </w:tc>
      </w:tr>
      <w:tr w14:paraId="05CBC836">
        <w:tblPrEx>
          <w:tblCellMar>
            <w:top w:w="0" w:type="dxa"/>
            <w:left w:w="108" w:type="dxa"/>
            <w:bottom w:w="0" w:type="dxa"/>
            <w:right w:w="108" w:type="dxa"/>
          </w:tblCellMar>
        </w:tblPrEx>
        <w:trPr>
          <w:trHeight w:val="3600"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14:paraId="6D7CA897">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2AD51BC2">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5DA9D7CD">
            <w:pPr>
              <w:jc w:val="center"/>
              <w:rPr>
                <w:rFonts w:ascii="宋体" w:hAnsi="宋体" w:cs="宋体"/>
                <w:color w:val="auto"/>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1658775">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7F97401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全国范围内承销中期票据和超短期融资券</w:t>
            </w:r>
            <w:r>
              <w:rPr>
                <w:rFonts w:hint="eastAsia" w:ascii="宋体" w:hAnsi="宋体" w:cs="宋体"/>
                <w:i w:val="0"/>
                <w:iCs w:val="0"/>
                <w:color w:val="auto"/>
                <w:kern w:val="0"/>
                <w:sz w:val="21"/>
                <w:szCs w:val="21"/>
                <w:highlight w:val="none"/>
                <w:u w:val="none"/>
                <w:lang w:val="en-US" w:eastAsia="zh-CN" w:bidi="ar"/>
              </w:rPr>
              <w:t>只数</w:t>
            </w:r>
            <w:r>
              <w:rPr>
                <w:rFonts w:hint="eastAsia" w:ascii="宋体" w:hAnsi="宋体" w:eastAsia="宋体" w:cs="宋体"/>
                <w:i w:val="0"/>
                <w:iCs w:val="0"/>
                <w:color w:val="auto"/>
                <w:kern w:val="0"/>
                <w:sz w:val="21"/>
                <w:szCs w:val="21"/>
                <w:highlight w:val="none"/>
                <w:u w:val="none"/>
                <w:lang w:val="en-US" w:eastAsia="zh-CN" w:bidi="ar"/>
              </w:rPr>
              <w:t>：</w:t>
            </w:r>
          </w:p>
          <w:p w14:paraId="4C5BF442">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w:t>
            </w:r>
            <w:r>
              <w:rPr>
                <w:rFonts w:hint="eastAsia" w:ascii="宋体" w:hAnsi="宋体" w:eastAsia="宋体" w:cs="宋体"/>
                <w:i w:val="0"/>
                <w:iCs w:val="0"/>
                <w:color w:val="auto"/>
                <w:kern w:val="0"/>
                <w:sz w:val="21"/>
                <w:szCs w:val="21"/>
                <w:highlight w:val="none"/>
                <w:u w:val="none"/>
                <w:lang w:val="en-US" w:eastAsia="zh-CN" w:bidi="ar"/>
              </w:rPr>
              <w:t>只数</w:t>
            </w:r>
            <w:r>
              <w:rPr>
                <w:rFonts w:hint="eastAsia" w:ascii="宋体" w:hAnsi="宋体" w:cs="宋体"/>
                <w:i w:val="0"/>
                <w:iCs w:val="0"/>
                <w:color w:val="auto"/>
                <w:kern w:val="0"/>
                <w:sz w:val="21"/>
                <w:szCs w:val="21"/>
                <w:highlight w:val="none"/>
                <w:u w:val="none"/>
                <w:lang w:val="en-US" w:eastAsia="zh-CN" w:bidi="ar"/>
              </w:rPr>
              <w:t>评分，</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分，10</w:t>
            </w:r>
            <w:r>
              <w:rPr>
                <w:rFonts w:hint="eastAsia" w:ascii="宋体" w:hAnsi="宋体" w:cs="宋体"/>
                <w:i w:val="0"/>
                <w:iCs w:val="0"/>
                <w:color w:val="auto"/>
                <w:kern w:val="0"/>
                <w:sz w:val="21"/>
                <w:szCs w:val="21"/>
                <w:highlight w:val="none"/>
                <w:u w:val="none"/>
                <w:lang w:val="en-US" w:eastAsia="zh-CN" w:bidi="ar"/>
              </w:rPr>
              <w:t>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只≤承销只数＜10</w:t>
            </w:r>
            <w:r>
              <w:rPr>
                <w:rFonts w:hint="eastAsia" w:ascii="宋体" w:hAnsi="宋体" w:cs="宋体"/>
                <w:i w:val="0"/>
                <w:iCs w:val="0"/>
                <w:color w:val="auto"/>
                <w:kern w:val="0"/>
                <w:sz w:val="21"/>
                <w:szCs w:val="21"/>
                <w:highlight w:val="none"/>
                <w:u w:val="none"/>
                <w:lang w:val="en-US" w:eastAsia="zh-CN" w:bidi="ar"/>
              </w:rPr>
              <w:t>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分，承销只数＜</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只得0分。</w:t>
            </w:r>
          </w:p>
          <w:p w14:paraId="51079237">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6978AAB2">
            <w:pPr>
              <w:keepNext w:val="0"/>
              <w:keepLines w:val="0"/>
              <w:widowControl/>
              <w:suppressLineNumbers w:val="0"/>
              <w:jc w:val="left"/>
              <w:textAlignment w:val="center"/>
              <w:rPr>
                <w:rFonts w:ascii="宋体" w:hAnsi="宋体" w:cs="宋体"/>
                <w:color w:val="auto"/>
                <w:szCs w:val="21"/>
                <w:highlight w:val="none"/>
              </w:rPr>
            </w:pPr>
            <w:r>
              <w:rPr>
                <w:rFonts w:hint="eastAsia"/>
                <w:color w:val="auto"/>
                <w:highlight w:val="none"/>
                <w:lang w:val="en-US" w:eastAsia="zh-CN"/>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color w:val="auto"/>
                <w:highlight w:val="none"/>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color w:val="auto"/>
                <w:highlight w:val="none"/>
              </w:rPr>
              <w:t>）；机构类型【</w:t>
            </w:r>
            <w:r>
              <w:rPr>
                <w:rFonts w:hint="eastAsia"/>
                <w:color w:val="auto"/>
                <w:highlight w:val="none"/>
                <w:lang w:val="en-US" w:eastAsia="zh-CN"/>
              </w:rPr>
              <w:t>银行</w:t>
            </w:r>
            <w:r>
              <w:rPr>
                <w:rFonts w:hint="eastAsia"/>
                <w:color w:val="auto"/>
                <w:highlight w:val="none"/>
              </w:rPr>
              <w:t>】；债券分类（wind）（旧）：中期票据、</w:t>
            </w:r>
            <w:r>
              <w:rPr>
                <w:rFonts w:hint="eastAsia"/>
                <w:color w:val="auto"/>
                <w:highlight w:val="none"/>
                <w:lang w:val="en-US" w:eastAsia="zh-CN"/>
              </w:rPr>
              <w:t>超</w:t>
            </w:r>
            <w:r>
              <w:rPr>
                <w:rFonts w:hint="eastAsia"/>
                <w:color w:val="auto"/>
                <w:highlight w:val="none"/>
              </w:rPr>
              <w:t>短期融资券；企业性质：全部；主体评级：全部；地域分类：全国；合并母子公司进行查询</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color w:val="auto"/>
                <w:highlight w:val="none"/>
              </w:rPr>
              <w:t xml:space="preserve"> </w:t>
            </w:r>
          </w:p>
        </w:tc>
      </w:tr>
      <w:tr w14:paraId="3A2744D5">
        <w:tblPrEx>
          <w:tblCellMar>
            <w:top w:w="0" w:type="dxa"/>
            <w:left w:w="108" w:type="dxa"/>
            <w:bottom w:w="0" w:type="dxa"/>
            <w:right w:w="108" w:type="dxa"/>
          </w:tblCellMar>
        </w:tblPrEx>
        <w:trPr>
          <w:trHeight w:val="2496"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14:paraId="0D1137C5">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6AC47C27">
            <w:pPr>
              <w:jc w:val="center"/>
              <w:rPr>
                <w:rFonts w:ascii="宋体" w:hAnsi="宋体" w:cs="宋体"/>
                <w:color w:val="auto"/>
                <w:szCs w:val="21"/>
                <w:highlight w:val="none"/>
              </w:rPr>
            </w:pPr>
          </w:p>
        </w:tc>
        <w:tc>
          <w:tcPr>
            <w:tcW w:w="675" w:type="dxa"/>
            <w:vMerge w:val="restart"/>
            <w:tcBorders>
              <w:top w:val="single" w:color="auto" w:sz="4" w:space="0"/>
              <w:left w:val="single" w:color="000000" w:sz="4" w:space="0"/>
              <w:bottom w:val="single" w:color="auto" w:sz="4" w:space="0"/>
              <w:right w:val="single" w:color="000000" w:sz="4" w:space="0"/>
            </w:tcBorders>
            <w:vAlign w:val="center"/>
          </w:tcPr>
          <w:p w14:paraId="241A6F7A">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取消发行的债券数量</w:t>
            </w:r>
          </w:p>
        </w:tc>
        <w:tc>
          <w:tcPr>
            <w:tcW w:w="585" w:type="dxa"/>
            <w:vMerge w:val="restart"/>
            <w:tcBorders>
              <w:top w:val="single" w:color="000000" w:sz="4" w:space="0"/>
              <w:left w:val="single" w:color="000000" w:sz="4" w:space="0"/>
              <w:right w:val="single" w:color="000000" w:sz="4" w:space="0"/>
            </w:tcBorders>
            <w:vAlign w:val="center"/>
          </w:tcPr>
          <w:p w14:paraId="160F6D8A">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vAlign w:val="center"/>
          </w:tcPr>
          <w:p w14:paraId="604E3E7C">
            <w:pPr>
              <w:widowControl/>
              <w:shd w:val="clear"/>
              <w:jc w:val="left"/>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2024年1月1日-2025年12月31日，投标人作为主承销商发行债券取消发行债券情况，取消</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含</w:t>
            </w:r>
            <w:r>
              <w:rPr>
                <w:rFonts w:hint="eastAsia" w:ascii="宋体" w:hAnsi="宋体" w:cs="宋体"/>
                <w:color w:val="auto"/>
                <w:kern w:val="0"/>
                <w:szCs w:val="21"/>
                <w:highlight w:val="none"/>
                <w:lang w:eastAsia="zh-CN" w:bidi="ar"/>
              </w:rPr>
              <w:t>）只</w:t>
            </w:r>
            <w:r>
              <w:rPr>
                <w:rFonts w:hint="eastAsia" w:ascii="宋体" w:hAnsi="宋体" w:cs="宋体"/>
                <w:color w:val="auto"/>
                <w:kern w:val="0"/>
                <w:szCs w:val="21"/>
                <w:highlight w:val="none"/>
                <w:lang w:val="en-US" w:eastAsia="zh-CN" w:bidi="ar"/>
              </w:rPr>
              <w:t>以内</w:t>
            </w:r>
            <w:r>
              <w:rPr>
                <w:rFonts w:hint="eastAsia" w:ascii="宋体" w:hAnsi="宋体" w:cs="宋体"/>
                <w:color w:val="auto"/>
                <w:kern w:val="0"/>
                <w:szCs w:val="21"/>
                <w:highlight w:val="none"/>
                <w:lang w:eastAsia="zh-CN" w:bidi="ar"/>
              </w:rPr>
              <w:t>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eastAsia="zh-CN" w:bidi="ar"/>
              </w:rPr>
              <w:t>分，取消</w:t>
            </w:r>
            <w:r>
              <w:rPr>
                <w:rFonts w:hint="eastAsia" w:ascii="宋体" w:hAnsi="宋体" w:cs="宋体"/>
                <w:color w:val="auto"/>
                <w:kern w:val="0"/>
                <w:szCs w:val="21"/>
                <w:highlight w:val="none"/>
                <w:lang w:val="en-US" w:eastAsia="zh-CN" w:bidi="ar"/>
              </w:rPr>
              <w:t>20（不含）</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eastAsia="zh-CN" w:bidi="ar"/>
              </w:rPr>
              <w:t>0（</w:t>
            </w:r>
            <w:r>
              <w:rPr>
                <w:rFonts w:hint="eastAsia" w:ascii="宋体" w:hAnsi="宋体" w:cs="宋体"/>
                <w:color w:val="auto"/>
                <w:kern w:val="0"/>
                <w:szCs w:val="21"/>
                <w:highlight w:val="none"/>
                <w:lang w:val="en-US" w:eastAsia="zh-CN" w:bidi="ar"/>
              </w:rPr>
              <w:t>含</w:t>
            </w:r>
            <w:r>
              <w:rPr>
                <w:rFonts w:hint="eastAsia" w:ascii="宋体" w:hAnsi="宋体" w:cs="宋体"/>
                <w:color w:val="auto"/>
                <w:kern w:val="0"/>
                <w:szCs w:val="21"/>
                <w:highlight w:val="none"/>
                <w:lang w:eastAsia="zh-CN" w:bidi="ar"/>
              </w:rPr>
              <w:t>）只得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eastAsia="zh-CN" w:bidi="ar"/>
              </w:rPr>
              <w:t>分，取消</w:t>
            </w:r>
            <w:r>
              <w:rPr>
                <w:rFonts w:hint="eastAsia" w:ascii="宋体" w:hAnsi="宋体" w:cs="宋体"/>
                <w:color w:val="auto"/>
                <w:kern w:val="0"/>
                <w:szCs w:val="21"/>
                <w:highlight w:val="none"/>
                <w:lang w:val="en-US" w:eastAsia="zh-CN" w:bidi="ar"/>
              </w:rPr>
              <w:t>50（不含）</w:t>
            </w:r>
            <w:r>
              <w:rPr>
                <w:rFonts w:hint="eastAsia" w:ascii="宋体" w:hAnsi="宋体" w:cs="宋体"/>
                <w:color w:val="auto"/>
                <w:kern w:val="0"/>
                <w:szCs w:val="21"/>
                <w:highlight w:val="none"/>
                <w:lang w:eastAsia="zh-CN" w:bidi="ar"/>
              </w:rPr>
              <w:t>只以上得0分。</w:t>
            </w:r>
          </w:p>
          <w:p w14:paraId="23BDDAEC">
            <w:pPr>
              <w:pStyle w:val="22"/>
              <w:shd w:val="clear"/>
              <w:rPr>
                <w:color w:val="auto"/>
                <w:sz w:val="21"/>
                <w:szCs w:val="21"/>
                <w:highlight w:val="none"/>
                <w:lang w:bidi="ar"/>
              </w:rPr>
            </w:pPr>
            <w:r>
              <w:rPr>
                <w:rFonts w:hint="eastAsia"/>
                <w:color w:val="auto"/>
                <w:sz w:val="21"/>
                <w:szCs w:val="21"/>
                <w:highlight w:val="none"/>
                <w:lang w:bidi="ar"/>
              </w:rPr>
              <w:t>注：需附</w:t>
            </w:r>
            <w:r>
              <w:rPr>
                <w:rFonts w:hint="eastAsia"/>
                <w:color w:val="auto"/>
                <w:sz w:val="21"/>
                <w:szCs w:val="21"/>
                <w:highlight w:val="none"/>
                <w:lang w:eastAsia="zh-CN" w:bidi="ar"/>
              </w:rPr>
              <w:t>Wind资讯金融终端</w:t>
            </w:r>
            <w:r>
              <w:rPr>
                <w:rFonts w:hint="eastAsia"/>
                <w:color w:val="auto"/>
                <w:sz w:val="21"/>
                <w:szCs w:val="21"/>
                <w:highlight w:val="none"/>
                <w:lang w:bidi="ar"/>
              </w:rPr>
              <w:t>导出数据截图</w:t>
            </w:r>
          </w:p>
          <w:p w14:paraId="32712F6C">
            <w:pPr>
              <w:pStyle w:val="22"/>
              <w:shd w:val="clear"/>
              <w:rPr>
                <w:color w:val="auto"/>
                <w:sz w:val="21"/>
                <w:szCs w:val="21"/>
                <w:highlight w:val="none"/>
                <w:lang w:bidi="ar"/>
              </w:rPr>
            </w:pPr>
            <w:r>
              <w:rPr>
                <w:rFonts w:hint="eastAsia"/>
                <w:color w:val="auto"/>
                <w:sz w:val="21"/>
                <w:szCs w:val="21"/>
                <w:highlight w:val="none"/>
                <w:lang w:bidi="ar"/>
              </w:rPr>
              <w:t>数据请通过</w:t>
            </w:r>
            <w:r>
              <w:rPr>
                <w:rFonts w:hint="eastAsia"/>
                <w:color w:val="auto"/>
                <w:sz w:val="21"/>
                <w:szCs w:val="21"/>
                <w:highlight w:val="none"/>
                <w:lang w:eastAsia="zh-CN" w:bidi="ar"/>
              </w:rPr>
              <w:t>Wind资讯金融终端</w:t>
            </w:r>
            <w:r>
              <w:rPr>
                <w:rFonts w:hint="eastAsia"/>
                <w:color w:val="auto"/>
                <w:sz w:val="21"/>
                <w:szCs w:val="21"/>
                <w:highlight w:val="none"/>
                <w:lang w:bidi="ar"/>
              </w:rPr>
              <w:t>导出，导出路径如下：</w:t>
            </w:r>
          </w:p>
          <w:p w14:paraId="2707AFE6">
            <w:pPr>
              <w:widowControl/>
              <w:shd w:val="clear"/>
              <w:jc w:val="left"/>
              <w:textAlignment w:val="center"/>
              <w:rPr>
                <w:rFonts w:hint="eastAsia" w:ascii="宋体" w:hAnsi="宋体" w:cs="宋体"/>
                <w:color w:val="auto"/>
                <w:kern w:val="0"/>
                <w:szCs w:val="21"/>
                <w:highlight w:val="none"/>
                <w:lang w:bidi="ar"/>
              </w:rPr>
            </w:pPr>
            <w:r>
              <w:rPr>
                <w:rFonts w:hint="eastAsia"/>
                <w:color w:val="auto"/>
                <w:sz w:val="21"/>
                <w:szCs w:val="21"/>
                <w:highlight w:val="none"/>
                <w:lang w:bidi="ar"/>
              </w:rPr>
              <w:t>债券-专题统计-一级市场债券-推迟或取消发行债券-起始日期：</w:t>
            </w:r>
            <w:r>
              <w:rPr>
                <w:rFonts w:hint="eastAsia" w:ascii="宋体" w:hAnsi="宋体" w:cs="宋体"/>
                <w:color w:val="auto"/>
                <w:kern w:val="0"/>
                <w:szCs w:val="21"/>
                <w:highlight w:val="none"/>
                <w:lang w:eastAsia="zh-CN" w:bidi="ar"/>
              </w:rPr>
              <w:t>2024年1月1日</w:t>
            </w:r>
            <w:r>
              <w:rPr>
                <w:rFonts w:hint="eastAsia"/>
                <w:color w:val="auto"/>
                <w:sz w:val="21"/>
                <w:szCs w:val="21"/>
                <w:highlight w:val="none"/>
                <w:lang w:bidi="ar"/>
              </w:rPr>
              <w:t>；截止日期：</w:t>
            </w:r>
            <w:r>
              <w:rPr>
                <w:rFonts w:hint="eastAsia" w:ascii="宋体" w:hAnsi="宋体" w:cs="宋体"/>
                <w:color w:val="auto"/>
                <w:kern w:val="0"/>
                <w:szCs w:val="21"/>
                <w:highlight w:val="none"/>
                <w:lang w:eastAsia="zh-CN" w:bidi="ar"/>
              </w:rPr>
              <w:t>2025年12月31日</w:t>
            </w:r>
            <w:r>
              <w:rPr>
                <w:rFonts w:hint="eastAsia"/>
                <w:color w:val="auto"/>
                <w:sz w:val="21"/>
                <w:szCs w:val="21"/>
                <w:highlight w:val="none"/>
                <w:lang w:bidi="ar"/>
              </w:rPr>
              <w:t>-债券类型：债券分类（NAFMII）；上市地点：银行间；事件类型：取消发行</w:t>
            </w:r>
          </w:p>
        </w:tc>
      </w:tr>
      <w:tr w14:paraId="5698211E">
        <w:tblPrEx>
          <w:tblCellMar>
            <w:top w:w="0" w:type="dxa"/>
            <w:left w:w="108" w:type="dxa"/>
            <w:bottom w:w="0" w:type="dxa"/>
            <w:right w:w="108" w:type="dxa"/>
          </w:tblCellMar>
        </w:tblPrEx>
        <w:trPr>
          <w:trHeight w:val="1258"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14:paraId="53D9D5C5">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auto" w:sz="4" w:space="0"/>
            </w:tcBorders>
            <w:vAlign w:val="center"/>
          </w:tcPr>
          <w:p w14:paraId="7658B7CD">
            <w:pPr>
              <w:jc w:val="center"/>
              <w:rPr>
                <w:rFonts w:ascii="宋体" w:hAnsi="宋体" w:cs="宋体"/>
                <w:color w:val="auto"/>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3DA98C15">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项目团队配置</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14:paraId="325FC17D">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strike w:val="0"/>
                <w:dstrike w:val="0"/>
                <w:color w:val="auto"/>
                <w:szCs w:val="21"/>
                <w:highlight w:val="none"/>
                <w:lang w:val="en-US" w:eastAsia="zh-CN"/>
              </w:rPr>
              <w:t>3</w:t>
            </w:r>
          </w:p>
        </w:tc>
        <w:tc>
          <w:tcPr>
            <w:tcW w:w="63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11E6B3">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项目团队人员具备地方国有企业</w:t>
            </w:r>
            <w:r>
              <w:rPr>
                <w:rFonts w:hint="eastAsia" w:ascii="宋体" w:hAnsi="宋体" w:cs="宋体"/>
                <w:i w:val="0"/>
                <w:iCs w:val="0"/>
                <w:color w:val="auto"/>
                <w:kern w:val="0"/>
                <w:sz w:val="21"/>
                <w:szCs w:val="21"/>
                <w:highlight w:val="none"/>
                <w:u w:val="none"/>
                <w:lang w:val="en-US" w:eastAsia="zh-CN" w:bidi="ar"/>
              </w:rPr>
              <w:t>债务融资工具</w:t>
            </w:r>
            <w:r>
              <w:rPr>
                <w:rFonts w:hint="eastAsia" w:ascii="宋体" w:hAnsi="宋体" w:eastAsia="宋体" w:cs="宋体"/>
                <w:i w:val="0"/>
                <w:iCs w:val="0"/>
                <w:color w:val="auto"/>
                <w:kern w:val="0"/>
                <w:sz w:val="21"/>
                <w:szCs w:val="21"/>
                <w:highlight w:val="none"/>
                <w:u w:val="none"/>
                <w:lang w:val="en-US" w:eastAsia="zh-CN" w:bidi="ar"/>
              </w:rPr>
              <w:t>发行经验，有过Wind行业（二级）为“运输”债券发行（独主或牵头主）经验，根据项目团队人员配置、专业资格、项目经验、工作经历等客观因素进行综合评价，最高得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p w14:paraId="5AAD3A59">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注：需提供募集说明书签字页或主承销商联系人页面的复印件。</w:t>
            </w:r>
          </w:p>
          <w:p w14:paraId="3222C14F">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项目团队人员中每有一人持有注册会计师证或法律职业资格证书得</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分，最高得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p w14:paraId="00A29B8E">
            <w:pPr>
              <w:keepNext w:val="0"/>
              <w:keepLines w:val="0"/>
              <w:widowControl/>
              <w:suppressLineNumbers w:val="0"/>
              <w:shd w:val="clear"/>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注：附注册会计师证书复印件（如有）或法律职业资格证书复印件（如有）。一人同时具有2个证书的，只加</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分，不累计加分。</w:t>
            </w:r>
          </w:p>
        </w:tc>
      </w:tr>
      <w:tr w14:paraId="400902DE">
        <w:tblPrEx>
          <w:tblCellMar>
            <w:top w:w="0" w:type="dxa"/>
            <w:left w:w="108" w:type="dxa"/>
            <w:bottom w:w="0" w:type="dxa"/>
            <w:right w:w="108" w:type="dxa"/>
          </w:tblCellMar>
        </w:tblPrEx>
        <w:trPr>
          <w:trHeight w:val="704" w:hRule="atLeast"/>
        </w:trPr>
        <w:tc>
          <w:tcPr>
            <w:tcW w:w="704" w:type="dxa"/>
            <w:vMerge w:val="restart"/>
            <w:tcBorders>
              <w:top w:val="single" w:color="auto" w:sz="4" w:space="0"/>
              <w:left w:val="single" w:color="000000" w:sz="4" w:space="0"/>
              <w:bottom w:val="single" w:color="auto" w:sz="4" w:space="0"/>
              <w:right w:val="single" w:color="000000" w:sz="4" w:space="0"/>
            </w:tcBorders>
            <w:vAlign w:val="center"/>
          </w:tcPr>
          <w:p w14:paraId="570588BD">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服务方案部分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暗标</w:t>
            </w:r>
            <w:r>
              <w:rPr>
                <w:rFonts w:hint="eastAsia" w:ascii="宋体" w:hAnsi="宋体" w:cs="宋体"/>
                <w:color w:val="auto"/>
                <w:kern w:val="0"/>
                <w:szCs w:val="21"/>
                <w:highlight w:val="none"/>
                <w:lang w:eastAsia="zh-CN" w:bidi="ar"/>
              </w:rPr>
              <w:t>）</w:t>
            </w:r>
          </w:p>
        </w:tc>
        <w:tc>
          <w:tcPr>
            <w:tcW w:w="675" w:type="dxa"/>
            <w:vMerge w:val="restart"/>
            <w:tcBorders>
              <w:top w:val="single" w:color="auto" w:sz="4" w:space="0"/>
              <w:left w:val="single" w:color="000000" w:sz="4" w:space="0"/>
              <w:bottom w:val="single" w:color="auto" w:sz="4" w:space="0"/>
              <w:right w:val="single" w:color="000000" w:sz="4" w:space="0"/>
            </w:tcBorders>
            <w:vAlign w:val="center"/>
          </w:tcPr>
          <w:p w14:paraId="4898A6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40分</w:t>
            </w:r>
          </w:p>
        </w:tc>
        <w:tc>
          <w:tcPr>
            <w:tcW w:w="675" w:type="dxa"/>
            <w:vMerge w:val="restart"/>
            <w:tcBorders>
              <w:top w:val="single" w:color="auto" w:sz="4" w:space="0"/>
              <w:left w:val="single" w:color="000000" w:sz="4" w:space="0"/>
              <w:bottom w:val="single" w:color="auto" w:sz="4" w:space="0"/>
              <w:right w:val="single" w:color="000000" w:sz="4" w:space="0"/>
            </w:tcBorders>
            <w:vAlign w:val="center"/>
          </w:tcPr>
          <w:p w14:paraId="199D42DC">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方案</w:t>
            </w:r>
          </w:p>
        </w:tc>
        <w:tc>
          <w:tcPr>
            <w:tcW w:w="585" w:type="dxa"/>
            <w:vMerge w:val="restart"/>
            <w:tcBorders>
              <w:top w:val="single" w:color="auto" w:sz="4" w:space="0"/>
              <w:left w:val="single" w:color="000000" w:sz="4" w:space="0"/>
              <w:bottom w:val="single" w:color="auto" w:sz="4" w:space="0"/>
              <w:right w:val="single" w:color="000000" w:sz="4" w:space="0"/>
            </w:tcBorders>
            <w:vAlign w:val="center"/>
          </w:tcPr>
          <w:p w14:paraId="7FC7D87E">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0E3A9E81">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根据本项目特点和发行要求，制定项目方案，包括但不限于政策环境分析、可行性分析、时间安排、相关保障服务（包括不限于余额包销和自主投资能力等）等进行综合评价。</w:t>
            </w:r>
          </w:p>
        </w:tc>
      </w:tr>
      <w:tr w14:paraId="632AC636">
        <w:tblPrEx>
          <w:tblCellMar>
            <w:top w:w="0" w:type="dxa"/>
            <w:left w:w="108" w:type="dxa"/>
            <w:bottom w:w="0" w:type="dxa"/>
            <w:right w:w="108" w:type="dxa"/>
          </w:tblCellMar>
        </w:tblPrEx>
        <w:trPr>
          <w:trHeight w:val="360"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49C5D4D4">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20846508">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762481B9">
            <w:pPr>
              <w:shd w:val="clear"/>
              <w:jc w:val="center"/>
              <w:rPr>
                <w:rFonts w:ascii="宋体" w:hAnsi="宋体" w:cs="宋体"/>
                <w:color w:val="auto"/>
                <w:szCs w:val="21"/>
                <w:highlight w:val="none"/>
              </w:rPr>
            </w:pPr>
          </w:p>
        </w:tc>
        <w:tc>
          <w:tcPr>
            <w:tcW w:w="585" w:type="dxa"/>
            <w:vMerge w:val="continue"/>
            <w:tcBorders>
              <w:top w:val="single" w:color="auto" w:sz="4" w:space="0"/>
              <w:left w:val="single" w:color="000000" w:sz="4" w:space="0"/>
              <w:bottom w:val="single" w:color="auto" w:sz="4" w:space="0"/>
              <w:right w:val="single" w:color="000000" w:sz="4" w:space="0"/>
            </w:tcBorders>
            <w:vAlign w:val="center"/>
          </w:tcPr>
          <w:p w14:paraId="4DDE8EA5">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59AB4196">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第一档方案详细完整、针对性强，可行性高、保障措施完备的，得</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r>
      <w:tr w14:paraId="0572BEAC">
        <w:tblPrEx>
          <w:tblCellMar>
            <w:top w:w="0" w:type="dxa"/>
            <w:left w:w="108" w:type="dxa"/>
            <w:bottom w:w="0" w:type="dxa"/>
            <w:right w:w="108" w:type="dxa"/>
          </w:tblCellMar>
        </w:tblPrEx>
        <w:trPr>
          <w:trHeight w:val="360"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05A5CA33">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36758B79">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7241DFF3">
            <w:pPr>
              <w:shd w:val="clear"/>
              <w:jc w:val="center"/>
              <w:rPr>
                <w:rFonts w:ascii="宋体" w:hAnsi="宋体" w:cs="宋体"/>
                <w:color w:val="auto"/>
                <w:szCs w:val="21"/>
                <w:highlight w:val="none"/>
              </w:rPr>
            </w:pPr>
          </w:p>
        </w:tc>
        <w:tc>
          <w:tcPr>
            <w:tcW w:w="585" w:type="dxa"/>
            <w:vMerge w:val="continue"/>
            <w:tcBorders>
              <w:top w:val="single" w:color="auto" w:sz="4" w:space="0"/>
              <w:left w:val="single" w:color="000000" w:sz="4" w:space="0"/>
              <w:bottom w:val="single" w:color="auto" w:sz="4" w:space="0"/>
              <w:right w:val="single" w:color="000000" w:sz="4" w:space="0"/>
            </w:tcBorders>
            <w:vAlign w:val="center"/>
          </w:tcPr>
          <w:p w14:paraId="166EFC45">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ACC8E53">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第二档方案基本完整、针对性较强，可行性较高、保障措施较好的，得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分</w:t>
            </w:r>
          </w:p>
        </w:tc>
      </w:tr>
      <w:tr w14:paraId="0FCDAD69">
        <w:tblPrEx>
          <w:tblCellMar>
            <w:top w:w="0" w:type="dxa"/>
            <w:left w:w="108" w:type="dxa"/>
            <w:bottom w:w="0" w:type="dxa"/>
            <w:right w:w="108" w:type="dxa"/>
          </w:tblCellMar>
        </w:tblPrEx>
        <w:trPr>
          <w:trHeight w:val="360"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15D0D1EC">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562C1AEA">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1ED1969C">
            <w:pPr>
              <w:shd w:val="clear"/>
              <w:jc w:val="center"/>
              <w:rPr>
                <w:rFonts w:ascii="宋体" w:hAnsi="宋体" w:cs="宋体"/>
                <w:color w:val="auto"/>
                <w:szCs w:val="21"/>
                <w:highlight w:val="none"/>
              </w:rPr>
            </w:pPr>
          </w:p>
        </w:tc>
        <w:tc>
          <w:tcPr>
            <w:tcW w:w="585" w:type="dxa"/>
            <w:vMerge w:val="continue"/>
            <w:tcBorders>
              <w:top w:val="single" w:color="auto" w:sz="4" w:space="0"/>
              <w:left w:val="single" w:color="000000" w:sz="4" w:space="0"/>
              <w:bottom w:val="single" w:color="auto" w:sz="4" w:space="0"/>
              <w:right w:val="single" w:color="000000" w:sz="4" w:space="0"/>
            </w:tcBorders>
            <w:vAlign w:val="center"/>
          </w:tcPr>
          <w:p w14:paraId="012FBB8E">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9402690">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第三档方案基本完整、针对性一般、可行性一般、保障措施一般的，得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tc>
      </w:tr>
      <w:tr w14:paraId="50401B1F">
        <w:tblPrEx>
          <w:tblCellMar>
            <w:top w:w="0" w:type="dxa"/>
            <w:left w:w="108" w:type="dxa"/>
            <w:bottom w:w="0" w:type="dxa"/>
            <w:right w:w="108" w:type="dxa"/>
          </w:tblCellMar>
        </w:tblPrEx>
        <w:trPr>
          <w:trHeight w:val="360"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232F954A">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4648B06F">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70432729">
            <w:pPr>
              <w:shd w:val="clear"/>
              <w:jc w:val="center"/>
              <w:rPr>
                <w:rFonts w:ascii="宋体" w:hAnsi="宋体" w:cs="宋体"/>
                <w:color w:val="auto"/>
                <w:szCs w:val="21"/>
                <w:highlight w:val="none"/>
              </w:rPr>
            </w:pPr>
          </w:p>
        </w:tc>
        <w:tc>
          <w:tcPr>
            <w:tcW w:w="585" w:type="dxa"/>
            <w:vMerge w:val="continue"/>
            <w:tcBorders>
              <w:top w:val="single" w:color="auto" w:sz="4" w:space="0"/>
              <w:left w:val="single" w:color="000000" w:sz="4" w:space="0"/>
              <w:bottom w:val="single" w:color="auto" w:sz="4" w:space="0"/>
              <w:right w:val="single" w:color="000000" w:sz="4" w:space="0"/>
            </w:tcBorders>
            <w:vAlign w:val="center"/>
          </w:tcPr>
          <w:p w14:paraId="2EDD819C">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3076AEB">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缺项得0分。</w:t>
            </w:r>
          </w:p>
        </w:tc>
      </w:tr>
      <w:tr w14:paraId="4ADA86E5">
        <w:tblPrEx>
          <w:tblCellMar>
            <w:top w:w="0" w:type="dxa"/>
            <w:left w:w="108" w:type="dxa"/>
            <w:bottom w:w="0" w:type="dxa"/>
            <w:right w:w="108" w:type="dxa"/>
          </w:tblCellMar>
        </w:tblPrEx>
        <w:trPr>
          <w:trHeight w:val="2332"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061EEE2D">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71E76815">
            <w:pPr>
              <w:jc w:val="center"/>
              <w:rPr>
                <w:rFonts w:ascii="宋体" w:hAnsi="宋体" w:cs="宋体"/>
                <w:color w:val="auto"/>
                <w:szCs w:val="21"/>
                <w:highlight w:val="none"/>
              </w:rPr>
            </w:pPr>
          </w:p>
        </w:tc>
        <w:tc>
          <w:tcPr>
            <w:tcW w:w="675" w:type="dxa"/>
            <w:vMerge w:val="restart"/>
            <w:tcBorders>
              <w:top w:val="single" w:color="auto" w:sz="4" w:space="0"/>
              <w:left w:val="single" w:color="000000" w:sz="4" w:space="0"/>
              <w:bottom w:val="single" w:color="auto" w:sz="4" w:space="0"/>
              <w:right w:val="single" w:color="000000" w:sz="4" w:space="0"/>
            </w:tcBorders>
            <w:vAlign w:val="center"/>
          </w:tcPr>
          <w:p w14:paraId="7BD17CDD">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发行保障措施</w:t>
            </w:r>
          </w:p>
        </w:tc>
        <w:tc>
          <w:tcPr>
            <w:tcW w:w="585" w:type="dxa"/>
            <w:vMerge w:val="restart"/>
            <w:tcBorders>
              <w:top w:val="single" w:color="auto" w:sz="4" w:space="0"/>
              <w:left w:val="single" w:color="000000" w:sz="4" w:space="0"/>
              <w:bottom w:val="single" w:color="auto" w:sz="4" w:space="0"/>
              <w:right w:val="single" w:color="000000" w:sz="4" w:space="0"/>
            </w:tcBorders>
            <w:vAlign w:val="center"/>
          </w:tcPr>
          <w:p w14:paraId="76F587F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2F210635">
            <w:pPr>
              <w:widowControl/>
              <w:shd w:val="clear"/>
              <w:jc w:val="left"/>
              <w:textAlignment w:val="center"/>
              <w:rPr>
                <w:color w:val="auto"/>
                <w:highlight w:val="none"/>
              </w:rPr>
            </w:pPr>
            <w:r>
              <w:rPr>
                <w:rFonts w:hint="eastAsia"/>
                <w:color w:val="auto"/>
                <w:highlight w:val="none"/>
              </w:rPr>
              <w:t>对宏观市场分析，近期利率走势，本期债券定价，及余额包销能力相关措施</w:t>
            </w:r>
          </w:p>
          <w:p w14:paraId="50D56AD7">
            <w:pPr>
              <w:widowControl/>
              <w:shd w:val="clear"/>
              <w:jc w:val="left"/>
              <w:textAlignment w:val="center"/>
              <w:rPr>
                <w:color w:val="auto"/>
                <w:highlight w:val="none"/>
              </w:rPr>
            </w:pPr>
            <w:r>
              <w:rPr>
                <w:rFonts w:hint="eastAsia"/>
                <w:color w:val="auto"/>
                <w:highlight w:val="none"/>
              </w:rPr>
              <w:t>1.措施完善、合理可行，能较好的满足本项目要求得</w:t>
            </w:r>
            <w:r>
              <w:rPr>
                <w:rFonts w:hint="eastAsia"/>
                <w:color w:val="auto"/>
                <w:highlight w:val="none"/>
                <w:lang w:val="en-US" w:eastAsia="zh-CN"/>
              </w:rPr>
              <w:t>12</w:t>
            </w:r>
            <w:r>
              <w:rPr>
                <w:rFonts w:hint="eastAsia"/>
                <w:color w:val="auto"/>
                <w:highlight w:val="none"/>
              </w:rPr>
              <w:t>-1</w:t>
            </w:r>
            <w:r>
              <w:rPr>
                <w:rFonts w:hint="eastAsia"/>
                <w:color w:val="auto"/>
                <w:highlight w:val="none"/>
                <w:lang w:val="en-US" w:eastAsia="zh-CN"/>
              </w:rPr>
              <w:t>5</w:t>
            </w:r>
            <w:r>
              <w:rPr>
                <w:rFonts w:hint="eastAsia"/>
                <w:color w:val="auto"/>
                <w:highlight w:val="none"/>
              </w:rPr>
              <w:t>分；</w:t>
            </w:r>
          </w:p>
          <w:p w14:paraId="48082FA1">
            <w:pPr>
              <w:widowControl/>
              <w:shd w:val="clear"/>
              <w:jc w:val="left"/>
              <w:textAlignment w:val="center"/>
              <w:rPr>
                <w:color w:val="auto"/>
                <w:highlight w:val="none"/>
              </w:rPr>
            </w:pPr>
            <w:r>
              <w:rPr>
                <w:rFonts w:hint="eastAsia"/>
                <w:color w:val="auto"/>
                <w:highlight w:val="none"/>
              </w:rPr>
              <w:t>2.较合理完善，可行性一般，能满足本项目要求得</w:t>
            </w: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12</w:t>
            </w:r>
            <w:r>
              <w:rPr>
                <w:rFonts w:hint="eastAsia"/>
                <w:color w:val="auto"/>
                <w:highlight w:val="none"/>
              </w:rPr>
              <w:t>分；</w:t>
            </w:r>
          </w:p>
          <w:p w14:paraId="29943478">
            <w:pPr>
              <w:widowControl/>
              <w:shd w:val="clear"/>
              <w:jc w:val="left"/>
              <w:textAlignment w:val="center"/>
              <w:rPr>
                <w:color w:val="auto"/>
                <w:highlight w:val="none"/>
              </w:rPr>
            </w:pPr>
            <w:r>
              <w:rPr>
                <w:rFonts w:hint="eastAsia"/>
                <w:color w:val="auto"/>
                <w:highlight w:val="none"/>
              </w:rPr>
              <w:t>3.合理性一般，可操作性一般得</w:t>
            </w:r>
            <w:r>
              <w:rPr>
                <w:rFonts w:hint="eastAsia"/>
                <w:color w:val="auto"/>
                <w:highlight w:val="none"/>
                <w:lang w:val="en-US" w:eastAsia="zh-CN"/>
              </w:rPr>
              <w:t>9</w:t>
            </w:r>
            <w:r>
              <w:rPr>
                <w:rFonts w:hint="eastAsia"/>
                <w:color w:val="auto"/>
                <w:highlight w:val="none"/>
              </w:rPr>
              <w:t>分。</w:t>
            </w:r>
          </w:p>
          <w:p w14:paraId="173291C1">
            <w:pPr>
              <w:pStyle w:val="12"/>
              <w:shd w:val="clear"/>
              <w:ind w:left="0" w:leftChars="0" w:firstLine="0" w:firstLineChars="0"/>
              <w:rPr>
                <w:rFonts w:hint="default" w:eastAsia="宋体"/>
                <w:color w:val="auto"/>
                <w:highlight w:val="none"/>
                <w:lang w:val="en-US" w:eastAsia="zh-CN"/>
              </w:rPr>
            </w:pPr>
            <w:r>
              <w:rPr>
                <w:rFonts w:hint="eastAsia"/>
                <w:color w:val="auto"/>
                <w:highlight w:val="none"/>
              </w:rPr>
              <w:t>缺项得0分</w:t>
            </w:r>
          </w:p>
        </w:tc>
      </w:tr>
      <w:tr w14:paraId="677C5D55">
        <w:tblPrEx>
          <w:tblCellMar>
            <w:top w:w="0" w:type="dxa"/>
            <w:left w:w="108" w:type="dxa"/>
            <w:bottom w:w="0" w:type="dxa"/>
            <w:right w:w="108" w:type="dxa"/>
          </w:tblCellMar>
        </w:tblPrEx>
        <w:trPr>
          <w:trHeight w:val="2020" w:hRule="atLeast"/>
        </w:trPr>
        <w:tc>
          <w:tcPr>
            <w:tcW w:w="704" w:type="dxa"/>
            <w:vMerge w:val="continue"/>
            <w:tcBorders>
              <w:top w:val="single" w:color="auto" w:sz="4" w:space="0"/>
              <w:left w:val="single" w:color="000000" w:sz="4" w:space="0"/>
              <w:bottom w:val="single" w:color="auto" w:sz="4" w:space="0"/>
              <w:right w:val="single" w:color="000000" w:sz="4" w:space="0"/>
            </w:tcBorders>
            <w:vAlign w:val="center"/>
          </w:tcPr>
          <w:p w14:paraId="12DEDDA9">
            <w:pPr>
              <w:jc w:val="center"/>
              <w:rPr>
                <w:rFonts w:ascii="宋体" w:hAnsi="宋体" w:cs="宋体"/>
                <w:color w:val="auto"/>
                <w:szCs w:val="21"/>
                <w:highlight w:val="none"/>
              </w:rPr>
            </w:pPr>
          </w:p>
        </w:tc>
        <w:tc>
          <w:tcPr>
            <w:tcW w:w="675" w:type="dxa"/>
            <w:vMerge w:val="continue"/>
            <w:tcBorders>
              <w:top w:val="single" w:color="auto" w:sz="4" w:space="0"/>
              <w:left w:val="single" w:color="000000" w:sz="4" w:space="0"/>
              <w:bottom w:val="single" w:color="auto" w:sz="4" w:space="0"/>
              <w:right w:val="single" w:color="000000" w:sz="4" w:space="0"/>
            </w:tcBorders>
            <w:vAlign w:val="center"/>
          </w:tcPr>
          <w:p w14:paraId="34E53963">
            <w:pPr>
              <w:jc w:val="center"/>
              <w:rPr>
                <w:rFonts w:ascii="宋体" w:hAnsi="宋体" w:cs="宋体"/>
                <w:color w:val="auto"/>
                <w:szCs w:val="21"/>
                <w:highlight w:val="none"/>
              </w:rPr>
            </w:pPr>
          </w:p>
        </w:tc>
        <w:tc>
          <w:tcPr>
            <w:tcW w:w="675" w:type="dxa"/>
            <w:tcBorders>
              <w:top w:val="single" w:color="auto" w:sz="4" w:space="0"/>
              <w:left w:val="single" w:color="000000" w:sz="4" w:space="0"/>
              <w:bottom w:val="single" w:color="auto" w:sz="4" w:space="0"/>
              <w:right w:val="single" w:color="000000" w:sz="4" w:space="0"/>
            </w:tcBorders>
            <w:vAlign w:val="center"/>
          </w:tcPr>
          <w:p w14:paraId="4DB680A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服务及存续期管理措施</w:t>
            </w:r>
          </w:p>
        </w:tc>
        <w:tc>
          <w:tcPr>
            <w:tcW w:w="585" w:type="dxa"/>
            <w:tcBorders>
              <w:top w:val="single" w:color="auto" w:sz="4" w:space="0"/>
              <w:left w:val="single" w:color="000000" w:sz="4" w:space="0"/>
              <w:bottom w:val="single" w:color="auto" w:sz="4" w:space="0"/>
              <w:right w:val="single" w:color="000000" w:sz="4" w:space="0"/>
            </w:tcBorders>
            <w:vAlign w:val="center"/>
          </w:tcPr>
          <w:p w14:paraId="30FB6A6D">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360" w:type="dxa"/>
            <w:tcBorders>
              <w:top w:val="single" w:color="000000" w:sz="4" w:space="0"/>
              <w:left w:val="single" w:color="000000" w:sz="4" w:space="0"/>
              <w:bottom w:val="single" w:color="auto" w:sz="4" w:space="0"/>
              <w:right w:val="single" w:color="000000" w:sz="4" w:space="0"/>
            </w:tcBorders>
            <w:vAlign w:val="center"/>
          </w:tcPr>
          <w:p w14:paraId="46E77457">
            <w:pPr>
              <w:widowControl/>
              <w:shd w:val="clear"/>
              <w:jc w:val="left"/>
              <w:textAlignment w:val="center"/>
              <w:rPr>
                <w:color w:val="auto"/>
                <w:highlight w:val="none"/>
              </w:rPr>
            </w:pPr>
            <w:r>
              <w:rPr>
                <w:rFonts w:hint="eastAsia"/>
                <w:color w:val="auto"/>
                <w:highlight w:val="none"/>
              </w:rPr>
              <w:t>1.措施完善、合理可行，能较好的满足本项目要求得8-10分；</w:t>
            </w:r>
          </w:p>
          <w:p w14:paraId="2AF6556C">
            <w:pPr>
              <w:widowControl/>
              <w:shd w:val="clear"/>
              <w:jc w:val="left"/>
              <w:textAlignment w:val="center"/>
              <w:rPr>
                <w:color w:val="auto"/>
                <w:highlight w:val="none"/>
              </w:rPr>
            </w:pPr>
            <w:r>
              <w:rPr>
                <w:rFonts w:hint="eastAsia"/>
                <w:color w:val="auto"/>
                <w:highlight w:val="none"/>
              </w:rPr>
              <w:t>2.较合理完善，可行性一般，能满足本项目要求得6-8分；</w:t>
            </w:r>
          </w:p>
          <w:p w14:paraId="5411AB19">
            <w:pPr>
              <w:widowControl/>
              <w:shd w:val="clear"/>
              <w:jc w:val="left"/>
              <w:textAlignment w:val="center"/>
              <w:rPr>
                <w:color w:val="auto"/>
                <w:highlight w:val="none"/>
              </w:rPr>
            </w:pPr>
            <w:r>
              <w:rPr>
                <w:rFonts w:hint="eastAsia"/>
                <w:color w:val="auto"/>
                <w:highlight w:val="none"/>
              </w:rPr>
              <w:t>3.合理性欠佳，可操作性一般得6分。</w:t>
            </w:r>
          </w:p>
          <w:p w14:paraId="0711C17B">
            <w:pPr>
              <w:pStyle w:val="12"/>
              <w:shd w:val="clear"/>
              <w:ind w:left="0" w:leftChars="0" w:firstLine="0" w:firstLineChars="0"/>
              <w:rPr>
                <w:rFonts w:ascii="宋体" w:hAnsi="宋体" w:cs="宋体"/>
                <w:color w:val="auto"/>
                <w:szCs w:val="21"/>
                <w:highlight w:val="none"/>
              </w:rPr>
            </w:pPr>
            <w:r>
              <w:rPr>
                <w:rFonts w:hint="eastAsia"/>
                <w:color w:val="auto"/>
                <w:highlight w:val="none"/>
              </w:rPr>
              <w:t>缺项得0分</w:t>
            </w:r>
          </w:p>
        </w:tc>
      </w:tr>
      <w:tr w14:paraId="0305666E">
        <w:trPr>
          <w:trHeight w:val="703"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20AD22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评标价</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51A32B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30分</w:t>
            </w:r>
          </w:p>
        </w:tc>
        <w:tc>
          <w:tcPr>
            <w:tcW w:w="7620" w:type="dxa"/>
            <w:gridSpan w:val="3"/>
            <w:tcBorders>
              <w:top w:val="single" w:color="auto" w:sz="4" w:space="0"/>
              <w:left w:val="single" w:color="auto" w:sz="4" w:space="0"/>
              <w:bottom w:val="single" w:color="auto" w:sz="4" w:space="0"/>
              <w:right w:val="single" w:color="auto" w:sz="4" w:space="0"/>
            </w:tcBorders>
            <w:vAlign w:val="center"/>
          </w:tcPr>
          <w:p w14:paraId="5322E25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评标价得分计算公式：</w:t>
            </w:r>
          </w:p>
          <w:p w14:paraId="709DD10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本次</w:t>
            </w:r>
            <w:r>
              <w:rPr>
                <w:rFonts w:hint="eastAsia" w:ascii="宋体" w:hAnsi="宋体" w:cs="宋体"/>
                <w:color w:val="auto"/>
                <w:kern w:val="0"/>
                <w:szCs w:val="21"/>
                <w:highlight w:val="none"/>
                <w:lang w:eastAsia="zh-CN" w:bidi="ar"/>
              </w:rPr>
              <w:t>最高投标限价</w:t>
            </w:r>
            <w:r>
              <w:rPr>
                <w:rFonts w:hint="eastAsia" w:ascii="宋体" w:hAnsi="宋体" w:cs="宋体"/>
                <w:color w:val="auto"/>
                <w:kern w:val="0"/>
                <w:szCs w:val="21"/>
                <w:highlight w:val="none"/>
                <w:lang w:bidi="ar"/>
              </w:rPr>
              <w:t>为</w:t>
            </w:r>
            <w:r>
              <w:rPr>
                <w:rFonts w:hint="eastAsia" w:ascii="宋体" w:hAnsi="宋体" w:cs="宋体"/>
                <w:color w:val="auto"/>
                <w:kern w:val="0"/>
                <w:szCs w:val="21"/>
                <w:highlight w:val="none"/>
                <w:lang w:val="en-US" w:eastAsia="zh-CN" w:bidi="ar"/>
              </w:rPr>
              <w:t>0.1</w:t>
            </w:r>
            <w:r>
              <w:rPr>
                <w:rFonts w:hint="eastAsia" w:ascii="宋体" w:hAnsi="宋体" w:cs="宋体"/>
                <w:color w:val="auto"/>
                <w:kern w:val="0"/>
                <w:szCs w:val="21"/>
                <w:highlight w:val="none"/>
                <w:lang w:bidi="ar"/>
              </w:rPr>
              <w:t>%/年（含），超过</w:t>
            </w:r>
            <w:r>
              <w:rPr>
                <w:rFonts w:hint="eastAsia" w:ascii="宋体" w:hAnsi="宋体" w:cs="宋体"/>
                <w:color w:val="auto"/>
                <w:kern w:val="0"/>
                <w:szCs w:val="21"/>
                <w:highlight w:val="none"/>
                <w:lang w:eastAsia="zh-CN" w:bidi="ar"/>
              </w:rPr>
              <w:t>最高投标限价</w:t>
            </w:r>
            <w:r>
              <w:rPr>
                <w:rFonts w:hint="eastAsia" w:ascii="宋体" w:hAnsi="宋体" w:cs="宋体"/>
                <w:color w:val="auto"/>
                <w:kern w:val="0"/>
                <w:szCs w:val="21"/>
                <w:highlight w:val="none"/>
                <w:lang w:bidi="ar"/>
              </w:rPr>
              <w:t>为无效报价。</w:t>
            </w:r>
          </w:p>
          <w:p w14:paraId="127E774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（1）如果投标人的评标价＞评标基准价，则评标价得分=F-（投标人评标价一评标基准价）×10000×E1；</w:t>
            </w:r>
          </w:p>
          <w:p w14:paraId="6603247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（2）如果投标人的评标价≤评标基准价，则评标价得分=F+（投标人评标价一评标基准价）×10000×E2。</w:t>
            </w:r>
          </w:p>
          <w:p w14:paraId="1DF4A02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其中，F=30；E1=0.</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；E2=0.</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w:t>
            </w:r>
          </w:p>
          <w:p w14:paraId="4A163985">
            <w:pPr>
              <w:pStyle w:val="22"/>
              <w:rPr>
                <w:rFonts w:ascii="宋体" w:hAnsi="宋体" w:cs="宋体"/>
                <w:color w:val="auto"/>
                <w:szCs w:val="21"/>
                <w:highlight w:val="none"/>
              </w:rPr>
            </w:pPr>
            <w:r>
              <w:rPr>
                <w:rFonts w:hint="eastAsia" w:hAnsi="宋体"/>
                <w:color w:val="auto"/>
                <w:sz w:val="21"/>
                <w:szCs w:val="21"/>
                <w:highlight w:val="none"/>
              </w:rPr>
              <w:t>评标价得分保留小数点后两位，小数点后第三位四舍五入</w:t>
            </w:r>
          </w:p>
        </w:tc>
      </w:tr>
      <w:tr w14:paraId="71060829">
        <w:tblPrEx>
          <w:tblCellMar>
            <w:top w:w="0" w:type="dxa"/>
            <w:left w:w="108" w:type="dxa"/>
            <w:bottom w:w="0" w:type="dxa"/>
            <w:right w:w="108" w:type="dxa"/>
          </w:tblCellMar>
        </w:tblPrEx>
        <w:trPr>
          <w:trHeight w:val="36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50AA3CC">
            <w:pPr>
              <w:jc w:val="center"/>
              <w:rPr>
                <w:rFonts w:ascii="宋体" w:hAnsi="宋体" w:cs="宋体"/>
                <w:color w:val="auto"/>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1BC58CDF">
            <w:pPr>
              <w:jc w:val="center"/>
              <w:rPr>
                <w:rFonts w:ascii="宋体" w:hAnsi="宋体" w:cs="宋体"/>
                <w:color w:val="auto"/>
                <w:szCs w:val="21"/>
                <w:highlight w:val="none"/>
              </w:rPr>
            </w:pPr>
          </w:p>
        </w:tc>
        <w:tc>
          <w:tcPr>
            <w:tcW w:w="7620" w:type="dxa"/>
            <w:gridSpan w:val="3"/>
            <w:tcBorders>
              <w:top w:val="single" w:color="auto" w:sz="4" w:space="0"/>
              <w:left w:val="single" w:color="auto" w:sz="4" w:space="0"/>
              <w:bottom w:val="single" w:color="auto" w:sz="4" w:space="0"/>
              <w:right w:val="single" w:color="auto" w:sz="4" w:space="0"/>
            </w:tcBorders>
            <w:vAlign w:val="center"/>
          </w:tcPr>
          <w:p w14:paraId="3A53FD63">
            <w:pPr>
              <w:widowControl/>
              <w:shd w:val="clea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注：1.各银行报价应为监管核定的有效报价，河北高速公路集团有限公司不接受主承销商因费率低于成本价而向监管部门报备的行为。</w:t>
            </w:r>
          </w:p>
          <w:p w14:paraId="5649FD20">
            <w:pPr>
              <w:pStyle w:val="22"/>
              <w:rPr>
                <w:rFonts w:ascii="宋体" w:hAnsi="宋体" w:cs="宋体"/>
                <w:color w:val="auto"/>
                <w:szCs w:val="21"/>
                <w:highlight w:val="none"/>
              </w:rPr>
            </w:pPr>
            <w:r>
              <w:rPr>
                <w:rFonts w:hint="eastAsia" w:ascii="宋体" w:hAnsi="宋体" w:cs="宋体"/>
                <w:color w:val="auto"/>
                <w:kern w:val="0"/>
                <w:sz w:val="21"/>
                <w:szCs w:val="21"/>
                <w:highlight w:val="none"/>
                <w:lang w:val="en-US" w:eastAsia="zh-CN" w:bidi="ar"/>
              </w:rPr>
              <w:t>2.若参选</w:t>
            </w:r>
            <w:r>
              <w:rPr>
                <w:rFonts w:hint="eastAsia" w:hAnsi="宋体" w:cs="宋体"/>
                <w:color w:val="auto"/>
                <w:kern w:val="0"/>
                <w:sz w:val="21"/>
                <w:szCs w:val="21"/>
                <w:highlight w:val="none"/>
                <w:lang w:val="en-US" w:eastAsia="zh-CN" w:bidi="ar"/>
              </w:rPr>
              <w:t>银行</w:t>
            </w:r>
            <w:r>
              <w:rPr>
                <w:rFonts w:hint="eastAsia" w:ascii="宋体" w:hAnsi="宋体" w:cs="宋体"/>
                <w:color w:val="auto"/>
                <w:kern w:val="0"/>
                <w:sz w:val="21"/>
                <w:szCs w:val="21"/>
                <w:highlight w:val="none"/>
                <w:lang w:val="en-US" w:eastAsia="zh-CN" w:bidi="ar"/>
              </w:rPr>
              <w:t>的报价有可能异常低价竞标时，河北高速公路集团有限公司有权向参选</w:t>
            </w:r>
            <w:r>
              <w:rPr>
                <w:rFonts w:hint="eastAsia" w:hAnsi="宋体" w:cs="宋体"/>
                <w:color w:val="auto"/>
                <w:kern w:val="0"/>
                <w:sz w:val="21"/>
                <w:szCs w:val="21"/>
                <w:highlight w:val="none"/>
                <w:lang w:val="en-US" w:eastAsia="zh-CN" w:bidi="ar"/>
              </w:rPr>
              <w:t>银行</w:t>
            </w:r>
            <w:r>
              <w:rPr>
                <w:rFonts w:hint="eastAsia" w:ascii="宋体" w:hAnsi="宋体" w:cs="宋体"/>
                <w:color w:val="auto"/>
                <w:kern w:val="0"/>
                <w:sz w:val="21"/>
                <w:szCs w:val="21"/>
                <w:highlight w:val="none"/>
                <w:lang w:val="en-US" w:eastAsia="zh-CN" w:bidi="ar"/>
              </w:rPr>
              <w:t>发出澄清，要求参选</w:t>
            </w:r>
            <w:r>
              <w:rPr>
                <w:rFonts w:hint="eastAsia" w:hAnsi="宋体" w:cs="宋体"/>
                <w:color w:val="auto"/>
                <w:kern w:val="0"/>
                <w:sz w:val="21"/>
                <w:szCs w:val="21"/>
                <w:highlight w:val="none"/>
                <w:lang w:val="en-US" w:eastAsia="zh-CN" w:bidi="ar"/>
              </w:rPr>
              <w:t>银行</w:t>
            </w:r>
            <w:r>
              <w:rPr>
                <w:rFonts w:hint="eastAsia" w:ascii="宋体" w:hAnsi="宋体" w:cs="宋体"/>
                <w:color w:val="auto"/>
                <w:kern w:val="0"/>
                <w:sz w:val="21"/>
                <w:szCs w:val="21"/>
                <w:highlight w:val="none"/>
                <w:lang w:val="en-US" w:eastAsia="zh-CN" w:bidi="ar"/>
              </w:rPr>
              <w:t>说明该报价是否涉及向监管部门报备以及是否具有履行合同的能力，当参选</w:t>
            </w:r>
            <w:r>
              <w:rPr>
                <w:rFonts w:hint="eastAsia" w:hAnsi="宋体" w:cs="宋体"/>
                <w:color w:val="auto"/>
                <w:kern w:val="0"/>
                <w:sz w:val="21"/>
                <w:szCs w:val="21"/>
                <w:highlight w:val="none"/>
                <w:lang w:val="en-US" w:eastAsia="zh-CN" w:bidi="ar"/>
              </w:rPr>
              <w:t>银行</w:t>
            </w:r>
            <w:r>
              <w:rPr>
                <w:rFonts w:hint="eastAsia" w:ascii="宋体" w:hAnsi="宋体" w:cs="宋体"/>
                <w:color w:val="auto"/>
                <w:kern w:val="0"/>
                <w:sz w:val="21"/>
                <w:szCs w:val="21"/>
                <w:highlight w:val="none"/>
                <w:lang w:val="en-US" w:eastAsia="zh-CN" w:bidi="ar"/>
              </w:rPr>
              <w:t>不能充分释疑时，河北高速公路集团有限公司有权取消其资格。</w:t>
            </w:r>
          </w:p>
        </w:tc>
      </w:tr>
    </w:tbl>
    <w:p w14:paraId="290EE762">
      <w:pPr>
        <w:pStyle w:val="21"/>
        <w:rPr>
          <w:rFonts w:hint="default" w:ascii="宋体" w:hAnsi="宋体" w:cs="宋体"/>
          <w:bCs/>
          <w:color w:val="auto"/>
          <w:highlight w:val="none"/>
          <w:lang w:val="en-US" w:eastAsia="zh-CN"/>
        </w:rPr>
      </w:pPr>
    </w:p>
    <w:p w14:paraId="663B33E8">
      <w:pPr>
        <w:rPr>
          <w:rFonts w:hint="eastAsia" w:ascii="宋体" w:hAnsi="宋体" w:cs="宋体"/>
          <w:bCs/>
          <w:color w:val="auto"/>
          <w:highlight w:val="none"/>
        </w:rPr>
      </w:pPr>
      <w:r>
        <w:rPr>
          <w:rFonts w:hint="eastAsia" w:ascii="宋体" w:hAnsi="宋体" w:cs="宋体"/>
          <w:bCs/>
          <w:color w:val="auto"/>
          <w:highlight w:val="none"/>
        </w:rPr>
        <w:br w:type="page"/>
      </w:r>
    </w:p>
    <w:p w14:paraId="566CA2E8">
      <w:pPr>
        <w:pStyle w:val="21"/>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ZQ标段（证券类）详细评审因素</w:t>
      </w:r>
    </w:p>
    <w:tbl>
      <w:tblPr>
        <w:tblStyle w:val="13"/>
        <w:tblW w:w="8999" w:type="dxa"/>
        <w:tblInd w:w="93" w:type="dxa"/>
        <w:tblLayout w:type="fixed"/>
        <w:tblCellMar>
          <w:top w:w="0" w:type="dxa"/>
          <w:left w:w="108" w:type="dxa"/>
          <w:bottom w:w="0" w:type="dxa"/>
          <w:right w:w="108" w:type="dxa"/>
        </w:tblCellMar>
      </w:tblPr>
      <w:tblGrid>
        <w:gridCol w:w="704"/>
        <w:gridCol w:w="675"/>
        <w:gridCol w:w="675"/>
        <w:gridCol w:w="585"/>
        <w:gridCol w:w="6360"/>
      </w:tblGrid>
      <w:tr w14:paraId="1F40C311">
        <w:tblPrEx>
          <w:tblCellMar>
            <w:top w:w="0" w:type="dxa"/>
            <w:left w:w="108" w:type="dxa"/>
            <w:bottom w:w="0" w:type="dxa"/>
            <w:right w:w="108" w:type="dxa"/>
          </w:tblCellMar>
        </w:tblPrEx>
        <w:trPr>
          <w:trHeight w:val="360" w:hRule="atLeast"/>
        </w:trPr>
        <w:tc>
          <w:tcPr>
            <w:tcW w:w="2639" w:type="dxa"/>
            <w:gridSpan w:val="4"/>
            <w:tcBorders>
              <w:top w:val="single" w:color="000000" w:sz="4" w:space="0"/>
              <w:left w:val="single" w:color="000000" w:sz="4" w:space="0"/>
              <w:bottom w:val="single" w:color="000000" w:sz="4" w:space="0"/>
              <w:right w:val="single" w:color="000000" w:sz="4" w:space="0"/>
            </w:tcBorders>
            <w:vAlign w:val="center"/>
          </w:tcPr>
          <w:p w14:paraId="6152CAE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评审因素与权重分值</w:t>
            </w:r>
          </w:p>
        </w:tc>
        <w:tc>
          <w:tcPr>
            <w:tcW w:w="6360" w:type="dxa"/>
            <w:vMerge w:val="restart"/>
            <w:tcBorders>
              <w:top w:val="single" w:color="000000" w:sz="4" w:space="0"/>
              <w:left w:val="single" w:color="000000" w:sz="4" w:space="0"/>
              <w:bottom w:val="single" w:color="000000" w:sz="4" w:space="0"/>
              <w:right w:val="single" w:color="000000" w:sz="4" w:space="0"/>
            </w:tcBorders>
            <w:vAlign w:val="center"/>
          </w:tcPr>
          <w:p w14:paraId="3357B8BA">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评分标准</w:t>
            </w:r>
          </w:p>
        </w:tc>
      </w:tr>
      <w:tr w14:paraId="1A2DA8CB">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CD20F79">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AFA72B3">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评分因素权重分值</w:t>
            </w:r>
          </w:p>
        </w:tc>
        <w:tc>
          <w:tcPr>
            <w:tcW w:w="675" w:type="dxa"/>
            <w:tcBorders>
              <w:top w:val="single" w:color="000000" w:sz="4" w:space="0"/>
              <w:left w:val="single" w:color="000000" w:sz="4" w:space="0"/>
              <w:bottom w:val="single" w:color="000000" w:sz="4" w:space="0"/>
              <w:right w:val="single" w:color="000000" w:sz="4" w:space="0"/>
            </w:tcBorders>
            <w:vAlign w:val="center"/>
          </w:tcPr>
          <w:p w14:paraId="53A16198">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各评分因素</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E85333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2CE68533">
            <w:pPr>
              <w:jc w:val="center"/>
              <w:rPr>
                <w:rFonts w:ascii="宋体" w:hAnsi="宋体" w:cs="宋体"/>
                <w:b/>
                <w:bCs/>
                <w:color w:val="auto"/>
                <w:szCs w:val="21"/>
                <w:highlight w:val="none"/>
              </w:rPr>
            </w:pPr>
          </w:p>
        </w:tc>
      </w:tr>
      <w:tr w14:paraId="221A5733">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06E77E8">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因素</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625111F">
            <w:pPr>
              <w:widowControl/>
              <w:spacing w:line="240" w:lineRule="atLeast"/>
              <w:jc w:val="center"/>
              <w:rPr>
                <w:rFonts w:ascii="宋体" w:hAnsi="宋体" w:cs="宋体"/>
                <w:b/>
                <w:bCs/>
                <w:color w:val="auto"/>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1911BCC">
            <w:pPr>
              <w:widowControl/>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细分项</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7F874ED">
            <w:pPr>
              <w:jc w:val="center"/>
              <w:rPr>
                <w:rFonts w:ascii="宋体" w:hAnsi="宋体" w:cs="宋体"/>
                <w:b/>
                <w:bCs/>
                <w:color w:val="auto"/>
                <w:szCs w:val="21"/>
                <w:highlight w:val="none"/>
              </w:rPr>
            </w:pP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29A632E1">
            <w:pPr>
              <w:jc w:val="center"/>
              <w:rPr>
                <w:rFonts w:ascii="宋体" w:hAnsi="宋体" w:cs="宋体"/>
                <w:b/>
                <w:bCs/>
                <w:color w:val="auto"/>
                <w:szCs w:val="21"/>
                <w:highlight w:val="none"/>
              </w:rPr>
            </w:pPr>
          </w:p>
        </w:tc>
      </w:tr>
      <w:tr w14:paraId="4068AAD9">
        <w:tblPrEx>
          <w:tblCellMar>
            <w:top w:w="0" w:type="dxa"/>
            <w:left w:w="108" w:type="dxa"/>
            <w:bottom w:w="0" w:type="dxa"/>
            <w:right w:w="108" w:type="dxa"/>
          </w:tblCellMar>
        </w:tblPrEx>
        <w:trPr>
          <w:trHeight w:val="4517" w:hRule="atLeast"/>
        </w:trPr>
        <w:tc>
          <w:tcPr>
            <w:tcW w:w="704" w:type="dxa"/>
            <w:vMerge w:val="restart"/>
            <w:tcBorders>
              <w:top w:val="single" w:color="000000" w:sz="4" w:space="0"/>
              <w:left w:val="single" w:color="000000" w:sz="4" w:space="0"/>
              <w:right w:val="single" w:color="000000" w:sz="4" w:space="0"/>
            </w:tcBorders>
            <w:vAlign w:val="center"/>
          </w:tcPr>
          <w:p w14:paraId="1F384E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商务部分</w:t>
            </w:r>
          </w:p>
        </w:tc>
        <w:tc>
          <w:tcPr>
            <w:tcW w:w="675" w:type="dxa"/>
            <w:vMerge w:val="restart"/>
            <w:tcBorders>
              <w:top w:val="single" w:color="000000" w:sz="4" w:space="0"/>
              <w:left w:val="single" w:color="000000" w:sz="4" w:space="0"/>
              <w:right w:val="single" w:color="000000" w:sz="4" w:space="0"/>
            </w:tcBorders>
            <w:vAlign w:val="center"/>
          </w:tcPr>
          <w:p w14:paraId="53B858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17C521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全国范围内承销交易商协会产品金额和只数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0B47A72">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0975DD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w:t>
            </w:r>
            <w:r>
              <w:rPr>
                <w:rFonts w:hint="eastAsia" w:ascii="宋体" w:hAnsi="宋体" w:cs="宋体"/>
                <w:i w:val="0"/>
                <w:iCs w:val="0"/>
                <w:color w:val="auto"/>
                <w:kern w:val="0"/>
                <w:sz w:val="21"/>
                <w:szCs w:val="21"/>
                <w:highlight w:val="none"/>
                <w:u w:val="none"/>
                <w:lang w:val="en-US" w:eastAsia="zh-CN" w:bidi="ar"/>
              </w:rPr>
              <w:t>银行间市场全产品（NAFMII口径，包括中期票据、短期融资券、超短期融资券、资产支持票据和定向工具（上述含永续品种））</w:t>
            </w:r>
            <w:r>
              <w:rPr>
                <w:rFonts w:hint="eastAsia" w:ascii="宋体" w:hAnsi="宋体" w:eastAsia="宋体" w:cs="宋体"/>
                <w:i w:val="0"/>
                <w:iCs w:val="0"/>
                <w:color w:val="auto"/>
                <w:kern w:val="0"/>
                <w:sz w:val="21"/>
                <w:szCs w:val="21"/>
                <w:highlight w:val="none"/>
                <w:u w:val="none"/>
                <w:lang w:val="en-US" w:eastAsia="zh-CN" w:bidi="ar"/>
              </w:rPr>
              <w:t>承销累计金额：</w:t>
            </w:r>
          </w:p>
          <w:p w14:paraId="5E931850">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按照承销总金额评分，</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亿元≤承销金额＜</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分，承销金额＜</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亿元得0分。</w:t>
            </w:r>
          </w:p>
          <w:p w14:paraId="26AB12F7">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41E289E2">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ascii="宋体" w:hAnsi="宋体" w:eastAsia="宋体" w:cs="宋体"/>
                <w:i w:val="0"/>
                <w:iCs w:val="0"/>
                <w:color w:val="auto"/>
                <w:kern w:val="0"/>
                <w:sz w:val="21"/>
                <w:szCs w:val="21"/>
                <w:highlight w:val="none"/>
                <w:u w:val="none"/>
                <w:lang w:val="en-US" w:eastAsia="zh-CN" w:bidi="ar"/>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ascii="宋体" w:hAnsi="宋体" w:eastAsia="宋体" w:cs="宋体"/>
                <w:i w:val="0"/>
                <w:iCs w:val="0"/>
                <w:color w:val="auto"/>
                <w:kern w:val="0"/>
                <w:sz w:val="21"/>
                <w:szCs w:val="21"/>
                <w:highlight w:val="none"/>
                <w:u w:val="none"/>
                <w:lang w:val="en-US" w:eastAsia="zh-CN" w:bidi="ar"/>
              </w:rPr>
              <w:t>）；机构类型【证券】；债券分类（wind）（旧）：中期票据、定向工具、交易商协会ABN、短期融资券（一般短期融资券、超短期融资券）、项目收益票据；企业性质：全部；主体评级：全部；地域分类：全国；合并母子公司进行查询</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73CA00BA">
        <w:tblPrEx>
          <w:tblCellMar>
            <w:top w:w="0" w:type="dxa"/>
            <w:left w:w="108" w:type="dxa"/>
            <w:bottom w:w="0" w:type="dxa"/>
            <w:right w:w="108" w:type="dxa"/>
          </w:tblCellMar>
        </w:tblPrEx>
        <w:trPr>
          <w:trHeight w:val="4502" w:hRule="atLeast"/>
        </w:trPr>
        <w:tc>
          <w:tcPr>
            <w:tcW w:w="704" w:type="dxa"/>
            <w:vMerge w:val="continue"/>
            <w:tcBorders>
              <w:left w:val="single" w:color="000000" w:sz="4" w:space="0"/>
              <w:right w:val="single" w:color="000000" w:sz="4" w:space="0"/>
            </w:tcBorders>
            <w:vAlign w:val="center"/>
          </w:tcPr>
          <w:p w14:paraId="67BD417B">
            <w:pP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53180F98">
            <w:pP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30ABABB">
            <w:pPr>
              <w:jc w:val="center"/>
              <w:rPr>
                <w:rFonts w:ascii="宋体" w:hAnsi="宋体" w:cs="宋体"/>
                <w:color w:val="auto"/>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1F9F091">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500A501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w:t>
            </w:r>
            <w:r>
              <w:rPr>
                <w:rFonts w:hint="eastAsia" w:ascii="宋体" w:hAnsi="宋体" w:cs="宋体"/>
                <w:i w:val="0"/>
                <w:iCs w:val="0"/>
                <w:color w:val="auto"/>
                <w:kern w:val="0"/>
                <w:sz w:val="21"/>
                <w:szCs w:val="21"/>
                <w:highlight w:val="none"/>
                <w:u w:val="none"/>
                <w:lang w:val="en-US" w:eastAsia="zh-CN" w:bidi="ar"/>
              </w:rPr>
              <w:t>银行间市场全产品（NAFMII口径，包括中期票据、短期融资券、超短期融资券、资产支持票据和定向工具（上述含永续品种））</w:t>
            </w:r>
            <w:r>
              <w:rPr>
                <w:rFonts w:hint="eastAsia" w:ascii="宋体" w:hAnsi="宋体" w:eastAsia="宋体" w:cs="宋体"/>
                <w:i w:val="0"/>
                <w:iCs w:val="0"/>
                <w:color w:val="auto"/>
                <w:kern w:val="0"/>
                <w:sz w:val="21"/>
                <w:szCs w:val="21"/>
                <w:highlight w:val="none"/>
                <w:u w:val="none"/>
                <w:lang w:val="en-US" w:eastAsia="zh-CN" w:bidi="ar"/>
              </w:rPr>
              <w:t>承销累计只数：</w:t>
            </w:r>
          </w:p>
          <w:p w14:paraId="3F259A16">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按承销</w:t>
            </w:r>
            <w:r>
              <w:rPr>
                <w:rFonts w:hint="eastAsia" w:ascii="宋体" w:hAnsi="宋体" w:eastAsia="宋体" w:cs="宋体"/>
                <w:i w:val="0"/>
                <w:iCs w:val="0"/>
                <w:color w:val="auto"/>
                <w:kern w:val="0"/>
                <w:sz w:val="21"/>
                <w:szCs w:val="21"/>
                <w:highlight w:val="none"/>
                <w:u w:val="none"/>
                <w:lang w:val="en-US" w:eastAsia="zh-CN" w:bidi="ar"/>
              </w:rPr>
              <w:t>只数</w:t>
            </w:r>
            <w:r>
              <w:rPr>
                <w:rFonts w:hint="eastAsia" w:ascii="宋体" w:hAnsi="宋体" w:cs="宋体"/>
                <w:i w:val="0"/>
                <w:iCs w:val="0"/>
                <w:color w:val="auto"/>
                <w:kern w:val="0"/>
                <w:sz w:val="21"/>
                <w:szCs w:val="21"/>
                <w:highlight w:val="none"/>
                <w:u w:val="none"/>
                <w:lang w:val="en-US" w:eastAsia="zh-CN" w:bidi="ar"/>
              </w:rPr>
              <w:t>评分，</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分，承销只数＜</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0只得0分。</w:t>
            </w:r>
          </w:p>
          <w:p w14:paraId="08A80CBA">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206CDEA4">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ascii="宋体" w:hAnsi="宋体" w:eastAsia="宋体" w:cs="宋体"/>
                <w:i w:val="0"/>
                <w:iCs w:val="0"/>
                <w:color w:val="auto"/>
                <w:kern w:val="0"/>
                <w:sz w:val="21"/>
                <w:szCs w:val="21"/>
                <w:highlight w:val="none"/>
                <w:u w:val="none"/>
                <w:lang w:val="en-US" w:eastAsia="zh-CN" w:bidi="ar"/>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ascii="宋体" w:hAnsi="宋体" w:eastAsia="宋体" w:cs="宋体"/>
                <w:i w:val="0"/>
                <w:iCs w:val="0"/>
                <w:color w:val="auto"/>
                <w:kern w:val="0"/>
                <w:sz w:val="21"/>
                <w:szCs w:val="21"/>
                <w:highlight w:val="none"/>
                <w:u w:val="none"/>
                <w:lang w:val="en-US" w:eastAsia="zh-CN" w:bidi="ar"/>
              </w:rPr>
              <w:t>）；机构类型【证券】；债券分类（wind）（旧）：中期票据、定向工具、交易商协会ABN、短期融资券（一般短期融资券、超短期融资券）、项目收益票据；企业性质：全部；主体评级：全部；地域分类：全国；合并母子公司进行查询</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4E67FCB3">
        <w:tblPrEx>
          <w:tblCellMar>
            <w:top w:w="0" w:type="dxa"/>
            <w:left w:w="108" w:type="dxa"/>
            <w:bottom w:w="0" w:type="dxa"/>
            <w:right w:w="108" w:type="dxa"/>
          </w:tblCellMar>
        </w:tblPrEx>
        <w:trPr>
          <w:trHeight w:val="1272" w:hRule="atLeast"/>
        </w:trPr>
        <w:tc>
          <w:tcPr>
            <w:tcW w:w="704" w:type="dxa"/>
            <w:vMerge w:val="continue"/>
            <w:tcBorders>
              <w:left w:val="single" w:color="000000" w:sz="4" w:space="0"/>
              <w:right w:val="single" w:color="000000" w:sz="4" w:space="0"/>
            </w:tcBorders>
            <w:vAlign w:val="center"/>
          </w:tcPr>
          <w:p w14:paraId="1DBFA748">
            <w:pP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66656415">
            <w:pPr>
              <w:jc w:val="center"/>
              <w:rPr>
                <w:rFonts w:ascii="宋体" w:hAnsi="宋体" w:cs="宋体"/>
                <w:color w:val="auto"/>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4FD90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全国范围内</w:t>
            </w:r>
            <w:r>
              <w:rPr>
                <w:rFonts w:hint="eastAsia" w:ascii="宋体" w:hAnsi="宋体" w:cs="宋体"/>
                <w:color w:val="auto"/>
                <w:kern w:val="0"/>
                <w:szCs w:val="21"/>
                <w:highlight w:val="none"/>
                <w:lang w:bidi="ar"/>
              </w:rPr>
              <w:t>承销</w:t>
            </w:r>
            <w:r>
              <w:rPr>
                <w:rFonts w:hint="eastAsia" w:ascii="宋体" w:hAnsi="宋体" w:cs="宋体"/>
                <w:color w:val="auto"/>
                <w:kern w:val="0"/>
                <w:szCs w:val="21"/>
                <w:highlight w:val="none"/>
                <w:lang w:val="en-US" w:eastAsia="zh-CN" w:bidi="ar"/>
              </w:rPr>
              <w:t>中期票据和超短期融资券</w:t>
            </w:r>
            <w:r>
              <w:rPr>
                <w:rFonts w:hint="eastAsia" w:ascii="宋体" w:hAnsi="宋体" w:cs="宋体"/>
                <w:color w:val="auto"/>
                <w:kern w:val="0"/>
                <w:szCs w:val="21"/>
                <w:highlight w:val="none"/>
                <w:lang w:bidi="ar"/>
              </w:rPr>
              <w:t>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0311CB2">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691347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全国范围内承销中期票据和超短期融资券金额：</w:t>
            </w:r>
          </w:p>
          <w:p w14:paraId="3B1B58E7">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按照承销总金额评分，</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亿元≤承销金额＜</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亿元≤承销金额＜</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亿元得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分，承销金额＜</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亿元得0分。</w:t>
            </w:r>
          </w:p>
          <w:p w14:paraId="03DEF7DA">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62E32317">
            <w:pPr>
              <w:keepNext w:val="0"/>
              <w:keepLines w:val="0"/>
              <w:widowControl/>
              <w:suppressLineNumbers w:val="0"/>
              <w:jc w:val="left"/>
              <w:textAlignment w:val="auto"/>
              <w:rPr>
                <w:rFonts w:ascii="宋体" w:hAnsi="宋体" w:cs="宋体"/>
                <w:color w:val="auto"/>
                <w:szCs w:val="21"/>
                <w:highlight w:val="none"/>
              </w:rPr>
            </w:pPr>
            <w:r>
              <w:rPr>
                <w:rFonts w:hint="eastAsia"/>
                <w:color w:val="auto"/>
                <w:highlight w:val="none"/>
                <w:lang w:val="en-US" w:eastAsia="zh-CN"/>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color w:val="auto"/>
                <w:highlight w:val="none"/>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color w:val="auto"/>
                <w:highlight w:val="none"/>
              </w:rPr>
              <w:t>）；机构类型【证券】；债券分类（wind）（旧）：中期票据、</w:t>
            </w:r>
            <w:r>
              <w:rPr>
                <w:rFonts w:hint="eastAsia"/>
                <w:color w:val="auto"/>
                <w:highlight w:val="none"/>
                <w:lang w:val="en-US" w:eastAsia="zh-CN"/>
              </w:rPr>
              <w:t>超</w:t>
            </w:r>
            <w:r>
              <w:rPr>
                <w:rFonts w:hint="eastAsia"/>
                <w:color w:val="auto"/>
                <w:highlight w:val="none"/>
              </w:rPr>
              <w:t>短期融资券；企业性质：全部；主体评级：全部；地域分类：全国；合并母子公司进行查询</w:t>
            </w:r>
            <w:r>
              <w:rPr>
                <w:rFonts w:hint="eastAsia"/>
                <w:color w:val="auto"/>
                <w:highlight w:val="none"/>
                <w:lang w:eastAsia="zh-CN"/>
              </w:rPr>
              <w:t>；</w:t>
            </w:r>
            <w:r>
              <w:rPr>
                <w:rFonts w:hint="eastAsia" w:ascii="宋体" w:hAnsi="宋体" w:cs="宋体"/>
                <w:i w:val="0"/>
                <w:iCs w:val="0"/>
                <w:color w:val="auto"/>
                <w:kern w:val="0"/>
                <w:sz w:val="21"/>
                <w:szCs w:val="21"/>
                <w:highlight w:val="none"/>
                <w:u w:val="none"/>
                <w:lang w:val="en-US" w:eastAsia="zh-CN" w:bidi="ar"/>
              </w:rPr>
              <w:t>主体口径：名义发行主体。</w:t>
            </w:r>
            <w:r>
              <w:rPr>
                <w:rFonts w:hint="eastAsia"/>
                <w:color w:val="auto"/>
                <w:highlight w:val="none"/>
              </w:rPr>
              <w:t xml:space="preserve"> </w:t>
            </w:r>
          </w:p>
        </w:tc>
      </w:tr>
      <w:tr w14:paraId="1A580435">
        <w:tblPrEx>
          <w:tblCellMar>
            <w:top w:w="0" w:type="dxa"/>
            <w:left w:w="108" w:type="dxa"/>
            <w:bottom w:w="0" w:type="dxa"/>
            <w:right w:w="108" w:type="dxa"/>
          </w:tblCellMar>
        </w:tblPrEx>
        <w:trPr>
          <w:trHeight w:val="3700" w:hRule="atLeast"/>
        </w:trPr>
        <w:tc>
          <w:tcPr>
            <w:tcW w:w="704" w:type="dxa"/>
            <w:vMerge w:val="continue"/>
            <w:tcBorders>
              <w:left w:val="single" w:color="000000" w:sz="4" w:space="0"/>
              <w:right w:val="single" w:color="000000" w:sz="4" w:space="0"/>
            </w:tcBorders>
            <w:vAlign w:val="center"/>
          </w:tcPr>
          <w:p w14:paraId="27A381A6">
            <w:pP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3F73203D">
            <w:pP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C5D9C2E">
            <w:pPr>
              <w:jc w:val="center"/>
              <w:rPr>
                <w:rFonts w:ascii="宋体" w:hAnsi="宋体" w:cs="宋体"/>
                <w:color w:val="auto"/>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19752AD">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1A82392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全国范围内承销中期票据和超短期融资券</w:t>
            </w:r>
            <w:r>
              <w:rPr>
                <w:rFonts w:hint="eastAsia" w:ascii="宋体" w:hAnsi="宋体" w:cs="宋体"/>
                <w:i w:val="0"/>
                <w:iCs w:val="0"/>
                <w:color w:val="auto"/>
                <w:kern w:val="0"/>
                <w:sz w:val="21"/>
                <w:szCs w:val="21"/>
                <w:highlight w:val="none"/>
                <w:u w:val="none"/>
                <w:lang w:val="en-US" w:eastAsia="zh-CN" w:bidi="ar"/>
              </w:rPr>
              <w:t>只数</w:t>
            </w:r>
            <w:r>
              <w:rPr>
                <w:rFonts w:hint="eastAsia" w:ascii="宋体" w:hAnsi="宋体" w:eastAsia="宋体" w:cs="宋体"/>
                <w:i w:val="0"/>
                <w:iCs w:val="0"/>
                <w:color w:val="auto"/>
                <w:kern w:val="0"/>
                <w:sz w:val="21"/>
                <w:szCs w:val="21"/>
                <w:highlight w:val="none"/>
                <w:u w:val="none"/>
                <w:lang w:val="en-US" w:eastAsia="zh-CN" w:bidi="ar"/>
              </w:rPr>
              <w:t>：</w:t>
            </w:r>
          </w:p>
          <w:p w14:paraId="6FC94FEA">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按照承销只数评分，</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分，承销只数＜</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只得0分。</w:t>
            </w:r>
          </w:p>
          <w:p w14:paraId="6D1768D5">
            <w:pPr>
              <w:keepNext w:val="0"/>
              <w:keepLines w:val="0"/>
              <w:widowControl/>
              <w:suppressLineNumbers w:val="0"/>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p w14:paraId="31F315E2">
            <w:pPr>
              <w:keepNext w:val="0"/>
              <w:keepLines w:val="0"/>
              <w:widowControl/>
              <w:suppressLineNumbers w:val="0"/>
              <w:jc w:val="left"/>
              <w:textAlignment w:val="auto"/>
              <w:rPr>
                <w:rFonts w:ascii="宋体" w:hAnsi="宋体" w:cs="宋体"/>
                <w:color w:val="auto"/>
                <w:szCs w:val="21"/>
                <w:highlight w:val="none"/>
              </w:rPr>
            </w:pPr>
            <w:r>
              <w:rPr>
                <w:rFonts w:hint="eastAsia"/>
                <w:color w:val="auto"/>
                <w:highlight w:val="none"/>
                <w:lang w:val="en-US" w:eastAsia="zh-CN"/>
              </w:rPr>
              <w:t>2.</w:t>
            </w:r>
            <w:r>
              <w:rPr>
                <w:rFonts w:hint="eastAsia" w:ascii="宋体" w:hAnsi="宋体" w:cs="宋体"/>
                <w:i w:val="0"/>
                <w:iCs w:val="0"/>
                <w:color w:val="auto"/>
                <w:kern w:val="0"/>
                <w:sz w:val="21"/>
                <w:szCs w:val="21"/>
                <w:highlight w:val="none"/>
                <w:u w:val="none"/>
                <w:lang w:val="en-US" w:eastAsia="zh-CN" w:bidi="ar"/>
              </w:rPr>
              <w:t>具体WIND路径为：</w:t>
            </w:r>
            <w:r>
              <w:rPr>
                <w:rFonts w:hint="eastAsia"/>
                <w:color w:val="auto"/>
                <w:highlight w:val="none"/>
              </w:rPr>
              <w:t>债券-专题统计-一级市场-债券承销排名（Wind口径）-统计年度（</w:t>
            </w:r>
            <w:r>
              <w:rPr>
                <w:rFonts w:hint="eastAsia" w:ascii="宋体" w:hAnsi="宋体" w:cs="宋体"/>
                <w:i w:val="0"/>
                <w:iCs w:val="0"/>
                <w:color w:val="auto"/>
                <w:kern w:val="0"/>
                <w:sz w:val="21"/>
                <w:szCs w:val="21"/>
                <w:highlight w:val="none"/>
                <w:u w:val="none"/>
                <w:lang w:val="en-US" w:eastAsia="zh-CN" w:bidi="ar"/>
              </w:rPr>
              <w:t>2024年1月1日至2025年12月31日</w:t>
            </w:r>
            <w:r>
              <w:rPr>
                <w:rFonts w:hint="eastAsia"/>
                <w:color w:val="auto"/>
                <w:highlight w:val="none"/>
              </w:rPr>
              <w:t>）；机构类型【证券】；债券分类（wind）（旧）：中期票据、</w:t>
            </w:r>
            <w:r>
              <w:rPr>
                <w:rFonts w:hint="eastAsia"/>
                <w:color w:val="auto"/>
                <w:highlight w:val="none"/>
                <w:lang w:val="en-US" w:eastAsia="zh-CN"/>
              </w:rPr>
              <w:t>超</w:t>
            </w:r>
            <w:r>
              <w:rPr>
                <w:rFonts w:hint="eastAsia"/>
                <w:color w:val="auto"/>
                <w:highlight w:val="none"/>
              </w:rPr>
              <w:t>短期融资券；企业性质：全部；主体评级：全部；地域分类：全国；合并母子公司进行查询</w:t>
            </w:r>
            <w:r>
              <w:rPr>
                <w:rFonts w:hint="eastAsia"/>
                <w:color w:val="auto"/>
                <w:highlight w:val="none"/>
                <w:lang w:eastAsia="zh-CN"/>
              </w:rPr>
              <w:t>；</w:t>
            </w:r>
            <w:r>
              <w:rPr>
                <w:rFonts w:hint="eastAsia" w:ascii="宋体" w:hAnsi="宋体" w:cs="宋体"/>
                <w:i w:val="0"/>
                <w:iCs w:val="0"/>
                <w:color w:val="auto"/>
                <w:kern w:val="0"/>
                <w:sz w:val="21"/>
                <w:szCs w:val="21"/>
                <w:highlight w:val="none"/>
                <w:u w:val="none"/>
                <w:lang w:val="en-US" w:eastAsia="zh-CN" w:bidi="ar"/>
              </w:rPr>
              <w:t>主体口径：名义发行主体。</w:t>
            </w:r>
          </w:p>
        </w:tc>
      </w:tr>
      <w:tr w14:paraId="013D1230">
        <w:tblPrEx>
          <w:tblCellMar>
            <w:top w:w="0" w:type="dxa"/>
            <w:left w:w="108" w:type="dxa"/>
            <w:bottom w:w="0" w:type="dxa"/>
            <w:right w:w="108" w:type="dxa"/>
          </w:tblCellMar>
        </w:tblPrEx>
        <w:trPr>
          <w:trHeight w:val="2516" w:hRule="atLeast"/>
        </w:trPr>
        <w:tc>
          <w:tcPr>
            <w:tcW w:w="704" w:type="dxa"/>
            <w:vMerge w:val="continue"/>
            <w:tcBorders>
              <w:left w:val="single" w:color="000000" w:sz="4" w:space="0"/>
              <w:right w:val="single" w:color="000000" w:sz="4" w:space="0"/>
            </w:tcBorders>
            <w:vAlign w:val="center"/>
          </w:tcPr>
          <w:p w14:paraId="16224BB4">
            <w:pP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6C9A2317">
            <w:pPr>
              <w:jc w:val="center"/>
              <w:rPr>
                <w:rFonts w:ascii="宋体" w:hAnsi="宋体" w:cs="宋体"/>
                <w:color w:val="auto"/>
                <w:szCs w:val="21"/>
                <w:highlight w:val="none"/>
              </w:rPr>
            </w:pPr>
          </w:p>
        </w:tc>
        <w:tc>
          <w:tcPr>
            <w:tcW w:w="675" w:type="dxa"/>
            <w:vMerge w:val="restart"/>
            <w:tcBorders>
              <w:top w:val="single" w:color="000000" w:sz="4" w:space="0"/>
              <w:left w:val="single" w:color="000000" w:sz="4" w:space="0"/>
              <w:right w:val="single" w:color="000000" w:sz="4" w:space="0"/>
            </w:tcBorders>
            <w:vAlign w:val="center"/>
          </w:tcPr>
          <w:p w14:paraId="21164963">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取消发行的债券数量</w:t>
            </w:r>
          </w:p>
        </w:tc>
        <w:tc>
          <w:tcPr>
            <w:tcW w:w="585" w:type="dxa"/>
            <w:vMerge w:val="restart"/>
            <w:tcBorders>
              <w:top w:val="single" w:color="000000" w:sz="4" w:space="0"/>
              <w:left w:val="single" w:color="000000" w:sz="4" w:space="0"/>
              <w:right w:val="single" w:color="000000" w:sz="4" w:space="0"/>
            </w:tcBorders>
            <w:vAlign w:val="center"/>
          </w:tcPr>
          <w:p w14:paraId="2BF8A1D3">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vAlign w:val="center"/>
          </w:tcPr>
          <w:p w14:paraId="23C1667A">
            <w:pPr>
              <w:widowControl/>
              <w:shd w:val="clear"/>
              <w:jc w:val="left"/>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2024年1月1日-2025年12月31日，投标人作为主承销商发行债券取消发行债券情况，取消</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含</w:t>
            </w:r>
            <w:r>
              <w:rPr>
                <w:rFonts w:hint="eastAsia" w:ascii="宋体" w:hAnsi="宋体" w:cs="宋体"/>
                <w:color w:val="auto"/>
                <w:kern w:val="0"/>
                <w:szCs w:val="21"/>
                <w:highlight w:val="none"/>
                <w:lang w:eastAsia="zh-CN" w:bidi="ar"/>
              </w:rPr>
              <w:t>）只</w:t>
            </w:r>
            <w:r>
              <w:rPr>
                <w:rFonts w:hint="eastAsia" w:ascii="宋体" w:hAnsi="宋体" w:cs="宋体"/>
                <w:color w:val="auto"/>
                <w:kern w:val="0"/>
                <w:szCs w:val="21"/>
                <w:highlight w:val="none"/>
                <w:lang w:val="en-US" w:eastAsia="zh-CN" w:bidi="ar"/>
              </w:rPr>
              <w:t>以内</w:t>
            </w:r>
            <w:r>
              <w:rPr>
                <w:rFonts w:hint="eastAsia" w:ascii="宋体" w:hAnsi="宋体" w:cs="宋体"/>
                <w:color w:val="auto"/>
                <w:kern w:val="0"/>
                <w:szCs w:val="21"/>
                <w:highlight w:val="none"/>
                <w:lang w:eastAsia="zh-CN" w:bidi="ar"/>
              </w:rPr>
              <w:t>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eastAsia="zh-CN" w:bidi="ar"/>
              </w:rPr>
              <w:t>分，取消</w:t>
            </w:r>
            <w:r>
              <w:rPr>
                <w:rFonts w:hint="eastAsia" w:ascii="宋体" w:hAnsi="宋体" w:cs="宋体"/>
                <w:color w:val="auto"/>
                <w:kern w:val="0"/>
                <w:szCs w:val="21"/>
                <w:highlight w:val="none"/>
                <w:lang w:val="en-US" w:eastAsia="zh-CN" w:bidi="ar"/>
              </w:rPr>
              <w:t>10（不含）</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含</w:t>
            </w:r>
            <w:r>
              <w:rPr>
                <w:rFonts w:hint="eastAsia" w:ascii="宋体" w:hAnsi="宋体" w:cs="宋体"/>
                <w:color w:val="auto"/>
                <w:kern w:val="0"/>
                <w:szCs w:val="21"/>
                <w:highlight w:val="none"/>
                <w:lang w:eastAsia="zh-CN" w:bidi="ar"/>
              </w:rPr>
              <w:t>）只得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eastAsia="zh-CN" w:bidi="ar"/>
              </w:rPr>
              <w:t>分，取消</w:t>
            </w:r>
            <w:r>
              <w:rPr>
                <w:rFonts w:hint="eastAsia" w:ascii="宋体" w:hAnsi="宋体" w:cs="宋体"/>
                <w:color w:val="auto"/>
                <w:kern w:val="0"/>
                <w:szCs w:val="21"/>
                <w:highlight w:val="none"/>
                <w:lang w:val="en-US" w:eastAsia="zh-CN" w:bidi="ar"/>
              </w:rPr>
              <w:t>30（不含）</w:t>
            </w:r>
            <w:r>
              <w:rPr>
                <w:rFonts w:hint="eastAsia" w:ascii="宋体" w:hAnsi="宋体" w:cs="宋体"/>
                <w:color w:val="auto"/>
                <w:kern w:val="0"/>
                <w:szCs w:val="21"/>
                <w:highlight w:val="none"/>
                <w:lang w:eastAsia="zh-CN" w:bidi="ar"/>
              </w:rPr>
              <w:t>只以上得0分。</w:t>
            </w:r>
          </w:p>
          <w:p w14:paraId="61F6A990">
            <w:pPr>
              <w:pStyle w:val="22"/>
              <w:shd w:val="clear"/>
              <w:rPr>
                <w:color w:val="auto"/>
                <w:sz w:val="21"/>
                <w:szCs w:val="21"/>
                <w:highlight w:val="none"/>
                <w:lang w:bidi="ar"/>
              </w:rPr>
            </w:pPr>
            <w:r>
              <w:rPr>
                <w:rFonts w:hint="eastAsia"/>
                <w:color w:val="auto"/>
                <w:sz w:val="21"/>
                <w:szCs w:val="21"/>
                <w:highlight w:val="none"/>
                <w:lang w:bidi="ar"/>
              </w:rPr>
              <w:t>注：需附</w:t>
            </w:r>
            <w:r>
              <w:rPr>
                <w:rFonts w:hint="eastAsia"/>
                <w:color w:val="auto"/>
                <w:sz w:val="21"/>
                <w:szCs w:val="21"/>
                <w:highlight w:val="none"/>
                <w:lang w:eastAsia="zh-CN" w:bidi="ar"/>
              </w:rPr>
              <w:t>Wind资讯金融终端</w:t>
            </w:r>
            <w:r>
              <w:rPr>
                <w:rFonts w:hint="eastAsia"/>
                <w:color w:val="auto"/>
                <w:sz w:val="21"/>
                <w:szCs w:val="21"/>
                <w:highlight w:val="none"/>
                <w:lang w:bidi="ar"/>
              </w:rPr>
              <w:t>导出数据截图</w:t>
            </w:r>
          </w:p>
          <w:p w14:paraId="1F3F4C20">
            <w:pPr>
              <w:pStyle w:val="22"/>
              <w:shd w:val="clear"/>
              <w:rPr>
                <w:color w:val="auto"/>
                <w:sz w:val="21"/>
                <w:szCs w:val="21"/>
                <w:highlight w:val="none"/>
                <w:lang w:bidi="ar"/>
              </w:rPr>
            </w:pPr>
            <w:r>
              <w:rPr>
                <w:rFonts w:hint="eastAsia"/>
                <w:color w:val="auto"/>
                <w:sz w:val="21"/>
                <w:szCs w:val="21"/>
                <w:highlight w:val="none"/>
                <w:lang w:bidi="ar"/>
              </w:rPr>
              <w:t>数据请通过</w:t>
            </w:r>
            <w:r>
              <w:rPr>
                <w:rFonts w:hint="eastAsia"/>
                <w:color w:val="auto"/>
                <w:sz w:val="21"/>
                <w:szCs w:val="21"/>
                <w:highlight w:val="none"/>
                <w:lang w:eastAsia="zh-CN" w:bidi="ar"/>
              </w:rPr>
              <w:t>Wind资讯金融终端</w:t>
            </w:r>
            <w:r>
              <w:rPr>
                <w:rFonts w:hint="eastAsia"/>
                <w:color w:val="auto"/>
                <w:sz w:val="21"/>
                <w:szCs w:val="21"/>
                <w:highlight w:val="none"/>
                <w:lang w:bidi="ar"/>
              </w:rPr>
              <w:t>导出，导出路径如下：</w:t>
            </w:r>
          </w:p>
          <w:p w14:paraId="65ADC7FC">
            <w:pPr>
              <w:widowControl/>
              <w:shd w:val="clear"/>
              <w:jc w:val="left"/>
              <w:textAlignment w:val="center"/>
              <w:rPr>
                <w:rFonts w:hint="eastAsia" w:ascii="宋体" w:hAnsi="宋体" w:cs="宋体"/>
                <w:color w:val="auto"/>
                <w:kern w:val="0"/>
                <w:szCs w:val="21"/>
                <w:highlight w:val="none"/>
                <w:lang w:bidi="ar"/>
              </w:rPr>
            </w:pPr>
            <w:r>
              <w:rPr>
                <w:rFonts w:hint="eastAsia"/>
                <w:color w:val="auto"/>
                <w:sz w:val="21"/>
                <w:szCs w:val="21"/>
                <w:highlight w:val="none"/>
                <w:lang w:bidi="ar"/>
              </w:rPr>
              <w:t>债券-专题统计-一级市场债券-推迟或取消发行债券-起始日期：</w:t>
            </w:r>
            <w:r>
              <w:rPr>
                <w:rFonts w:hint="eastAsia" w:ascii="宋体" w:hAnsi="宋体" w:cs="宋体"/>
                <w:color w:val="auto"/>
                <w:kern w:val="0"/>
                <w:szCs w:val="21"/>
                <w:highlight w:val="none"/>
                <w:lang w:eastAsia="zh-CN" w:bidi="ar"/>
              </w:rPr>
              <w:t>2024年1月1日</w:t>
            </w:r>
            <w:r>
              <w:rPr>
                <w:rFonts w:hint="eastAsia"/>
                <w:color w:val="auto"/>
                <w:sz w:val="21"/>
                <w:szCs w:val="21"/>
                <w:highlight w:val="none"/>
                <w:lang w:bidi="ar"/>
              </w:rPr>
              <w:t>；截止日期：</w:t>
            </w:r>
            <w:r>
              <w:rPr>
                <w:rFonts w:hint="eastAsia" w:ascii="宋体" w:hAnsi="宋体" w:cs="宋体"/>
                <w:color w:val="auto"/>
                <w:kern w:val="0"/>
                <w:szCs w:val="21"/>
                <w:highlight w:val="none"/>
                <w:lang w:eastAsia="zh-CN" w:bidi="ar"/>
              </w:rPr>
              <w:t>2025年12月31日</w:t>
            </w:r>
            <w:r>
              <w:rPr>
                <w:rFonts w:hint="eastAsia"/>
                <w:color w:val="auto"/>
                <w:sz w:val="21"/>
                <w:szCs w:val="21"/>
                <w:highlight w:val="none"/>
                <w:lang w:bidi="ar"/>
              </w:rPr>
              <w:t>-债券类型：债券分类（NAFMII）；上市地点：银行间；事件类型：取消发行</w:t>
            </w:r>
          </w:p>
        </w:tc>
      </w:tr>
      <w:tr w14:paraId="24E5BB5B">
        <w:tblPrEx>
          <w:tblCellMar>
            <w:top w:w="0" w:type="dxa"/>
            <w:left w:w="108" w:type="dxa"/>
            <w:bottom w:w="0" w:type="dxa"/>
            <w:right w:w="108" w:type="dxa"/>
          </w:tblCellMar>
        </w:tblPrEx>
        <w:trPr>
          <w:trHeight w:val="1258" w:hRule="atLeast"/>
        </w:trPr>
        <w:tc>
          <w:tcPr>
            <w:tcW w:w="704" w:type="dxa"/>
            <w:vMerge w:val="continue"/>
            <w:tcBorders>
              <w:left w:val="single" w:color="000000" w:sz="4" w:space="0"/>
              <w:bottom w:val="single" w:color="000000" w:sz="4" w:space="0"/>
              <w:right w:val="single" w:color="000000" w:sz="4" w:space="0"/>
            </w:tcBorders>
            <w:vAlign w:val="center"/>
          </w:tcPr>
          <w:p w14:paraId="0FD5C7EE">
            <w:pPr>
              <w:jc w:val="center"/>
              <w:rPr>
                <w:rFonts w:ascii="宋体" w:hAnsi="宋体" w:cs="宋体"/>
                <w:color w:val="auto"/>
                <w:szCs w:val="21"/>
                <w:highlight w:val="none"/>
              </w:rPr>
            </w:pPr>
          </w:p>
        </w:tc>
        <w:tc>
          <w:tcPr>
            <w:tcW w:w="675" w:type="dxa"/>
            <w:vMerge w:val="continue"/>
            <w:tcBorders>
              <w:left w:val="single" w:color="000000" w:sz="4" w:space="0"/>
              <w:bottom w:val="single" w:color="000000" w:sz="4" w:space="0"/>
              <w:right w:val="single" w:color="000000" w:sz="4" w:space="0"/>
            </w:tcBorders>
            <w:vAlign w:val="center"/>
          </w:tcPr>
          <w:p w14:paraId="2384BDE0">
            <w:pPr>
              <w:jc w:val="center"/>
              <w:rPr>
                <w:rFonts w:ascii="宋体" w:hAnsi="宋体" w:cs="宋体"/>
                <w:color w:val="auto"/>
                <w:szCs w:val="21"/>
                <w:highlight w:val="none"/>
              </w:rPr>
            </w:pPr>
          </w:p>
        </w:tc>
        <w:tc>
          <w:tcPr>
            <w:tcW w:w="675" w:type="dxa"/>
            <w:vMerge w:val="restart"/>
            <w:tcBorders>
              <w:top w:val="single" w:color="000000" w:sz="4" w:space="0"/>
              <w:left w:val="single" w:color="000000" w:sz="4" w:space="0"/>
              <w:right w:val="single" w:color="000000" w:sz="4" w:space="0"/>
            </w:tcBorders>
            <w:vAlign w:val="center"/>
          </w:tcPr>
          <w:p w14:paraId="2FFF5EA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项目团队配置</w:t>
            </w:r>
          </w:p>
        </w:tc>
        <w:tc>
          <w:tcPr>
            <w:tcW w:w="585" w:type="dxa"/>
            <w:vMerge w:val="restart"/>
            <w:tcBorders>
              <w:top w:val="single" w:color="000000" w:sz="4" w:space="0"/>
              <w:left w:val="single" w:color="000000" w:sz="4" w:space="0"/>
              <w:right w:val="single" w:color="000000" w:sz="4" w:space="0"/>
            </w:tcBorders>
            <w:vAlign w:val="center"/>
          </w:tcPr>
          <w:p w14:paraId="2D202A52">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strike w:val="0"/>
                <w:dstrike w:val="0"/>
                <w:color w:val="auto"/>
                <w:szCs w:val="21"/>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2EF">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项目团队人员具备地方国有企业</w:t>
            </w:r>
            <w:r>
              <w:rPr>
                <w:rFonts w:hint="eastAsia" w:ascii="宋体" w:hAnsi="宋体" w:cs="宋体"/>
                <w:i w:val="0"/>
                <w:iCs w:val="0"/>
                <w:color w:val="auto"/>
                <w:kern w:val="0"/>
                <w:sz w:val="21"/>
                <w:szCs w:val="21"/>
                <w:highlight w:val="none"/>
                <w:u w:val="none"/>
                <w:lang w:val="en-US" w:eastAsia="zh-CN" w:bidi="ar"/>
              </w:rPr>
              <w:t>债务融资工具</w:t>
            </w:r>
            <w:r>
              <w:rPr>
                <w:rFonts w:hint="eastAsia" w:ascii="宋体" w:hAnsi="宋体" w:eastAsia="宋体" w:cs="宋体"/>
                <w:i w:val="0"/>
                <w:iCs w:val="0"/>
                <w:color w:val="auto"/>
                <w:kern w:val="0"/>
                <w:sz w:val="21"/>
                <w:szCs w:val="21"/>
                <w:highlight w:val="none"/>
                <w:u w:val="none"/>
                <w:lang w:val="en-US" w:eastAsia="zh-CN" w:bidi="ar"/>
              </w:rPr>
              <w:t>发行经验，有过Wind行业（二级）为“运输”债券发行（独主或牵头主）经验，根据项目团队人员配置、专业资格、项目经验、工作经历等客观因素进行综合评价，最高得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p w14:paraId="71293C76">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注：需提供募集说明书签字页或主承销商联系人页面的复印件。</w:t>
            </w:r>
          </w:p>
          <w:p w14:paraId="54FDC363">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项目团队人员中每有一人持有注册会计师证或法律职业资格证书得</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分，最高得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p w14:paraId="56F5DD1E">
            <w:pPr>
              <w:keepNext w:val="0"/>
              <w:keepLines w:val="0"/>
              <w:widowControl/>
              <w:suppressLineNumbers w:val="0"/>
              <w:shd w:val="clear"/>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注：附注册会计师证书复印件（如有）或法律职业资格证书复印件（如有）。一人同时具有2个证书的，只加</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分，不累计加分。</w:t>
            </w:r>
          </w:p>
        </w:tc>
      </w:tr>
      <w:tr w14:paraId="280EBFE3">
        <w:tblPrEx>
          <w:tblCellMar>
            <w:top w:w="0" w:type="dxa"/>
            <w:left w:w="108" w:type="dxa"/>
            <w:bottom w:w="0" w:type="dxa"/>
            <w:right w:w="108" w:type="dxa"/>
          </w:tblCellMar>
        </w:tblPrEx>
        <w:trPr>
          <w:trHeight w:val="3118"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45FEB8A0">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服务方案部分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暗标</w:t>
            </w:r>
            <w:r>
              <w:rPr>
                <w:rFonts w:hint="eastAsia" w:ascii="宋体" w:hAnsi="宋体" w:cs="宋体"/>
                <w:color w:val="auto"/>
                <w:kern w:val="0"/>
                <w:szCs w:val="21"/>
                <w:highlight w:val="none"/>
                <w:lang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460D33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40分</w:t>
            </w:r>
          </w:p>
        </w:tc>
        <w:tc>
          <w:tcPr>
            <w:tcW w:w="675" w:type="dxa"/>
            <w:tcBorders>
              <w:top w:val="single" w:color="000000" w:sz="4" w:space="0"/>
              <w:left w:val="single" w:color="000000" w:sz="4" w:space="0"/>
              <w:bottom w:val="single" w:color="000000" w:sz="4" w:space="0"/>
              <w:right w:val="single" w:color="000000" w:sz="4" w:space="0"/>
            </w:tcBorders>
            <w:vAlign w:val="center"/>
          </w:tcPr>
          <w:p w14:paraId="5D270F65">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方案</w:t>
            </w:r>
          </w:p>
        </w:tc>
        <w:tc>
          <w:tcPr>
            <w:tcW w:w="585" w:type="dxa"/>
            <w:tcBorders>
              <w:top w:val="single" w:color="000000" w:sz="4" w:space="0"/>
              <w:left w:val="single" w:color="000000" w:sz="4" w:space="0"/>
              <w:bottom w:val="single" w:color="000000" w:sz="4" w:space="0"/>
              <w:right w:val="single" w:color="000000" w:sz="4" w:space="0"/>
            </w:tcBorders>
            <w:vAlign w:val="center"/>
          </w:tcPr>
          <w:p w14:paraId="59352936">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491871A2">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根据本项目特点和发行要求，制定项目方案，包括但不限于政策环境分析、可行性分析、时间安排、相关保障服务（包括不限于余额包销和自主投资能力等）等进行综合评价。</w:t>
            </w:r>
          </w:p>
          <w:p w14:paraId="0484C72F">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第一档方案详细完整、针对性强，可行性高、保障措施完备的，得</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p w14:paraId="1DA234ED">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第二档方案基本完整、针对性较强，可行性较高、保障措施较好的，得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分</w:t>
            </w:r>
          </w:p>
          <w:p w14:paraId="07EAF61F">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第三档方案基本完整、针对性一般、可行性一般、保障措施一般的，得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p w14:paraId="17A84487">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缺项得0分。</w:t>
            </w:r>
          </w:p>
        </w:tc>
      </w:tr>
      <w:tr w14:paraId="72421D69">
        <w:tblPrEx>
          <w:tblCellMar>
            <w:top w:w="0" w:type="dxa"/>
            <w:left w:w="108" w:type="dxa"/>
            <w:bottom w:w="0" w:type="dxa"/>
            <w:right w:w="108" w:type="dxa"/>
          </w:tblCellMar>
        </w:tblPrEx>
        <w:trPr>
          <w:trHeight w:val="1982"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31B7A93">
            <w:pP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33FD257">
            <w:pPr>
              <w:jc w:val="center"/>
              <w:rPr>
                <w:rFonts w:ascii="宋体" w:hAnsi="宋体" w:cs="宋体"/>
                <w:color w:val="auto"/>
                <w:szCs w:val="21"/>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E0C22A4">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发行保障措施</w:t>
            </w:r>
          </w:p>
        </w:tc>
        <w:tc>
          <w:tcPr>
            <w:tcW w:w="585" w:type="dxa"/>
            <w:tcBorders>
              <w:top w:val="single" w:color="000000" w:sz="4" w:space="0"/>
              <w:left w:val="single" w:color="000000" w:sz="4" w:space="0"/>
              <w:bottom w:val="single" w:color="000000" w:sz="4" w:space="0"/>
              <w:right w:val="single" w:color="000000" w:sz="4" w:space="0"/>
            </w:tcBorders>
            <w:vAlign w:val="center"/>
          </w:tcPr>
          <w:p w14:paraId="0B77C9E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760EE5BB">
            <w:pPr>
              <w:widowControl/>
              <w:shd w:val="clear"/>
              <w:jc w:val="left"/>
              <w:textAlignment w:val="center"/>
              <w:rPr>
                <w:color w:val="auto"/>
                <w:highlight w:val="none"/>
              </w:rPr>
            </w:pPr>
            <w:r>
              <w:rPr>
                <w:rFonts w:hint="eastAsia"/>
                <w:color w:val="auto"/>
                <w:highlight w:val="none"/>
              </w:rPr>
              <w:t>对宏观市场分析，近期利率走势，本期债券定价，及余额包销能力相关措施</w:t>
            </w:r>
          </w:p>
          <w:p w14:paraId="631C2D4F">
            <w:pPr>
              <w:widowControl/>
              <w:shd w:val="clear"/>
              <w:jc w:val="left"/>
              <w:textAlignment w:val="center"/>
              <w:rPr>
                <w:color w:val="auto"/>
                <w:highlight w:val="none"/>
              </w:rPr>
            </w:pPr>
            <w:r>
              <w:rPr>
                <w:rFonts w:hint="eastAsia"/>
                <w:color w:val="auto"/>
                <w:highlight w:val="none"/>
              </w:rPr>
              <w:t>1.措施完善、合理可行，能较好的满足本项目要求得</w:t>
            </w:r>
            <w:r>
              <w:rPr>
                <w:rFonts w:hint="eastAsia"/>
                <w:color w:val="auto"/>
                <w:highlight w:val="none"/>
                <w:lang w:val="en-US" w:eastAsia="zh-CN"/>
              </w:rPr>
              <w:t>12</w:t>
            </w:r>
            <w:r>
              <w:rPr>
                <w:rFonts w:hint="eastAsia"/>
                <w:color w:val="auto"/>
                <w:highlight w:val="none"/>
              </w:rPr>
              <w:t>-1</w:t>
            </w:r>
            <w:r>
              <w:rPr>
                <w:rFonts w:hint="eastAsia"/>
                <w:color w:val="auto"/>
                <w:highlight w:val="none"/>
                <w:lang w:val="en-US" w:eastAsia="zh-CN"/>
              </w:rPr>
              <w:t>5</w:t>
            </w:r>
            <w:r>
              <w:rPr>
                <w:rFonts w:hint="eastAsia"/>
                <w:color w:val="auto"/>
                <w:highlight w:val="none"/>
              </w:rPr>
              <w:t>分；</w:t>
            </w:r>
          </w:p>
          <w:p w14:paraId="3F543E7C">
            <w:pPr>
              <w:widowControl/>
              <w:shd w:val="clear"/>
              <w:jc w:val="left"/>
              <w:textAlignment w:val="center"/>
              <w:rPr>
                <w:color w:val="auto"/>
                <w:highlight w:val="none"/>
              </w:rPr>
            </w:pPr>
            <w:r>
              <w:rPr>
                <w:rFonts w:hint="eastAsia"/>
                <w:color w:val="auto"/>
                <w:highlight w:val="none"/>
              </w:rPr>
              <w:t>2.较合理完善，可行性一般，能满足本项目要求得</w:t>
            </w: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12</w:t>
            </w:r>
            <w:r>
              <w:rPr>
                <w:rFonts w:hint="eastAsia"/>
                <w:color w:val="auto"/>
                <w:highlight w:val="none"/>
              </w:rPr>
              <w:t>分；</w:t>
            </w:r>
          </w:p>
          <w:p w14:paraId="37180CD6">
            <w:pPr>
              <w:widowControl/>
              <w:shd w:val="clear"/>
              <w:jc w:val="left"/>
              <w:textAlignment w:val="center"/>
              <w:rPr>
                <w:color w:val="auto"/>
                <w:highlight w:val="none"/>
              </w:rPr>
            </w:pPr>
            <w:r>
              <w:rPr>
                <w:rFonts w:hint="eastAsia"/>
                <w:color w:val="auto"/>
                <w:highlight w:val="none"/>
              </w:rPr>
              <w:t>3.合理性一般，可操作性一般得</w:t>
            </w:r>
            <w:r>
              <w:rPr>
                <w:rFonts w:hint="eastAsia"/>
                <w:color w:val="auto"/>
                <w:highlight w:val="none"/>
                <w:lang w:val="en-US" w:eastAsia="zh-CN"/>
              </w:rPr>
              <w:t>9</w:t>
            </w:r>
            <w:r>
              <w:rPr>
                <w:rFonts w:hint="eastAsia"/>
                <w:color w:val="auto"/>
                <w:highlight w:val="none"/>
              </w:rPr>
              <w:t>分。</w:t>
            </w:r>
          </w:p>
          <w:p w14:paraId="2CD57DFA">
            <w:pPr>
              <w:pStyle w:val="12"/>
              <w:shd w:val="clear"/>
              <w:ind w:left="0" w:leftChars="0" w:firstLine="0" w:firstLineChars="0"/>
              <w:rPr>
                <w:rFonts w:hint="default" w:eastAsia="宋体"/>
                <w:color w:val="auto"/>
                <w:highlight w:val="none"/>
                <w:lang w:val="en-US" w:eastAsia="zh-CN"/>
              </w:rPr>
            </w:pPr>
            <w:r>
              <w:rPr>
                <w:rFonts w:hint="eastAsia"/>
                <w:color w:val="auto"/>
                <w:highlight w:val="none"/>
              </w:rPr>
              <w:t>缺项得0分</w:t>
            </w:r>
          </w:p>
        </w:tc>
      </w:tr>
      <w:tr w14:paraId="3A5C0602">
        <w:tblPrEx>
          <w:tblCellMar>
            <w:top w:w="0" w:type="dxa"/>
            <w:left w:w="108" w:type="dxa"/>
            <w:bottom w:w="0" w:type="dxa"/>
            <w:right w:w="108" w:type="dxa"/>
          </w:tblCellMar>
        </w:tblPrEx>
        <w:trPr>
          <w:trHeight w:val="18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D00B102">
            <w:pP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D53AEC5">
            <w:pPr>
              <w:jc w:val="center"/>
              <w:rPr>
                <w:rFonts w:ascii="宋体" w:hAnsi="宋体" w:cs="宋体"/>
                <w:color w:val="auto"/>
                <w:szCs w:val="21"/>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CB35358">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服务及存续期管理措施</w:t>
            </w:r>
          </w:p>
        </w:tc>
        <w:tc>
          <w:tcPr>
            <w:tcW w:w="585" w:type="dxa"/>
            <w:tcBorders>
              <w:top w:val="single" w:color="000000" w:sz="4" w:space="0"/>
              <w:left w:val="single" w:color="000000" w:sz="4" w:space="0"/>
              <w:bottom w:val="single" w:color="000000" w:sz="4" w:space="0"/>
              <w:right w:val="single" w:color="000000" w:sz="4" w:space="0"/>
            </w:tcBorders>
            <w:vAlign w:val="center"/>
          </w:tcPr>
          <w:p w14:paraId="33289FA2">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2C932099">
            <w:pPr>
              <w:widowControl/>
              <w:shd w:val="clear"/>
              <w:jc w:val="left"/>
              <w:textAlignment w:val="center"/>
              <w:rPr>
                <w:color w:val="auto"/>
                <w:highlight w:val="none"/>
              </w:rPr>
            </w:pPr>
            <w:r>
              <w:rPr>
                <w:rFonts w:hint="eastAsia"/>
                <w:color w:val="auto"/>
                <w:highlight w:val="none"/>
              </w:rPr>
              <w:t>1.措施完善、合理可行，能较好的满足本项目要求得8-10分；</w:t>
            </w:r>
          </w:p>
          <w:p w14:paraId="7C0AEED0">
            <w:pPr>
              <w:widowControl/>
              <w:shd w:val="clear"/>
              <w:jc w:val="left"/>
              <w:textAlignment w:val="center"/>
              <w:rPr>
                <w:color w:val="auto"/>
                <w:highlight w:val="none"/>
              </w:rPr>
            </w:pPr>
            <w:r>
              <w:rPr>
                <w:rFonts w:hint="eastAsia"/>
                <w:color w:val="auto"/>
                <w:highlight w:val="none"/>
              </w:rPr>
              <w:t>2.较合理完善，可行性一般，能满足本项目要求得6-8分；</w:t>
            </w:r>
          </w:p>
          <w:p w14:paraId="6A045879">
            <w:pPr>
              <w:widowControl/>
              <w:shd w:val="clear"/>
              <w:jc w:val="left"/>
              <w:textAlignment w:val="center"/>
              <w:rPr>
                <w:color w:val="auto"/>
                <w:highlight w:val="none"/>
              </w:rPr>
            </w:pPr>
            <w:r>
              <w:rPr>
                <w:rFonts w:hint="eastAsia"/>
                <w:color w:val="auto"/>
                <w:highlight w:val="none"/>
              </w:rPr>
              <w:t>3.合理性欠佳，可操作性一般得6分。</w:t>
            </w:r>
          </w:p>
          <w:p w14:paraId="282F0D9C">
            <w:pPr>
              <w:pStyle w:val="12"/>
              <w:shd w:val="clear"/>
              <w:ind w:left="0" w:leftChars="0" w:firstLine="0" w:firstLineChars="0"/>
              <w:rPr>
                <w:rFonts w:ascii="宋体" w:hAnsi="宋体" w:cs="宋体"/>
                <w:color w:val="auto"/>
                <w:szCs w:val="21"/>
                <w:highlight w:val="none"/>
              </w:rPr>
            </w:pPr>
            <w:r>
              <w:rPr>
                <w:rFonts w:hint="eastAsia"/>
                <w:color w:val="auto"/>
                <w:highlight w:val="none"/>
              </w:rPr>
              <w:t>缺项得0分</w:t>
            </w:r>
          </w:p>
        </w:tc>
      </w:tr>
      <w:tr w14:paraId="3DD700B8">
        <w:tblPrEx>
          <w:tblCellMar>
            <w:top w:w="0" w:type="dxa"/>
            <w:left w:w="108" w:type="dxa"/>
            <w:bottom w:w="0" w:type="dxa"/>
            <w:right w:w="108" w:type="dxa"/>
          </w:tblCellMar>
        </w:tblPrEx>
        <w:trPr>
          <w:trHeight w:val="703"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2A8325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5A07C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30分</w:t>
            </w: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749C999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评标价得分计算公式：</w:t>
            </w:r>
          </w:p>
          <w:p w14:paraId="516464C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本次</w:t>
            </w:r>
            <w:r>
              <w:rPr>
                <w:rFonts w:hint="eastAsia" w:ascii="宋体" w:hAnsi="宋体" w:cs="宋体"/>
                <w:color w:val="auto"/>
                <w:kern w:val="0"/>
                <w:szCs w:val="21"/>
                <w:highlight w:val="none"/>
                <w:lang w:eastAsia="zh-CN" w:bidi="ar"/>
              </w:rPr>
              <w:t>最高投标限价</w:t>
            </w:r>
            <w:r>
              <w:rPr>
                <w:rFonts w:hint="eastAsia" w:ascii="宋体" w:hAnsi="宋体" w:cs="宋体"/>
                <w:color w:val="auto"/>
                <w:kern w:val="0"/>
                <w:szCs w:val="21"/>
                <w:highlight w:val="none"/>
                <w:lang w:bidi="ar"/>
              </w:rPr>
              <w:t>为</w:t>
            </w:r>
            <w:r>
              <w:rPr>
                <w:rFonts w:hint="eastAsia" w:ascii="宋体" w:hAnsi="宋体" w:cs="宋体"/>
                <w:color w:val="auto"/>
                <w:kern w:val="0"/>
                <w:szCs w:val="21"/>
                <w:highlight w:val="none"/>
                <w:lang w:val="en-US" w:eastAsia="zh-CN" w:bidi="ar"/>
              </w:rPr>
              <w:t>0.1</w:t>
            </w:r>
            <w:r>
              <w:rPr>
                <w:rFonts w:hint="eastAsia" w:ascii="宋体" w:hAnsi="宋体" w:cs="宋体"/>
                <w:color w:val="auto"/>
                <w:kern w:val="0"/>
                <w:szCs w:val="21"/>
                <w:highlight w:val="none"/>
                <w:lang w:bidi="ar"/>
              </w:rPr>
              <w:t>%/年（含），超过</w:t>
            </w:r>
            <w:r>
              <w:rPr>
                <w:rFonts w:hint="eastAsia" w:ascii="宋体" w:hAnsi="宋体" w:cs="宋体"/>
                <w:color w:val="auto"/>
                <w:kern w:val="0"/>
                <w:szCs w:val="21"/>
                <w:highlight w:val="none"/>
                <w:lang w:eastAsia="zh-CN" w:bidi="ar"/>
              </w:rPr>
              <w:t>最高投标限价</w:t>
            </w:r>
            <w:r>
              <w:rPr>
                <w:rFonts w:hint="eastAsia" w:ascii="宋体" w:hAnsi="宋体" w:cs="宋体"/>
                <w:color w:val="auto"/>
                <w:kern w:val="0"/>
                <w:szCs w:val="21"/>
                <w:highlight w:val="none"/>
                <w:lang w:bidi="ar"/>
              </w:rPr>
              <w:t>为无效报价。</w:t>
            </w:r>
          </w:p>
          <w:p w14:paraId="429177B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（1）如果投标人的评标价＞评标基准价，则评标价得分=F-（投标人评标价一评标基准价）×10000×E1；</w:t>
            </w:r>
          </w:p>
          <w:p w14:paraId="5B03FBD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（2）如果投标人的评标价≤评标基准价，则评标价得分=F+（投标人评标价一评标基准价）×10000×E2。</w:t>
            </w:r>
          </w:p>
          <w:p w14:paraId="49F5C60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其中，F=30；E1=0.</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；E2=0.</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w:t>
            </w:r>
          </w:p>
          <w:p w14:paraId="79C8C2A5">
            <w:pPr>
              <w:pStyle w:val="22"/>
              <w:rPr>
                <w:rFonts w:ascii="宋体" w:hAnsi="宋体" w:cs="宋体"/>
                <w:color w:val="auto"/>
                <w:szCs w:val="21"/>
                <w:highlight w:val="none"/>
              </w:rPr>
            </w:pPr>
            <w:r>
              <w:rPr>
                <w:rFonts w:hint="eastAsia" w:hAnsi="宋体"/>
                <w:color w:val="auto"/>
                <w:sz w:val="21"/>
                <w:szCs w:val="21"/>
                <w:highlight w:val="none"/>
              </w:rPr>
              <w:t>评标价得分保留小数点后两位，小数点后第三位四舍五入</w:t>
            </w:r>
          </w:p>
        </w:tc>
      </w:tr>
      <w:tr w14:paraId="7FC7F30B">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34AC292">
            <w:pP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FC263A0">
            <w:pPr>
              <w:jc w:val="center"/>
              <w:rPr>
                <w:rFonts w:ascii="宋体" w:hAnsi="宋体" w:cs="宋体"/>
                <w:color w:val="auto"/>
                <w:szCs w:val="21"/>
                <w:highlight w:val="none"/>
              </w:rPr>
            </w:pP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0803450F">
            <w:pPr>
              <w:widowControl/>
              <w:shd w:val="clea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注：1.各券商报价应为监管核定的有效报价，河北高速公路集团有限公司不接受主承销商因费率低于成本价而向监管部</w:t>
            </w:r>
            <w:r>
              <w:rPr>
                <w:rFonts w:hint="eastAsia" w:ascii="宋体" w:hAnsi="宋体" w:eastAsia="宋体" w:cs="宋体"/>
                <w:color w:val="auto"/>
                <w:kern w:val="0"/>
                <w:szCs w:val="21"/>
                <w:highlight w:val="none"/>
                <w:lang w:val="en-US" w:eastAsia="zh-CN" w:bidi="ar"/>
              </w:rPr>
              <w:t>门</w:t>
            </w:r>
            <w:r>
              <w:rPr>
                <w:rFonts w:hint="eastAsia" w:ascii="宋体" w:hAnsi="宋体" w:cs="宋体"/>
                <w:color w:val="auto"/>
                <w:kern w:val="0"/>
                <w:szCs w:val="21"/>
                <w:highlight w:val="none"/>
                <w:lang w:val="en-US" w:eastAsia="zh-CN" w:bidi="ar"/>
              </w:rPr>
              <w:t>报备的行为。</w:t>
            </w:r>
          </w:p>
          <w:p w14:paraId="54120CC5">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2.若参选券商的报价有可能异常低价竞标时，河北高速公路集团有限公司有权向参选券商发出澄清，要求参选券商说明该报价是否涉及向监管部门报备以及是否具有履行合同的能力，当参选券商不能充分释疑时，河北高速公路集团有限公司有权取消其资格。</w:t>
            </w:r>
          </w:p>
        </w:tc>
      </w:tr>
    </w:tbl>
    <w:p w14:paraId="46192914">
      <w:pPr>
        <w:rPr>
          <w:color w:val="auto"/>
          <w:highlight w:val="none"/>
        </w:rPr>
      </w:pPr>
      <w:r>
        <w:rPr>
          <w:rFonts w:hint="eastAsia" w:ascii="宋体" w:hAnsi="宋体" w:cs="宋体"/>
          <w:bCs/>
          <w:color w:val="auto"/>
          <w:highlight w:val="none"/>
        </w:rPr>
        <w:t>详细评审因素</w:t>
      </w:r>
      <w:r>
        <w:rPr>
          <w:rFonts w:hint="eastAsia" w:ascii="宋体" w:hAnsi="宋体" w:cs="宋体"/>
          <w:bCs/>
          <w:color w:val="auto"/>
          <w:kern w:val="0"/>
          <w:szCs w:val="21"/>
          <w:highlight w:val="none"/>
        </w:rPr>
        <w:t>注解：各评分因素得分以评标委员会各成员打分的算术平均值确定(打分保留一位小数，计算得分保留两位小数，第三位四舍五入。</w:t>
      </w:r>
    </w:p>
    <w:p w14:paraId="58FDC035">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62FA"/>
    <w:rsid w:val="0ECD0571"/>
    <w:rsid w:val="11396325"/>
    <w:rsid w:val="14E0681B"/>
    <w:rsid w:val="1760460B"/>
    <w:rsid w:val="1BEF62FA"/>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5"/>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7"/>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8"/>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4">
    <w:name w:val="Default Paragraph Font"/>
    <w:unhideWhenUsed/>
    <w:qFormat/>
    <w:uiPriority w:val="1"/>
  </w:style>
  <w:style w:type="table" w:default="1" w:styleId="13">
    <w:name w:val="Normal Table"/>
    <w:semiHidden/>
    <w:uiPriority w:val="0"/>
    <w:tblPr>
      <w:tblCellMar>
        <w:top w:w="0" w:type="dxa"/>
        <w:left w:w="108" w:type="dxa"/>
        <w:bottom w:w="0" w:type="dxa"/>
        <w:right w:w="108" w:type="dxa"/>
      </w:tblCellMar>
    </w:tblPr>
  </w:style>
  <w:style w:type="paragraph" w:styleId="7">
    <w:name w:val="table of authorities"/>
    <w:basedOn w:val="1"/>
    <w:next w:val="1"/>
    <w:qFormat/>
    <w:uiPriority w:val="99"/>
    <w:pPr>
      <w:spacing w:line="400" w:lineRule="exact"/>
      <w:ind w:firstLine="420" w:firstLineChars="200"/>
    </w:pPr>
    <w:rPr>
      <w:rFonts w:ascii="宋体" w:hAnsi="宋体" w:cs="宋体"/>
      <w:bCs/>
      <w:color w:val="000000"/>
      <w:szCs w:val="21"/>
    </w:rPr>
  </w:style>
  <w:style w:type="paragraph" w:styleId="8">
    <w:name w:val="annotation text"/>
    <w:basedOn w:val="1"/>
    <w:next w:val="7"/>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after="120"/>
      <w:ind w:left="200" w:leftChars="200"/>
    </w:pPr>
  </w:style>
  <w:style w:type="paragraph" w:styleId="11">
    <w:name w:val="toc 8"/>
    <w:basedOn w:val="1"/>
    <w:next w:val="1"/>
    <w:qFormat/>
    <w:uiPriority w:val="39"/>
    <w:pPr>
      <w:ind w:left="1470"/>
    </w:pPr>
    <w:rPr>
      <w:sz w:val="18"/>
      <w:szCs w:val="18"/>
    </w:rPr>
  </w:style>
  <w:style w:type="paragraph" w:styleId="12">
    <w:name w:val="Body Text First Indent 2"/>
    <w:basedOn w:val="10"/>
    <w:next w:val="8"/>
    <w:qFormat/>
    <w:uiPriority w:val="0"/>
    <w:pPr>
      <w:ind w:firstLine="420" w:firstLineChars="200"/>
    </w:pPr>
  </w:style>
  <w:style w:type="character" w:customStyle="1" w:styleId="15">
    <w:name w:val="标题 2 Char"/>
    <w:basedOn w:val="14"/>
    <w:link w:val="3"/>
    <w:qFormat/>
    <w:uiPriority w:val="9"/>
    <w:rPr>
      <w:rFonts w:ascii="宋体" w:hAnsi="宋体" w:eastAsia="宋体" w:cs="宋体"/>
      <w:b/>
      <w:bCs/>
      <w:sz w:val="24"/>
      <w:szCs w:val="24"/>
      <w:lang w:eastAsia="en-US"/>
    </w:rPr>
  </w:style>
  <w:style w:type="character" w:customStyle="1" w:styleId="16">
    <w:name w:val="标题 1 Char"/>
    <w:basedOn w:val="14"/>
    <w:link w:val="2"/>
    <w:qFormat/>
    <w:uiPriority w:val="9"/>
    <w:rPr>
      <w:rFonts w:ascii="宋体" w:hAnsi="宋体" w:eastAsia="宋体" w:cs="宋体"/>
      <w:b/>
      <w:bCs/>
      <w:kern w:val="36"/>
      <w:sz w:val="40"/>
      <w:szCs w:val="32"/>
      <w:lang w:eastAsia="en-US"/>
    </w:rPr>
  </w:style>
  <w:style w:type="character" w:customStyle="1" w:styleId="17">
    <w:name w:val="标题 3 Char"/>
    <w:basedOn w:val="14"/>
    <w:link w:val="4"/>
    <w:qFormat/>
    <w:uiPriority w:val="9"/>
    <w:rPr>
      <w:rFonts w:ascii="宋体" w:hAnsi="宋体" w:eastAsia="宋体" w:cs="宋体"/>
      <w:b/>
      <w:bCs/>
      <w:kern w:val="0"/>
      <w:sz w:val="24"/>
      <w:szCs w:val="24"/>
      <w:lang w:eastAsia="en-US"/>
    </w:rPr>
  </w:style>
  <w:style w:type="character" w:customStyle="1" w:styleId="18">
    <w:name w:val="标题 4 字符"/>
    <w:link w:val="5"/>
    <w:qFormat/>
    <w:uiPriority w:val="0"/>
    <w:rPr>
      <w:rFonts w:ascii="宋体" w:hAnsi="宋体" w:eastAsia="宋体" w:cs="Times New Roman"/>
      <w:b/>
      <w:sz w:val="28"/>
      <w:szCs w:val="28"/>
      <w:lang w:eastAsia="en-US"/>
    </w:rPr>
  </w:style>
  <w:style w:type="character" w:customStyle="1" w:styleId="19">
    <w:name w:val="目录4 Char Char"/>
    <w:link w:val="20"/>
    <w:qFormat/>
    <w:uiPriority w:val="0"/>
    <w:rPr>
      <w:rFonts w:ascii="黑体" w:eastAsia="黑体"/>
      <w:sz w:val="24"/>
    </w:rPr>
  </w:style>
  <w:style w:type="paragraph" w:customStyle="1" w:styleId="20">
    <w:name w:val="目录4"/>
    <w:basedOn w:val="1"/>
    <w:link w:val="19"/>
    <w:qFormat/>
    <w:uiPriority w:val="0"/>
    <w:pPr>
      <w:spacing w:beforeLines="50" w:afterLines="50" w:line="400" w:lineRule="exact"/>
    </w:pPr>
    <w:rPr>
      <w:rFonts w:ascii="黑体" w:eastAsia="黑体"/>
      <w:sz w:val="24"/>
    </w:rPr>
  </w:style>
  <w:style w:type="paragraph" w:customStyle="1" w:styleId="21">
    <w:name w:val="1正文"/>
    <w:basedOn w:val="1"/>
    <w:qFormat/>
    <w:uiPriority w:val="0"/>
    <w:pPr>
      <w:spacing w:line="360" w:lineRule="auto"/>
      <w:ind w:firstLine="480" w:firstLineChars="200"/>
    </w:pPr>
    <w:rPr>
      <w:sz w:val="24"/>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2026-06-12T08:38:00Z</dcterms:created>
  <dc:creator>张宁</dc:creator>
  <cp:lastModifiedBy>张宁</cp:lastModifiedBy>
  <dcterms:modified xsi:type="dcterms:W3CDTF">2026-06-12T08:38:57Z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7E4FFE1260BB4BC8810CF5C5221EEF9B_11</vt:lpwstr>
  </property>
  <property fmtid="{D5CDD505-2E9C-101B-9397-08002B2CF9AE}" pid="4" name="KSOTemplateDocerSaveRecord">
    <vt:lpwstr>eyJoZGlkIjoiNGFjNGU5MGM1NzNmMGRmMGE0N2VjNjk3NDcyNTAwODYiLCJ1c2VySWQiOiIxNjgyOTM3NTgwIn0=</vt:lpwstr>
  </property>
</Properties>
</file>