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75DBF">
      <w:pPr>
        <w:pStyle w:val="2"/>
        <w:spacing w:before="0" w:after="0" w:line="360" w:lineRule="auto"/>
        <w:rPr>
          <w:rFonts w:hint="eastAsia" w:ascii="宋体" w:hAnsi="宋体"/>
          <w:b w:val="0"/>
          <w:sz w:val="24"/>
          <w:highlight w:val="none"/>
        </w:rPr>
      </w:pPr>
      <w:bookmarkStart w:id="5" w:name="_GoBack"/>
      <w:bookmarkEnd w:id="5"/>
      <w:bookmarkStart w:id="0" w:name="_Toc8102"/>
      <w:bookmarkStart w:id="1" w:name="_Toc134792338"/>
      <w:r>
        <w:rPr>
          <w:rFonts w:hint="eastAsia" w:ascii="黑体" w:hAnsi="黑体" w:eastAsia="黑体"/>
          <w:sz w:val="28"/>
          <w:szCs w:val="28"/>
          <w:highlight w:val="none"/>
        </w:rPr>
        <w:t>附件1：资格审查条件</w:t>
      </w:r>
      <w:bookmarkEnd w:id="0"/>
      <w:bookmarkEnd w:id="1"/>
    </w:p>
    <w:p w14:paraId="5D565480">
      <w:pPr>
        <w:adjustRightInd w:val="0"/>
        <w:spacing w:line="400" w:lineRule="exact"/>
        <w:jc w:val="left"/>
        <w:rPr>
          <w:rFonts w:hint="eastAsia" w:ascii="宋体" w:hAnsi="宋体"/>
          <w:sz w:val="24"/>
          <w:szCs w:val="24"/>
          <w:highlight w:val="none"/>
        </w:rPr>
      </w:pPr>
    </w:p>
    <w:p w14:paraId="1420F1A1">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附录1</w:t>
      </w:r>
      <w:r>
        <w:rPr>
          <w:rFonts w:hint="eastAsia" w:ascii="宋体" w:hAnsi="宋体"/>
          <w:b/>
          <w:sz w:val="24"/>
          <w:highlight w:val="none"/>
        </w:rPr>
        <w:t>资格</w:t>
      </w:r>
      <w:r>
        <w:rPr>
          <w:rFonts w:hint="eastAsia" w:ascii="宋体" w:hAnsi="宋体"/>
          <w:b/>
          <w:sz w:val="24"/>
          <w:szCs w:val="24"/>
          <w:highlight w:val="none"/>
        </w:rPr>
        <w:t>审查条件（资质最低要求）</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04F1F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00" w:type="pct"/>
            <w:noWrap w:val="0"/>
            <w:vAlign w:val="center"/>
          </w:tcPr>
          <w:p w14:paraId="219CEAD6">
            <w:pPr>
              <w:pStyle w:val="7"/>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资质要求</w:t>
            </w:r>
          </w:p>
        </w:tc>
      </w:tr>
      <w:tr w14:paraId="797EF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5000" w:type="pct"/>
            <w:noWrap w:val="0"/>
            <w:vAlign w:val="center"/>
          </w:tcPr>
          <w:p w14:paraId="3346B938">
            <w:pPr>
              <w:spacing w:line="276" w:lineRule="auto"/>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投标人应是中华人民共和国境内的法人或其他组织，持有有效的营业执照；</w:t>
            </w:r>
          </w:p>
          <w:p w14:paraId="3248F53C">
            <w:pPr>
              <w:spacing w:line="276" w:lineRule="auto"/>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2.</w:t>
            </w:r>
            <w:r>
              <w:rPr>
                <w:rFonts w:hint="eastAsia" w:ascii="宋体" w:hAnsi="宋体" w:eastAsia="宋体"/>
                <w:sz w:val="21"/>
                <w:szCs w:val="21"/>
                <w:highlight w:val="none"/>
                <w:lang w:eastAsia="zh-CN"/>
              </w:rPr>
              <w:t>具</w:t>
            </w:r>
            <w:r>
              <w:rPr>
                <w:rFonts w:hint="eastAsia" w:ascii="宋体" w:hAnsi="宋体" w:eastAsia="宋体"/>
                <w:sz w:val="21"/>
                <w:szCs w:val="21"/>
                <w:highlight w:val="none"/>
                <w:lang w:val="en-US" w:eastAsia="zh-CN"/>
              </w:rPr>
              <w:t>备</w:t>
            </w:r>
            <w:r>
              <w:rPr>
                <w:rFonts w:hint="eastAsia" w:ascii="宋体" w:hAnsi="宋体" w:eastAsia="宋体"/>
                <w:sz w:val="21"/>
                <w:szCs w:val="21"/>
                <w:highlight w:val="none"/>
                <w:lang w:eastAsia="zh-CN"/>
              </w:rPr>
              <w:t>住房和城乡建设行政主管部门颁发的工程勘察综合甲级资质或工程勘察专业类（工程测量、岩土工程）</w:t>
            </w:r>
            <w:r>
              <w:rPr>
                <w:rFonts w:hint="eastAsia" w:ascii="宋体" w:hAnsi="宋体"/>
                <w:sz w:val="21"/>
                <w:szCs w:val="21"/>
                <w:highlight w:val="none"/>
                <w:lang w:val="en-US" w:eastAsia="zh-CN"/>
              </w:rPr>
              <w:t>丙</w:t>
            </w:r>
            <w:r>
              <w:rPr>
                <w:rFonts w:hint="eastAsia" w:ascii="宋体" w:hAnsi="宋体" w:eastAsia="宋体"/>
                <w:sz w:val="21"/>
                <w:szCs w:val="21"/>
                <w:highlight w:val="none"/>
                <w:lang w:eastAsia="zh-CN"/>
              </w:rPr>
              <w:t>级及以上资质；</w:t>
            </w:r>
          </w:p>
          <w:p w14:paraId="43E3659C">
            <w:pPr>
              <w:spacing w:line="276" w:lineRule="auto"/>
              <w:rPr>
                <w:rFonts w:hint="eastAsia" w:ascii="宋体" w:hAnsi="宋体" w:eastAsia="宋体"/>
                <w:sz w:val="21"/>
                <w:szCs w:val="21"/>
                <w:highlight w:val="none"/>
                <w:lang w:eastAsia="zh-CN"/>
              </w:rPr>
            </w:pP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具备住房和城乡建设主管部门颁发的</w:t>
            </w:r>
            <w:r>
              <w:rPr>
                <w:rFonts w:hint="eastAsia" w:ascii="宋体" w:hAnsi="宋体" w:eastAsia="宋体"/>
                <w:sz w:val="21"/>
                <w:szCs w:val="21"/>
                <w:highlight w:val="none"/>
                <w:lang w:eastAsia="zh-CN"/>
              </w:rPr>
              <w:t>工程设计综合甲级资质或工程设计电力行业乙级及以上资质或工程设计电力行业（变电工程、送电工程）专业</w:t>
            </w:r>
            <w:r>
              <w:rPr>
                <w:rFonts w:hint="eastAsia" w:ascii="宋体" w:hAnsi="宋体"/>
                <w:sz w:val="21"/>
                <w:szCs w:val="21"/>
                <w:highlight w:val="none"/>
                <w:lang w:val="en-US" w:eastAsia="zh-CN"/>
              </w:rPr>
              <w:t>丙</w:t>
            </w:r>
            <w:r>
              <w:rPr>
                <w:rFonts w:hint="eastAsia" w:ascii="宋体" w:hAnsi="宋体" w:eastAsia="宋体"/>
                <w:sz w:val="21"/>
                <w:szCs w:val="21"/>
                <w:highlight w:val="none"/>
                <w:lang w:eastAsia="zh-CN"/>
              </w:rPr>
              <w:t>级及以上资质。</w:t>
            </w:r>
          </w:p>
        </w:tc>
      </w:tr>
    </w:tbl>
    <w:p w14:paraId="66EF2C48">
      <w:pPr>
        <w:adjustRightInd w:val="0"/>
        <w:spacing w:line="400" w:lineRule="exact"/>
        <w:jc w:val="center"/>
        <w:rPr>
          <w:rFonts w:hint="eastAsia" w:ascii="宋体" w:hAnsi="宋体"/>
          <w:b/>
          <w:sz w:val="24"/>
          <w:szCs w:val="24"/>
          <w:highlight w:val="none"/>
        </w:rPr>
      </w:pPr>
    </w:p>
    <w:p w14:paraId="6BCB72DD">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附录2资格审查条件（业绩最低要求）</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8DBC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000" w:type="pct"/>
            <w:noWrap w:val="0"/>
            <w:vAlign w:val="center"/>
          </w:tcPr>
          <w:p w14:paraId="1FF36EA4">
            <w:pPr>
              <w:pStyle w:val="7"/>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业绩要求</w:t>
            </w:r>
          </w:p>
        </w:tc>
      </w:tr>
      <w:tr w14:paraId="2BCD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5000" w:type="pct"/>
            <w:noWrap w:val="0"/>
            <w:vAlign w:val="center"/>
          </w:tcPr>
          <w:p w14:paraId="0B42F0FE">
            <w:pPr>
              <w:spacing w:line="276" w:lineRule="auto"/>
              <w:ind w:firstLine="420" w:firstLineChars="200"/>
              <w:jc w:val="left"/>
              <w:rPr>
                <w:rFonts w:hint="eastAsia" w:ascii="宋体" w:hAnsi="宋体"/>
                <w:kern w:val="0"/>
                <w:sz w:val="21"/>
                <w:szCs w:val="21"/>
                <w:highlight w:val="none"/>
              </w:rPr>
            </w:pPr>
            <w:r>
              <w:rPr>
                <w:rFonts w:hint="eastAsia" w:ascii="宋体" w:hAnsi="宋体"/>
                <w:kern w:val="0"/>
                <w:sz w:val="21"/>
                <w:szCs w:val="21"/>
                <w:highlight w:val="none"/>
              </w:rPr>
              <w:t>近5年内（</w:t>
            </w:r>
            <w:r>
              <w:rPr>
                <w:rFonts w:hint="eastAsia" w:ascii="宋体" w:hAnsi="宋体"/>
                <w:kern w:val="0"/>
                <w:sz w:val="21"/>
                <w:szCs w:val="21"/>
                <w:highlight w:val="none"/>
                <w:lang w:eastAsia="zh-CN"/>
              </w:rPr>
              <w:t>2021年</w:t>
            </w:r>
            <w:r>
              <w:rPr>
                <w:rFonts w:hint="eastAsia" w:ascii="宋体" w:hAnsi="宋体"/>
                <w:kern w:val="0"/>
                <w:sz w:val="21"/>
                <w:szCs w:val="21"/>
                <w:highlight w:val="none"/>
                <w:lang w:val="en-US" w:eastAsia="zh-CN"/>
              </w:rPr>
              <w:t xml:space="preserve">6 </w:t>
            </w:r>
            <w:r>
              <w:rPr>
                <w:rFonts w:hint="eastAsia" w:ascii="宋体" w:hAnsi="宋体"/>
                <w:kern w:val="0"/>
                <w:sz w:val="21"/>
                <w:szCs w:val="21"/>
                <w:highlight w:val="none"/>
                <w:lang w:eastAsia="zh-CN"/>
              </w:rPr>
              <w:t>月1日</w:t>
            </w:r>
            <w:r>
              <w:rPr>
                <w:rFonts w:hint="eastAsia" w:ascii="宋体" w:hAnsi="宋体"/>
                <w:kern w:val="0"/>
                <w:sz w:val="21"/>
                <w:szCs w:val="21"/>
                <w:highlight w:val="none"/>
              </w:rPr>
              <w:t>至今，以</w:t>
            </w:r>
            <w:r>
              <w:rPr>
                <w:rFonts w:hint="eastAsia" w:ascii="宋体" w:hAnsi="宋体"/>
                <w:kern w:val="0"/>
                <w:sz w:val="21"/>
                <w:szCs w:val="21"/>
                <w:highlight w:val="none"/>
                <w:lang w:val="en-US" w:eastAsia="zh-CN"/>
              </w:rPr>
              <w:t>项目竣工</w:t>
            </w:r>
            <w:r>
              <w:rPr>
                <w:rFonts w:hint="eastAsia" w:ascii="宋体" w:hAnsi="宋体"/>
                <w:kern w:val="0"/>
                <w:sz w:val="21"/>
                <w:szCs w:val="21"/>
                <w:highlight w:val="none"/>
              </w:rPr>
              <w:t>日期为准）至少完成过1项</w:t>
            </w:r>
            <w:r>
              <w:rPr>
                <w:rFonts w:hint="eastAsia" w:ascii="宋体" w:hAnsi="宋体"/>
                <w:kern w:val="0"/>
                <w:sz w:val="21"/>
                <w:szCs w:val="21"/>
                <w:highlight w:val="none"/>
                <w:lang w:val="en-US" w:eastAsia="zh-CN"/>
              </w:rPr>
              <w:t>不低于35</w:t>
            </w:r>
            <w:r>
              <w:rPr>
                <w:rFonts w:hint="eastAsia" w:ascii="宋体" w:hAnsi="宋体"/>
                <w:kern w:val="0"/>
                <w:sz w:val="21"/>
                <w:szCs w:val="21"/>
                <w:highlight w:val="none"/>
                <w:lang w:eastAsia="zh-CN"/>
              </w:rPr>
              <w:t>KV（</w:t>
            </w:r>
            <w:r>
              <w:rPr>
                <w:rFonts w:hint="eastAsia" w:ascii="宋体" w:hAnsi="宋体"/>
                <w:kern w:val="0"/>
                <w:sz w:val="21"/>
                <w:szCs w:val="21"/>
                <w:highlight w:val="none"/>
                <w:lang w:val="en-US" w:eastAsia="zh-CN"/>
              </w:rPr>
              <w:t>含</w:t>
            </w:r>
            <w:r>
              <w:rPr>
                <w:rFonts w:hint="eastAsia" w:ascii="宋体" w:hAnsi="宋体"/>
                <w:kern w:val="0"/>
                <w:sz w:val="21"/>
                <w:szCs w:val="21"/>
                <w:highlight w:val="none"/>
                <w:lang w:eastAsia="zh-CN"/>
              </w:rPr>
              <w:t>）</w:t>
            </w:r>
            <w:r>
              <w:rPr>
                <w:rFonts w:hint="eastAsia" w:ascii="宋体" w:hAnsi="宋体"/>
                <w:kern w:val="0"/>
                <w:sz w:val="21"/>
                <w:szCs w:val="21"/>
                <w:highlight w:val="none"/>
              </w:rPr>
              <w:t>电压等级的电力工程</w:t>
            </w:r>
            <w:r>
              <w:rPr>
                <w:rFonts w:hint="eastAsia" w:ascii="宋体" w:hAnsi="宋体"/>
                <w:kern w:val="0"/>
                <w:sz w:val="21"/>
                <w:szCs w:val="21"/>
                <w:highlight w:val="none"/>
                <w:lang w:val="en-US" w:eastAsia="zh-CN"/>
              </w:rPr>
              <w:t>施工图</w:t>
            </w:r>
            <w:r>
              <w:rPr>
                <w:rFonts w:hint="eastAsia" w:ascii="宋体" w:hAnsi="宋体"/>
                <w:kern w:val="0"/>
                <w:sz w:val="21"/>
                <w:szCs w:val="21"/>
                <w:highlight w:val="none"/>
              </w:rPr>
              <w:t>设计业绩</w:t>
            </w:r>
            <w:r>
              <w:rPr>
                <w:rFonts w:hint="eastAsia" w:ascii="宋体" w:hAnsi="宋体"/>
                <w:kern w:val="0"/>
                <w:sz w:val="21"/>
                <w:szCs w:val="21"/>
                <w:highlight w:val="none"/>
                <w:lang w:val="en-US" w:eastAsia="zh-CN"/>
              </w:rPr>
              <w:t>。</w:t>
            </w:r>
          </w:p>
        </w:tc>
      </w:tr>
    </w:tbl>
    <w:p w14:paraId="15B88264">
      <w:pPr>
        <w:adjustRightInd w:val="0"/>
        <w:spacing w:line="400" w:lineRule="exact"/>
        <w:jc w:val="center"/>
        <w:rPr>
          <w:rFonts w:hint="eastAsia" w:ascii="宋体" w:hAnsi="宋体"/>
          <w:b/>
          <w:sz w:val="24"/>
          <w:szCs w:val="24"/>
          <w:highlight w:val="none"/>
        </w:rPr>
      </w:pPr>
    </w:p>
    <w:p w14:paraId="653A4588">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附录3资格审查条件（信誉最低要求）</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CEDB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5000" w:type="pct"/>
            <w:noWrap w:val="0"/>
            <w:vAlign w:val="center"/>
          </w:tcPr>
          <w:p w14:paraId="664ACD10">
            <w:pPr>
              <w:pStyle w:val="7"/>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信誉要求</w:t>
            </w:r>
          </w:p>
        </w:tc>
      </w:tr>
      <w:tr w14:paraId="4630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5000" w:type="pct"/>
            <w:noWrap w:val="0"/>
            <w:vAlign w:val="center"/>
          </w:tcPr>
          <w:p w14:paraId="6F745F02">
            <w:pPr>
              <w:spacing w:line="276" w:lineRule="auto"/>
              <w:ind w:firstLine="420" w:firstLineChars="200"/>
              <w:jc w:val="left"/>
              <w:rPr>
                <w:rFonts w:ascii="宋体" w:hAnsi="宋体"/>
                <w:sz w:val="21"/>
                <w:szCs w:val="21"/>
                <w:highlight w:val="none"/>
              </w:rPr>
            </w:pPr>
            <w:r>
              <w:rPr>
                <w:rFonts w:hint="eastAsia" w:ascii="宋体" w:hAnsi="宋体" w:eastAsia="宋体" w:cs="Times New Roman"/>
                <w:kern w:val="0"/>
                <w:sz w:val="21"/>
                <w:szCs w:val="21"/>
                <w:highlight w:val="none"/>
              </w:rPr>
              <w:t>投标人在近1年（202</w:t>
            </w:r>
            <w:r>
              <w:rPr>
                <w:rFonts w:hint="eastAsia" w:ascii="宋体" w:hAnsi="宋体" w:eastAsia="宋体" w:cs="Times New Roman"/>
                <w:kern w:val="0"/>
                <w:sz w:val="21"/>
                <w:szCs w:val="21"/>
                <w:highlight w:val="none"/>
                <w:lang w:val="en-US" w:eastAsia="zh-CN"/>
              </w:rPr>
              <w:t>5</w:t>
            </w:r>
            <w:r>
              <w:rPr>
                <w:rFonts w:hint="eastAsia" w:ascii="宋体" w:hAnsi="宋体" w:eastAsia="宋体" w:cs="Times New Roman"/>
                <w:kern w:val="0"/>
                <w:sz w:val="21"/>
                <w:szCs w:val="21"/>
                <w:highlight w:val="none"/>
              </w:rPr>
              <w:t>年</w:t>
            </w:r>
            <w:r>
              <w:rPr>
                <w:rFonts w:hint="eastAsia" w:ascii="宋体" w:hAnsi="宋体" w:cs="Times New Roman"/>
                <w:kern w:val="0"/>
                <w:sz w:val="21"/>
                <w:szCs w:val="21"/>
                <w:highlight w:val="none"/>
                <w:lang w:val="en-US" w:eastAsia="zh-CN"/>
              </w:rPr>
              <w:t>6月</w:t>
            </w:r>
            <w:r>
              <w:rPr>
                <w:rFonts w:hint="eastAsia" w:ascii="宋体" w:hAnsi="宋体" w:eastAsia="宋体" w:cs="Times New Roman"/>
                <w:kern w:val="0"/>
                <w:sz w:val="21"/>
                <w:szCs w:val="21"/>
                <w:highlight w:val="none"/>
              </w:rPr>
              <w:t>1日至今）</w:t>
            </w:r>
            <w:r>
              <w:rPr>
                <w:rFonts w:hint="eastAsia" w:ascii="宋体" w:hAnsi="宋体" w:eastAsia="宋体" w:cs="Times New Roman"/>
                <w:kern w:val="0"/>
                <w:sz w:val="21"/>
                <w:szCs w:val="21"/>
                <w:highlight w:val="none"/>
                <w:lang w:val="en-US" w:eastAsia="zh-CN"/>
              </w:rPr>
              <w:t>中不曾在电力工程勘察设计合同中违约而被驱逐或因投标人自身的原因而使电力工程勘察设计合同被解除。</w:t>
            </w:r>
          </w:p>
        </w:tc>
      </w:tr>
    </w:tbl>
    <w:p w14:paraId="396DB3AA">
      <w:pPr>
        <w:adjustRightInd w:val="0"/>
        <w:spacing w:line="400" w:lineRule="exact"/>
        <w:jc w:val="center"/>
        <w:rPr>
          <w:rFonts w:hint="eastAsia" w:ascii="宋体" w:hAnsi="宋体"/>
          <w:b/>
          <w:sz w:val="24"/>
          <w:szCs w:val="24"/>
          <w:highlight w:val="none"/>
        </w:rPr>
      </w:pPr>
    </w:p>
    <w:p w14:paraId="6ABD6684">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附录4资格审查条件（项目负责人最低要求）</w:t>
      </w:r>
    </w:p>
    <w:tbl>
      <w:tblPr>
        <w:tblStyle w:val="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9"/>
        <w:gridCol w:w="779"/>
        <w:gridCol w:w="6342"/>
      </w:tblGrid>
      <w:tr w14:paraId="7792F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1" w:type="pct"/>
            <w:noWrap w:val="0"/>
            <w:vAlign w:val="center"/>
          </w:tcPr>
          <w:p w14:paraId="7C014654">
            <w:pPr>
              <w:pStyle w:val="7"/>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人员</w:t>
            </w:r>
          </w:p>
        </w:tc>
        <w:tc>
          <w:tcPr>
            <w:tcW w:w="457" w:type="pct"/>
            <w:noWrap w:val="0"/>
            <w:vAlign w:val="center"/>
          </w:tcPr>
          <w:p w14:paraId="50642D66">
            <w:pPr>
              <w:pStyle w:val="7"/>
              <w:spacing w:before="0" w:beforeAutospacing="0" w:after="0" w:afterAutospacing="0" w:line="360" w:lineRule="auto"/>
              <w:ind w:firstLine="0"/>
              <w:contextualSpacing/>
              <w:jc w:val="center"/>
              <w:rPr>
                <w:rFonts w:hint="eastAsia" w:cs="宋体"/>
                <w:sz w:val="21"/>
                <w:szCs w:val="21"/>
                <w:highlight w:val="none"/>
              </w:rPr>
            </w:pPr>
            <w:r>
              <w:rPr>
                <w:rFonts w:hint="eastAsia" w:cs="宋体"/>
                <w:sz w:val="21"/>
                <w:szCs w:val="21"/>
                <w:highlight w:val="none"/>
              </w:rPr>
              <w:t>数量</w:t>
            </w:r>
          </w:p>
        </w:tc>
        <w:tc>
          <w:tcPr>
            <w:tcW w:w="3720" w:type="pct"/>
            <w:noWrap w:val="0"/>
            <w:vAlign w:val="center"/>
          </w:tcPr>
          <w:p w14:paraId="686543C0">
            <w:pPr>
              <w:pStyle w:val="7"/>
              <w:spacing w:before="0" w:beforeAutospacing="0" w:after="0" w:afterAutospacing="0" w:line="360" w:lineRule="auto"/>
              <w:ind w:firstLine="0"/>
              <w:contextualSpacing/>
              <w:jc w:val="center"/>
              <w:rPr>
                <w:rFonts w:cs="宋体"/>
                <w:sz w:val="21"/>
                <w:szCs w:val="21"/>
                <w:highlight w:val="none"/>
              </w:rPr>
            </w:pPr>
            <w:r>
              <w:rPr>
                <w:rFonts w:hint="eastAsia" w:cs="宋体"/>
                <w:sz w:val="21"/>
                <w:szCs w:val="21"/>
                <w:highlight w:val="none"/>
              </w:rPr>
              <w:t>资格要求</w:t>
            </w:r>
          </w:p>
        </w:tc>
      </w:tr>
      <w:tr w14:paraId="3380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821" w:type="pct"/>
            <w:noWrap w:val="0"/>
            <w:vAlign w:val="center"/>
          </w:tcPr>
          <w:p w14:paraId="173B6A16">
            <w:pPr>
              <w:jc w:val="center"/>
              <w:rPr>
                <w:rFonts w:ascii="宋体" w:hAnsi="宋体"/>
                <w:sz w:val="21"/>
                <w:szCs w:val="21"/>
                <w:highlight w:val="none"/>
              </w:rPr>
            </w:pPr>
            <w:r>
              <w:rPr>
                <w:rFonts w:hint="eastAsia" w:ascii="宋体" w:hAnsi="宋体"/>
                <w:sz w:val="21"/>
                <w:szCs w:val="21"/>
                <w:highlight w:val="none"/>
              </w:rPr>
              <w:t>项目负责人</w:t>
            </w:r>
          </w:p>
        </w:tc>
        <w:tc>
          <w:tcPr>
            <w:tcW w:w="457" w:type="pct"/>
            <w:noWrap w:val="0"/>
            <w:vAlign w:val="center"/>
          </w:tcPr>
          <w:p w14:paraId="70C55B69">
            <w:pPr>
              <w:jc w:val="center"/>
              <w:rPr>
                <w:rFonts w:hint="eastAsia" w:ascii="宋体" w:hAnsi="宋体"/>
                <w:sz w:val="21"/>
                <w:szCs w:val="21"/>
                <w:highlight w:val="none"/>
              </w:rPr>
            </w:pPr>
            <w:r>
              <w:rPr>
                <w:rFonts w:hint="eastAsia" w:ascii="宋体" w:hAnsi="宋体"/>
                <w:sz w:val="21"/>
                <w:szCs w:val="21"/>
                <w:highlight w:val="none"/>
              </w:rPr>
              <w:t>1</w:t>
            </w:r>
          </w:p>
        </w:tc>
        <w:tc>
          <w:tcPr>
            <w:tcW w:w="3720" w:type="pct"/>
            <w:noWrap w:val="0"/>
            <w:vAlign w:val="center"/>
          </w:tcPr>
          <w:p w14:paraId="459512AF">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具有</w:t>
            </w:r>
            <w:r>
              <w:rPr>
                <w:rFonts w:hint="eastAsia" w:ascii="宋体" w:hAnsi="宋体"/>
                <w:sz w:val="21"/>
                <w:szCs w:val="21"/>
                <w:highlight w:val="none"/>
              </w:rPr>
              <w:t>高级工程师</w:t>
            </w:r>
            <w:r>
              <w:rPr>
                <w:rFonts w:hint="eastAsia" w:ascii="宋体" w:hAnsi="宋体"/>
                <w:sz w:val="21"/>
                <w:szCs w:val="21"/>
                <w:highlight w:val="none"/>
                <w:lang w:val="en-US" w:eastAsia="zh-CN"/>
              </w:rPr>
              <w:t>及以上职称（电力相关专业）且是本单位的在职人员</w:t>
            </w:r>
            <w:r>
              <w:rPr>
                <w:rFonts w:hint="eastAsia" w:ascii="宋体" w:hAnsi="宋体"/>
                <w:sz w:val="21"/>
                <w:szCs w:val="21"/>
                <w:highlight w:val="none"/>
              </w:rPr>
              <w:t>；</w:t>
            </w:r>
          </w:p>
          <w:p w14:paraId="65C7D068">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rPr>
              <w:t>近5年内（2021年</w:t>
            </w:r>
            <w:r>
              <w:rPr>
                <w:rFonts w:hint="eastAsia" w:ascii="宋体" w:hAnsi="宋体"/>
                <w:sz w:val="21"/>
                <w:szCs w:val="21"/>
                <w:highlight w:val="none"/>
                <w:lang w:val="en-US" w:eastAsia="zh-CN"/>
              </w:rPr>
              <w:t>6月</w:t>
            </w:r>
            <w:r>
              <w:rPr>
                <w:rFonts w:hint="eastAsia" w:ascii="宋体" w:hAnsi="宋体"/>
                <w:sz w:val="21"/>
                <w:szCs w:val="21"/>
                <w:highlight w:val="none"/>
              </w:rPr>
              <w:t>1日至今，以</w:t>
            </w:r>
            <w:r>
              <w:rPr>
                <w:rFonts w:hint="eastAsia" w:ascii="宋体" w:hAnsi="宋体"/>
                <w:sz w:val="21"/>
                <w:szCs w:val="21"/>
                <w:highlight w:val="none"/>
                <w:lang w:val="en-US" w:eastAsia="zh-CN"/>
              </w:rPr>
              <w:t>项目竣工</w:t>
            </w:r>
            <w:r>
              <w:rPr>
                <w:rFonts w:hint="eastAsia" w:ascii="宋体" w:hAnsi="宋体"/>
                <w:sz w:val="21"/>
                <w:szCs w:val="21"/>
                <w:highlight w:val="none"/>
              </w:rPr>
              <w:t>日期为准）至少担任过1项</w:t>
            </w:r>
            <w:r>
              <w:rPr>
                <w:rFonts w:hint="eastAsia" w:ascii="宋体" w:hAnsi="宋体"/>
                <w:sz w:val="21"/>
                <w:szCs w:val="21"/>
                <w:highlight w:val="none"/>
                <w:lang w:val="en-US" w:eastAsia="zh-CN"/>
              </w:rPr>
              <w:t>不低于35</w:t>
            </w:r>
            <w:r>
              <w:rPr>
                <w:rFonts w:hint="eastAsia" w:ascii="宋体" w:hAnsi="宋体"/>
                <w:sz w:val="21"/>
                <w:szCs w:val="21"/>
                <w:highlight w:val="none"/>
                <w:lang w:eastAsia="zh-CN"/>
              </w:rPr>
              <w:t>KV（</w:t>
            </w:r>
            <w:r>
              <w:rPr>
                <w:rFonts w:hint="eastAsia" w:ascii="宋体" w:hAnsi="宋体"/>
                <w:sz w:val="21"/>
                <w:szCs w:val="21"/>
                <w:highlight w:val="none"/>
                <w:lang w:val="en-US" w:eastAsia="zh-CN"/>
              </w:rPr>
              <w:t>含</w:t>
            </w:r>
            <w:r>
              <w:rPr>
                <w:rFonts w:hint="eastAsia" w:ascii="宋体" w:hAnsi="宋体"/>
                <w:sz w:val="21"/>
                <w:szCs w:val="21"/>
                <w:highlight w:val="none"/>
                <w:lang w:eastAsia="zh-CN"/>
              </w:rPr>
              <w:t>）</w:t>
            </w:r>
            <w:r>
              <w:rPr>
                <w:rFonts w:hint="eastAsia" w:ascii="宋体" w:hAnsi="宋体"/>
                <w:sz w:val="21"/>
                <w:szCs w:val="21"/>
                <w:highlight w:val="none"/>
              </w:rPr>
              <w:t>电压等级的电力工程</w:t>
            </w:r>
            <w:r>
              <w:rPr>
                <w:rFonts w:hint="eastAsia" w:ascii="宋体" w:hAnsi="宋体"/>
                <w:sz w:val="21"/>
                <w:szCs w:val="21"/>
                <w:highlight w:val="none"/>
                <w:lang w:val="en-US" w:eastAsia="zh-CN"/>
              </w:rPr>
              <w:t>施工图</w:t>
            </w:r>
            <w:r>
              <w:rPr>
                <w:rFonts w:hint="eastAsia" w:ascii="宋体" w:hAnsi="宋体"/>
                <w:sz w:val="21"/>
                <w:szCs w:val="21"/>
                <w:highlight w:val="none"/>
              </w:rPr>
              <w:t>设计业绩的设计负责人或项目负责人。</w:t>
            </w:r>
          </w:p>
        </w:tc>
      </w:tr>
    </w:tbl>
    <w:p w14:paraId="28CDFE71">
      <w:pPr>
        <w:pStyle w:val="4"/>
        <w:ind w:left="0" w:leftChars="0" w:firstLine="0" w:firstLineChars="0"/>
        <w:rPr>
          <w:rFonts w:hint="eastAsia"/>
          <w:highlight w:val="none"/>
        </w:rPr>
      </w:pPr>
      <w:bookmarkStart w:id="2" w:name="_Hlk135063195"/>
    </w:p>
    <w:bookmarkEnd w:id="2"/>
    <w:p w14:paraId="3816F5F7">
      <w:pPr>
        <w:pStyle w:val="2"/>
        <w:spacing w:before="0" w:after="0" w:line="360" w:lineRule="auto"/>
        <w:rPr>
          <w:rFonts w:hint="eastAsia" w:ascii="黑体" w:hAnsi="黑体" w:eastAsia="黑体"/>
          <w:sz w:val="28"/>
          <w:szCs w:val="28"/>
          <w:highlight w:val="none"/>
        </w:rPr>
      </w:pPr>
      <w:bookmarkStart w:id="3" w:name="_Toc8151"/>
      <w:bookmarkStart w:id="4" w:name="_Toc134792340"/>
    </w:p>
    <w:p w14:paraId="55CCB770">
      <w:pPr>
        <w:rPr>
          <w:rFonts w:hint="eastAsia" w:ascii="黑体" w:hAnsi="黑体" w:eastAsia="黑体"/>
          <w:sz w:val="28"/>
          <w:szCs w:val="28"/>
          <w:highlight w:val="none"/>
        </w:rPr>
      </w:pPr>
    </w:p>
    <w:p w14:paraId="23CB8BA0">
      <w:pPr>
        <w:rPr>
          <w:rFonts w:hint="eastAsia" w:ascii="黑体" w:hAnsi="黑体" w:eastAsia="黑体"/>
          <w:sz w:val="28"/>
          <w:szCs w:val="28"/>
          <w:highlight w:val="none"/>
        </w:rPr>
      </w:pPr>
    </w:p>
    <w:p w14:paraId="1941F1F9">
      <w:pPr>
        <w:rPr>
          <w:rFonts w:hint="eastAsia" w:ascii="黑体" w:hAnsi="黑体" w:eastAsia="黑体"/>
          <w:sz w:val="28"/>
          <w:szCs w:val="28"/>
          <w:highlight w:val="none"/>
        </w:rPr>
      </w:pPr>
    </w:p>
    <w:p w14:paraId="0488B59E">
      <w:pPr>
        <w:rPr>
          <w:rFonts w:hint="eastAsia" w:ascii="黑体" w:hAnsi="黑体" w:eastAsia="黑体"/>
          <w:sz w:val="28"/>
          <w:szCs w:val="28"/>
          <w:highlight w:val="none"/>
        </w:rPr>
      </w:pPr>
    </w:p>
    <w:p w14:paraId="195D8DAB">
      <w:pPr>
        <w:rPr>
          <w:rFonts w:hint="eastAsia" w:ascii="黑体" w:hAnsi="黑体" w:eastAsia="黑体"/>
          <w:sz w:val="28"/>
          <w:szCs w:val="28"/>
          <w:highlight w:val="none"/>
        </w:rPr>
      </w:pPr>
    </w:p>
    <w:p w14:paraId="01EE85E0">
      <w:pPr>
        <w:rPr>
          <w:rFonts w:hint="eastAsia" w:ascii="黑体" w:hAnsi="黑体" w:eastAsia="黑体"/>
          <w:sz w:val="28"/>
          <w:szCs w:val="28"/>
          <w:highlight w:val="none"/>
        </w:rPr>
      </w:pPr>
    </w:p>
    <w:p w14:paraId="6751BD47">
      <w:pPr>
        <w:pStyle w:val="2"/>
        <w:spacing w:before="0" w:after="0" w:line="360" w:lineRule="auto"/>
        <w:rPr>
          <w:rFonts w:hint="eastAsia" w:ascii="黑体" w:hAnsi="黑体" w:eastAsia="黑体"/>
          <w:sz w:val="28"/>
          <w:szCs w:val="28"/>
          <w:highlight w:val="none"/>
        </w:rPr>
      </w:pPr>
      <w:r>
        <w:rPr>
          <w:rFonts w:hint="eastAsia" w:ascii="黑体" w:hAnsi="黑体" w:eastAsia="黑体"/>
          <w:sz w:val="28"/>
          <w:szCs w:val="28"/>
          <w:highlight w:val="none"/>
        </w:rPr>
        <w:t>附件2：评标办法</w:t>
      </w:r>
      <w:bookmarkEnd w:id="3"/>
      <w:bookmarkEnd w:id="4"/>
    </w:p>
    <w:p w14:paraId="1A218FB9">
      <w:pPr>
        <w:adjustRightInd w:val="0"/>
        <w:jc w:val="center"/>
        <w:rPr>
          <w:rFonts w:hint="eastAsia" w:ascii="宋体" w:hAnsi="宋体"/>
          <w:b/>
          <w:sz w:val="24"/>
          <w:szCs w:val="24"/>
          <w:highlight w:val="none"/>
        </w:rPr>
      </w:pPr>
      <w:r>
        <w:rPr>
          <w:rFonts w:hint="eastAsia" w:ascii="宋体" w:hAnsi="宋体"/>
          <w:b/>
          <w:sz w:val="24"/>
          <w:szCs w:val="24"/>
          <w:highlight w:val="none"/>
        </w:rPr>
        <w:t>评标办法前附表</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200"/>
        <w:gridCol w:w="6382"/>
      </w:tblGrid>
      <w:tr w14:paraId="4CE6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0" w:type="pct"/>
            <w:noWrap w:val="0"/>
            <w:vAlign w:val="center"/>
          </w:tcPr>
          <w:p w14:paraId="2DB5BF30">
            <w:pPr>
              <w:spacing w:line="276" w:lineRule="auto"/>
              <w:jc w:val="center"/>
              <w:rPr>
                <w:rFonts w:ascii="宋体" w:hAnsi="宋体"/>
                <w:sz w:val="21"/>
                <w:szCs w:val="21"/>
                <w:highlight w:val="none"/>
              </w:rPr>
            </w:pPr>
            <w:r>
              <w:rPr>
                <w:rFonts w:hint="eastAsia" w:ascii="宋体" w:hAnsi="宋体"/>
                <w:sz w:val="21"/>
                <w:szCs w:val="21"/>
                <w:highlight w:val="none"/>
              </w:rPr>
              <w:t>条款号</w:t>
            </w:r>
          </w:p>
        </w:tc>
        <w:tc>
          <w:tcPr>
            <w:tcW w:w="704" w:type="pct"/>
            <w:noWrap w:val="0"/>
            <w:vAlign w:val="center"/>
          </w:tcPr>
          <w:p w14:paraId="3BD897AD">
            <w:pPr>
              <w:spacing w:line="276" w:lineRule="auto"/>
              <w:jc w:val="center"/>
              <w:rPr>
                <w:rFonts w:ascii="宋体" w:hAnsi="宋体"/>
                <w:sz w:val="21"/>
                <w:szCs w:val="21"/>
                <w:highlight w:val="none"/>
              </w:rPr>
            </w:pPr>
            <w:r>
              <w:rPr>
                <w:rFonts w:hint="eastAsia" w:ascii="宋体" w:hAnsi="宋体"/>
                <w:sz w:val="21"/>
                <w:szCs w:val="21"/>
                <w:highlight w:val="none"/>
              </w:rPr>
              <w:t>条款名称</w:t>
            </w:r>
          </w:p>
        </w:tc>
        <w:tc>
          <w:tcPr>
            <w:tcW w:w="3744" w:type="pct"/>
            <w:noWrap w:val="0"/>
            <w:vAlign w:val="center"/>
          </w:tcPr>
          <w:p w14:paraId="082DA492">
            <w:pPr>
              <w:spacing w:line="276" w:lineRule="auto"/>
              <w:jc w:val="center"/>
              <w:rPr>
                <w:rFonts w:ascii="宋体" w:hAnsi="宋体"/>
                <w:sz w:val="21"/>
                <w:szCs w:val="21"/>
                <w:highlight w:val="none"/>
              </w:rPr>
            </w:pPr>
            <w:r>
              <w:rPr>
                <w:rFonts w:hint="eastAsia" w:ascii="宋体" w:hAnsi="宋体"/>
                <w:sz w:val="21"/>
                <w:szCs w:val="21"/>
                <w:highlight w:val="none"/>
              </w:rPr>
              <w:t>评审因素与评审标准</w:t>
            </w:r>
          </w:p>
        </w:tc>
      </w:tr>
      <w:tr w14:paraId="3D7B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noWrap w:val="0"/>
            <w:vAlign w:val="center"/>
          </w:tcPr>
          <w:p w14:paraId="25F4E8AC">
            <w:pPr>
              <w:spacing w:line="276" w:lineRule="auto"/>
              <w:jc w:val="center"/>
              <w:rPr>
                <w:rFonts w:ascii="宋体" w:hAnsi="宋体"/>
                <w:sz w:val="21"/>
                <w:szCs w:val="21"/>
                <w:highlight w:val="none"/>
              </w:rPr>
            </w:pPr>
            <w:r>
              <w:rPr>
                <w:rFonts w:hint="eastAsia" w:ascii="宋体" w:hAnsi="宋体"/>
                <w:sz w:val="21"/>
                <w:szCs w:val="21"/>
                <w:highlight w:val="none"/>
              </w:rPr>
              <w:t>1</w:t>
            </w:r>
          </w:p>
        </w:tc>
        <w:tc>
          <w:tcPr>
            <w:tcW w:w="704" w:type="pct"/>
            <w:noWrap w:val="0"/>
            <w:vAlign w:val="center"/>
          </w:tcPr>
          <w:p w14:paraId="06BE6D29">
            <w:pPr>
              <w:spacing w:line="276" w:lineRule="auto"/>
              <w:jc w:val="center"/>
              <w:rPr>
                <w:rFonts w:ascii="宋体" w:hAnsi="宋体"/>
                <w:sz w:val="21"/>
                <w:szCs w:val="21"/>
                <w:highlight w:val="none"/>
              </w:rPr>
            </w:pPr>
            <w:r>
              <w:rPr>
                <w:rFonts w:hint="eastAsia" w:ascii="宋体" w:hAnsi="宋体"/>
                <w:sz w:val="21"/>
                <w:szCs w:val="21"/>
                <w:highlight w:val="none"/>
              </w:rPr>
              <w:t>评标办法</w:t>
            </w:r>
          </w:p>
        </w:tc>
        <w:tc>
          <w:tcPr>
            <w:tcW w:w="3744" w:type="pct"/>
            <w:noWrap w:val="0"/>
            <w:vAlign w:val="center"/>
          </w:tcPr>
          <w:p w14:paraId="76529D59">
            <w:pPr>
              <w:spacing w:line="276" w:lineRule="auto"/>
              <w:ind w:firstLine="404" w:firstLineChars="200"/>
              <w:rPr>
                <w:rFonts w:hint="eastAsia" w:ascii="宋体" w:hAnsi="宋体"/>
                <w:spacing w:val="-4"/>
                <w:sz w:val="21"/>
                <w:szCs w:val="21"/>
                <w:highlight w:val="none"/>
              </w:rPr>
            </w:pPr>
            <w:r>
              <w:rPr>
                <w:rFonts w:hint="eastAsia" w:ascii="宋体" w:hAnsi="宋体"/>
                <w:spacing w:val="-4"/>
                <w:sz w:val="21"/>
                <w:szCs w:val="21"/>
                <w:highlight w:val="none"/>
              </w:rPr>
              <w:t>本次评标采用综合</w:t>
            </w:r>
            <w:r>
              <w:rPr>
                <w:rFonts w:hint="eastAsia" w:ascii="宋体" w:hAnsi="宋体"/>
                <w:spacing w:val="-4"/>
                <w:sz w:val="21"/>
                <w:szCs w:val="21"/>
                <w:highlight w:val="none"/>
                <w:lang w:val="en-US" w:eastAsia="zh-CN"/>
              </w:rPr>
              <w:t>评估</w:t>
            </w:r>
            <w:r>
              <w:rPr>
                <w:rFonts w:hint="eastAsia" w:ascii="宋体" w:hAnsi="宋体"/>
                <w:spacing w:val="-4"/>
                <w:sz w:val="21"/>
                <w:szCs w:val="21"/>
                <w:highlight w:val="none"/>
              </w:rPr>
              <w:t>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7ECA052A">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（1）评标价低的投标人优先；</w:t>
            </w:r>
          </w:p>
          <w:p w14:paraId="0E27BB44">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（2）技术建议书部分得分较高的投标人优先；</w:t>
            </w:r>
          </w:p>
          <w:p w14:paraId="5DE07FAB">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（3）满足资格审查条件(业绩最低要求)要求业绩中单项合同金额较大的优先。</w:t>
            </w:r>
          </w:p>
        </w:tc>
      </w:tr>
      <w:tr w14:paraId="6BF0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550" w:type="pct"/>
            <w:noWrap w:val="0"/>
            <w:vAlign w:val="center"/>
          </w:tcPr>
          <w:p w14:paraId="265E8F4E">
            <w:pPr>
              <w:spacing w:line="276" w:lineRule="auto"/>
              <w:jc w:val="center"/>
              <w:rPr>
                <w:rFonts w:hint="eastAsia" w:ascii="宋体" w:hAnsi="宋体"/>
                <w:sz w:val="21"/>
                <w:szCs w:val="21"/>
                <w:highlight w:val="none"/>
              </w:rPr>
            </w:pPr>
            <w:r>
              <w:rPr>
                <w:rFonts w:hint="eastAsia" w:ascii="宋体" w:hAnsi="宋体"/>
                <w:sz w:val="21"/>
                <w:szCs w:val="21"/>
                <w:highlight w:val="none"/>
              </w:rPr>
              <w:t>2.1.1</w:t>
            </w:r>
          </w:p>
          <w:p w14:paraId="4FF55723">
            <w:pPr>
              <w:spacing w:line="276" w:lineRule="auto"/>
              <w:jc w:val="center"/>
              <w:rPr>
                <w:rFonts w:hint="eastAsia" w:ascii="宋体" w:hAnsi="宋体"/>
                <w:sz w:val="21"/>
                <w:szCs w:val="21"/>
                <w:highlight w:val="none"/>
              </w:rPr>
            </w:pPr>
            <w:r>
              <w:rPr>
                <w:rFonts w:hint="eastAsia" w:ascii="宋体" w:hAnsi="宋体"/>
                <w:sz w:val="21"/>
                <w:szCs w:val="21"/>
                <w:highlight w:val="none"/>
              </w:rPr>
              <w:t>2.1.3</w:t>
            </w:r>
          </w:p>
        </w:tc>
        <w:tc>
          <w:tcPr>
            <w:tcW w:w="704" w:type="pct"/>
            <w:noWrap w:val="0"/>
            <w:vAlign w:val="center"/>
          </w:tcPr>
          <w:p w14:paraId="46BD2752">
            <w:pPr>
              <w:spacing w:line="276" w:lineRule="auto"/>
              <w:jc w:val="center"/>
              <w:rPr>
                <w:rFonts w:hint="eastAsia" w:ascii="宋体" w:hAnsi="宋体"/>
                <w:sz w:val="21"/>
                <w:szCs w:val="21"/>
                <w:highlight w:val="none"/>
              </w:rPr>
            </w:pPr>
            <w:r>
              <w:rPr>
                <w:rFonts w:hint="eastAsia" w:ascii="宋体" w:hAnsi="宋体"/>
                <w:sz w:val="21"/>
                <w:szCs w:val="21"/>
                <w:highlight w:val="none"/>
              </w:rPr>
              <w:t>形式评审</w:t>
            </w:r>
          </w:p>
          <w:p w14:paraId="2F09537F">
            <w:pPr>
              <w:spacing w:line="276" w:lineRule="auto"/>
              <w:jc w:val="center"/>
              <w:rPr>
                <w:rFonts w:hint="eastAsia" w:ascii="宋体" w:hAnsi="宋体"/>
                <w:sz w:val="21"/>
                <w:szCs w:val="21"/>
                <w:highlight w:val="none"/>
              </w:rPr>
            </w:pPr>
            <w:r>
              <w:rPr>
                <w:rFonts w:hint="eastAsia" w:ascii="宋体" w:hAnsi="宋体"/>
                <w:sz w:val="21"/>
                <w:szCs w:val="21"/>
                <w:highlight w:val="none"/>
              </w:rPr>
              <w:t>与响应性</w:t>
            </w:r>
          </w:p>
          <w:p w14:paraId="37E72203">
            <w:pPr>
              <w:spacing w:line="276" w:lineRule="auto"/>
              <w:jc w:val="center"/>
              <w:rPr>
                <w:rFonts w:hint="eastAsia" w:ascii="宋体" w:hAnsi="宋体"/>
                <w:sz w:val="21"/>
                <w:szCs w:val="21"/>
                <w:highlight w:val="none"/>
              </w:rPr>
            </w:pPr>
            <w:r>
              <w:rPr>
                <w:rFonts w:hint="eastAsia" w:ascii="宋体" w:hAnsi="宋体"/>
                <w:sz w:val="21"/>
                <w:szCs w:val="21"/>
                <w:highlight w:val="none"/>
              </w:rPr>
              <w:t>评审标准</w:t>
            </w:r>
          </w:p>
        </w:tc>
        <w:tc>
          <w:tcPr>
            <w:tcW w:w="3744" w:type="pct"/>
            <w:noWrap w:val="0"/>
            <w:vAlign w:val="top"/>
          </w:tcPr>
          <w:p w14:paraId="66AD9658">
            <w:pPr>
              <w:tabs>
                <w:tab w:val="left" w:pos="3060"/>
              </w:tabs>
              <w:adjustRightInd w:val="0"/>
              <w:snapToGrid w:val="0"/>
              <w:rPr>
                <w:rFonts w:ascii="宋体" w:hAnsi="宋体"/>
                <w:b/>
                <w:color w:val="auto"/>
                <w:sz w:val="21"/>
                <w:szCs w:val="21"/>
                <w:highlight w:val="none"/>
              </w:rPr>
            </w:pPr>
            <w:r>
              <w:rPr>
                <w:rFonts w:hint="eastAsia" w:ascii="宋体" w:hAnsi="宋体"/>
                <w:b/>
                <w:color w:val="auto"/>
                <w:sz w:val="21"/>
                <w:szCs w:val="21"/>
                <w:highlight w:val="none"/>
              </w:rPr>
              <w:t>第一个信封（商务文件）评审标准:</w:t>
            </w:r>
          </w:p>
          <w:p w14:paraId="748395D4">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1B518F28">
            <w:pPr>
              <w:spacing w:line="288" w:lineRule="auto"/>
              <w:ind w:firstLine="386" w:firstLineChars="18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a.投标函按招标文件规定填报了项目名称、补遗书编号（如有）、质量要求、安全目标、服务期限、项目负责人等信息；</w:t>
            </w:r>
          </w:p>
          <w:p w14:paraId="725A55C6">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b.投标文件组成齐全完整，内容均按规定填写。</w:t>
            </w:r>
          </w:p>
          <w:p w14:paraId="0ADB3EA2">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（2）投标文件上法定代表人或其授权代理人的签字、投标人的单位章盖章齐全，符合招标文件规定。</w:t>
            </w:r>
          </w:p>
          <w:p w14:paraId="08991D1B">
            <w:pPr>
              <w:spacing w:line="288" w:lineRule="auto"/>
              <w:ind w:firstLine="386" w:firstLineChars="184"/>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（3）投标人按照招标文件的规定提供了投标保证金，并符合投标人须知前附表3.4.1项的相关规定。</w:t>
            </w:r>
          </w:p>
          <w:p w14:paraId="385B7E2F">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（4）</w:t>
            </w:r>
            <w:r>
              <w:rPr>
                <w:rFonts w:hint="eastAsia" w:ascii="宋体" w:hAnsi="宋体"/>
                <w:color w:val="auto"/>
                <w:sz w:val="21"/>
                <w:szCs w:val="21"/>
                <w:highlight w:val="none"/>
              </w:rPr>
              <w:t>投标人法定代表人授权委托代理人签署投标文件的，</w:t>
            </w:r>
            <w:r>
              <w:rPr>
                <w:rFonts w:ascii="宋体" w:hAnsi="宋体"/>
                <w:color w:val="auto"/>
                <w:sz w:val="21"/>
                <w:szCs w:val="21"/>
                <w:highlight w:val="none"/>
              </w:rPr>
              <w:t>须提交授权</w:t>
            </w:r>
            <w:r>
              <w:rPr>
                <w:rFonts w:hint="eastAsia" w:ascii="宋体" w:hAnsi="宋体"/>
                <w:color w:val="auto"/>
                <w:sz w:val="21"/>
                <w:szCs w:val="21"/>
                <w:highlight w:val="none"/>
              </w:rPr>
              <w:t>委托书，授权委托书符合招标文件规定</w:t>
            </w:r>
            <w:r>
              <w:rPr>
                <w:rFonts w:hint="eastAsia" w:ascii="宋体" w:hAnsi="宋体" w:cs="宋体"/>
                <w:color w:val="auto"/>
                <w:sz w:val="21"/>
                <w:szCs w:val="21"/>
                <w:highlight w:val="none"/>
              </w:rPr>
              <w:t>。</w:t>
            </w:r>
          </w:p>
          <w:p w14:paraId="319CE23F">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（5）</w:t>
            </w:r>
            <w:r>
              <w:rPr>
                <w:rFonts w:ascii="宋体" w:hAnsi="宋体"/>
                <w:color w:val="auto"/>
                <w:sz w:val="21"/>
                <w:szCs w:val="21"/>
                <w:highlight w:val="none"/>
              </w:rPr>
              <w:t>投标人法定代表人亲自签署投标文件的，</w:t>
            </w:r>
            <w:r>
              <w:rPr>
                <w:rFonts w:hint="eastAsia" w:ascii="宋体" w:hAnsi="宋体"/>
                <w:color w:val="auto"/>
                <w:sz w:val="21"/>
                <w:szCs w:val="21"/>
                <w:highlight w:val="none"/>
              </w:rPr>
              <w:t>须</w:t>
            </w:r>
            <w:r>
              <w:rPr>
                <w:rFonts w:ascii="宋体" w:hAnsi="宋体"/>
                <w:color w:val="auto"/>
                <w:sz w:val="21"/>
                <w:szCs w:val="21"/>
                <w:highlight w:val="none"/>
              </w:rPr>
              <w:t>提供法定代表人身份证明，法定代表人身份证明符合招标文件规定</w:t>
            </w:r>
            <w:r>
              <w:rPr>
                <w:rFonts w:hint="eastAsia" w:ascii="宋体" w:hAnsi="宋体" w:cs="宋体"/>
                <w:color w:val="auto"/>
                <w:sz w:val="21"/>
                <w:szCs w:val="21"/>
                <w:highlight w:val="none"/>
              </w:rPr>
              <w:t>。</w:t>
            </w:r>
          </w:p>
          <w:p w14:paraId="41F201FA">
            <w:pPr>
              <w:spacing w:line="288" w:lineRule="auto"/>
              <w:ind w:firstLine="386" w:firstLineChars="184"/>
              <w:jc w:val="left"/>
              <w:rPr>
                <w:rFonts w:hint="eastAsia" w:ascii="宋体" w:hAnsi="宋体"/>
                <w:color w:val="auto"/>
                <w:sz w:val="21"/>
                <w:szCs w:val="21"/>
                <w:highlight w:val="none"/>
                <w:lang w:val="en-US" w:eastAsia="zh-CN"/>
              </w:rPr>
            </w:pPr>
            <w:r>
              <w:rPr>
                <w:rFonts w:hint="eastAsia" w:ascii="宋体" w:hAnsi="宋体"/>
                <w:color w:val="auto"/>
                <w:sz w:val="21"/>
                <w:szCs w:val="21"/>
                <w:highlight w:val="none"/>
              </w:rPr>
              <w:t>（6）投标人</w:t>
            </w:r>
            <w:r>
              <w:rPr>
                <w:rFonts w:hint="eastAsia" w:ascii="宋体" w:hAnsi="宋体"/>
                <w:color w:val="auto"/>
                <w:sz w:val="21"/>
                <w:szCs w:val="21"/>
                <w:highlight w:val="none"/>
                <w:lang w:val="en-US" w:eastAsia="zh-CN"/>
              </w:rPr>
              <w:t>未以联合体的形式参与投标</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 xml:space="preserve">  </w:t>
            </w:r>
          </w:p>
          <w:p w14:paraId="7B445629">
            <w:pPr>
              <w:spacing w:line="288" w:lineRule="auto"/>
              <w:ind w:firstLine="386" w:firstLineChars="184"/>
              <w:jc w:val="left"/>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lang w:eastAsia="zh-CN"/>
              </w:rPr>
              <w:t>）</w:t>
            </w:r>
            <w:r>
              <w:rPr>
                <w:rFonts w:hint="eastAsia" w:ascii="宋体" w:hAnsi="宋体" w:cs="宋体"/>
                <w:color w:val="auto"/>
                <w:sz w:val="21"/>
                <w:szCs w:val="21"/>
                <w:highlight w:val="none"/>
              </w:rPr>
              <w:t>投标人未对本项目提出分包计划。</w:t>
            </w:r>
          </w:p>
          <w:p w14:paraId="6D45425A">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）同一投标人未对本项目提交两个以上不同的投标文件。</w:t>
            </w:r>
          </w:p>
          <w:p w14:paraId="2EC28856">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）投标文件第一个信封（商务及技术文件）中未出现有关投标报价的内容。</w:t>
            </w:r>
          </w:p>
          <w:p w14:paraId="4FFBA83A">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）投标文件载明的招标项目完成期限，符合招标文件规定。</w:t>
            </w:r>
          </w:p>
          <w:p w14:paraId="2F4E8438">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）投标文件对招标文件的实质性要求和条件作出响应。</w:t>
            </w:r>
          </w:p>
          <w:p w14:paraId="2F752542">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）权利义务符合招标文件规定：</w:t>
            </w:r>
          </w:p>
          <w:p w14:paraId="49E7420A">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a.投标人应接受招标文件规定的风险划分原则，未提出新的风险划分办法；</w:t>
            </w:r>
          </w:p>
          <w:p w14:paraId="7E16E690">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b.投标人未增加发包人的责任范围，或减少投标人义务；</w:t>
            </w:r>
          </w:p>
          <w:p w14:paraId="785D10E3">
            <w:pPr>
              <w:spacing w:line="288" w:lineRule="auto"/>
              <w:ind w:firstLine="386" w:firstLineChars="184"/>
              <w:jc w:val="left"/>
              <w:rPr>
                <w:rFonts w:ascii="宋体" w:hAnsi="宋体" w:cs="宋体"/>
                <w:color w:val="auto"/>
                <w:sz w:val="21"/>
                <w:szCs w:val="21"/>
                <w:highlight w:val="none"/>
              </w:rPr>
            </w:pPr>
            <w:r>
              <w:rPr>
                <w:rFonts w:hint="eastAsia" w:ascii="宋体" w:hAnsi="宋体" w:cs="宋体"/>
                <w:color w:val="auto"/>
                <w:sz w:val="21"/>
                <w:szCs w:val="21"/>
                <w:highlight w:val="none"/>
              </w:rPr>
              <w:t>c.投标人未提出不同的支付办法；</w:t>
            </w:r>
          </w:p>
          <w:p w14:paraId="633BE495">
            <w:pPr>
              <w:spacing w:line="288" w:lineRule="auto"/>
              <w:ind w:firstLine="386" w:firstLineChars="184"/>
              <w:jc w:val="left"/>
              <w:rPr>
                <w:rFonts w:ascii="宋体" w:hAnsi="宋体"/>
                <w:color w:val="auto"/>
                <w:sz w:val="21"/>
                <w:szCs w:val="21"/>
                <w:highlight w:val="none"/>
              </w:rPr>
            </w:pPr>
            <w:r>
              <w:rPr>
                <w:rFonts w:hint="eastAsia" w:ascii="宋体" w:hAnsi="宋体"/>
                <w:color w:val="auto"/>
                <w:sz w:val="21"/>
                <w:szCs w:val="21"/>
                <w:highlight w:val="none"/>
              </w:rPr>
              <w:t>d.投标人对合同纠纷、事故处理办法未提出异议；</w:t>
            </w:r>
          </w:p>
          <w:p w14:paraId="7F73E1AE">
            <w:pPr>
              <w:spacing w:line="288" w:lineRule="auto"/>
              <w:ind w:firstLine="386" w:firstLineChars="184"/>
              <w:jc w:val="left"/>
              <w:rPr>
                <w:rFonts w:ascii="宋体" w:hAnsi="宋体"/>
                <w:color w:val="auto"/>
                <w:sz w:val="21"/>
                <w:szCs w:val="21"/>
                <w:highlight w:val="none"/>
              </w:rPr>
            </w:pPr>
            <w:r>
              <w:rPr>
                <w:rFonts w:hint="eastAsia" w:ascii="宋体" w:hAnsi="宋体"/>
                <w:color w:val="auto"/>
                <w:sz w:val="21"/>
                <w:szCs w:val="21"/>
                <w:highlight w:val="none"/>
              </w:rPr>
              <w:t>e.投标人在投标活动中无欺诈行为；</w:t>
            </w:r>
          </w:p>
          <w:p w14:paraId="36C96066">
            <w:pPr>
              <w:snapToGrid w:val="0"/>
              <w:spacing w:line="380" w:lineRule="exact"/>
              <w:rPr>
                <w:rFonts w:hint="eastAsia" w:ascii="宋体" w:hAnsi="宋体"/>
                <w:color w:val="auto"/>
                <w:sz w:val="21"/>
                <w:szCs w:val="21"/>
                <w:highlight w:val="none"/>
              </w:rPr>
            </w:pPr>
            <w:r>
              <w:rPr>
                <w:rFonts w:hint="eastAsia" w:ascii="宋体" w:hAnsi="宋体"/>
                <w:color w:val="auto"/>
                <w:sz w:val="21"/>
                <w:szCs w:val="21"/>
                <w:highlight w:val="none"/>
              </w:rPr>
              <w:t>f.投标人未对合同条款有重要保留。</w:t>
            </w:r>
          </w:p>
          <w:p w14:paraId="4D9BCB40">
            <w:pPr>
              <w:snapToGrid w:val="0"/>
              <w:spacing w:line="38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）投标人不存在投标人须知前附表4.4（1）、（3）情形。</w:t>
            </w:r>
          </w:p>
          <w:p w14:paraId="26603D87">
            <w:pPr>
              <w:snapToGrid w:val="0"/>
              <w:spacing w:line="380" w:lineRule="exact"/>
              <w:rPr>
                <w:color w:val="auto"/>
                <w:sz w:val="21"/>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）投标人不存在因投标人须知前附表4.4(2)项规定的情形被评标委员会认定为为投标文件异常一致或投标活动异常关联情形。</w:t>
            </w:r>
          </w:p>
          <w:p w14:paraId="618D2935">
            <w:pPr>
              <w:tabs>
                <w:tab w:val="left" w:pos="3060"/>
              </w:tabs>
              <w:spacing w:line="288" w:lineRule="auto"/>
              <w:rPr>
                <w:rFonts w:hint="eastAsia" w:ascii="宋体" w:hAnsi="宋体"/>
                <w:b/>
                <w:bCs/>
                <w:color w:val="auto"/>
                <w:sz w:val="21"/>
                <w:szCs w:val="21"/>
                <w:highlight w:val="none"/>
              </w:rPr>
            </w:pPr>
            <w:r>
              <w:rPr>
                <w:rFonts w:hint="eastAsia" w:ascii="宋体" w:hAnsi="宋体"/>
                <w:b/>
                <w:bCs/>
                <w:color w:val="auto"/>
                <w:sz w:val="21"/>
                <w:szCs w:val="21"/>
                <w:highlight w:val="none"/>
              </w:rPr>
              <w:t>第一个信封（技术文件）评审标准:</w:t>
            </w:r>
          </w:p>
          <w:p w14:paraId="120E9013">
            <w:pPr>
              <w:tabs>
                <w:tab w:val="left" w:pos="3060"/>
              </w:tabs>
              <w:spacing w:line="288"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（1）技术建议书（暗标）</w:t>
            </w:r>
            <w:r>
              <w:rPr>
                <w:rFonts w:hint="eastAsia" w:ascii="宋体" w:hAnsi="宋体"/>
                <w:color w:val="auto"/>
                <w:sz w:val="21"/>
                <w:szCs w:val="21"/>
                <w:highlight w:val="none"/>
                <w:lang w:val="en-US" w:eastAsia="zh-CN"/>
              </w:rPr>
              <w:t>编制</w:t>
            </w:r>
            <w:r>
              <w:rPr>
                <w:rFonts w:hint="eastAsia" w:ascii="宋体" w:hAnsi="宋体"/>
                <w:color w:val="auto"/>
                <w:sz w:val="21"/>
                <w:szCs w:val="21"/>
                <w:highlight w:val="none"/>
              </w:rPr>
              <w:t>符合招标文件第二章“投标人须知前附表”第10.2款的规定。</w:t>
            </w:r>
          </w:p>
          <w:p w14:paraId="14B35A4A">
            <w:pPr>
              <w:tabs>
                <w:tab w:val="left" w:pos="3060"/>
              </w:tabs>
              <w:spacing w:line="288" w:lineRule="auto"/>
              <w:rPr>
                <w:rFonts w:ascii="宋体" w:hAnsi="宋体"/>
                <w:b/>
                <w:color w:val="auto"/>
                <w:sz w:val="21"/>
                <w:szCs w:val="21"/>
                <w:highlight w:val="none"/>
              </w:rPr>
            </w:pPr>
            <w:r>
              <w:rPr>
                <w:rFonts w:hint="eastAsia" w:ascii="宋体" w:hAnsi="宋体"/>
                <w:b/>
                <w:color w:val="auto"/>
                <w:sz w:val="21"/>
                <w:szCs w:val="21"/>
                <w:highlight w:val="none"/>
              </w:rPr>
              <w:t>第二个信封（报价文件）评审标准：</w:t>
            </w:r>
          </w:p>
          <w:p w14:paraId="492DD88F">
            <w:pPr>
              <w:spacing w:line="288" w:lineRule="auto"/>
              <w:ind w:firstLine="386" w:firstLineChars="184"/>
              <w:jc w:val="left"/>
              <w:rPr>
                <w:rFonts w:hint="eastAsia" w:ascii="宋体" w:hAnsi="宋体"/>
                <w:bCs/>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62165E35">
            <w:pPr>
              <w:spacing w:line="288" w:lineRule="auto"/>
              <w:ind w:firstLine="386" w:firstLineChars="184"/>
              <w:jc w:val="left"/>
              <w:rPr>
                <w:rFonts w:hint="eastAsia" w:ascii="宋体" w:hAnsi="宋体"/>
                <w:bCs/>
                <w:color w:val="auto"/>
                <w:sz w:val="21"/>
                <w:szCs w:val="21"/>
                <w:highlight w:val="none"/>
              </w:rPr>
            </w:pPr>
            <w:r>
              <w:rPr>
                <w:rFonts w:hint="eastAsia" w:ascii="宋体" w:hAnsi="宋体"/>
                <w:bCs/>
                <w:color w:val="auto"/>
                <w:sz w:val="21"/>
                <w:szCs w:val="21"/>
                <w:highlight w:val="none"/>
              </w:rPr>
              <w:t>a.投标函按招标文件规定填报了项目名称、补遗书编号（如有）、投标报价（包括大写金额和小写金额）；</w:t>
            </w:r>
          </w:p>
          <w:p w14:paraId="6C862F1F">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b.报价清单说明文字与招标文件规定一致，未进行实质性修改和删减；</w:t>
            </w:r>
          </w:p>
          <w:p w14:paraId="29A22D8C">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c.投标</w:t>
            </w:r>
            <w:r>
              <w:rPr>
                <w:rFonts w:hint="eastAsia" w:ascii="宋体" w:hAnsi="宋体"/>
                <w:color w:val="auto"/>
                <w:sz w:val="21"/>
                <w:szCs w:val="21"/>
                <w:highlight w:val="none"/>
              </w:rPr>
              <w:t>文件</w:t>
            </w:r>
            <w:r>
              <w:rPr>
                <w:rFonts w:hint="eastAsia" w:ascii="宋体" w:hAnsi="宋体"/>
                <w:bCs/>
                <w:color w:val="auto"/>
                <w:sz w:val="21"/>
                <w:szCs w:val="21"/>
                <w:highlight w:val="none"/>
              </w:rPr>
              <w:t>组成齐全完整，内容均按规定填写。</w:t>
            </w:r>
          </w:p>
          <w:p w14:paraId="3389C002">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（2）</w:t>
            </w:r>
            <w:r>
              <w:rPr>
                <w:rFonts w:hint="eastAsia" w:ascii="宋体" w:hAnsi="宋体"/>
                <w:color w:val="auto"/>
                <w:sz w:val="21"/>
                <w:szCs w:val="21"/>
                <w:highlight w:val="none"/>
              </w:rPr>
              <w:t>投标文件上法定代表人或其授权代理人的签字、投标人的单位章盖章齐全，符合招标文件规定</w:t>
            </w:r>
            <w:r>
              <w:rPr>
                <w:rFonts w:hint="eastAsia" w:ascii="宋体" w:hAnsi="宋体"/>
                <w:bCs/>
                <w:color w:val="auto"/>
                <w:sz w:val="21"/>
                <w:szCs w:val="21"/>
                <w:highlight w:val="none"/>
              </w:rPr>
              <w:t>。</w:t>
            </w:r>
          </w:p>
          <w:p w14:paraId="161F52D3">
            <w:pPr>
              <w:spacing w:line="288" w:lineRule="auto"/>
              <w:ind w:firstLine="386" w:firstLineChars="184"/>
              <w:jc w:val="left"/>
              <w:rPr>
                <w:rFonts w:hint="eastAsia" w:ascii="宋体" w:hAnsi="宋体"/>
                <w:bCs/>
                <w:color w:val="auto"/>
                <w:sz w:val="21"/>
                <w:szCs w:val="21"/>
                <w:highlight w:val="none"/>
              </w:rPr>
            </w:pPr>
            <w:r>
              <w:rPr>
                <w:rFonts w:hint="eastAsia" w:ascii="宋体" w:hAnsi="宋体"/>
                <w:bCs/>
                <w:color w:val="auto"/>
                <w:sz w:val="21"/>
                <w:szCs w:val="21"/>
                <w:highlight w:val="none"/>
              </w:rPr>
              <w:t>（3）投标报价未超过招标文件设定的最高投标限价。</w:t>
            </w:r>
          </w:p>
          <w:p w14:paraId="5308B7E1">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（4）投标</w:t>
            </w:r>
            <w:r>
              <w:rPr>
                <w:rFonts w:hint="eastAsia" w:ascii="宋体" w:hAnsi="宋体"/>
                <w:color w:val="auto"/>
                <w:sz w:val="21"/>
                <w:szCs w:val="21"/>
                <w:highlight w:val="none"/>
              </w:rPr>
              <w:t>报价</w:t>
            </w:r>
            <w:r>
              <w:rPr>
                <w:rFonts w:hint="eastAsia" w:ascii="宋体" w:hAnsi="宋体"/>
                <w:bCs/>
                <w:color w:val="auto"/>
                <w:sz w:val="21"/>
                <w:szCs w:val="21"/>
                <w:highlight w:val="none"/>
              </w:rPr>
              <w:t>的大写金额能够确定具体数值。</w:t>
            </w:r>
          </w:p>
          <w:p w14:paraId="2F8D51A9">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（5）同一</w:t>
            </w:r>
            <w:r>
              <w:rPr>
                <w:rFonts w:hint="eastAsia" w:ascii="宋体" w:hAnsi="宋体"/>
                <w:color w:val="auto"/>
                <w:sz w:val="21"/>
                <w:szCs w:val="21"/>
                <w:highlight w:val="none"/>
              </w:rPr>
              <w:t>投标人</w:t>
            </w:r>
            <w:r>
              <w:rPr>
                <w:rFonts w:hint="eastAsia" w:ascii="宋体" w:hAnsi="宋体"/>
                <w:bCs/>
                <w:color w:val="auto"/>
                <w:sz w:val="21"/>
                <w:szCs w:val="21"/>
                <w:highlight w:val="none"/>
              </w:rPr>
              <w:t>未提交两个以上不同的投标报价。</w:t>
            </w:r>
          </w:p>
          <w:p w14:paraId="5C73DAF0">
            <w:pPr>
              <w:spacing w:line="288" w:lineRule="auto"/>
              <w:ind w:firstLine="386" w:firstLineChars="184"/>
              <w:jc w:val="left"/>
              <w:rPr>
                <w:rFonts w:ascii="宋体" w:hAnsi="宋体"/>
                <w:bCs/>
                <w:color w:val="auto"/>
                <w:sz w:val="21"/>
                <w:szCs w:val="21"/>
                <w:highlight w:val="none"/>
              </w:rPr>
            </w:pPr>
            <w:r>
              <w:rPr>
                <w:rFonts w:hint="eastAsia" w:ascii="宋体" w:hAnsi="宋体"/>
                <w:bCs/>
                <w:color w:val="auto"/>
                <w:sz w:val="21"/>
                <w:szCs w:val="21"/>
                <w:highlight w:val="none"/>
              </w:rPr>
              <w:t>（6）投标人未提交调价函。</w:t>
            </w:r>
          </w:p>
          <w:p w14:paraId="28A6C715">
            <w:pPr>
              <w:snapToGrid w:val="0"/>
              <w:spacing w:line="380" w:lineRule="exact"/>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w:t>
            </w:r>
            <w:r>
              <w:rPr>
                <w:rFonts w:ascii="宋体" w:hAnsi="宋体"/>
                <w:bCs/>
                <w:color w:val="auto"/>
                <w:sz w:val="21"/>
                <w:szCs w:val="21"/>
                <w:highlight w:val="none"/>
              </w:rPr>
              <w:t>7</w:t>
            </w:r>
            <w:r>
              <w:rPr>
                <w:rFonts w:hint="eastAsia" w:ascii="宋体" w:hAnsi="宋体"/>
                <w:bCs/>
                <w:color w:val="auto"/>
                <w:sz w:val="21"/>
                <w:szCs w:val="21"/>
                <w:highlight w:val="none"/>
              </w:rPr>
              <w:t>）</w:t>
            </w:r>
            <w:r>
              <w:rPr>
                <w:rFonts w:hint="eastAsia" w:ascii="宋体" w:hAnsi="宋体"/>
                <w:color w:val="auto"/>
                <w:sz w:val="21"/>
                <w:szCs w:val="21"/>
                <w:highlight w:val="none"/>
              </w:rPr>
              <w:t>报价清单</w:t>
            </w:r>
            <w:r>
              <w:rPr>
                <w:rFonts w:hint="eastAsia" w:ascii="宋体" w:hAnsi="宋体"/>
                <w:color w:val="auto"/>
                <w:sz w:val="21"/>
                <w:szCs w:val="21"/>
                <w:highlight w:val="none"/>
                <w:lang w:val="en-US" w:eastAsia="zh-CN"/>
              </w:rPr>
              <w:t>汇总表</w:t>
            </w:r>
            <w:r>
              <w:rPr>
                <w:rFonts w:hint="eastAsia" w:ascii="宋体" w:hAnsi="宋体"/>
                <w:color w:val="auto"/>
                <w:sz w:val="21"/>
                <w:szCs w:val="21"/>
                <w:highlight w:val="none"/>
              </w:rPr>
              <w:t>中的投标报价和投标函投标报价大写金额一致</w:t>
            </w:r>
            <w:r>
              <w:rPr>
                <w:rFonts w:hint="eastAsia" w:ascii="宋体" w:hAnsi="宋体"/>
                <w:bCs/>
                <w:color w:val="auto"/>
                <w:sz w:val="21"/>
                <w:szCs w:val="21"/>
                <w:highlight w:val="none"/>
              </w:rPr>
              <w:t>。</w:t>
            </w:r>
          </w:p>
          <w:p w14:paraId="58F16A03">
            <w:pPr>
              <w:snapToGrid w:val="0"/>
              <w:spacing w:line="380" w:lineRule="exact"/>
              <w:ind w:firstLine="420" w:firstLineChars="200"/>
              <w:rPr>
                <w:rFonts w:hint="eastAsia" w:ascii="宋体" w:hAnsi="宋体"/>
                <w:bCs/>
                <w:color w:val="auto"/>
                <w:sz w:val="21"/>
                <w:szCs w:val="21"/>
                <w:highlight w:val="none"/>
                <w:lang w:eastAsia="zh-CN"/>
              </w:rPr>
            </w:pPr>
            <w:r>
              <w:rPr>
                <w:rFonts w:hint="eastAsia" w:ascii="宋体" w:hAnsi="宋体"/>
                <w:bCs/>
                <w:color w:val="auto"/>
                <w:sz w:val="21"/>
                <w:szCs w:val="21"/>
                <w:highlight w:val="none"/>
                <w:lang w:eastAsia="zh-CN"/>
              </w:rPr>
              <w:t>（</w:t>
            </w:r>
            <w:r>
              <w:rPr>
                <w:rFonts w:hint="eastAsia" w:ascii="宋体" w:hAnsi="宋体"/>
                <w:bCs/>
                <w:color w:val="auto"/>
                <w:sz w:val="21"/>
                <w:szCs w:val="21"/>
                <w:highlight w:val="none"/>
                <w:lang w:val="en-US" w:eastAsia="zh-CN"/>
              </w:rPr>
              <w:t>8</w:t>
            </w:r>
            <w:r>
              <w:rPr>
                <w:rFonts w:hint="eastAsia" w:ascii="宋体" w:hAnsi="宋体"/>
                <w:bCs/>
                <w:color w:val="auto"/>
                <w:sz w:val="21"/>
                <w:szCs w:val="21"/>
                <w:highlight w:val="none"/>
                <w:lang w:eastAsia="zh-CN"/>
              </w:rPr>
              <w:t>）投标人不存在因投标人须知前附表3.2.5项规定被评标委员会认定为低于成本或影响履约的异常低价竟标的情形。</w:t>
            </w:r>
          </w:p>
          <w:p w14:paraId="02DF1481">
            <w:pPr>
              <w:snapToGrid w:val="0"/>
              <w:spacing w:line="380" w:lineRule="exact"/>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）投标人不存在投标人须知前附表4.4（1）、（3）情形。</w:t>
            </w:r>
          </w:p>
          <w:p w14:paraId="3BF508E9">
            <w:pPr>
              <w:snapToGrid w:val="0"/>
              <w:spacing w:line="380" w:lineRule="exact"/>
              <w:ind w:firstLine="420" w:firstLineChars="200"/>
              <w:rPr>
                <w:rFonts w:hint="eastAsia" w:ascii="宋体" w:hAnsi="宋体"/>
                <w:color w:val="auto"/>
                <w:spacing w:val="-4"/>
                <w:sz w:val="21"/>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）投标人不存在因投标人须知前附表4.4(2)项规定的情形被评标委员会认定为为投标文件异常一致或投标活动异常关联情形。</w:t>
            </w:r>
          </w:p>
        </w:tc>
      </w:tr>
      <w:tr w14:paraId="39ED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0" w:type="pct"/>
            <w:noWrap w:val="0"/>
            <w:vAlign w:val="center"/>
          </w:tcPr>
          <w:p w14:paraId="5CFD03AD">
            <w:pPr>
              <w:spacing w:line="276" w:lineRule="auto"/>
              <w:jc w:val="center"/>
              <w:rPr>
                <w:rFonts w:ascii="宋体" w:hAnsi="宋体"/>
                <w:sz w:val="21"/>
                <w:szCs w:val="21"/>
                <w:highlight w:val="none"/>
              </w:rPr>
            </w:pPr>
            <w:r>
              <w:rPr>
                <w:rFonts w:hint="eastAsia" w:ascii="宋体" w:hAnsi="宋体"/>
                <w:sz w:val="21"/>
                <w:szCs w:val="21"/>
                <w:highlight w:val="none"/>
              </w:rPr>
              <w:t>2.1.2</w:t>
            </w:r>
          </w:p>
        </w:tc>
        <w:tc>
          <w:tcPr>
            <w:tcW w:w="704" w:type="pct"/>
            <w:noWrap w:val="0"/>
            <w:vAlign w:val="center"/>
          </w:tcPr>
          <w:p w14:paraId="6C7BA82B">
            <w:pPr>
              <w:spacing w:line="276" w:lineRule="auto"/>
              <w:jc w:val="center"/>
              <w:rPr>
                <w:rFonts w:hint="eastAsia" w:ascii="宋体" w:hAnsi="宋体"/>
                <w:sz w:val="21"/>
                <w:szCs w:val="21"/>
                <w:highlight w:val="none"/>
              </w:rPr>
            </w:pPr>
            <w:r>
              <w:rPr>
                <w:rFonts w:hint="eastAsia" w:ascii="宋体" w:hAnsi="宋体"/>
                <w:sz w:val="21"/>
                <w:szCs w:val="21"/>
                <w:highlight w:val="none"/>
              </w:rPr>
              <w:t>资格评审</w:t>
            </w:r>
          </w:p>
          <w:p w14:paraId="030D881F">
            <w:pPr>
              <w:spacing w:line="276" w:lineRule="auto"/>
              <w:jc w:val="center"/>
              <w:rPr>
                <w:rFonts w:ascii="宋体" w:hAnsi="宋体"/>
                <w:sz w:val="21"/>
                <w:szCs w:val="21"/>
                <w:highlight w:val="none"/>
              </w:rPr>
            </w:pPr>
            <w:r>
              <w:rPr>
                <w:rFonts w:hint="eastAsia" w:ascii="宋体" w:hAnsi="宋体"/>
                <w:sz w:val="21"/>
                <w:szCs w:val="21"/>
                <w:highlight w:val="none"/>
              </w:rPr>
              <w:t>标准</w:t>
            </w:r>
          </w:p>
        </w:tc>
        <w:tc>
          <w:tcPr>
            <w:tcW w:w="3744" w:type="pct"/>
            <w:noWrap w:val="0"/>
            <w:vAlign w:val="top"/>
          </w:tcPr>
          <w:p w14:paraId="5A4618B2">
            <w:pPr>
              <w:spacing w:line="276" w:lineRule="auto"/>
              <w:ind w:firstLine="420" w:firstLineChars="200"/>
              <w:jc w:val="left"/>
              <w:rPr>
                <w:rFonts w:hint="eastAsia" w:ascii="宋体" w:hAnsi="宋体"/>
                <w:color w:val="auto"/>
                <w:spacing w:val="-4"/>
                <w:sz w:val="21"/>
                <w:szCs w:val="21"/>
                <w:highlight w:val="none"/>
              </w:rPr>
            </w:pPr>
            <w:r>
              <w:rPr>
                <w:rFonts w:hint="eastAsia" w:ascii="宋体" w:hAnsi="宋体"/>
                <w:color w:val="auto"/>
                <w:sz w:val="21"/>
                <w:szCs w:val="21"/>
                <w:highlight w:val="none"/>
              </w:rPr>
              <w:t>（</w:t>
            </w:r>
            <w:r>
              <w:rPr>
                <w:rFonts w:hint="eastAsia" w:ascii="宋体" w:hAnsi="宋体"/>
                <w:color w:val="auto"/>
                <w:spacing w:val="-4"/>
                <w:sz w:val="21"/>
                <w:szCs w:val="21"/>
                <w:highlight w:val="none"/>
              </w:rPr>
              <w:t>1）投标人具备有效的营业执照、资质证书和基本账户开户许可证（或基本存款账户信息）；</w:t>
            </w:r>
          </w:p>
          <w:p w14:paraId="461A74A4">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（2）投标人的资质等级符合招标文件规定；</w:t>
            </w:r>
          </w:p>
          <w:p w14:paraId="4C9D18BC">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（3）投标人的类似项目业绩符合招标文件规定；</w:t>
            </w:r>
          </w:p>
          <w:p w14:paraId="0F60E360">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（4）投标人的信誉符合招标文件规定；</w:t>
            </w:r>
          </w:p>
          <w:p w14:paraId="4087185A">
            <w:pPr>
              <w:spacing w:line="276" w:lineRule="auto"/>
              <w:ind w:firstLine="404" w:firstLineChars="200"/>
              <w:jc w:val="left"/>
              <w:rPr>
                <w:rFonts w:hint="eastAsia" w:ascii="宋体" w:hAnsi="宋体"/>
                <w:color w:val="auto"/>
                <w:spacing w:val="-4"/>
                <w:sz w:val="21"/>
                <w:szCs w:val="21"/>
                <w:highlight w:val="none"/>
              </w:rPr>
            </w:pPr>
            <w:r>
              <w:rPr>
                <w:rFonts w:hint="eastAsia" w:ascii="宋体" w:hAnsi="宋体"/>
                <w:color w:val="auto"/>
                <w:spacing w:val="-4"/>
                <w:sz w:val="21"/>
                <w:szCs w:val="21"/>
                <w:highlight w:val="none"/>
              </w:rPr>
              <w:t>（5）投标人的项目负责人符合招标文件规定；</w:t>
            </w:r>
          </w:p>
          <w:p w14:paraId="2C5D6650">
            <w:pPr>
              <w:spacing w:line="276" w:lineRule="auto"/>
              <w:ind w:firstLine="404" w:firstLineChars="200"/>
              <w:jc w:val="left"/>
              <w:rPr>
                <w:rFonts w:hint="default" w:eastAsia="宋体"/>
                <w:color w:val="auto"/>
                <w:highlight w:val="none"/>
                <w:lang w:val="en-US" w:eastAsia="zh-CN"/>
              </w:rPr>
            </w:pPr>
            <w:r>
              <w:rPr>
                <w:rFonts w:hint="eastAsia" w:ascii="宋体" w:hAnsi="宋体"/>
                <w:color w:val="auto"/>
                <w:spacing w:val="-4"/>
                <w:sz w:val="21"/>
                <w:szCs w:val="21"/>
                <w:highlight w:val="none"/>
              </w:rPr>
              <w:t>（6）投标人不存在第二章“投标人须知”第1.4.3项或第1.4.4项规定的任何一种情形。</w:t>
            </w:r>
          </w:p>
        </w:tc>
      </w:tr>
      <w:tr w14:paraId="1A17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noWrap w:val="0"/>
            <w:vAlign w:val="center"/>
          </w:tcPr>
          <w:p w14:paraId="1C62534A">
            <w:pPr>
              <w:spacing w:line="276" w:lineRule="auto"/>
              <w:jc w:val="center"/>
              <w:rPr>
                <w:rFonts w:ascii="宋体" w:hAnsi="宋体"/>
                <w:sz w:val="21"/>
                <w:szCs w:val="21"/>
                <w:highlight w:val="none"/>
              </w:rPr>
            </w:pPr>
            <w:r>
              <w:rPr>
                <w:rFonts w:hint="eastAsia" w:ascii="宋体" w:hAnsi="宋体"/>
                <w:sz w:val="21"/>
                <w:szCs w:val="21"/>
                <w:highlight w:val="none"/>
              </w:rPr>
              <w:t>2.2.1</w:t>
            </w:r>
          </w:p>
        </w:tc>
        <w:tc>
          <w:tcPr>
            <w:tcW w:w="704" w:type="pct"/>
            <w:noWrap w:val="0"/>
            <w:vAlign w:val="center"/>
          </w:tcPr>
          <w:p w14:paraId="5124861B">
            <w:pPr>
              <w:spacing w:line="276" w:lineRule="auto"/>
              <w:jc w:val="center"/>
              <w:rPr>
                <w:rFonts w:ascii="宋体" w:hAnsi="宋体"/>
                <w:sz w:val="21"/>
                <w:szCs w:val="21"/>
                <w:highlight w:val="none"/>
              </w:rPr>
            </w:pPr>
            <w:r>
              <w:rPr>
                <w:rFonts w:hint="eastAsia" w:ascii="宋体" w:hAnsi="宋体"/>
                <w:sz w:val="21"/>
                <w:szCs w:val="21"/>
                <w:highlight w:val="none"/>
              </w:rPr>
              <w:t>分值构成</w:t>
            </w:r>
          </w:p>
        </w:tc>
        <w:tc>
          <w:tcPr>
            <w:tcW w:w="3744" w:type="pct"/>
            <w:noWrap w:val="0"/>
            <w:vAlign w:val="center"/>
          </w:tcPr>
          <w:p w14:paraId="4CB7AA62">
            <w:pPr>
              <w:spacing w:line="276" w:lineRule="auto"/>
              <w:jc w:val="left"/>
              <w:rPr>
                <w:rFonts w:ascii="宋体" w:hAnsi="宋体"/>
                <w:b/>
                <w:bCs/>
                <w:spacing w:val="-4"/>
                <w:sz w:val="21"/>
                <w:szCs w:val="21"/>
                <w:highlight w:val="none"/>
              </w:rPr>
            </w:pPr>
            <w:r>
              <w:rPr>
                <w:rFonts w:hint="eastAsia" w:ascii="宋体" w:hAnsi="宋体"/>
                <w:b/>
                <w:bCs/>
                <w:spacing w:val="-4"/>
                <w:sz w:val="21"/>
                <w:szCs w:val="21"/>
                <w:highlight w:val="none"/>
              </w:rPr>
              <w:t>第一信封（商务及技术文件）评分分值构成：</w:t>
            </w:r>
          </w:p>
          <w:p w14:paraId="303501E3">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技术建议书：</w:t>
            </w:r>
            <w:r>
              <w:rPr>
                <w:rFonts w:hint="eastAsia" w:ascii="宋体" w:hAnsi="宋体"/>
                <w:spacing w:val="-4"/>
                <w:sz w:val="21"/>
                <w:szCs w:val="21"/>
                <w:highlight w:val="none"/>
                <w:u w:val="single"/>
              </w:rPr>
              <w:t>40</w:t>
            </w:r>
            <w:r>
              <w:rPr>
                <w:rFonts w:hint="eastAsia" w:ascii="宋体" w:hAnsi="宋体"/>
                <w:spacing w:val="-4"/>
                <w:sz w:val="21"/>
                <w:szCs w:val="21"/>
                <w:highlight w:val="none"/>
              </w:rPr>
              <w:t>分</w:t>
            </w:r>
          </w:p>
          <w:p w14:paraId="694DC60B">
            <w:pPr>
              <w:spacing w:line="276" w:lineRule="auto"/>
              <w:ind w:firstLine="404" w:firstLineChars="200"/>
              <w:jc w:val="left"/>
              <w:rPr>
                <w:rFonts w:ascii="宋体" w:hAnsi="宋体"/>
                <w:spacing w:val="-4"/>
                <w:sz w:val="21"/>
                <w:szCs w:val="21"/>
                <w:highlight w:val="none"/>
              </w:rPr>
            </w:pPr>
            <w:r>
              <w:rPr>
                <w:rFonts w:hint="eastAsia" w:ascii="宋体" w:hAnsi="宋体"/>
                <w:spacing w:val="-4"/>
                <w:sz w:val="21"/>
                <w:szCs w:val="21"/>
                <w:highlight w:val="none"/>
              </w:rPr>
              <w:t>主要人员：</w:t>
            </w:r>
            <w:r>
              <w:rPr>
                <w:rFonts w:hint="eastAsia" w:ascii="宋体" w:hAnsi="宋体"/>
                <w:spacing w:val="-4"/>
                <w:sz w:val="21"/>
                <w:szCs w:val="21"/>
                <w:highlight w:val="none"/>
                <w:u w:val="single"/>
              </w:rPr>
              <w:t>25</w:t>
            </w:r>
            <w:r>
              <w:rPr>
                <w:rFonts w:hint="eastAsia" w:ascii="宋体" w:hAnsi="宋体"/>
                <w:spacing w:val="-4"/>
                <w:sz w:val="21"/>
                <w:szCs w:val="21"/>
                <w:highlight w:val="none"/>
              </w:rPr>
              <w:t>分</w:t>
            </w:r>
          </w:p>
          <w:p w14:paraId="6C8B59F7">
            <w:pPr>
              <w:spacing w:line="276" w:lineRule="auto"/>
              <w:ind w:firstLine="404" w:firstLineChars="200"/>
              <w:jc w:val="left"/>
              <w:rPr>
                <w:rFonts w:ascii="宋体" w:hAnsi="宋体"/>
                <w:spacing w:val="-4"/>
                <w:sz w:val="21"/>
                <w:szCs w:val="21"/>
                <w:highlight w:val="none"/>
              </w:rPr>
            </w:pPr>
            <w:r>
              <w:rPr>
                <w:rFonts w:hint="eastAsia" w:ascii="宋体" w:hAnsi="宋体"/>
                <w:spacing w:val="-4"/>
                <w:sz w:val="21"/>
                <w:szCs w:val="21"/>
                <w:highlight w:val="none"/>
              </w:rPr>
              <w:t>业绩：</w:t>
            </w:r>
            <w:r>
              <w:rPr>
                <w:rFonts w:hint="eastAsia" w:ascii="宋体" w:hAnsi="宋体"/>
                <w:spacing w:val="-4"/>
                <w:sz w:val="21"/>
                <w:szCs w:val="21"/>
                <w:highlight w:val="none"/>
                <w:u w:val="single"/>
              </w:rPr>
              <w:t>25</w:t>
            </w:r>
            <w:r>
              <w:rPr>
                <w:rFonts w:hint="eastAsia" w:ascii="宋体" w:hAnsi="宋体"/>
                <w:spacing w:val="-4"/>
                <w:sz w:val="21"/>
                <w:szCs w:val="21"/>
                <w:highlight w:val="none"/>
              </w:rPr>
              <w:t>分</w:t>
            </w:r>
          </w:p>
          <w:p w14:paraId="318CDC02">
            <w:pPr>
              <w:spacing w:line="276" w:lineRule="auto"/>
              <w:jc w:val="left"/>
              <w:rPr>
                <w:rFonts w:hint="eastAsia" w:ascii="宋体" w:hAnsi="宋体"/>
                <w:b/>
                <w:bCs/>
                <w:spacing w:val="-4"/>
                <w:sz w:val="21"/>
                <w:szCs w:val="21"/>
                <w:highlight w:val="none"/>
              </w:rPr>
            </w:pPr>
            <w:r>
              <w:rPr>
                <w:rFonts w:hint="eastAsia" w:ascii="宋体" w:hAnsi="宋体"/>
                <w:b/>
                <w:bCs/>
                <w:spacing w:val="-4"/>
                <w:sz w:val="21"/>
                <w:szCs w:val="21"/>
                <w:highlight w:val="none"/>
              </w:rPr>
              <w:t>第二信封（报价文件）评分分值构成：</w:t>
            </w:r>
          </w:p>
          <w:p w14:paraId="7AC375FE">
            <w:pPr>
              <w:spacing w:line="276" w:lineRule="auto"/>
              <w:ind w:firstLine="404" w:firstLineChars="200"/>
              <w:jc w:val="left"/>
              <w:rPr>
                <w:rFonts w:hint="eastAsia" w:ascii="宋体" w:hAnsi="宋体"/>
                <w:bCs/>
                <w:sz w:val="21"/>
                <w:szCs w:val="21"/>
                <w:highlight w:val="none"/>
              </w:rPr>
            </w:pPr>
            <w:r>
              <w:rPr>
                <w:rFonts w:hint="eastAsia" w:ascii="宋体" w:hAnsi="宋体"/>
                <w:spacing w:val="-4"/>
                <w:sz w:val="21"/>
                <w:szCs w:val="21"/>
                <w:highlight w:val="none"/>
              </w:rPr>
              <w:t>评标价：</w:t>
            </w:r>
            <w:r>
              <w:rPr>
                <w:rFonts w:hint="eastAsia" w:ascii="宋体" w:hAnsi="宋体"/>
                <w:spacing w:val="-4"/>
                <w:sz w:val="21"/>
                <w:szCs w:val="21"/>
                <w:highlight w:val="none"/>
                <w:u w:val="single"/>
              </w:rPr>
              <w:t>10</w:t>
            </w:r>
            <w:r>
              <w:rPr>
                <w:rFonts w:hint="eastAsia" w:ascii="宋体" w:hAnsi="宋体"/>
                <w:spacing w:val="-4"/>
                <w:sz w:val="21"/>
                <w:szCs w:val="21"/>
                <w:highlight w:val="none"/>
              </w:rPr>
              <w:t>分</w:t>
            </w:r>
          </w:p>
        </w:tc>
      </w:tr>
      <w:tr w14:paraId="2005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5" w:hRule="atLeast"/>
          <w:jc w:val="center"/>
        </w:trPr>
        <w:tc>
          <w:tcPr>
            <w:tcW w:w="550" w:type="pct"/>
            <w:noWrap w:val="0"/>
            <w:vAlign w:val="center"/>
          </w:tcPr>
          <w:p w14:paraId="57CCE31F">
            <w:pPr>
              <w:spacing w:line="276" w:lineRule="auto"/>
              <w:jc w:val="center"/>
              <w:rPr>
                <w:rFonts w:hint="eastAsia" w:ascii="宋体" w:hAnsi="宋体"/>
                <w:sz w:val="21"/>
                <w:szCs w:val="21"/>
                <w:highlight w:val="none"/>
              </w:rPr>
            </w:pPr>
            <w:r>
              <w:rPr>
                <w:rFonts w:hint="eastAsia" w:ascii="宋体" w:hAnsi="宋体"/>
                <w:sz w:val="21"/>
                <w:szCs w:val="21"/>
                <w:highlight w:val="none"/>
              </w:rPr>
              <w:t>2.2.2</w:t>
            </w:r>
          </w:p>
        </w:tc>
        <w:tc>
          <w:tcPr>
            <w:tcW w:w="704" w:type="pct"/>
            <w:noWrap w:val="0"/>
            <w:vAlign w:val="center"/>
          </w:tcPr>
          <w:p w14:paraId="5A40F429">
            <w:pPr>
              <w:spacing w:line="276" w:lineRule="auto"/>
              <w:jc w:val="center"/>
              <w:rPr>
                <w:rFonts w:hint="eastAsia" w:ascii="宋体" w:hAnsi="宋体"/>
                <w:sz w:val="21"/>
                <w:szCs w:val="21"/>
                <w:highlight w:val="none"/>
              </w:rPr>
            </w:pPr>
            <w:r>
              <w:rPr>
                <w:rFonts w:hint="eastAsia" w:ascii="宋体" w:hAnsi="宋体"/>
                <w:sz w:val="21"/>
                <w:szCs w:val="21"/>
                <w:highlight w:val="none"/>
              </w:rPr>
              <w:t>评标基准</w:t>
            </w:r>
          </w:p>
          <w:p w14:paraId="38BA3738">
            <w:pPr>
              <w:spacing w:line="276" w:lineRule="auto"/>
              <w:jc w:val="center"/>
              <w:rPr>
                <w:rFonts w:hint="eastAsia" w:ascii="宋体" w:hAnsi="宋体"/>
                <w:sz w:val="21"/>
                <w:szCs w:val="21"/>
                <w:highlight w:val="none"/>
              </w:rPr>
            </w:pPr>
            <w:r>
              <w:rPr>
                <w:rFonts w:hint="eastAsia" w:ascii="宋体" w:hAnsi="宋体"/>
                <w:sz w:val="21"/>
                <w:szCs w:val="21"/>
                <w:highlight w:val="none"/>
              </w:rPr>
              <w:t>价计算</w:t>
            </w:r>
          </w:p>
          <w:p w14:paraId="5BDBB8D1">
            <w:pPr>
              <w:spacing w:line="276" w:lineRule="auto"/>
              <w:jc w:val="center"/>
              <w:rPr>
                <w:rFonts w:hint="eastAsia" w:ascii="宋体" w:hAnsi="宋体"/>
                <w:sz w:val="21"/>
                <w:szCs w:val="21"/>
                <w:highlight w:val="none"/>
              </w:rPr>
            </w:pPr>
            <w:r>
              <w:rPr>
                <w:rFonts w:hint="eastAsia" w:ascii="宋体" w:hAnsi="宋体"/>
                <w:sz w:val="21"/>
                <w:szCs w:val="21"/>
                <w:highlight w:val="none"/>
              </w:rPr>
              <w:t>方法</w:t>
            </w:r>
          </w:p>
        </w:tc>
        <w:tc>
          <w:tcPr>
            <w:tcW w:w="3744" w:type="pct"/>
            <w:noWrap w:val="0"/>
            <w:vAlign w:val="center"/>
          </w:tcPr>
          <w:p w14:paraId="467EACDC">
            <w:pPr>
              <w:spacing w:line="276" w:lineRule="auto"/>
              <w:jc w:val="left"/>
              <w:rPr>
                <w:rFonts w:hint="eastAsia" w:ascii="宋体" w:hAnsi="宋体" w:eastAsia="宋体"/>
                <w:spacing w:val="-4"/>
                <w:sz w:val="21"/>
                <w:szCs w:val="21"/>
                <w:highlight w:val="none"/>
                <w:lang w:eastAsia="zh-CN"/>
              </w:rPr>
            </w:pPr>
            <w:r>
              <w:rPr>
                <w:rFonts w:hint="eastAsia" w:ascii="宋体" w:hAnsi="宋体"/>
                <w:spacing w:val="-4"/>
                <w:sz w:val="21"/>
                <w:szCs w:val="21"/>
                <w:highlight w:val="none"/>
              </w:rPr>
              <w:t>评标基准价的计算：</w:t>
            </w:r>
          </w:p>
          <w:p w14:paraId="79CA1AB5">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所有通过第一个信封评审的投标文件，由评标委员会开启第二个信封，并当场计算并宣布评标基准价。</w:t>
            </w:r>
          </w:p>
          <w:p w14:paraId="5C8E906C">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（1）评标价的确定：</w:t>
            </w:r>
          </w:p>
          <w:p w14:paraId="55BDE804">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评标价=投标函文字报价</w:t>
            </w:r>
          </w:p>
          <w:p w14:paraId="1DE5DC6B">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（2）评标价平均值的计算：</w:t>
            </w:r>
          </w:p>
          <w:p w14:paraId="4493C1EC">
            <w:pPr>
              <w:spacing w:line="276" w:lineRule="auto"/>
              <w:ind w:firstLine="404" w:firstLineChars="200"/>
              <w:jc w:val="left"/>
              <w:rPr>
                <w:rFonts w:hint="eastAsia" w:ascii="宋体" w:hAnsi="宋体" w:eastAsia="宋体"/>
                <w:spacing w:val="-4"/>
                <w:sz w:val="21"/>
                <w:szCs w:val="21"/>
                <w:highlight w:val="none"/>
                <w:lang w:eastAsia="zh-CN"/>
              </w:rPr>
            </w:pPr>
            <w:r>
              <w:rPr>
                <w:rFonts w:hint="eastAsia" w:ascii="宋体" w:hAnsi="宋体"/>
                <w:spacing w:val="-4"/>
                <w:sz w:val="21"/>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w:t>
            </w:r>
          </w:p>
          <w:p w14:paraId="1DA42373">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（3）评标基准价的确定：</w:t>
            </w:r>
          </w:p>
          <w:p w14:paraId="272A5DA1">
            <w:pPr>
              <w:spacing w:line="276" w:lineRule="auto"/>
              <w:ind w:firstLine="404" w:firstLineChars="200"/>
              <w:jc w:val="left"/>
              <w:rPr>
                <w:rFonts w:hint="eastAsia" w:ascii="宋体" w:hAnsi="宋体"/>
                <w:spacing w:val="-4"/>
                <w:sz w:val="21"/>
                <w:szCs w:val="21"/>
                <w:highlight w:val="none"/>
              </w:rPr>
            </w:pPr>
            <w:r>
              <w:rPr>
                <w:rFonts w:hint="eastAsia" w:ascii="宋体" w:hAnsi="宋体"/>
                <w:spacing w:val="-4"/>
                <w:sz w:val="21"/>
                <w:szCs w:val="21"/>
                <w:highlight w:val="none"/>
              </w:rPr>
              <w:t>将评标价平均值直接作为评标基准价（评标基准价保留两位小数，第三位四舍五入）。</w:t>
            </w:r>
          </w:p>
          <w:p w14:paraId="7BD137F0">
            <w:pPr>
              <w:spacing w:line="288" w:lineRule="auto"/>
              <w:ind w:firstLine="371" w:firstLineChars="184"/>
              <w:jc w:val="left"/>
              <w:rPr>
                <w:rFonts w:hint="eastAsia" w:ascii="宋体" w:hAnsi="宋体"/>
                <w:spacing w:val="-4"/>
                <w:sz w:val="21"/>
                <w:szCs w:val="21"/>
                <w:highlight w:val="none"/>
              </w:rPr>
            </w:pPr>
            <w:r>
              <w:rPr>
                <w:rFonts w:hint="eastAsia" w:ascii="宋体" w:hAnsi="宋体"/>
                <w:spacing w:val="-4"/>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6E6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550" w:type="pct"/>
            <w:noWrap w:val="0"/>
            <w:vAlign w:val="center"/>
          </w:tcPr>
          <w:p w14:paraId="7AB2DF25">
            <w:pPr>
              <w:spacing w:line="276" w:lineRule="auto"/>
              <w:jc w:val="center"/>
              <w:rPr>
                <w:rFonts w:hint="eastAsia" w:ascii="宋体" w:hAnsi="宋体"/>
                <w:sz w:val="21"/>
                <w:szCs w:val="21"/>
                <w:highlight w:val="none"/>
              </w:rPr>
            </w:pPr>
            <w:r>
              <w:rPr>
                <w:rFonts w:hint="eastAsia" w:ascii="宋体" w:hAnsi="宋体"/>
                <w:sz w:val="21"/>
                <w:szCs w:val="21"/>
                <w:highlight w:val="none"/>
              </w:rPr>
              <w:t>2.2.3</w:t>
            </w:r>
          </w:p>
        </w:tc>
        <w:tc>
          <w:tcPr>
            <w:tcW w:w="704" w:type="pct"/>
            <w:noWrap w:val="0"/>
            <w:vAlign w:val="center"/>
          </w:tcPr>
          <w:p w14:paraId="2A94497E">
            <w:pPr>
              <w:spacing w:line="276" w:lineRule="auto"/>
              <w:jc w:val="center"/>
              <w:rPr>
                <w:rFonts w:hint="eastAsia" w:ascii="宋体" w:hAnsi="宋体"/>
                <w:sz w:val="21"/>
                <w:szCs w:val="21"/>
                <w:highlight w:val="none"/>
              </w:rPr>
            </w:pPr>
            <w:r>
              <w:rPr>
                <w:rFonts w:hint="eastAsia" w:ascii="宋体" w:hAnsi="宋体"/>
                <w:sz w:val="21"/>
                <w:szCs w:val="21"/>
                <w:highlight w:val="none"/>
              </w:rPr>
              <w:t>评标价的</w:t>
            </w:r>
          </w:p>
          <w:p w14:paraId="7F6BF55E">
            <w:pPr>
              <w:spacing w:line="276" w:lineRule="auto"/>
              <w:jc w:val="center"/>
              <w:rPr>
                <w:rFonts w:hint="eastAsia" w:ascii="宋体" w:hAnsi="宋体"/>
                <w:sz w:val="21"/>
                <w:szCs w:val="21"/>
                <w:highlight w:val="none"/>
              </w:rPr>
            </w:pPr>
            <w:r>
              <w:rPr>
                <w:rFonts w:hint="eastAsia" w:ascii="宋体" w:hAnsi="宋体"/>
                <w:sz w:val="21"/>
                <w:szCs w:val="21"/>
                <w:highlight w:val="none"/>
              </w:rPr>
              <w:t>偏差率</w:t>
            </w:r>
          </w:p>
          <w:p w14:paraId="754C79E2">
            <w:pPr>
              <w:spacing w:line="276" w:lineRule="auto"/>
              <w:jc w:val="center"/>
              <w:rPr>
                <w:rFonts w:hint="eastAsia" w:ascii="宋体" w:hAnsi="宋体"/>
                <w:sz w:val="21"/>
                <w:szCs w:val="21"/>
                <w:highlight w:val="none"/>
              </w:rPr>
            </w:pPr>
            <w:r>
              <w:rPr>
                <w:rFonts w:hint="eastAsia" w:ascii="宋体" w:hAnsi="宋体"/>
                <w:sz w:val="21"/>
                <w:szCs w:val="21"/>
                <w:highlight w:val="none"/>
              </w:rPr>
              <w:t>计算公式</w:t>
            </w:r>
          </w:p>
        </w:tc>
        <w:tc>
          <w:tcPr>
            <w:tcW w:w="3744" w:type="pct"/>
            <w:noWrap w:val="0"/>
            <w:vAlign w:val="center"/>
          </w:tcPr>
          <w:p w14:paraId="27992BDB">
            <w:pPr>
              <w:spacing w:line="276" w:lineRule="auto"/>
              <w:rPr>
                <w:rFonts w:hint="eastAsia" w:ascii="宋体" w:hAnsi="宋体"/>
                <w:sz w:val="21"/>
                <w:szCs w:val="21"/>
                <w:highlight w:val="none"/>
              </w:rPr>
            </w:pPr>
            <w:r>
              <w:rPr>
                <w:rFonts w:hint="eastAsia" w:ascii="宋体" w:hAnsi="宋体"/>
                <w:sz w:val="21"/>
                <w:szCs w:val="21"/>
                <w:highlight w:val="none"/>
              </w:rPr>
              <w:t>偏差率=100%×（投标人评标价-评标基准价）/评标基准价</w:t>
            </w:r>
          </w:p>
        </w:tc>
      </w:tr>
      <w:tr w14:paraId="75DC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pct"/>
            <w:noWrap w:val="0"/>
            <w:vAlign w:val="center"/>
          </w:tcPr>
          <w:p w14:paraId="09818276">
            <w:pPr>
              <w:spacing w:line="276" w:lineRule="auto"/>
              <w:jc w:val="center"/>
              <w:rPr>
                <w:rFonts w:hint="eastAsia" w:ascii="宋体" w:hAnsi="宋体"/>
                <w:sz w:val="21"/>
                <w:szCs w:val="21"/>
                <w:highlight w:val="none"/>
              </w:rPr>
            </w:pPr>
            <w:r>
              <w:rPr>
                <w:rFonts w:hint="eastAsia" w:ascii="宋体" w:hAnsi="宋体"/>
                <w:sz w:val="21"/>
                <w:szCs w:val="21"/>
                <w:highlight w:val="none"/>
              </w:rPr>
              <w:t>3</w:t>
            </w:r>
          </w:p>
        </w:tc>
        <w:tc>
          <w:tcPr>
            <w:tcW w:w="704" w:type="pct"/>
            <w:noWrap w:val="0"/>
            <w:vAlign w:val="center"/>
          </w:tcPr>
          <w:p w14:paraId="309768C6">
            <w:pPr>
              <w:spacing w:line="276" w:lineRule="auto"/>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评标程序</w:t>
            </w:r>
          </w:p>
        </w:tc>
        <w:tc>
          <w:tcPr>
            <w:tcW w:w="3744" w:type="pct"/>
            <w:noWrap w:val="0"/>
            <w:vAlign w:val="center"/>
          </w:tcPr>
          <w:p w14:paraId="389A0A14">
            <w:pPr>
              <w:spacing w:line="276" w:lineRule="auto"/>
              <w:jc w:val="both"/>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本款修改为：</w:t>
            </w:r>
          </w:p>
          <w:p w14:paraId="7D5EBB4A">
            <w:pPr>
              <w:spacing w:line="276" w:lineRule="auto"/>
              <w:jc w:val="both"/>
              <w:rPr>
                <w:rFonts w:hint="eastAsia" w:ascii="宋体" w:hAnsi="宋体"/>
                <w:b/>
                <w:bCs/>
                <w:sz w:val="21"/>
                <w:szCs w:val="21"/>
                <w:highlight w:val="none"/>
              </w:rPr>
            </w:pPr>
            <w:r>
              <w:rPr>
                <w:rFonts w:hint="eastAsia" w:ascii="宋体" w:hAnsi="宋体"/>
                <w:b/>
                <w:bCs/>
                <w:sz w:val="21"/>
                <w:szCs w:val="21"/>
                <w:highlight w:val="none"/>
              </w:rPr>
              <w:t>3.评标程序</w:t>
            </w:r>
          </w:p>
          <w:p w14:paraId="2408CE3F">
            <w:pPr>
              <w:spacing w:line="276" w:lineRule="auto"/>
              <w:jc w:val="both"/>
              <w:rPr>
                <w:rFonts w:hint="eastAsia" w:ascii="宋体" w:hAnsi="宋体"/>
                <w:b/>
                <w:bCs/>
                <w:sz w:val="21"/>
                <w:szCs w:val="21"/>
                <w:highlight w:val="none"/>
              </w:rPr>
            </w:pPr>
            <w:r>
              <w:rPr>
                <w:rFonts w:hint="eastAsia" w:ascii="宋体" w:hAnsi="宋体"/>
                <w:b/>
                <w:bCs/>
                <w:sz w:val="21"/>
                <w:szCs w:val="21"/>
                <w:highlight w:val="none"/>
              </w:rPr>
              <w:t>3.1第一个信封初步评审</w:t>
            </w:r>
          </w:p>
          <w:p w14:paraId="21DCDAE7">
            <w:pPr>
              <w:spacing w:line="276" w:lineRule="auto"/>
              <w:jc w:val="both"/>
              <w:rPr>
                <w:rFonts w:hint="eastAsia" w:ascii="宋体" w:hAnsi="宋体"/>
                <w:sz w:val="21"/>
                <w:szCs w:val="21"/>
                <w:highlight w:val="none"/>
              </w:rPr>
            </w:pPr>
            <w:r>
              <w:rPr>
                <w:rFonts w:hint="eastAsia" w:ascii="宋体" w:hAnsi="宋体"/>
                <w:sz w:val="21"/>
                <w:szCs w:val="21"/>
                <w:highlight w:val="none"/>
              </w:rPr>
              <w:t>3.1.1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w:t>
            </w:r>
          </w:p>
          <w:p w14:paraId="11A645A1">
            <w:pPr>
              <w:spacing w:line="276" w:lineRule="auto"/>
              <w:jc w:val="both"/>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3.2第一个信封详细评审</w:t>
            </w:r>
          </w:p>
          <w:p w14:paraId="09AC745F">
            <w:pPr>
              <w:spacing w:line="276" w:lineRule="auto"/>
              <w:jc w:val="both"/>
              <w:rPr>
                <w:rFonts w:hint="eastAsia" w:ascii="宋体" w:hAnsi="宋体"/>
                <w:sz w:val="21"/>
                <w:szCs w:val="21"/>
                <w:highlight w:val="none"/>
              </w:rPr>
            </w:pPr>
            <w:r>
              <w:rPr>
                <w:rFonts w:hint="eastAsia" w:ascii="宋体" w:hAnsi="宋体"/>
                <w:sz w:val="21"/>
                <w:szCs w:val="21"/>
                <w:highlight w:val="none"/>
              </w:rPr>
              <w:t>3.2.1评标委员会按本章第2.2款规定的量化因素和分值进行打分，并计算出各投标人的商务和技术得分。</w:t>
            </w:r>
          </w:p>
          <w:p w14:paraId="067E4A10">
            <w:pPr>
              <w:spacing w:line="276" w:lineRule="auto"/>
              <w:jc w:val="both"/>
              <w:rPr>
                <w:rFonts w:hint="eastAsia" w:ascii="宋体" w:hAnsi="宋体"/>
                <w:sz w:val="21"/>
                <w:szCs w:val="21"/>
                <w:highlight w:val="none"/>
              </w:rPr>
            </w:pPr>
            <w:r>
              <w:rPr>
                <w:rFonts w:hint="eastAsia" w:ascii="宋体" w:hAnsi="宋体"/>
                <w:sz w:val="21"/>
                <w:szCs w:val="21"/>
                <w:highlight w:val="none"/>
              </w:rPr>
              <w:t>(1)按本章第2.2.4项（1)目规定的评审因素和分值对技术建议书部分计算出得分A；</w:t>
            </w:r>
          </w:p>
          <w:p w14:paraId="55BD1900">
            <w:pPr>
              <w:spacing w:line="276" w:lineRule="auto"/>
              <w:jc w:val="both"/>
              <w:rPr>
                <w:rFonts w:hint="eastAsia" w:ascii="宋体" w:hAnsi="宋体"/>
                <w:sz w:val="21"/>
                <w:szCs w:val="21"/>
                <w:highlight w:val="none"/>
              </w:rPr>
            </w:pPr>
            <w:r>
              <w:rPr>
                <w:rFonts w:hint="eastAsia" w:ascii="宋体" w:hAnsi="宋体"/>
                <w:sz w:val="21"/>
                <w:szCs w:val="21"/>
                <w:highlight w:val="none"/>
              </w:rPr>
              <w:t>(2)按本章第2.2.4项（2)目规定的评审因素和分值对主要人员部分计算出得分B；</w:t>
            </w:r>
          </w:p>
          <w:p w14:paraId="74E2B545">
            <w:pPr>
              <w:spacing w:line="276" w:lineRule="auto"/>
              <w:jc w:val="both"/>
              <w:rPr>
                <w:rFonts w:hint="eastAsia" w:ascii="宋体" w:hAnsi="宋体"/>
                <w:sz w:val="21"/>
                <w:szCs w:val="21"/>
                <w:highlight w:val="none"/>
              </w:rPr>
            </w:pPr>
            <w:r>
              <w:rPr>
                <w:rFonts w:hint="eastAsia" w:ascii="宋体" w:hAnsi="宋体"/>
                <w:sz w:val="21"/>
                <w:szCs w:val="21"/>
                <w:highlight w:val="none"/>
              </w:rPr>
              <w:t>(3)按本章第2.2.4项(4)目规定的评审因素和分值对其他部分计算出得D。</w:t>
            </w:r>
          </w:p>
          <w:p w14:paraId="3A9C047A">
            <w:pPr>
              <w:spacing w:line="276" w:lineRule="auto"/>
              <w:jc w:val="both"/>
              <w:rPr>
                <w:rFonts w:hint="eastAsia" w:ascii="宋体" w:hAnsi="宋体"/>
                <w:sz w:val="21"/>
                <w:szCs w:val="21"/>
                <w:highlight w:val="none"/>
              </w:rPr>
            </w:pPr>
            <w:r>
              <w:rPr>
                <w:rFonts w:hint="eastAsia" w:ascii="宋体" w:hAnsi="宋体"/>
                <w:sz w:val="21"/>
                <w:szCs w:val="21"/>
                <w:highlight w:val="none"/>
              </w:rPr>
              <w:t>3.2.2投标人的商务和技术得分分值计算保留小数点后两位，小数点后第三位“四舍五入”。</w:t>
            </w:r>
          </w:p>
          <w:p w14:paraId="57C3B63C">
            <w:pPr>
              <w:spacing w:line="276" w:lineRule="auto"/>
              <w:jc w:val="both"/>
              <w:rPr>
                <w:rFonts w:hint="eastAsia" w:ascii="宋体" w:hAnsi="宋体"/>
                <w:sz w:val="21"/>
                <w:szCs w:val="21"/>
                <w:highlight w:val="none"/>
              </w:rPr>
            </w:pPr>
            <w:r>
              <w:rPr>
                <w:rFonts w:hint="eastAsia" w:ascii="宋体" w:hAnsi="宋体"/>
                <w:sz w:val="21"/>
                <w:szCs w:val="21"/>
                <w:highlight w:val="none"/>
              </w:rPr>
              <w:t>3.2.3投标人的商务和技术得分=A+B+D。</w:t>
            </w:r>
          </w:p>
          <w:p w14:paraId="526937E8">
            <w:pPr>
              <w:spacing w:line="276" w:lineRule="auto"/>
              <w:jc w:val="both"/>
              <w:rPr>
                <w:rFonts w:hint="eastAsia" w:ascii="宋体" w:hAnsi="宋体"/>
                <w:sz w:val="21"/>
                <w:szCs w:val="21"/>
                <w:highlight w:val="none"/>
              </w:rPr>
            </w:pPr>
            <w:r>
              <w:rPr>
                <w:rFonts w:hint="eastAsia" w:ascii="宋体" w:hAnsi="宋体"/>
                <w:sz w:val="21"/>
                <w:szCs w:val="21"/>
                <w:highlight w:val="none"/>
              </w:rPr>
              <w:t>3.2.4如通过第一个信封评审的有效投标不足3个，评标委员会应当对有效投标是否仍具有竞争性进行评审。评标委员会一致认为有效投标仍具有竞争性的，应当继续按照规定的程序进行第二个信封报价文件评审，并在评标报告中予以说明。评标委员会对有效投标是否仍具有竞争性无法达成一致意见的，应当否决全部投标。</w:t>
            </w:r>
          </w:p>
          <w:p w14:paraId="0F89B7A1">
            <w:pPr>
              <w:spacing w:line="276" w:lineRule="auto"/>
              <w:jc w:val="both"/>
              <w:rPr>
                <w:rFonts w:hint="eastAsia" w:ascii="宋体" w:hAnsi="宋体"/>
                <w:sz w:val="21"/>
                <w:szCs w:val="21"/>
                <w:highlight w:val="none"/>
              </w:rPr>
            </w:pPr>
            <w:r>
              <w:rPr>
                <w:rFonts w:hint="eastAsia" w:ascii="宋体" w:hAnsi="宋体"/>
                <w:sz w:val="21"/>
                <w:szCs w:val="21"/>
                <w:highlight w:val="none"/>
                <w:lang w:val="en-US" w:eastAsia="zh-CN"/>
              </w:rPr>
              <w:t>新增</w:t>
            </w:r>
            <w:r>
              <w:rPr>
                <w:rFonts w:hint="eastAsia" w:ascii="宋体" w:hAnsi="宋体"/>
                <w:sz w:val="21"/>
                <w:szCs w:val="21"/>
                <w:highlight w:val="none"/>
              </w:rPr>
              <w:t>3.2.5</w:t>
            </w:r>
            <w:r>
              <w:rPr>
                <w:rFonts w:hint="eastAsia" w:ascii="宋体" w:hAnsi="宋体"/>
                <w:sz w:val="21"/>
                <w:szCs w:val="21"/>
                <w:highlight w:val="none"/>
                <w:lang w:val="en-US" w:eastAsia="zh-CN"/>
              </w:rPr>
              <w:t>款：</w:t>
            </w:r>
            <w:r>
              <w:rPr>
                <w:rFonts w:hint="eastAsia" w:ascii="宋体" w:hAnsi="宋体"/>
                <w:sz w:val="21"/>
                <w:szCs w:val="21"/>
                <w:highlight w:val="none"/>
              </w:rPr>
              <w:t>在第一信封评审结束后，招标人代表应当按照招标文件相关条款核查评标结果，发现评标情况与招标文件规定不符的，应当及时提醒评标委员会作出修正后方可开启第二信封。</w:t>
            </w:r>
          </w:p>
          <w:p w14:paraId="277C6C6C">
            <w:pPr>
              <w:spacing w:line="276" w:lineRule="auto"/>
              <w:jc w:val="both"/>
              <w:rPr>
                <w:rFonts w:hint="eastAsia" w:ascii="宋体" w:hAnsi="宋体"/>
                <w:b/>
                <w:bCs/>
                <w:sz w:val="21"/>
                <w:szCs w:val="21"/>
                <w:highlight w:val="none"/>
              </w:rPr>
            </w:pPr>
            <w:r>
              <w:rPr>
                <w:rFonts w:hint="eastAsia" w:ascii="宋体" w:hAnsi="宋体"/>
                <w:b/>
                <w:bCs/>
                <w:sz w:val="21"/>
                <w:szCs w:val="21"/>
                <w:highlight w:val="none"/>
              </w:rPr>
              <w:t>3.3第二个信封开标</w:t>
            </w:r>
          </w:p>
          <w:p w14:paraId="194A2E50">
            <w:pPr>
              <w:spacing w:line="276" w:lineRule="auto"/>
              <w:jc w:val="both"/>
              <w:rPr>
                <w:rFonts w:hint="eastAsia" w:ascii="宋体" w:hAnsi="宋体"/>
                <w:sz w:val="21"/>
                <w:szCs w:val="21"/>
                <w:highlight w:val="none"/>
              </w:rPr>
            </w:pPr>
            <w:r>
              <w:rPr>
                <w:rFonts w:hint="eastAsia" w:ascii="宋体" w:hAnsi="宋体"/>
                <w:sz w:val="21"/>
                <w:szCs w:val="21"/>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14:paraId="26C2F9CA">
            <w:pPr>
              <w:spacing w:line="276" w:lineRule="auto"/>
              <w:jc w:val="both"/>
              <w:rPr>
                <w:rFonts w:hint="eastAsia" w:ascii="宋体" w:hAnsi="宋体"/>
                <w:sz w:val="21"/>
                <w:szCs w:val="21"/>
                <w:highlight w:val="none"/>
              </w:rPr>
            </w:pPr>
            <w:r>
              <w:rPr>
                <w:rFonts w:hint="eastAsia" w:ascii="宋体" w:hAnsi="宋体"/>
                <w:sz w:val="21"/>
                <w:szCs w:val="21"/>
                <w:highlight w:val="none"/>
              </w:rPr>
              <w:t>3.4第二个信封初步评审</w:t>
            </w:r>
          </w:p>
          <w:p w14:paraId="1DC7E4A0">
            <w:pPr>
              <w:spacing w:line="276" w:lineRule="auto"/>
              <w:jc w:val="both"/>
              <w:rPr>
                <w:rFonts w:hint="eastAsia" w:ascii="宋体" w:hAnsi="宋体"/>
                <w:sz w:val="21"/>
                <w:szCs w:val="21"/>
                <w:highlight w:val="none"/>
              </w:rPr>
            </w:pPr>
            <w:r>
              <w:rPr>
                <w:rFonts w:hint="eastAsia" w:ascii="宋体" w:hAnsi="宋体"/>
                <w:sz w:val="21"/>
                <w:szCs w:val="21"/>
                <w:highlight w:val="none"/>
              </w:rPr>
              <w:t>3.4.1评标委员会依据本章第2.1.1项、第2.1.3项规定的评审标准对投标文件第二个信封（报价文件）进行初步评审。有一项不符合评审标准的，评标委员会应否决其投标。</w:t>
            </w:r>
          </w:p>
          <w:p w14:paraId="145CEADE">
            <w:pPr>
              <w:spacing w:line="276" w:lineRule="auto"/>
              <w:jc w:val="both"/>
              <w:rPr>
                <w:rFonts w:hint="eastAsia" w:ascii="宋体" w:hAnsi="宋体"/>
                <w:sz w:val="21"/>
                <w:szCs w:val="21"/>
                <w:highlight w:val="none"/>
              </w:rPr>
            </w:pPr>
            <w:r>
              <w:rPr>
                <w:rFonts w:hint="eastAsia" w:ascii="宋体" w:hAnsi="宋体"/>
                <w:sz w:val="21"/>
                <w:szCs w:val="21"/>
                <w:highlight w:val="none"/>
              </w:rPr>
              <w:t>3.4.2投标报价有算术错误的，评标委员会按以下原则对投标报价进行修正，修正的价格经投标人书面确认后具有约束力。投标人不接受修正价格的，评标委员会应否决其投标。</w:t>
            </w:r>
          </w:p>
          <w:p w14:paraId="09661195">
            <w:pPr>
              <w:spacing w:line="276" w:lineRule="auto"/>
              <w:jc w:val="both"/>
              <w:rPr>
                <w:rFonts w:hint="eastAsia" w:ascii="宋体" w:hAnsi="宋体"/>
                <w:sz w:val="21"/>
                <w:szCs w:val="21"/>
                <w:highlight w:val="none"/>
              </w:rPr>
            </w:pPr>
            <w:r>
              <w:rPr>
                <w:rFonts w:hint="eastAsia" w:ascii="宋体" w:hAnsi="宋体"/>
                <w:sz w:val="21"/>
                <w:szCs w:val="21"/>
                <w:highlight w:val="none"/>
              </w:rPr>
              <w:t>(1)投标文件中的大写金额与小写金额不一致的，以大写金额为准；</w:t>
            </w:r>
          </w:p>
          <w:p w14:paraId="251E15BB">
            <w:pPr>
              <w:spacing w:line="276" w:lineRule="auto"/>
              <w:jc w:val="both"/>
              <w:rPr>
                <w:rFonts w:hint="eastAsia" w:ascii="宋体" w:hAnsi="宋体"/>
                <w:sz w:val="21"/>
                <w:szCs w:val="21"/>
                <w:highlight w:val="none"/>
              </w:rPr>
            </w:pPr>
            <w:r>
              <w:rPr>
                <w:rFonts w:hint="eastAsia" w:ascii="宋体" w:hAnsi="宋体"/>
                <w:sz w:val="21"/>
                <w:szCs w:val="21"/>
                <w:highlight w:val="none"/>
              </w:rPr>
              <w:t>(2)总价金额与依据单价计算出的结果不一致的，以单价金额为准修正总价，但单价金额小数点有明显错误的除外；</w:t>
            </w:r>
          </w:p>
          <w:p w14:paraId="63F944CB">
            <w:pPr>
              <w:spacing w:line="276" w:lineRule="auto"/>
              <w:jc w:val="both"/>
              <w:rPr>
                <w:rFonts w:hint="eastAsia" w:ascii="宋体" w:hAnsi="宋体"/>
                <w:sz w:val="18"/>
                <w:szCs w:val="18"/>
                <w:highlight w:val="none"/>
              </w:rPr>
            </w:pPr>
            <w:r>
              <w:rPr>
                <w:rFonts w:hint="eastAsia" w:ascii="宋体" w:hAnsi="宋体"/>
                <w:sz w:val="21"/>
                <w:szCs w:val="21"/>
                <w:highlight w:val="none"/>
              </w:rPr>
              <w:t>(3)当单价与</w:t>
            </w:r>
            <w:r>
              <w:rPr>
                <w:rFonts w:hint="eastAsia" w:ascii="宋体" w:hAnsi="宋体"/>
                <w:sz w:val="18"/>
                <w:szCs w:val="18"/>
                <w:highlight w:val="none"/>
              </w:rPr>
              <w:t>数量相乘不等于合价时，以单价计算为准，如果单价有明显的小数点位置差错，应以标出的合价为准，同时对单价予以修正；</w:t>
            </w:r>
          </w:p>
          <w:p w14:paraId="4DB79523">
            <w:pPr>
              <w:spacing w:line="276" w:lineRule="auto"/>
              <w:jc w:val="both"/>
              <w:rPr>
                <w:rFonts w:hint="eastAsia" w:ascii="宋体" w:hAnsi="宋体"/>
                <w:sz w:val="18"/>
                <w:szCs w:val="18"/>
                <w:highlight w:val="none"/>
              </w:rPr>
            </w:pPr>
            <w:r>
              <w:rPr>
                <w:rFonts w:hint="eastAsia" w:ascii="宋体" w:hAnsi="宋体"/>
                <w:sz w:val="18"/>
                <w:szCs w:val="18"/>
                <w:highlight w:val="none"/>
              </w:rPr>
              <w:t>(4)当各子目的合价累计不等于总价时，应以各子目合价累计数为准，修正总价。</w:t>
            </w:r>
          </w:p>
          <w:p w14:paraId="33954512">
            <w:pPr>
              <w:spacing w:line="276" w:lineRule="auto"/>
              <w:jc w:val="both"/>
              <w:rPr>
                <w:rFonts w:hint="eastAsia" w:ascii="宋体" w:hAnsi="宋体"/>
                <w:sz w:val="18"/>
                <w:szCs w:val="18"/>
                <w:highlight w:val="none"/>
              </w:rPr>
            </w:pPr>
            <w:r>
              <w:rPr>
                <w:rFonts w:hint="eastAsia" w:ascii="宋体" w:hAnsi="宋体"/>
                <w:sz w:val="18"/>
                <w:szCs w:val="18"/>
                <w:highlight w:val="none"/>
              </w:rPr>
              <w:t>3.4.3修正后的最终投标报价若超过最高投标限价（如有)，评标委员会应否决其投标。</w:t>
            </w:r>
          </w:p>
          <w:p w14:paraId="52109706">
            <w:pPr>
              <w:spacing w:line="276" w:lineRule="auto"/>
              <w:jc w:val="both"/>
              <w:rPr>
                <w:rFonts w:hint="eastAsia" w:ascii="宋体" w:hAnsi="宋体"/>
                <w:sz w:val="18"/>
                <w:szCs w:val="18"/>
                <w:highlight w:val="none"/>
              </w:rPr>
            </w:pPr>
            <w:r>
              <w:rPr>
                <w:rFonts w:hint="eastAsia" w:ascii="宋体" w:hAnsi="宋体"/>
                <w:sz w:val="18"/>
                <w:szCs w:val="18"/>
                <w:highlight w:val="none"/>
              </w:rPr>
              <w:t>3.4.4修正后的最终投标报价仅作为签订合同的一个依据，不参与评标价得分的计算。</w:t>
            </w:r>
          </w:p>
          <w:p w14:paraId="5DD8F7E6">
            <w:pPr>
              <w:spacing w:line="276" w:lineRule="auto"/>
              <w:jc w:val="both"/>
              <w:rPr>
                <w:rFonts w:hint="eastAsia" w:ascii="宋体" w:hAnsi="宋体"/>
                <w:sz w:val="18"/>
                <w:szCs w:val="18"/>
                <w:highlight w:val="none"/>
              </w:rPr>
            </w:pPr>
            <w:r>
              <w:rPr>
                <w:rFonts w:hint="eastAsia" w:ascii="宋体" w:hAnsi="宋体"/>
                <w:sz w:val="18"/>
                <w:szCs w:val="18"/>
                <w:highlight w:val="none"/>
              </w:rPr>
              <w:t>3.5第二个信封详细评审</w:t>
            </w:r>
          </w:p>
          <w:p w14:paraId="28433701">
            <w:pPr>
              <w:spacing w:line="276" w:lineRule="auto"/>
              <w:jc w:val="both"/>
              <w:rPr>
                <w:rFonts w:hint="eastAsia" w:ascii="宋体" w:hAnsi="宋体"/>
                <w:sz w:val="21"/>
                <w:szCs w:val="21"/>
                <w:highlight w:val="none"/>
              </w:rPr>
            </w:pPr>
            <w:r>
              <w:rPr>
                <w:rFonts w:hint="eastAsia" w:ascii="宋体" w:hAnsi="宋体"/>
                <w:sz w:val="18"/>
                <w:szCs w:val="18"/>
                <w:highlight w:val="none"/>
              </w:rPr>
              <w:t>3.5.1评标委员会按本章第2.2.4项（3)目规定的评审因素和分值对评标价计算出得分C。评标价得分分值计算保留小数点</w:t>
            </w:r>
            <w:r>
              <w:rPr>
                <w:rFonts w:hint="eastAsia" w:ascii="宋体" w:hAnsi="宋体"/>
                <w:sz w:val="21"/>
                <w:szCs w:val="21"/>
                <w:highlight w:val="none"/>
              </w:rPr>
              <w:t>后两位，小数点后第三位“四舍五入”。</w:t>
            </w:r>
          </w:p>
          <w:p w14:paraId="41C1E835">
            <w:pPr>
              <w:spacing w:line="276" w:lineRule="auto"/>
              <w:jc w:val="both"/>
              <w:rPr>
                <w:rFonts w:hint="eastAsia" w:ascii="宋体" w:hAnsi="宋体"/>
                <w:sz w:val="21"/>
                <w:szCs w:val="21"/>
                <w:highlight w:val="none"/>
              </w:rPr>
            </w:pPr>
            <w:r>
              <w:rPr>
                <w:rFonts w:hint="eastAsia" w:ascii="宋体" w:hAnsi="宋体"/>
                <w:sz w:val="21"/>
                <w:szCs w:val="21"/>
                <w:highlight w:val="none"/>
              </w:rPr>
              <w:t>3.5.2投标人综合得分=投标人的商务和技术得分+C。</w:t>
            </w:r>
          </w:p>
          <w:p w14:paraId="74DE0DBE">
            <w:pPr>
              <w:spacing w:line="276" w:lineRule="auto"/>
              <w:jc w:val="both"/>
              <w:rPr>
                <w:rFonts w:hint="eastAsia" w:ascii="宋体" w:hAnsi="宋体"/>
                <w:sz w:val="21"/>
                <w:szCs w:val="21"/>
                <w:highlight w:val="none"/>
              </w:rPr>
            </w:pPr>
            <w:r>
              <w:rPr>
                <w:rFonts w:hint="eastAsia" w:ascii="宋体" w:hAnsi="宋体"/>
                <w:sz w:val="21"/>
                <w:szCs w:val="21"/>
                <w:highlight w:val="none"/>
              </w:rPr>
              <w:t>3.5.3存在投标人须知前附表3.2.5项情形的应当要求该投标人作出书面说明并提供相应的证明材料</w:t>
            </w:r>
            <w:r>
              <w:rPr>
                <w:rFonts w:hint="eastAsia" w:ascii="宋体" w:hAnsi="宋体"/>
                <w:sz w:val="21"/>
                <w:szCs w:val="21"/>
                <w:highlight w:val="none"/>
                <w:lang w:eastAsia="zh-CN"/>
              </w:rPr>
              <w:t>，</w:t>
            </w:r>
            <w:r>
              <w:rPr>
                <w:rFonts w:hint="eastAsia" w:ascii="宋体" w:hAnsi="宋体"/>
                <w:sz w:val="21"/>
                <w:szCs w:val="21"/>
                <w:highlight w:val="none"/>
                <w:lang w:val="en-US" w:eastAsia="zh-CN"/>
              </w:rPr>
              <w:t>并在规定时间内进行答复。</w:t>
            </w:r>
            <w:r>
              <w:rPr>
                <w:rFonts w:hint="eastAsia" w:ascii="宋体" w:hAnsi="宋体"/>
                <w:sz w:val="21"/>
                <w:szCs w:val="21"/>
                <w:highlight w:val="none"/>
              </w:rPr>
              <w:t>投标人不能合理说明或者不能提供相应证明材料的，评标委员会应当认定该投标人以低于成本或影响履约的异常低价竞标，否决其投标。</w:t>
            </w:r>
          </w:p>
          <w:p w14:paraId="2E976437">
            <w:pPr>
              <w:snapToGrid w:val="0"/>
              <w:spacing w:line="288" w:lineRule="auto"/>
              <w:ind w:firstLine="420" w:firstLineChars="200"/>
              <w:rPr>
                <w:rFonts w:hint="eastAsia" w:ascii="宋体" w:hAnsi="宋体"/>
                <w:sz w:val="21"/>
                <w:szCs w:val="21"/>
                <w:highlight w:val="none"/>
              </w:rPr>
            </w:pPr>
            <w:r>
              <w:rPr>
                <w:rFonts w:hint="eastAsia" w:ascii="宋体" w:hAnsi="宋体"/>
                <w:sz w:val="21"/>
                <w:szCs w:val="21"/>
                <w:highlight w:val="none"/>
                <w:lang w:val="en-US" w:eastAsia="zh-CN"/>
              </w:rPr>
              <w:t>新增</w:t>
            </w:r>
            <w:r>
              <w:rPr>
                <w:rFonts w:hint="eastAsia" w:ascii="宋体" w:hAnsi="宋体"/>
                <w:sz w:val="21"/>
                <w:szCs w:val="21"/>
                <w:highlight w:val="none"/>
              </w:rPr>
              <w:t>3.5.4</w:t>
            </w:r>
            <w:r>
              <w:rPr>
                <w:rFonts w:hint="eastAsia" w:ascii="宋体" w:hAnsi="宋体"/>
                <w:sz w:val="21"/>
                <w:szCs w:val="21"/>
                <w:highlight w:val="none"/>
                <w:lang w:val="en-US" w:eastAsia="zh-CN"/>
              </w:rPr>
              <w:t>款：</w:t>
            </w:r>
            <w:r>
              <w:rPr>
                <w:rFonts w:hint="eastAsia" w:ascii="宋体" w:hAnsi="宋体"/>
                <w:sz w:val="21"/>
                <w:szCs w:val="21"/>
                <w:highlight w:val="none"/>
              </w:rPr>
              <w:t>评标委员会在对通过第一信封评审的有效投标不足3个且评标委员会未否决全部投标的第二个信封报价文件评审时，仍然可以对有效投标是否仍具有竞争性进行评审，并有权否决全部投标。当评标委员会一致认为有效投标仍具有竞争性时，应按照规定程序继续评标并推荐合格中标候选人。评标委员会对有效投标是否仍具有竞争性无法达成一致意见的，应当否决全部投标。</w:t>
            </w:r>
          </w:p>
          <w:p w14:paraId="177E8040">
            <w:pPr>
              <w:spacing w:line="276" w:lineRule="auto"/>
              <w:jc w:val="both"/>
              <w:rPr>
                <w:rFonts w:ascii="宋体" w:hAnsi="宋体"/>
                <w:spacing w:val="-4"/>
                <w:sz w:val="21"/>
                <w:szCs w:val="21"/>
                <w:highlight w:val="none"/>
              </w:rPr>
            </w:pPr>
            <w:r>
              <w:rPr>
                <w:rFonts w:hint="eastAsia" w:ascii="宋体" w:hAnsi="宋体"/>
                <w:sz w:val="21"/>
                <w:szCs w:val="21"/>
                <w:highlight w:val="none"/>
              </w:rPr>
              <w:t>3.</w:t>
            </w:r>
            <w:r>
              <w:rPr>
                <w:rFonts w:ascii="宋体" w:hAnsi="宋体"/>
                <w:sz w:val="21"/>
                <w:szCs w:val="21"/>
                <w:highlight w:val="none"/>
              </w:rPr>
              <w:t>6</w:t>
            </w:r>
            <w:r>
              <w:rPr>
                <w:rFonts w:hint="eastAsia" w:ascii="宋体" w:hAnsi="宋体"/>
                <w:sz w:val="21"/>
                <w:szCs w:val="21"/>
                <w:highlight w:val="none"/>
              </w:rPr>
              <w:t>.1投标文件相关信息核查</w:t>
            </w:r>
            <w:r>
              <w:rPr>
                <w:rFonts w:hint="eastAsia" w:ascii="宋体" w:hAnsi="宋体"/>
                <w:spacing w:val="-4"/>
                <w:sz w:val="21"/>
                <w:szCs w:val="21"/>
                <w:highlight w:val="none"/>
              </w:rPr>
              <w:t>：</w:t>
            </w:r>
          </w:p>
          <w:p w14:paraId="7A528180">
            <w:pPr>
              <w:spacing w:line="276" w:lineRule="auto"/>
              <w:jc w:val="left"/>
              <w:rPr>
                <w:rFonts w:hint="eastAsia" w:ascii="宋体" w:hAnsi="宋体" w:eastAsia="宋体"/>
                <w:spacing w:val="-4"/>
                <w:sz w:val="21"/>
                <w:szCs w:val="21"/>
                <w:highlight w:val="none"/>
                <w:lang w:eastAsia="zh-CN"/>
              </w:rPr>
            </w:pPr>
            <w:r>
              <w:rPr>
                <w:rFonts w:hint="eastAsia" w:ascii="宋体" w:hAnsi="宋体"/>
                <w:spacing w:val="-4"/>
                <w:sz w:val="21"/>
                <w:szCs w:val="21"/>
                <w:highlight w:val="none"/>
              </w:rPr>
              <w:t>在评标过程中，评标委员会应对投标人以下信息进行查询：</w:t>
            </w:r>
          </w:p>
          <w:p w14:paraId="68449657">
            <w:pPr>
              <w:spacing w:line="276" w:lineRule="auto"/>
              <w:rPr>
                <w:rFonts w:hint="eastAsia" w:ascii="宋体" w:hAnsi="宋体"/>
                <w:sz w:val="21"/>
                <w:szCs w:val="21"/>
                <w:highlight w:val="none"/>
              </w:rPr>
            </w:pPr>
            <w:r>
              <w:rPr>
                <w:rFonts w:hint="eastAsia" w:ascii="宋体" w:hAnsi="宋体"/>
                <w:sz w:val="21"/>
                <w:szCs w:val="21"/>
                <w:highlight w:val="none"/>
              </w:rPr>
              <w:t>（</w:t>
            </w:r>
            <w:r>
              <w:rPr>
                <w:rFonts w:hint="eastAsia" w:ascii="宋体" w:hAnsi="宋体"/>
                <w:sz w:val="21"/>
                <w:szCs w:val="21"/>
                <w:highlight w:val="none"/>
                <w:lang w:val="en-US" w:eastAsia="zh-CN"/>
              </w:rPr>
              <w:t>1</w:t>
            </w:r>
            <w:r>
              <w:rPr>
                <w:rFonts w:hint="eastAsia" w:ascii="宋体" w:hAnsi="宋体"/>
                <w:sz w:val="21"/>
                <w:szCs w:val="21"/>
                <w:highlight w:val="none"/>
              </w:rPr>
              <w:t>）投标人信用情况网页截图内容与“国家企业信用信息公示系统”中严重违法失信名单（黑名单）（不含分公司）和“信用中国”网站中经营(活动)异常名录、重大税收违法失信主体、政府采购严重违法失信行为记录名单和安全生产严重失信主体名单的投标人（均不含分公司）和中国执行信息公开网（zxgk.court.gov.cn）中未被列入失信被执行人的复核结果一致。</w:t>
            </w:r>
          </w:p>
          <w:p w14:paraId="6FC5CB60">
            <w:pPr>
              <w:spacing w:line="276" w:lineRule="auto"/>
              <w:rPr>
                <w:rFonts w:hint="eastAsia" w:ascii="宋体" w:hAnsi="宋体"/>
                <w:sz w:val="21"/>
                <w:szCs w:val="21"/>
                <w:highlight w:val="none"/>
              </w:rPr>
            </w:pPr>
            <w:r>
              <w:rPr>
                <w:rFonts w:hint="eastAsia" w:ascii="宋体" w:hAnsi="宋体"/>
                <w:sz w:val="21"/>
                <w:szCs w:val="21"/>
                <w:highlight w:val="none"/>
              </w:rPr>
              <w:t>前述项如投标人未提供相关网页截图或所附截图与复核结果不一致导致其不满足资格条件，评标委员会应按照其不满足资格条件否决其投标。</w:t>
            </w:r>
          </w:p>
          <w:p w14:paraId="14C0115A">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1C307217">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（1）有下列情形之一的，属于投标人相互串通投标：</w:t>
            </w:r>
          </w:p>
          <w:p w14:paraId="5A1511CE">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a.投标人之间协商投标报价等投标文件的实质性内容；</w:t>
            </w:r>
          </w:p>
          <w:p w14:paraId="3154D5B5">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b.投标人之间约定中标人；</w:t>
            </w:r>
          </w:p>
          <w:p w14:paraId="44433DE9">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c.投标人之间约定部分投标人放弃投标或中标；</w:t>
            </w:r>
          </w:p>
          <w:p w14:paraId="43E4CCAE">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d.属于同一集团、协会、商会等组织成员的投标人按照该组织要求协同投标；</w:t>
            </w:r>
          </w:p>
          <w:p w14:paraId="06181B66">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e.投标人之间为谋取中标或排斥特定投标人而采取的其他联合行动。</w:t>
            </w:r>
          </w:p>
          <w:p w14:paraId="2160B856">
            <w:pPr>
              <w:spacing w:line="276"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f.</w:t>
            </w:r>
            <w:r>
              <w:rPr>
                <w:rFonts w:hint="eastAsia" w:ascii="宋体" w:hAnsi="宋体" w:eastAsia="宋体" w:cs="Times New Roman"/>
                <w:sz w:val="21"/>
                <w:szCs w:val="21"/>
                <w:highlight w:val="none"/>
              </w:rPr>
              <w:t>不同投标人编制的投标文件存在两处以上错误一致的；</w:t>
            </w:r>
          </w:p>
          <w:p w14:paraId="7566BF3D">
            <w:pPr>
              <w:spacing w:line="276"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g.</w:t>
            </w:r>
            <w:r>
              <w:rPr>
                <w:rFonts w:hint="eastAsia" w:ascii="宋体" w:hAnsi="宋体" w:eastAsia="宋体" w:cs="Times New Roman"/>
                <w:sz w:val="21"/>
                <w:szCs w:val="21"/>
                <w:highlight w:val="none"/>
              </w:rPr>
              <w:t>不同投标人使用同一电脑或者同一个加密工具编制投标文件的；</w:t>
            </w:r>
          </w:p>
          <w:p w14:paraId="24659C7D">
            <w:pPr>
              <w:spacing w:line="276"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h.</w:t>
            </w:r>
            <w:r>
              <w:rPr>
                <w:rFonts w:hint="eastAsia" w:ascii="宋体" w:hAnsi="宋体" w:eastAsia="宋体" w:cs="Times New Roman"/>
                <w:sz w:val="21"/>
                <w:szCs w:val="21"/>
                <w:highlight w:val="none"/>
              </w:rPr>
              <w:t>不同投标人提交电子投标文件的IP地址</w:t>
            </w:r>
            <w:r>
              <w:rPr>
                <w:rFonts w:hint="eastAsia" w:ascii="宋体" w:hAnsi="宋体" w:eastAsia="宋体" w:cs="Times New Roman"/>
                <w:sz w:val="21"/>
                <w:szCs w:val="21"/>
                <w:highlight w:val="none"/>
                <w:lang w:val="en-US" w:eastAsia="zh-CN"/>
              </w:rPr>
              <w:t>、mac地址</w:t>
            </w:r>
            <w:r>
              <w:rPr>
                <w:rFonts w:hint="eastAsia" w:ascii="宋体" w:hAnsi="宋体" w:eastAsia="宋体" w:cs="Times New Roman"/>
                <w:sz w:val="21"/>
                <w:szCs w:val="21"/>
                <w:highlight w:val="none"/>
              </w:rPr>
              <w:t>相同的；</w:t>
            </w:r>
          </w:p>
          <w:p w14:paraId="71D9ADC1">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i.</w:t>
            </w:r>
            <w:r>
              <w:rPr>
                <w:rFonts w:hint="eastAsia" w:ascii="宋体" w:hAnsi="宋体" w:eastAsia="宋体" w:cs="Times New Roman"/>
                <w:sz w:val="21"/>
                <w:szCs w:val="21"/>
                <w:highlight w:val="none"/>
              </w:rPr>
              <w:t>参加投标活动的人员为</w:t>
            </w:r>
            <w:r>
              <w:rPr>
                <w:rFonts w:hint="eastAsia" w:ascii="宋体" w:hAnsi="宋体" w:eastAsia="宋体" w:cs="Times New Roman"/>
                <w:sz w:val="21"/>
                <w:szCs w:val="21"/>
                <w:highlight w:val="none"/>
                <w:lang w:val="en-US" w:eastAsia="zh-CN"/>
              </w:rPr>
              <w:t>本项目</w:t>
            </w:r>
            <w:r>
              <w:rPr>
                <w:rFonts w:hint="eastAsia" w:ascii="宋体" w:hAnsi="宋体" w:eastAsia="宋体" w:cs="Times New Roman"/>
                <w:sz w:val="21"/>
                <w:szCs w:val="21"/>
                <w:highlight w:val="none"/>
              </w:rPr>
              <w:t>其他投标人在职人员的。</w:t>
            </w:r>
          </w:p>
          <w:p w14:paraId="3EBD04ED">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（2）有下列情形之一的，视为投标人相互串通投标：</w:t>
            </w:r>
          </w:p>
          <w:p w14:paraId="254DFE1B">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a.不同投标人的投标文件由同一单位或个人编制；</w:t>
            </w:r>
          </w:p>
          <w:p w14:paraId="3D025CBA">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b.不同投标人委托同一单位或个人办理投标事宜；</w:t>
            </w:r>
          </w:p>
          <w:p w14:paraId="6422D9E5">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c.不同投标人的投标文件载明的项目管理成员为同一人；</w:t>
            </w:r>
          </w:p>
          <w:p w14:paraId="6BAC9F99">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d.不同投标人的投标文件异常一致或投标报价呈规律性差异；</w:t>
            </w:r>
          </w:p>
          <w:p w14:paraId="2DDA1BD0">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e.不同投标人的投标文件相互混装；</w:t>
            </w:r>
          </w:p>
          <w:p w14:paraId="19049896">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f.不同投标人的投标保证金从同一单位或个人的账户转出；</w:t>
            </w:r>
          </w:p>
          <w:p w14:paraId="2DA459C5">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（3）有下列情形之一的，属于招标人与投标人串通投标：</w:t>
            </w:r>
          </w:p>
          <w:p w14:paraId="44CCB1D0">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a.招标人在开标前开启投标文件并将有关信息泄露给其他投标人;</w:t>
            </w:r>
          </w:p>
          <w:p w14:paraId="735B706C">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b.招标人直接或间接向投标人泄露标底、评标委员会成员等信息；</w:t>
            </w:r>
          </w:p>
          <w:p w14:paraId="00B22DAD">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c.招标人明示或暗示投标人压低或抬高投标报价；</w:t>
            </w:r>
          </w:p>
          <w:p w14:paraId="77A0B6F6">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d.招标人授意投标人撤换、修改投标文件；</w:t>
            </w:r>
          </w:p>
          <w:p w14:paraId="5DAFCB05">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e.招标人明示或暗示投标人为特定投标人中标提供方便；</w:t>
            </w:r>
          </w:p>
          <w:p w14:paraId="0F2F53EA">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f.招标人与投标人为谋求特定投标人中标而采取的其他串通行为。</w:t>
            </w:r>
          </w:p>
          <w:p w14:paraId="6272FF7E">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（4）投标人有下列情形之一的，属于弄虚作假的行为：</w:t>
            </w:r>
          </w:p>
          <w:p w14:paraId="4CEDF4FC">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a.使用通过受让或租借等方式获取的资格、资质证书投标；</w:t>
            </w:r>
          </w:p>
          <w:p w14:paraId="5617AB1A">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b.使用伪造、变造的许可证件；</w:t>
            </w:r>
          </w:p>
          <w:p w14:paraId="7AF28F8B">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c.提供虚假的财务状况或业绩；</w:t>
            </w:r>
          </w:p>
          <w:p w14:paraId="61A9AA65">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d.提供虚假的项目负责人或主要技术人员简历、劳动关系证明；</w:t>
            </w:r>
          </w:p>
          <w:p w14:paraId="65D3CCE3">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e.提供虚假的信用状况；</w:t>
            </w:r>
          </w:p>
          <w:p w14:paraId="159A73B1">
            <w:pPr>
              <w:snapToGrid w:val="0"/>
              <w:spacing w:line="288"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f.其他弄虚作假的行为。</w:t>
            </w:r>
          </w:p>
          <w:p w14:paraId="5786542A">
            <w:pPr>
              <w:snapToGrid w:val="0"/>
              <w:spacing w:line="288"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3.6.3投标人其他异常投标情形</w:t>
            </w:r>
          </w:p>
          <w:p w14:paraId="6EAF1FDA">
            <w:pPr>
              <w:snapToGrid w:val="0"/>
              <w:spacing w:line="288"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1.投标人存在投标人须知前附表4.4（1）、（3）情形。</w:t>
            </w:r>
          </w:p>
          <w:p w14:paraId="04226C97">
            <w:pPr>
              <w:snapToGrid w:val="0"/>
              <w:spacing w:line="288"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w:t>
            </w:r>
            <w:r>
              <w:rPr>
                <w:rFonts w:hint="eastAsia" w:ascii="宋体" w:hAnsi="宋体" w:eastAsia="宋体" w:cs="Times New Roman"/>
                <w:sz w:val="21"/>
                <w:szCs w:val="21"/>
                <w:highlight w:val="none"/>
                <w:lang w:eastAsia="zh-CN"/>
              </w:rPr>
              <w:t>投标人存在投标人须知前附表4.4（2）情形的，评标委员会应当</w:t>
            </w:r>
            <w:r>
              <w:rPr>
                <w:rFonts w:hint="eastAsia" w:ascii="宋体" w:hAnsi="宋体" w:eastAsia="宋体" w:cs="Times New Roman"/>
                <w:sz w:val="21"/>
                <w:szCs w:val="21"/>
                <w:highlight w:val="none"/>
                <w:lang w:val="en-US" w:eastAsia="zh-CN"/>
              </w:rPr>
              <w:t>要求</w:t>
            </w:r>
            <w:r>
              <w:rPr>
                <w:rFonts w:hint="eastAsia" w:ascii="宋体" w:hAnsi="宋体" w:eastAsia="宋体" w:cs="Times New Roman"/>
                <w:sz w:val="21"/>
                <w:szCs w:val="21"/>
                <w:highlight w:val="none"/>
                <w:lang w:eastAsia="zh-CN"/>
              </w:rPr>
              <w:t>投标人作出解释说明。评标委员会经核查</w:t>
            </w:r>
            <w:r>
              <w:rPr>
                <w:rFonts w:hint="eastAsia" w:ascii="宋体" w:hAnsi="宋体" w:eastAsia="宋体" w:cs="Times New Roman"/>
                <w:sz w:val="21"/>
                <w:szCs w:val="21"/>
                <w:highlight w:val="none"/>
                <w:lang w:val="en-US" w:eastAsia="zh-CN"/>
              </w:rPr>
              <w:t>确认属于</w:t>
            </w:r>
            <w:r>
              <w:rPr>
                <w:rFonts w:hint="eastAsia" w:ascii="宋体" w:hAnsi="宋体" w:eastAsia="宋体" w:cs="Times New Roman"/>
                <w:sz w:val="21"/>
                <w:szCs w:val="21"/>
                <w:highlight w:val="none"/>
              </w:rPr>
              <w:t>投标文件异常一致或投标活动异常关联活动情形</w:t>
            </w:r>
            <w:r>
              <w:rPr>
                <w:rFonts w:hint="eastAsia" w:ascii="宋体" w:hAnsi="宋体" w:eastAsia="宋体" w:cs="Times New Roman"/>
                <w:sz w:val="21"/>
                <w:szCs w:val="21"/>
                <w:highlight w:val="none"/>
                <w:lang w:eastAsia="zh-CN"/>
              </w:rPr>
              <w:t>的，应否决其投标。</w:t>
            </w:r>
          </w:p>
          <w:p w14:paraId="2B06678E">
            <w:pPr>
              <w:spacing w:line="276" w:lineRule="auto"/>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3.7投标文件的澄清和说明</w:t>
            </w:r>
          </w:p>
          <w:p w14:paraId="7F1E8861">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51EAE1A4">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3.7.2澄清和说明不得超出投标文件的范围或改变投标文件的实质性内容。投标人的书面澄清、说明属于投标文件的组成部分。</w:t>
            </w:r>
          </w:p>
          <w:p w14:paraId="6B11934D">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3.7.3评标委员会不得暗示或诱导投标人作出澄清、说明，对投标人提交的澄清、说明有疑问的，可以要求投标人进一步澄清或说明。</w:t>
            </w:r>
          </w:p>
          <w:p w14:paraId="46E3BAEC">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3.7.4凡超出招标文件规定的或给发包人带来未曾要求的利益的变化、偏差或其他因素在评标时不予考虑。</w:t>
            </w:r>
          </w:p>
          <w:p w14:paraId="19D10A07">
            <w:pPr>
              <w:spacing w:line="276" w:lineRule="auto"/>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3.8不得否决投标的情形</w:t>
            </w:r>
          </w:p>
          <w:p w14:paraId="4B1EC109">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投标文件存在第二章“投标人须知”第1.12.3项所列情形的，均视为细微偏差，评标委员会不得否决投标人的投标，应按照第二章“投标人须知”第1.12.4项规定的原则处理。</w:t>
            </w:r>
          </w:p>
          <w:p w14:paraId="1DEFA049">
            <w:pPr>
              <w:spacing w:line="276" w:lineRule="auto"/>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3.9评标结果</w:t>
            </w:r>
          </w:p>
          <w:p w14:paraId="236904DF">
            <w:pPr>
              <w:spacing w:line="276"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3.9.1评标委员会按照综合得分由高到低的顺序推荐中标候选人，并标明排序。</w:t>
            </w:r>
          </w:p>
          <w:p w14:paraId="56520DB6">
            <w:pPr>
              <w:spacing w:line="276" w:lineRule="auto"/>
              <w:rPr>
                <w:rFonts w:hint="eastAsia" w:ascii="宋体" w:hAnsi="宋体"/>
                <w:spacing w:val="-4"/>
                <w:sz w:val="21"/>
                <w:szCs w:val="21"/>
                <w:highlight w:val="none"/>
              </w:rPr>
            </w:pPr>
            <w:r>
              <w:rPr>
                <w:rFonts w:hint="eastAsia" w:ascii="宋体" w:hAnsi="宋体" w:eastAsia="宋体" w:cs="Times New Roman"/>
                <w:sz w:val="21"/>
                <w:szCs w:val="21"/>
                <w:highlight w:val="none"/>
              </w:rPr>
              <w:t>3.9.2评标委员会完成评标后，应向招标人提交书面评标报告。</w:t>
            </w:r>
          </w:p>
        </w:tc>
      </w:tr>
    </w:tbl>
    <w:p w14:paraId="3D371CAF">
      <w:pPr>
        <w:jc w:val="both"/>
        <w:rPr>
          <w:rFonts w:ascii="宋体" w:hAnsi="宋体"/>
          <w:szCs w:val="21"/>
          <w:highlight w:val="none"/>
        </w:rPr>
      </w:pPr>
      <w:r>
        <w:rPr>
          <w:rFonts w:hint="eastAsia" w:ascii="宋体" w:hAnsi="宋体"/>
          <w:sz w:val="24"/>
          <w:highlight w:val="none"/>
        </w:rPr>
        <w:br w:type="page"/>
      </w:r>
      <w:r>
        <w:rPr>
          <w:rFonts w:hint="eastAsia" w:ascii="宋体" w:hAnsi="宋体"/>
          <w:sz w:val="24"/>
          <w:highlight w:val="none"/>
        </w:rPr>
        <w:t>续上表</w:t>
      </w:r>
    </w:p>
    <w:tbl>
      <w:tblPr>
        <w:tblStyle w:val="8"/>
        <w:tblpPr w:leftFromText="180" w:rightFromText="180" w:vertAnchor="text"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096"/>
        <w:gridCol w:w="1113"/>
        <w:gridCol w:w="1557"/>
        <w:gridCol w:w="767"/>
        <w:gridCol w:w="3067"/>
      </w:tblGrid>
      <w:tr w14:paraId="7527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199" w:type="pct"/>
            <w:gridSpan w:val="5"/>
            <w:noWrap w:val="0"/>
            <w:tcMar>
              <w:top w:w="113" w:type="dxa"/>
              <w:left w:w="108" w:type="dxa"/>
              <w:bottom w:w="113" w:type="dxa"/>
              <w:right w:w="108" w:type="dxa"/>
            </w:tcMar>
            <w:vAlign w:val="center"/>
          </w:tcPr>
          <w:p w14:paraId="3A2944C2">
            <w:pPr>
              <w:pStyle w:val="6"/>
              <w:spacing w:line="276" w:lineRule="auto"/>
              <w:jc w:val="center"/>
              <w:rPr>
                <w:rFonts w:hint="eastAsia" w:hAnsi="宋体"/>
                <w:szCs w:val="21"/>
                <w:highlight w:val="none"/>
              </w:rPr>
            </w:pPr>
            <w:r>
              <w:rPr>
                <w:rFonts w:hint="eastAsia" w:hAnsi="宋体"/>
                <w:szCs w:val="21"/>
                <w:highlight w:val="none"/>
              </w:rPr>
              <w:t>评分因素与权重分值</w:t>
            </w:r>
          </w:p>
        </w:tc>
        <w:tc>
          <w:tcPr>
            <w:tcW w:w="1800" w:type="pct"/>
            <w:vMerge w:val="restart"/>
            <w:noWrap w:val="0"/>
            <w:tcMar>
              <w:top w:w="113" w:type="dxa"/>
              <w:left w:w="108" w:type="dxa"/>
              <w:bottom w:w="113" w:type="dxa"/>
              <w:right w:w="108" w:type="dxa"/>
            </w:tcMar>
            <w:vAlign w:val="center"/>
          </w:tcPr>
          <w:p w14:paraId="2F65D8B5">
            <w:pPr>
              <w:pStyle w:val="6"/>
              <w:spacing w:line="276" w:lineRule="auto"/>
              <w:jc w:val="center"/>
              <w:rPr>
                <w:rFonts w:hint="eastAsia" w:hAnsi="宋体"/>
                <w:szCs w:val="21"/>
                <w:highlight w:val="none"/>
              </w:rPr>
            </w:pPr>
            <w:r>
              <w:rPr>
                <w:rFonts w:hint="eastAsia" w:hAnsi="宋体"/>
                <w:szCs w:val="21"/>
                <w:highlight w:val="none"/>
              </w:rPr>
              <w:t>评分标准</w:t>
            </w:r>
          </w:p>
        </w:tc>
      </w:tr>
      <w:tr w14:paraId="3F73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39" w:type="pct"/>
            <w:noWrap w:val="0"/>
            <w:tcMar>
              <w:top w:w="113" w:type="dxa"/>
              <w:left w:w="108" w:type="dxa"/>
              <w:bottom w:w="113" w:type="dxa"/>
              <w:right w:w="108" w:type="dxa"/>
            </w:tcMar>
            <w:vAlign w:val="center"/>
          </w:tcPr>
          <w:p w14:paraId="387342FB">
            <w:pPr>
              <w:pStyle w:val="6"/>
              <w:spacing w:line="276" w:lineRule="auto"/>
              <w:jc w:val="center"/>
              <w:rPr>
                <w:rFonts w:hAnsi="宋体"/>
                <w:szCs w:val="21"/>
                <w:highlight w:val="none"/>
              </w:rPr>
            </w:pPr>
            <w:r>
              <w:rPr>
                <w:rFonts w:hint="eastAsia" w:hAnsi="宋体"/>
                <w:szCs w:val="21"/>
                <w:highlight w:val="none"/>
              </w:rPr>
              <w:t>条款号</w:t>
            </w:r>
          </w:p>
        </w:tc>
        <w:tc>
          <w:tcPr>
            <w:tcW w:w="643" w:type="pct"/>
            <w:noWrap w:val="0"/>
            <w:tcMar>
              <w:top w:w="113" w:type="dxa"/>
              <w:left w:w="108" w:type="dxa"/>
              <w:bottom w:w="113" w:type="dxa"/>
              <w:right w:w="108" w:type="dxa"/>
            </w:tcMar>
            <w:vAlign w:val="center"/>
          </w:tcPr>
          <w:p w14:paraId="26AE6217">
            <w:pPr>
              <w:pStyle w:val="6"/>
              <w:spacing w:line="276" w:lineRule="auto"/>
              <w:jc w:val="center"/>
              <w:rPr>
                <w:rFonts w:hint="eastAsia" w:hAnsi="宋体"/>
                <w:szCs w:val="21"/>
                <w:highlight w:val="none"/>
              </w:rPr>
            </w:pPr>
            <w:r>
              <w:rPr>
                <w:rFonts w:hint="eastAsia" w:hAnsi="宋体"/>
                <w:szCs w:val="21"/>
                <w:highlight w:val="none"/>
              </w:rPr>
              <w:t>评分因素</w:t>
            </w:r>
          </w:p>
        </w:tc>
        <w:tc>
          <w:tcPr>
            <w:tcW w:w="653" w:type="pct"/>
            <w:noWrap w:val="0"/>
            <w:tcMar>
              <w:top w:w="113" w:type="dxa"/>
              <w:left w:w="108" w:type="dxa"/>
              <w:bottom w:w="113" w:type="dxa"/>
              <w:right w:w="108" w:type="dxa"/>
            </w:tcMar>
            <w:vAlign w:val="center"/>
          </w:tcPr>
          <w:p w14:paraId="658221A2">
            <w:pPr>
              <w:pStyle w:val="6"/>
              <w:ind w:firstLine="1"/>
              <w:jc w:val="center"/>
              <w:rPr>
                <w:rFonts w:hint="eastAsia" w:hAnsi="宋体"/>
                <w:szCs w:val="21"/>
                <w:highlight w:val="none"/>
              </w:rPr>
            </w:pPr>
            <w:r>
              <w:rPr>
                <w:rFonts w:hint="eastAsia" w:hAnsi="宋体"/>
                <w:szCs w:val="21"/>
                <w:highlight w:val="none"/>
              </w:rPr>
              <w:t>评分因素</w:t>
            </w:r>
          </w:p>
          <w:p w14:paraId="6EE96718">
            <w:pPr>
              <w:pStyle w:val="6"/>
              <w:ind w:firstLine="1"/>
              <w:jc w:val="center"/>
              <w:rPr>
                <w:rFonts w:hAnsi="宋体"/>
                <w:szCs w:val="21"/>
                <w:highlight w:val="none"/>
              </w:rPr>
            </w:pPr>
            <w:r>
              <w:rPr>
                <w:rFonts w:hint="eastAsia" w:hAnsi="宋体"/>
                <w:szCs w:val="21"/>
                <w:highlight w:val="none"/>
              </w:rPr>
              <w:t>权重分值</w:t>
            </w:r>
          </w:p>
        </w:tc>
        <w:tc>
          <w:tcPr>
            <w:tcW w:w="914" w:type="pct"/>
            <w:noWrap w:val="0"/>
            <w:tcMar>
              <w:top w:w="113" w:type="dxa"/>
              <w:left w:w="108" w:type="dxa"/>
              <w:bottom w:w="113" w:type="dxa"/>
              <w:right w:w="108" w:type="dxa"/>
            </w:tcMar>
            <w:vAlign w:val="center"/>
          </w:tcPr>
          <w:p w14:paraId="3379DF79">
            <w:pPr>
              <w:pStyle w:val="6"/>
              <w:spacing w:line="276" w:lineRule="auto"/>
              <w:jc w:val="center"/>
              <w:rPr>
                <w:rStyle w:val="11"/>
                <w:color w:val="auto"/>
                <w:highlight w:val="none"/>
              </w:rPr>
            </w:pPr>
            <w:r>
              <w:rPr>
                <w:rStyle w:val="11"/>
                <w:color w:val="auto"/>
                <w:highlight w:val="none"/>
              </w:rPr>
              <w:t>各评分</w:t>
            </w:r>
          </w:p>
          <w:p w14:paraId="0B541822">
            <w:pPr>
              <w:pStyle w:val="6"/>
              <w:spacing w:line="276" w:lineRule="auto"/>
              <w:jc w:val="center"/>
              <w:rPr>
                <w:rFonts w:hAnsi="宋体"/>
                <w:szCs w:val="21"/>
                <w:highlight w:val="none"/>
              </w:rPr>
            </w:pPr>
            <w:r>
              <w:rPr>
                <w:rStyle w:val="11"/>
                <w:color w:val="auto"/>
                <w:highlight w:val="none"/>
              </w:rPr>
              <w:t>因素细分项</w:t>
            </w:r>
          </w:p>
        </w:tc>
        <w:tc>
          <w:tcPr>
            <w:tcW w:w="450" w:type="pct"/>
            <w:noWrap w:val="0"/>
            <w:tcMar>
              <w:top w:w="113" w:type="dxa"/>
              <w:left w:w="108" w:type="dxa"/>
              <w:bottom w:w="113" w:type="dxa"/>
              <w:right w:w="108" w:type="dxa"/>
            </w:tcMar>
            <w:vAlign w:val="center"/>
          </w:tcPr>
          <w:p w14:paraId="676086DA">
            <w:pPr>
              <w:pStyle w:val="6"/>
              <w:spacing w:line="276" w:lineRule="auto"/>
              <w:jc w:val="center"/>
              <w:rPr>
                <w:rFonts w:hAnsi="宋体"/>
                <w:szCs w:val="21"/>
                <w:highlight w:val="none"/>
              </w:rPr>
            </w:pPr>
            <w:r>
              <w:rPr>
                <w:rFonts w:hint="eastAsia" w:hAnsi="宋体"/>
                <w:szCs w:val="21"/>
                <w:highlight w:val="none"/>
              </w:rPr>
              <w:t>分值</w:t>
            </w:r>
          </w:p>
        </w:tc>
        <w:tc>
          <w:tcPr>
            <w:tcW w:w="1800" w:type="pct"/>
            <w:vMerge w:val="continue"/>
            <w:noWrap w:val="0"/>
            <w:tcMar>
              <w:top w:w="113" w:type="dxa"/>
              <w:left w:w="108" w:type="dxa"/>
              <w:bottom w:w="113" w:type="dxa"/>
              <w:right w:w="108" w:type="dxa"/>
            </w:tcMar>
            <w:vAlign w:val="center"/>
          </w:tcPr>
          <w:p w14:paraId="4E72839D">
            <w:pPr>
              <w:pStyle w:val="6"/>
              <w:spacing w:line="276" w:lineRule="auto"/>
              <w:jc w:val="center"/>
              <w:rPr>
                <w:rFonts w:hAnsi="宋体"/>
                <w:szCs w:val="21"/>
                <w:highlight w:val="none"/>
              </w:rPr>
            </w:pPr>
          </w:p>
        </w:tc>
      </w:tr>
      <w:tr w14:paraId="196E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39" w:type="pct"/>
            <w:vMerge w:val="restart"/>
            <w:noWrap w:val="0"/>
            <w:tcMar>
              <w:top w:w="113" w:type="dxa"/>
              <w:left w:w="108" w:type="dxa"/>
              <w:bottom w:w="113" w:type="dxa"/>
              <w:right w:w="108" w:type="dxa"/>
            </w:tcMar>
            <w:vAlign w:val="center"/>
          </w:tcPr>
          <w:p w14:paraId="248EE24C">
            <w:pPr>
              <w:pStyle w:val="6"/>
              <w:spacing w:line="276" w:lineRule="auto"/>
              <w:jc w:val="center"/>
              <w:rPr>
                <w:rFonts w:hAnsi="宋体"/>
                <w:szCs w:val="21"/>
                <w:highlight w:val="none"/>
              </w:rPr>
            </w:pPr>
            <w:r>
              <w:rPr>
                <w:rFonts w:hint="eastAsia" w:hAnsi="宋体"/>
                <w:szCs w:val="21"/>
                <w:highlight w:val="none"/>
              </w:rPr>
              <w:t>2.2.4（1）</w:t>
            </w:r>
          </w:p>
        </w:tc>
        <w:tc>
          <w:tcPr>
            <w:tcW w:w="643" w:type="pct"/>
            <w:vMerge w:val="restart"/>
            <w:noWrap w:val="0"/>
            <w:tcMar>
              <w:top w:w="113" w:type="dxa"/>
              <w:left w:w="108" w:type="dxa"/>
              <w:bottom w:w="113" w:type="dxa"/>
              <w:right w:w="108" w:type="dxa"/>
            </w:tcMar>
            <w:vAlign w:val="center"/>
          </w:tcPr>
          <w:p w14:paraId="19EC6B63">
            <w:pPr>
              <w:pStyle w:val="6"/>
              <w:spacing w:line="276" w:lineRule="auto"/>
              <w:jc w:val="center"/>
              <w:rPr>
                <w:rFonts w:hint="eastAsia" w:hAnsi="宋体"/>
                <w:szCs w:val="21"/>
                <w:highlight w:val="none"/>
              </w:rPr>
            </w:pPr>
            <w:r>
              <w:rPr>
                <w:rFonts w:hint="eastAsia" w:hAnsi="宋体"/>
                <w:szCs w:val="21"/>
                <w:highlight w:val="none"/>
              </w:rPr>
              <w:t>技术建议书（暗标）</w:t>
            </w:r>
          </w:p>
        </w:tc>
        <w:tc>
          <w:tcPr>
            <w:tcW w:w="653" w:type="pct"/>
            <w:vMerge w:val="restart"/>
            <w:noWrap w:val="0"/>
            <w:tcMar>
              <w:top w:w="113" w:type="dxa"/>
              <w:left w:w="108" w:type="dxa"/>
              <w:bottom w:w="113" w:type="dxa"/>
              <w:right w:w="108" w:type="dxa"/>
            </w:tcMar>
            <w:vAlign w:val="center"/>
          </w:tcPr>
          <w:p w14:paraId="293FC2C8">
            <w:pPr>
              <w:pStyle w:val="6"/>
              <w:spacing w:line="276" w:lineRule="auto"/>
              <w:jc w:val="center"/>
              <w:rPr>
                <w:rFonts w:hAnsi="宋体"/>
                <w:szCs w:val="21"/>
                <w:highlight w:val="none"/>
              </w:rPr>
            </w:pPr>
            <w:r>
              <w:rPr>
                <w:rFonts w:hint="eastAsia" w:hAnsi="宋体"/>
                <w:szCs w:val="21"/>
                <w:highlight w:val="none"/>
                <w:u w:val="single"/>
              </w:rPr>
              <w:t>40</w:t>
            </w:r>
            <w:r>
              <w:rPr>
                <w:rFonts w:hint="eastAsia" w:hAnsi="宋体"/>
                <w:szCs w:val="21"/>
                <w:highlight w:val="none"/>
              </w:rPr>
              <w:t>分</w:t>
            </w:r>
          </w:p>
        </w:tc>
        <w:tc>
          <w:tcPr>
            <w:tcW w:w="914" w:type="pct"/>
            <w:vMerge w:val="restart"/>
            <w:noWrap w:val="0"/>
            <w:tcMar>
              <w:top w:w="113" w:type="dxa"/>
              <w:left w:w="108" w:type="dxa"/>
              <w:bottom w:w="113" w:type="dxa"/>
              <w:right w:w="108" w:type="dxa"/>
            </w:tcMar>
            <w:vAlign w:val="center"/>
          </w:tcPr>
          <w:p w14:paraId="32F7EF80">
            <w:pPr>
              <w:pStyle w:val="6"/>
              <w:rPr>
                <w:rFonts w:hint="eastAsia" w:hAnsi="宋体"/>
                <w:szCs w:val="21"/>
                <w:highlight w:val="none"/>
              </w:rPr>
            </w:pPr>
            <w:r>
              <w:rPr>
                <w:rFonts w:hint="eastAsia" w:hAnsi="宋体"/>
                <w:szCs w:val="21"/>
                <w:highlight w:val="none"/>
              </w:rPr>
              <w:t>对招标项目的理解和总体设计思路</w:t>
            </w:r>
          </w:p>
        </w:tc>
        <w:tc>
          <w:tcPr>
            <w:tcW w:w="450" w:type="pct"/>
            <w:vMerge w:val="restart"/>
            <w:noWrap w:val="0"/>
            <w:tcMar>
              <w:top w:w="113" w:type="dxa"/>
              <w:left w:w="108" w:type="dxa"/>
              <w:bottom w:w="113" w:type="dxa"/>
              <w:right w:w="108" w:type="dxa"/>
            </w:tcMar>
            <w:vAlign w:val="center"/>
          </w:tcPr>
          <w:p w14:paraId="0128CFBF">
            <w:pPr>
              <w:pStyle w:val="6"/>
              <w:spacing w:line="276" w:lineRule="auto"/>
              <w:ind w:left="134" w:hanging="134" w:hangingChars="64"/>
              <w:jc w:val="center"/>
              <w:rPr>
                <w:rFonts w:hAnsi="宋体"/>
                <w:szCs w:val="21"/>
                <w:highlight w:val="none"/>
              </w:rPr>
            </w:pPr>
            <w:r>
              <w:rPr>
                <w:rFonts w:hint="eastAsia" w:hAnsi="宋体"/>
                <w:szCs w:val="21"/>
                <w:highlight w:val="none"/>
                <w:u w:val="single"/>
              </w:rPr>
              <w:t>10</w:t>
            </w:r>
            <w:r>
              <w:rPr>
                <w:rFonts w:hint="eastAsia" w:hAnsi="宋体"/>
                <w:szCs w:val="21"/>
                <w:highlight w:val="none"/>
              </w:rPr>
              <w:t>分</w:t>
            </w:r>
          </w:p>
        </w:tc>
        <w:tc>
          <w:tcPr>
            <w:tcW w:w="1800" w:type="pct"/>
            <w:noWrap w:val="0"/>
            <w:tcMar>
              <w:top w:w="113" w:type="dxa"/>
              <w:left w:w="108" w:type="dxa"/>
              <w:bottom w:w="113" w:type="dxa"/>
              <w:right w:w="108" w:type="dxa"/>
            </w:tcMar>
            <w:vAlign w:val="center"/>
          </w:tcPr>
          <w:p w14:paraId="7CA6E7B5">
            <w:pPr>
              <w:pStyle w:val="6"/>
              <w:rPr>
                <w:rFonts w:hint="eastAsia" w:hAnsi="宋体" w:eastAsia="宋体"/>
                <w:szCs w:val="21"/>
                <w:highlight w:val="none"/>
                <w:lang w:eastAsia="zh-CN"/>
              </w:rPr>
            </w:pPr>
            <w:r>
              <w:rPr>
                <w:rFonts w:hint="eastAsia" w:hAnsi="宋体"/>
                <w:szCs w:val="21"/>
                <w:highlight w:val="none"/>
              </w:rPr>
              <w:t>对招标项目的总体设计理解准确，思路与工可的设计理念、思路高度吻合，得8.0-10.0分</w:t>
            </w:r>
            <w:r>
              <w:rPr>
                <w:rFonts w:hint="eastAsia" w:hAnsi="宋体"/>
                <w:szCs w:val="21"/>
                <w:highlight w:val="none"/>
                <w:lang w:eastAsia="zh-CN"/>
              </w:rPr>
              <w:t>。</w:t>
            </w:r>
          </w:p>
        </w:tc>
      </w:tr>
      <w:tr w14:paraId="2ECC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9" w:type="pct"/>
            <w:vMerge w:val="continue"/>
            <w:noWrap w:val="0"/>
            <w:tcMar>
              <w:top w:w="113" w:type="dxa"/>
              <w:left w:w="108" w:type="dxa"/>
              <w:bottom w:w="113" w:type="dxa"/>
              <w:right w:w="108" w:type="dxa"/>
            </w:tcMar>
            <w:vAlign w:val="center"/>
          </w:tcPr>
          <w:p w14:paraId="4D47174F">
            <w:pPr>
              <w:pStyle w:val="6"/>
              <w:spacing w:line="276" w:lineRule="auto"/>
              <w:jc w:val="left"/>
              <w:rPr>
                <w:highlight w:val="none"/>
              </w:rPr>
            </w:pPr>
          </w:p>
        </w:tc>
        <w:tc>
          <w:tcPr>
            <w:tcW w:w="643" w:type="pct"/>
            <w:vMerge w:val="continue"/>
            <w:noWrap w:val="0"/>
            <w:tcMar>
              <w:top w:w="113" w:type="dxa"/>
              <w:left w:w="108" w:type="dxa"/>
              <w:bottom w:w="113" w:type="dxa"/>
              <w:right w:w="108" w:type="dxa"/>
            </w:tcMar>
            <w:vAlign w:val="center"/>
          </w:tcPr>
          <w:p w14:paraId="3A06A4C8">
            <w:pPr>
              <w:pStyle w:val="6"/>
              <w:spacing w:line="276" w:lineRule="auto"/>
              <w:jc w:val="left"/>
              <w:rPr>
                <w:highlight w:val="none"/>
              </w:rPr>
            </w:pPr>
          </w:p>
        </w:tc>
        <w:tc>
          <w:tcPr>
            <w:tcW w:w="653" w:type="pct"/>
            <w:vMerge w:val="continue"/>
            <w:noWrap w:val="0"/>
            <w:tcMar>
              <w:top w:w="113" w:type="dxa"/>
              <w:left w:w="108" w:type="dxa"/>
              <w:bottom w:w="113" w:type="dxa"/>
              <w:right w:w="108" w:type="dxa"/>
            </w:tcMar>
            <w:vAlign w:val="center"/>
          </w:tcPr>
          <w:p w14:paraId="3FF4BF70">
            <w:pPr>
              <w:pStyle w:val="6"/>
              <w:spacing w:line="276" w:lineRule="auto"/>
              <w:jc w:val="left"/>
              <w:rPr>
                <w:highlight w:val="none"/>
              </w:rPr>
            </w:pPr>
          </w:p>
        </w:tc>
        <w:tc>
          <w:tcPr>
            <w:tcW w:w="914" w:type="pct"/>
            <w:vMerge w:val="continue"/>
            <w:noWrap w:val="0"/>
            <w:tcMar>
              <w:top w:w="113" w:type="dxa"/>
              <w:left w:w="108" w:type="dxa"/>
              <w:bottom w:w="113" w:type="dxa"/>
              <w:right w:w="108" w:type="dxa"/>
            </w:tcMar>
            <w:vAlign w:val="center"/>
          </w:tcPr>
          <w:p w14:paraId="46B4E89D">
            <w:pPr>
              <w:pStyle w:val="6"/>
              <w:spacing w:line="276" w:lineRule="auto"/>
              <w:jc w:val="left"/>
              <w:rPr>
                <w:highlight w:val="none"/>
              </w:rPr>
            </w:pPr>
          </w:p>
        </w:tc>
        <w:tc>
          <w:tcPr>
            <w:tcW w:w="450" w:type="pct"/>
            <w:vMerge w:val="continue"/>
            <w:noWrap w:val="0"/>
            <w:tcMar>
              <w:top w:w="113" w:type="dxa"/>
              <w:left w:w="108" w:type="dxa"/>
              <w:bottom w:w="113" w:type="dxa"/>
              <w:right w:w="108" w:type="dxa"/>
            </w:tcMar>
            <w:vAlign w:val="center"/>
          </w:tcPr>
          <w:p w14:paraId="5B95F808">
            <w:pPr>
              <w:pStyle w:val="6"/>
              <w:spacing w:line="276" w:lineRule="auto"/>
              <w:jc w:val="left"/>
              <w:rPr>
                <w:highlight w:val="none"/>
              </w:rPr>
            </w:pPr>
          </w:p>
        </w:tc>
        <w:tc>
          <w:tcPr>
            <w:tcW w:w="1800" w:type="pct"/>
            <w:noWrap w:val="0"/>
            <w:tcMar>
              <w:top w:w="113" w:type="dxa"/>
              <w:left w:w="108" w:type="dxa"/>
              <w:bottom w:w="113" w:type="dxa"/>
              <w:right w:w="108" w:type="dxa"/>
            </w:tcMar>
            <w:vAlign w:val="center"/>
          </w:tcPr>
          <w:p w14:paraId="632CDA60">
            <w:pPr>
              <w:pStyle w:val="6"/>
              <w:rPr>
                <w:rFonts w:hint="eastAsia" w:hAnsi="宋体" w:eastAsia="宋体"/>
                <w:szCs w:val="21"/>
                <w:highlight w:val="none"/>
                <w:lang w:eastAsia="zh-CN"/>
              </w:rPr>
            </w:pPr>
            <w:r>
              <w:rPr>
                <w:rFonts w:hint="eastAsia" w:hAnsi="宋体"/>
                <w:szCs w:val="21"/>
                <w:highlight w:val="none"/>
              </w:rPr>
              <w:t>对招标项目的总体设计理解较准确，思路与工可的设计理念、思路吻合，得6.0-8.0分</w:t>
            </w:r>
            <w:r>
              <w:rPr>
                <w:rFonts w:hint="eastAsia" w:hAnsi="宋体"/>
                <w:szCs w:val="21"/>
                <w:highlight w:val="none"/>
                <w:lang w:eastAsia="zh-CN"/>
              </w:rPr>
              <w:t>；</w:t>
            </w:r>
          </w:p>
        </w:tc>
      </w:tr>
      <w:tr w14:paraId="4CE6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39" w:type="pct"/>
            <w:vMerge w:val="continue"/>
            <w:noWrap w:val="0"/>
            <w:tcMar>
              <w:top w:w="113" w:type="dxa"/>
              <w:left w:w="108" w:type="dxa"/>
              <w:bottom w:w="113" w:type="dxa"/>
              <w:right w:w="108" w:type="dxa"/>
            </w:tcMar>
            <w:vAlign w:val="center"/>
          </w:tcPr>
          <w:p w14:paraId="0CC0CB4D">
            <w:pPr>
              <w:pStyle w:val="6"/>
              <w:spacing w:line="276" w:lineRule="auto"/>
              <w:jc w:val="left"/>
              <w:rPr>
                <w:rFonts w:hAnsi="宋体"/>
                <w:szCs w:val="21"/>
                <w:highlight w:val="none"/>
              </w:rPr>
            </w:pPr>
          </w:p>
        </w:tc>
        <w:tc>
          <w:tcPr>
            <w:tcW w:w="643" w:type="pct"/>
            <w:vMerge w:val="continue"/>
            <w:noWrap w:val="0"/>
            <w:tcMar>
              <w:top w:w="113" w:type="dxa"/>
              <w:left w:w="108" w:type="dxa"/>
              <w:bottom w:w="113" w:type="dxa"/>
              <w:right w:w="108" w:type="dxa"/>
            </w:tcMar>
            <w:vAlign w:val="center"/>
          </w:tcPr>
          <w:p w14:paraId="44A98F9F">
            <w:pPr>
              <w:pStyle w:val="6"/>
              <w:spacing w:line="276" w:lineRule="auto"/>
              <w:jc w:val="left"/>
              <w:rPr>
                <w:rFonts w:hAnsi="宋体"/>
                <w:szCs w:val="21"/>
                <w:highlight w:val="none"/>
              </w:rPr>
            </w:pPr>
          </w:p>
        </w:tc>
        <w:tc>
          <w:tcPr>
            <w:tcW w:w="653" w:type="pct"/>
            <w:vMerge w:val="continue"/>
            <w:noWrap w:val="0"/>
            <w:tcMar>
              <w:top w:w="113" w:type="dxa"/>
              <w:left w:w="108" w:type="dxa"/>
              <w:bottom w:w="113" w:type="dxa"/>
              <w:right w:w="108" w:type="dxa"/>
            </w:tcMar>
            <w:vAlign w:val="center"/>
          </w:tcPr>
          <w:p w14:paraId="5E29289F">
            <w:pPr>
              <w:pStyle w:val="6"/>
              <w:spacing w:line="276" w:lineRule="auto"/>
              <w:jc w:val="left"/>
              <w:rPr>
                <w:rFonts w:hAnsi="宋体"/>
                <w:szCs w:val="21"/>
                <w:highlight w:val="none"/>
              </w:rPr>
            </w:pPr>
          </w:p>
        </w:tc>
        <w:tc>
          <w:tcPr>
            <w:tcW w:w="914" w:type="pct"/>
            <w:vMerge w:val="continue"/>
            <w:noWrap w:val="0"/>
            <w:tcMar>
              <w:top w:w="113" w:type="dxa"/>
              <w:left w:w="108" w:type="dxa"/>
              <w:bottom w:w="113" w:type="dxa"/>
              <w:right w:w="108" w:type="dxa"/>
            </w:tcMar>
            <w:vAlign w:val="center"/>
          </w:tcPr>
          <w:p w14:paraId="20A00A11">
            <w:pPr>
              <w:pStyle w:val="6"/>
              <w:spacing w:line="276" w:lineRule="auto"/>
              <w:jc w:val="left"/>
              <w:rPr>
                <w:rFonts w:hAnsi="宋体"/>
                <w:szCs w:val="21"/>
                <w:highlight w:val="none"/>
              </w:rPr>
            </w:pPr>
          </w:p>
        </w:tc>
        <w:tc>
          <w:tcPr>
            <w:tcW w:w="450" w:type="pct"/>
            <w:vMerge w:val="continue"/>
            <w:noWrap w:val="0"/>
            <w:tcMar>
              <w:top w:w="113" w:type="dxa"/>
              <w:left w:w="108" w:type="dxa"/>
              <w:bottom w:w="113" w:type="dxa"/>
              <w:right w:w="108" w:type="dxa"/>
            </w:tcMar>
            <w:vAlign w:val="center"/>
          </w:tcPr>
          <w:p w14:paraId="065F7D37">
            <w:pPr>
              <w:pStyle w:val="6"/>
              <w:spacing w:line="276" w:lineRule="auto"/>
              <w:jc w:val="left"/>
              <w:rPr>
                <w:rFonts w:hAnsi="宋体"/>
                <w:szCs w:val="21"/>
                <w:highlight w:val="none"/>
              </w:rPr>
            </w:pPr>
          </w:p>
        </w:tc>
        <w:tc>
          <w:tcPr>
            <w:tcW w:w="1800" w:type="pct"/>
            <w:noWrap w:val="0"/>
            <w:tcMar>
              <w:top w:w="113" w:type="dxa"/>
              <w:left w:w="108" w:type="dxa"/>
              <w:bottom w:w="113" w:type="dxa"/>
              <w:right w:w="108" w:type="dxa"/>
            </w:tcMar>
            <w:vAlign w:val="center"/>
          </w:tcPr>
          <w:p w14:paraId="4BACE0D1">
            <w:pPr>
              <w:pStyle w:val="6"/>
              <w:rPr>
                <w:rFonts w:hint="eastAsia" w:hAnsi="宋体" w:eastAsia="宋体"/>
                <w:szCs w:val="21"/>
                <w:highlight w:val="none"/>
                <w:lang w:eastAsia="zh-CN"/>
              </w:rPr>
            </w:pPr>
            <w:r>
              <w:rPr>
                <w:rFonts w:hint="eastAsia" w:hAnsi="宋体"/>
                <w:szCs w:val="21"/>
                <w:highlight w:val="none"/>
              </w:rPr>
              <w:t>对招标项目的总体设计理解一般，思路与工可的设计理念、思路基本吻合，得6分</w:t>
            </w:r>
            <w:r>
              <w:rPr>
                <w:rFonts w:hint="eastAsia" w:hAnsi="宋体"/>
                <w:szCs w:val="21"/>
                <w:highlight w:val="none"/>
                <w:lang w:eastAsia="zh-CN"/>
              </w:rPr>
              <w:t>；</w:t>
            </w:r>
          </w:p>
        </w:tc>
      </w:tr>
      <w:tr w14:paraId="24D2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41F25A1E">
            <w:pPr>
              <w:pStyle w:val="6"/>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14C1CD98">
            <w:pPr>
              <w:pStyle w:val="6"/>
              <w:spacing w:line="276" w:lineRule="auto"/>
              <w:jc w:val="center"/>
              <w:rPr>
                <w:rFonts w:hint="eastAsia" w:hAnsi="宋体"/>
                <w:szCs w:val="21"/>
                <w:highlight w:val="none"/>
              </w:rPr>
            </w:pPr>
          </w:p>
        </w:tc>
        <w:tc>
          <w:tcPr>
            <w:tcW w:w="653" w:type="pct"/>
            <w:vMerge w:val="continue"/>
            <w:noWrap w:val="0"/>
            <w:tcMar>
              <w:top w:w="113" w:type="dxa"/>
              <w:left w:w="108" w:type="dxa"/>
              <w:bottom w:w="113" w:type="dxa"/>
              <w:right w:w="108" w:type="dxa"/>
            </w:tcMar>
            <w:vAlign w:val="center"/>
          </w:tcPr>
          <w:p w14:paraId="7E4F7A1C">
            <w:pPr>
              <w:pStyle w:val="6"/>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top"/>
          </w:tcPr>
          <w:p w14:paraId="16936E21">
            <w:pPr>
              <w:pStyle w:val="6"/>
              <w:jc w:val="center"/>
              <w:rPr>
                <w:rFonts w:hint="eastAsia" w:hAnsi="宋体"/>
                <w:szCs w:val="21"/>
                <w:highlight w:val="none"/>
              </w:rPr>
            </w:pPr>
          </w:p>
          <w:p w14:paraId="788D7C78">
            <w:pPr>
              <w:pStyle w:val="6"/>
              <w:jc w:val="center"/>
              <w:rPr>
                <w:rFonts w:hint="eastAsia" w:hAnsi="宋体"/>
                <w:szCs w:val="21"/>
                <w:highlight w:val="none"/>
              </w:rPr>
            </w:pPr>
          </w:p>
          <w:p w14:paraId="07F604BF">
            <w:pPr>
              <w:pStyle w:val="6"/>
              <w:jc w:val="center"/>
              <w:rPr>
                <w:rFonts w:hint="eastAsia" w:hAnsi="宋体"/>
                <w:szCs w:val="21"/>
                <w:highlight w:val="none"/>
              </w:rPr>
            </w:pPr>
          </w:p>
          <w:p w14:paraId="39A4843E">
            <w:pPr>
              <w:pStyle w:val="6"/>
              <w:jc w:val="center"/>
              <w:rPr>
                <w:rFonts w:hint="eastAsia" w:hAnsi="宋体"/>
                <w:szCs w:val="21"/>
                <w:highlight w:val="none"/>
              </w:rPr>
            </w:pPr>
          </w:p>
          <w:p w14:paraId="1AA4EE23">
            <w:pPr>
              <w:pStyle w:val="6"/>
              <w:jc w:val="center"/>
              <w:rPr>
                <w:rFonts w:hint="eastAsia" w:hAnsi="宋体"/>
                <w:szCs w:val="21"/>
                <w:highlight w:val="none"/>
              </w:rPr>
            </w:pPr>
            <w:r>
              <w:rPr>
                <w:rFonts w:hint="eastAsia" w:hAnsi="宋体"/>
                <w:szCs w:val="21"/>
                <w:highlight w:val="none"/>
              </w:rPr>
              <w:t>招标项目设计的特点、关键技术问题的认识及其对策措施</w:t>
            </w:r>
          </w:p>
        </w:tc>
        <w:tc>
          <w:tcPr>
            <w:tcW w:w="450" w:type="pct"/>
            <w:vMerge w:val="restart"/>
            <w:noWrap w:val="0"/>
            <w:tcMar>
              <w:top w:w="113" w:type="dxa"/>
              <w:left w:w="108" w:type="dxa"/>
              <w:bottom w:w="113" w:type="dxa"/>
              <w:right w:w="108" w:type="dxa"/>
            </w:tcMar>
            <w:vAlign w:val="center"/>
          </w:tcPr>
          <w:p w14:paraId="71E2A6E2">
            <w:pPr>
              <w:pStyle w:val="6"/>
              <w:spacing w:line="276" w:lineRule="auto"/>
              <w:ind w:left="134" w:hanging="134" w:hangingChars="64"/>
              <w:jc w:val="center"/>
              <w:rPr>
                <w:rFonts w:hAnsi="宋体"/>
                <w:szCs w:val="21"/>
                <w:highlight w:val="none"/>
              </w:rPr>
            </w:pPr>
            <w:r>
              <w:rPr>
                <w:rFonts w:hint="eastAsia" w:hAnsi="宋体"/>
                <w:szCs w:val="21"/>
                <w:highlight w:val="none"/>
                <w:u w:val="single"/>
              </w:rPr>
              <w:t>10</w:t>
            </w:r>
            <w:r>
              <w:rPr>
                <w:rFonts w:hint="eastAsia" w:hAnsi="宋体"/>
                <w:szCs w:val="21"/>
                <w:highlight w:val="none"/>
              </w:rPr>
              <w:t>分</w:t>
            </w:r>
          </w:p>
        </w:tc>
        <w:tc>
          <w:tcPr>
            <w:tcW w:w="1800" w:type="pct"/>
            <w:noWrap w:val="0"/>
            <w:tcMar>
              <w:top w:w="113" w:type="dxa"/>
              <w:left w:w="108" w:type="dxa"/>
              <w:bottom w:w="113" w:type="dxa"/>
              <w:right w:w="108" w:type="dxa"/>
            </w:tcMar>
            <w:vAlign w:val="center"/>
          </w:tcPr>
          <w:p w14:paraId="167D77A4">
            <w:pPr>
              <w:pStyle w:val="6"/>
              <w:rPr>
                <w:rFonts w:hint="eastAsia" w:hAnsi="宋体" w:eastAsia="宋体"/>
                <w:szCs w:val="21"/>
                <w:highlight w:val="none"/>
                <w:lang w:eastAsia="zh-CN"/>
              </w:rPr>
            </w:pPr>
            <w:r>
              <w:rPr>
                <w:rFonts w:hint="eastAsia" w:hAnsi="宋体"/>
                <w:szCs w:val="21"/>
                <w:highlight w:val="none"/>
              </w:rPr>
              <w:t>项目设计的特点针对性强，关键技术问题对策明确、合理，技术建议科学、有效、可行，得8.0－10.0分</w:t>
            </w:r>
            <w:r>
              <w:rPr>
                <w:rFonts w:hint="eastAsia" w:hAnsi="宋体"/>
                <w:szCs w:val="21"/>
                <w:highlight w:val="none"/>
                <w:lang w:eastAsia="zh-CN"/>
              </w:rPr>
              <w:t>；</w:t>
            </w:r>
          </w:p>
        </w:tc>
      </w:tr>
      <w:tr w14:paraId="7992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37CE998A">
            <w:pPr>
              <w:pStyle w:val="6"/>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0405245B">
            <w:pPr>
              <w:pStyle w:val="6"/>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465A8BA0">
            <w:pPr>
              <w:pStyle w:val="6"/>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02E0E534">
            <w:pPr>
              <w:pStyle w:val="6"/>
              <w:rPr>
                <w:rFonts w:hAnsi="宋体"/>
                <w:szCs w:val="21"/>
                <w:highlight w:val="none"/>
              </w:rPr>
            </w:pPr>
          </w:p>
        </w:tc>
        <w:tc>
          <w:tcPr>
            <w:tcW w:w="450" w:type="pct"/>
            <w:vMerge w:val="continue"/>
            <w:noWrap w:val="0"/>
            <w:tcMar>
              <w:top w:w="113" w:type="dxa"/>
              <w:left w:w="108" w:type="dxa"/>
              <w:bottom w:w="113" w:type="dxa"/>
              <w:right w:w="108" w:type="dxa"/>
            </w:tcMar>
            <w:vAlign w:val="center"/>
          </w:tcPr>
          <w:p w14:paraId="73D889D5">
            <w:pPr>
              <w:pStyle w:val="6"/>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center"/>
          </w:tcPr>
          <w:p w14:paraId="79D1DED8">
            <w:pPr>
              <w:pStyle w:val="6"/>
              <w:rPr>
                <w:rFonts w:hint="eastAsia" w:hAnsi="宋体"/>
                <w:szCs w:val="21"/>
                <w:highlight w:val="none"/>
              </w:rPr>
            </w:pPr>
            <w:r>
              <w:rPr>
                <w:rFonts w:hint="eastAsia" w:hAnsi="宋体"/>
                <w:szCs w:val="21"/>
                <w:highlight w:val="none"/>
              </w:rPr>
              <w:t>项目设计的特点和关键技术问题针对性较强，技术建议可行，得6.0－8.0分；</w:t>
            </w:r>
          </w:p>
        </w:tc>
      </w:tr>
      <w:tr w14:paraId="7C8E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39" w:type="pct"/>
            <w:vMerge w:val="continue"/>
            <w:noWrap w:val="0"/>
            <w:tcMar>
              <w:top w:w="113" w:type="dxa"/>
              <w:left w:w="108" w:type="dxa"/>
              <w:bottom w:w="113" w:type="dxa"/>
              <w:right w:w="108" w:type="dxa"/>
            </w:tcMar>
            <w:vAlign w:val="top"/>
          </w:tcPr>
          <w:p w14:paraId="0F67EDEE">
            <w:pPr>
              <w:pStyle w:val="6"/>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6D3C53E8">
            <w:pPr>
              <w:pStyle w:val="6"/>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7964FBF2">
            <w:pPr>
              <w:pStyle w:val="6"/>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20D95959">
            <w:pPr>
              <w:pStyle w:val="6"/>
              <w:rPr>
                <w:rFonts w:hAnsi="宋体"/>
                <w:szCs w:val="21"/>
                <w:highlight w:val="none"/>
              </w:rPr>
            </w:pPr>
          </w:p>
        </w:tc>
        <w:tc>
          <w:tcPr>
            <w:tcW w:w="450" w:type="pct"/>
            <w:vMerge w:val="continue"/>
            <w:noWrap w:val="0"/>
            <w:tcMar>
              <w:top w:w="113" w:type="dxa"/>
              <w:left w:w="108" w:type="dxa"/>
              <w:bottom w:w="113" w:type="dxa"/>
              <w:right w:w="108" w:type="dxa"/>
            </w:tcMar>
            <w:vAlign w:val="center"/>
          </w:tcPr>
          <w:p w14:paraId="64F48BB1">
            <w:pPr>
              <w:pStyle w:val="6"/>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center"/>
          </w:tcPr>
          <w:p w14:paraId="52B5236D">
            <w:pPr>
              <w:pStyle w:val="6"/>
              <w:rPr>
                <w:rFonts w:hint="eastAsia" w:hAnsi="宋体" w:eastAsia="宋体"/>
                <w:szCs w:val="21"/>
                <w:highlight w:val="none"/>
                <w:lang w:eastAsia="zh-CN"/>
              </w:rPr>
            </w:pPr>
            <w:r>
              <w:rPr>
                <w:rFonts w:hint="eastAsia" w:hAnsi="宋体"/>
                <w:szCs w:val="21"/>
                <w:highlight w:val="none"/>
              </w:rPr>
              <w:t>项目设计的特点和关键技术问题的针对性一般，技术建议基本可行，得6.0分</w:t>
            </w:r>
            <w:r>
              <w:rPr>
                <w:rFonts w:hint="eastAsia" w:hAnsi="宋体"/>
                <w:szCs w:val="21"/>
                <w:highlight w:val="none"/>
                <w:lang w:eastAsia="zh-CN"/>
              </w:rPr>
              <w:t>。</w:t>
            </w:r>
          </w:p>
        </w:tc>
      </w:tr>
      <w:tr w14:paraId="0A3A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188023CB">
            <w:pPr>
              <w:pStyle w:val="6"/>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311E3798">
            <w:pPr>
              <w:pStyle w:val="6"/>
              <w:spacing w:line="276" w:lineRule="auto"/>
              <w:jc w:val="center"/>
              <w:rPr>
                <w:rFonts w:hint="eastAsia" w:hAnsi="宋体"/>
                <w:szCs w:val="21"/>
                <w:highlight w:val="none"/>
              </w:rPr>
            </w:pPr>
          </w:p>
        </w:tc>
        <w:tc>
          <w:tcPr>
            <w:tcW w:w="653" w:type="pct"/>
            <w:vMerge w:val="continue"/>
            <w:noWrap w:val="0"/>
            <w:tcMar>
              <w:top w:w="113" w:type="dxa"/>
              <w:left w:w="108" w:type="dxa"/>
              <w:bottom w:w="113" w:type="dxa"/>
              <w:right w:w="108" w:type="dxa"/>
            </w:tcMar>
            <w:vAlign w:val="center"/>
          </w:tcPr>
          <w:p w14:paraId="5B3CA3F2">
            <w:pPr>
              <w:pStyle w:val="6"/>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center"/>
          </w:tcPr>
          <w:p w14:paraId="2BB25D45">
            <w:pPr>
              <w:pStyle w:val="6"/>
              <w:rPr>
                <w:rFonts w:hint="eastAsia" w:hAnsi="宋体"/>
                <w:szCs w:val="21"/>
                <w:highlight w:val="none"/>
              </w:rPr>
            </w:pPr>
            <w:r>
              <w:rPr>
                <w:rFonts w:hint="eastAsia" w:hAnsi="宋体"/>
                <w:szCs w:val="21"/>
                <w:highlight w:val="none"/>
              </w:rPr>
              <w:t>设计工作量及计划安排</w:t>
            </w:r>
          </w:p>
        </w:tc>
        <w:tc>
          <w:tcPr>
            <w:tcW w:w="450" w:type="pct"/>
            <w:vMerge w:val="restart"/>
            <w:noWrap w:val="0"/>
            <w:tcMar>
              <w:top w:w="113" w:type="dxa"/>
              <w:left w:w="108" w:type="dxa"/>
              <w:bottom w:w="113" w:type="dxa"/>
              <w:right w:w="108" w:type="dxa"/>
            </w:tcMar>
            <w:vAlign w:val="center"/>
          </w:tcPr>
          <w:p w14:paraId="77D8F4A7">
            <w:pPr>
              <w:pStyle w:val="6"/>
              <w:spacing w:line="276" w:lineRule="auto"/>
              <w:ind w:left="134" w:hanging="134" w:hangingChars="64"/>
              <w:jc w:val="center"/>
              <w:rPr>
                <w:rFonts w:hAnsi="宋体"/>
                <w:szCs w:val="21"/>
                <w:highlight w:val="none"/>
              </w:rPr>
            </w:pPr>
            <w:r>
              <w:rPr>
                <w:rFonts w:hint="eastAsia" w:hAnsi="宋体"/>
                <w:szCs w:val="21"/>
                <w:highlight w:val="none"/>
                <w:u w:val="single"/>
                <w:lang w:val="en-US" w:eastAsia="zh-CN"/>
              </w:rPr>
              <w:t>10</w:t>
            </w:r>
            <w:r>
              <w:rPr>
                <w:rFonts w:hint="eastAsia" w:hAnsi="宋体"/>
                <w:szCs w:val="21"/>
                <w:highlight w:val="none"/>
              </w:rPr>
              <w:t>分</w:t>
            </w:r>
          </w:p>
        </w:tc>
        <w:tc>
          <w:tcPr>
            <w:tcW w:w="1800" w:type="pct"/>
            <w:noWrap w:val="0"/>
            <w:tcMar>
              <w:top w:w="113" w:type="dxa"/>
              <w:left w:w="108" w:type="dxa"/>
              <w:bottom w:w="113" w:type="dxa"/>
              <w:right w:w="108" w:type="dxa"/>
            </w:tcMar>
            <w:vAlign w:val="center"/>
          </w:tcPr>
          <w:p w14:paraId="4F03A03B">
            <w:pPr>
              <w:pStyle w:val="6"/>
              <w:rPr>
                <w:rFonts w:hint="eastAsia" w:hAnsi="宋体" w:eastAsia="宋体"/>
                <w:szCs w:val="21"/>
                <w:highlight w:val="none"/>
                <w:lang w:eastAsia="zh-CN"/>
              </w:rPr>
            </w:pPr>
            <w:r>
              <w:rPr>
                <w:rFonts w:hint="eastAsia" w:hAnsi="宋体"/>
                <w:szCs w:val="21"/>
                <w:highlight w:val="none"/>
              </w:rPr>
              <w:t>工作量及计划安排科学，安排周密，得</w:t>
            </w:r>
            <w:r>
              <w:rPr>
                <w:rFonts w:hint="eastAsia" w:hAnsi="宋体"/>
                <w:szCs w:val="21"/>
                <w:highlight w:val="none"/>
                <w:lang w:val="en-US" w:eastAsia="zh-CN"/>
              </w:rPr>
              <w:t>8</w:t>
            </w:r>
            <w:r>
              <w:rPr>
                <w:rFonts w:hint="eastAsia" w:hAnsi="宋体"/>
                <w:szCs w:val="21"/>
                <w:highlight w:val="none"/>
              </w:rPr>
              <w:t>.0-</w:t>
            </w:r>
            <w:r>
              <w:rPr>
                <w:rFonts w:hint="eastAsia" w:hAnsi="宋体"/>
                <w:szCs w:val="21"/>
                <w:highlight w:val="none"/>
                <w:lang w:val="en-US" w:eastAsia="zh-CN"/>
              </w:rPr>
              <w:t>10</w:t>
            </w:r>
            <w:r>
              <w:rPr>
                <w:rFonts w:hint="eastAsia" w:hAnsi="宋体"/>
                <w:szCs w:val="21"/>
                <w:highlight w:val="none"/>
              </w:rPr>
              <w:t>.0分</w:t>
            </w:r>
            <w:r>
              <w:rPr>
                <w:rFonts w:hint="eastAsia" w:hAnsi="宋体"/>
                <w:szCs w:val="21"/>
                <w:highlight w:val="none"/>
                <w:lang w:eastAsia="zh-CN"/>
              </w:rPr>
              <w:t>；</w:t>
            </w:r>
          </w:p>
        </w:tc>
      </w:tr>
      <w:tr w14:paraId="5B1B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2A2B0395">
            <w:pPr>
              <w:pStyle w:val="6"/>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4734D5AA">
            <w:pPr>
              <w:pStyle w:val="6"/>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355AEC70">
            <w:pPr>
              <w:pStyle w:val="6"/>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0C7D3FFC">
            <w:pPr>
              <w:pStyle w:val="6"/>
              <w:rPr>
                <w:rFonts w:hAnsi="宋体"/>
                <w:szCs w:val="21"/>
                <w:highlight w:val="none"/>
              </w:rPr>
            </w:pPr>
          </w:p>
        </w:tc>
        <w:tc>
          <w:tcPr>
            <w:tcW w:w="450" w:type="pct"/>
            <w:vMerge w:val="continue"/>
            <w:noWrap w:val="0"/>
            <w:tcMar>
              <w:top w:w="113" w:type="dxa"/>
              <w:left w:w="108" w:type="dxa"/>
              <w:bottom w:w="113" w:type="dxa"/>
              <w:right w:w="108" w:type="dxa"/>
            </w:tcMar>
            <w:vAlign w:val="center"/>
          </w:tcPr>
          <w:p w14:paraId="292E8CCF">
            <w:pPr>
              <w:pStyle w:val="6"/>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5E765E87">
            <w:pPr>
              <w:pStyle w:val="6"/>
              <w:rPr>
                <w:rFonts w:hint="eastAsia" w:hAnsi="宋体"/>
                <w:szCs w:val="21"/>
                <w:highlight w:val="none"/>
              </w:rPr>
            </w:pPr>
            <w:r>
              <w:rPr>
                <w:rFonts w:hint="eastAsia" w:hAnsi="宋体"/>
                <w:szCs w:val="21"/>
                <w:highlight w:val="none"/>
              </w:rPr>
              <w:t>工作量及计划安排合理，得</w:t>
            </w:r>
            <w:r>
              <w:rPr>
                <w:rFonts w:hint="eastAsia" w:hAnsi="宋体"/>
                <w:szCs w:val="21"/>
                <w:highlight w:val="none"/>
                <w:lang w:val="en-US" w:eastAsia="zh-CN"/>
              </w:rPr>
              <w:t>6</w:t>
            </w:r>
            <w:r>
              <w:rPr>
                <w:rFonts w:hint="eastAsia" w:hAnsi="宋体"/>
                <w:szCs w:val="21"/>
                <w:highlight w:val="none"/>
              </w:rPr>
              <w:t>.0-</w:t>
            </w:r>
            <w:r>
              <w:rPr>
                <w:rFonts w:hint="eastAsia" w:hAnsi="宋体"/>
                <w:szCs w:val="21"/>
                <w:highlight w:val="none"/>
                <w:lang w:val="en-US" w:eastAsia="zh-CN"/>
              </w:rPr>
              <w:t>8</w:t>
            </w:r>
            <w:r>
              <w:rPr>
                <w:rFonts w:hint="eastAsia" w:hAnsi="宋体"/>
                <w:szCs w:val="21"/>
                <w:highlight w:val="none"/>
              </w:rPr>
              <w:t>.0；</w:t>
            </w:r>
          </w:p>
        </w:tc>
      </w:tr>
      <w:tr w14:paraId="4206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39" w:type="pct"/>
            <w:vMerge w:val="continue"/>
            <w:noWrap w:val="0"/>
            <w:tcMar>
              <w:top w:w="113" w:type="dxa"/>
              <w:left w:w="108" w:type="dxa"/>
              <w:bottom w:w="113" w:type="dxa"/>
              <w:right w:w="108" w:type="dxa"/>
            </w:tcMar>
            <w:vAlign w:val="top"/>
          </w:tcPr>
          <w:p w14:paraId="0E8C2422">
            <w:pPr>
              <w:pStyle w:val="6"/>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6F87C8CC">
            <w:pPr>
              <w:pStyle w:val="6"/>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6D3F68F7">
            <w:pPr>
              <w:pStyle w:val="6"/>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3B1B0A09">
            <w:pPr>
              <w:pStyle w:val="6"/>
              <w:rPr>
                <w:rFonts w:hAnsi="宋体"/>
                <w:szCs w:val="21"/>
                <w:highlight w:val="none"/>
              </w:rPr>
            </w:pPr>
          </w:p>
        </w:tc>
        <w:tc>
          <w:tcPr>
            <w:tcW w:w="450" w:type="pct"/>
            <w:vMerge w:val="continue"/>
            <w:noWrap w:val="0"/>
            <w:tcMar>
              <w:top w:w="113" w:type="dxa"/>
              <w:left w:w="108" w:type="dxa"/>
              <w:bottom w:w="113" w:type="dxa"/>
              <w:right w:w="108" w:type="dxa"/>
            </w:tcMar>
            <w:vAlign w:val="center"/>
          </w:tcPr>
          <w:p w14:paraId="6A981B18">
            <w:pPr>
              <w:pStyle w:val="6"/>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center"/>
          </w:tcPr>
          <w:p w14:paraId="2DC4A21A">
            <w:pPr>
              <w:pStyle w:val="6"/>
              <w:rPr>
                <w:rFonts w:hint="eastAsia" w:hAnsi="宋体"/>
                <w:szCs w:val="21"/>
                <w:highlight w:val="none"/>
              </w:rPr>
            </w:pPr>
            <w:r>
              <w:rPr>
                <w:rFonts w:hint="eastAsia" w:hAnsi="宋体"/>
                <w:szCs w:val="21"/>
                <w:highlight w:val="none"/>
              </w:rPr>
              <w:t>工作量及计划安排基本合理，得</w:t>
            </w:r>
            <w:r>
              <w:rPr>
                <w:rFonts w:hint="eastAsia" w:hAnsi="宋体"/>
                <w:szCs w:val="21"/>
                <w:highlight w:val="none"/>
                <w:lang w:val="en-US" w:eastAsia="zh-CN"/>
              </w:rPr>
              <w:t>6</w:t>
            </w:r>
            <w:r>
              <w:rPr>
                <w:rFonts w:hint="eastAsia" w:hAnsi="宋体"/>
                <w:szCs w:val="21"/>
                <w:highlight w:val="none"/>
              </w:rPr>
              <w:t>分；</w:t>
            </w:r>
          </w:p>
        </w:tc>
      </w:tr>
      <w:tr w14:paraId="2E89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428A1AC3">
            <w:pPr>
              <w:pStyle w:val="6"/>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23AFDD0A">
            <w:pPr>
              <w:pStyle w:val="6"/>
              <w:spacing w:line="276" w:lineRule="auto"/>
              <w:jc w:val="center"/>
              <w:rPr>
                <w:rFonts w:hint="eastAsia" w:hAnsi="宋体"/>
                <w:szCs w:val="21"/>
                <w:highlight w:val="none"/>
              </w:rPr>
            </w:pPr>
          </w:p>
        </w:tc>
        <w:tc>
          <w:tcPr>
            <w:tcW w:w="653" w:type="pct"/>
            <w:vMerge w:val="continue"/>
            <w:noWrap w:val="0"/>
            <w:tcMar>
              <w:top w:w="113" w:type="dxa"/>
              <w:left w:w="108" w:type="dxa"/>
              <w:bottom w:w="113" w:type="dxa"/>
              <w:right w:w="108" w:type="dxa"/>
            </w:tcMar>
            <w:vAlign w:val="center"/>
          </w:tcPr>
          <w:p w14:paraId="3B3ABD36">
            <w:pPr>
              <w:pStyle w:val="6"/>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top"/>
          </w:tcPr>
          <w:p w14:paraId="79455D25">
            <w:pPr>
              <w:pStyle w:val="6"/>
              <w:rPr>
                <w:rFonts w:hint="eastAsia" w:hAnsi="宋体"/>
                <w:szCs w:val="21"/>
                <w:highlight w:val="none"/>
              </w:rPr>
            </w:pPr>
            <w:r>
              <w:rPr>
                <w:rFonts w:hint="eastAsia" w:hAnsi="宋体"/>
                <w:szCs w:val="21"/>
                <w:highlight w:val="none"/>
              </w:rPr>
              <w:t>设计的质量保证措施、进度保证措施、安全保证措施</w:t>
            </w:r>
          </w:p>
        </w:tc>
        <w:tc>
          <w:tcPr>
            <w:tcW w:w="450" w:type="pct"/>
            <w:vMerge w:val="restart"/>
            <w:noWrap w:val="0"/>
            <w:tcMar>
              <w:top w:w="113" w:type="dxa"/>
              <w:left w:w="108" w:type="dxa"/>
              <w:bottom w:w="113" w:type="dxa"/>
              <w:right w:w="108" w:type="dxa"/>
            </w:tcMar>
            <w:vAlign w:val="center"/>
          </w:tcPr>
          <w:p w14:paraId="6CC66F71">
            <w:pPr>
              <w:pStyle w:val="6"/>
              <w:spacing w:line="276" w:lineRule="auto"/>
              <w:ind w:left="134" w:hanging="134" w:hangingChars="64"/>
              <w:jc w:val="center"/>
              <w:rPr>
                <w:rFonts w:hAnsi="宋体"/>
                <w:szCs w:val="21"/>
                <w:highlight w:val="none"/>
              </w:rPr>
            </w:pPr>
            <w:r>
              <w:rPr>
                <w:rFonts w:hint="eastAsia" w:hAnsi="宋体"/>
                <w:szCs w:val="21"/>
                <w:highlight w:val="none"/>
                <w:u w:val="single"/>
              </w:rPr>
              <w:t>5</w:t>
            </w:r>
            <w:r>
              <w:rPr>
                <w:rFonts w:hint="eastAsia" w:hAnsi="宋体"/>
                <w:szCs w:val="21"/>
                <w:highlight w:val="none"/>
              </w:rPr>
              <w:t>分</w:t>
            </w:r>
          </w:p>
        </w:tc>
        <w:tc>
          <w:tcPr>
            <w:tcW w:w="1800" w:type="pct"/>
            <w:noWrap w:val="0"/>
            <w:tcMar>
              <w:top w:w="113" w:type="dxa"/>
              <w:left w:w="108" w:type="dxa"/>
              <w:bottom w:w="113" w:type="dxa"/>
              <w:right w:w="108" w:type="dxa"/>
            </w:tcMar>
            <w:vAlign w:val="top"/>
          </w:tcPr>
          <w:p w14:paraId="5C12E30E">
            <w:pPr>
              <w:pStyle w:val="6"/>
              <w:rPr>
                <w:rFonts w:hint="eastAsia" w:hAnsi="宋体"/>
                <w:szCs w:val="21"/>
                <w:highlight w:val="none"/>
              </w:rPr>
            </w:pPr>
            <w:r>
              <w:rPr>
                <w:rFonts w:hint="eastAsia" w:hAnsi="宋体"/>
                <w:szCs w:val="21"/>
                <w:highlight w:val="none"/>
              </w:rPr>
              <w:t>质量、进度及安全保证措施具体可靠，可实施性强，适合本项目，得4.0-5.0。</w:t>
            </w:r>
          </w:p>
        </w:tc>
      </w:tr>
      <w:tr w14:paraId="756D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15A03F38">
            <w:pPr>
              <w:pStyle w:val="6"/>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673AA247">
            <w:pPr>
              <w:pStyle w:val="6"/>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2A35F1B7">
            <w:pPr>
              <w:pStyle w:val="6"/>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521608D2">
            <w:pPr>
              <w:pStyle w:val="6"/>
              <w:rPr>
                <w:rFonts w:hAnsi="宋体"/>
                <w:szCs w:val="21"/>
                <w:highlight w:val="none"/>
              </w:rPr>
            </w:pPr>
          </w:p>
        </w:tc>
        <w:tc>
          <w:tcPr>
            <w:tcW w:w="450" w:type="pct"/>
            <w:vMerge w:val="continue"/>
            <w:noWrap w:val="0"/>
            <w:tcMar>
              <w:top w:w="113" w:type="dxa"/>
              <w:left w:w="108" w:type="dxa"/>
              <w:bottom w:w="113" w:type="dxa"/>
              <w:right w:w="108" w:type="dxa"/>
            </w:tcMar>
            <w:vAlign w:val="center"/>
          </w:tcPr>
          <w:p w14:paraId="17E0CB8D">
            <w:pPr>
              <w:pStyle w:val="6"/>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2B0E21F3">
            <w:pPr>
              <w:pStyle w:val="6"/>
              <w:rPr>
                <w:rFonts w:hint="eastAsia" w:hAnsi="宋体"/>
                <w:szCs w:val="21"/>
                <w:highlight w:val="none"/>
              </w:rPr>
            </w:pPr>
            <w:r>
              <w:rPr>
                <w:rFonts w:hint="eastAsia" w:hAnsi="宋体"/>
                <w:szCs w:val="21"/>
                <w:highlight w:val="none"/>
              </w:rPr>
              <w:t>质量、进度及安全保证措施较具体，可实施性较强，得3.0-4.0分；</w:t>
            </w:r>
          </w:p>
        </w:tc>
      </w:tr>
      <w:tr w14:paraId="3C88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39" w:type="pct"/>
            <w:vMerge w:val="continue"/>
            <w:noWrap w:val="0"/>
            <w:tcMar>
              <w:top w:w="113" w:type="dxa"/>
              <w:left w:w="108" w:type="dxa"/>
              <w:bottom w:w="113" w:type="dxa"/>
              <w:right w:w="108" w:type="dxa"/>
            </w:tcMar>
            <w:vAlign w:val="top"/>
          </w:tcPr>
          <w:p w14:paraId="1898B880">
            <w:pPr>
              <w:pStyle w:val="6"/>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302425EC">
            <w:pPr>
              <w:pStyle w:val="6"/>
              <w:spacing w:line="276" w:lineRule="auto"/>
              <w:jc w:val="center"/>
              <w:rPr>
                <w:rFonts w:hAnsi="宋体"/>
                <w:szCs w:val="21"/>
                <w:highlight w:val="none"/>
              </w:rPr>
            </w:pPr>
          </w:p>
        </w:tc>
        <w:tc>
          <w:tcPr>
            <w:tcW w:w="653" w:type="pct"/>
            <w:vMerge w:val="continue"/>
            <w:noWrap w:val="0"/>
            <w:tcMar>
              <w:top w:w="113" w:type="dxa"/>
              <w:left w:w="108" w:type="dxa"/>
              <w:bottom w:w="113" w:type="dxa"/>
              <w:right w:w="108" w:type="dxa"/>
            </w:tcMar>
            <w:vAlign w:val="top"/>
          </w:tcPr>
          <w:p w14:paraId="5E245022">
            <w:pPr>
              <w:pStyle w:val="6"/>
              <w:spacing w:line="276" w:lineRule="auto"/>
              <w:jc w:val="center"/>
              <w:rPr>
                <w:rFonts w:hAnsi="宋体"/>
                <w:szCs w:val="21"/>
                <w:highlight w:val="none"/>
              </w:rPr>
            </w:pPr>
          </w:p>
        </w:tc>
        <w:tc>
          <w:tcPr>
            <w:tcW w:w="914" w:type="pct"/>
            <w:vMerge w:val="continue"/>
            <w:noWrap w:val="0"/>
            <w:tcMar>
              <w:top w:w="113" w:type="dxa"/>
              <w:left w:w="108" w:type="dxa"/>
              <w:bottom w:w="113" w:type="dxa"/>
              <w:right w:w="108" w:type="dxa"/>
            </w:tcMar>
            <w:vAlign w:val="top"/>
          </w:tcPr>
          <w:p w14:paraId="1A650B65">
            <w:pPr>
              <w:pStyle w:val="6"/>
              <w:rPr>
                <w:rFonts w:hAnsi="宋体"/>
                <w:szCs w:val="21"/>
                <w:highlight w:val="none"/>
              </w:rPr>
            </w:pPr>
          </w:p>
        </w:tc>
        <w:tc>
          <w:tcPr>
            <w:tcW w:w="450" w:type="pct"/>
            <w:vMerge w:val="continue"/>
            <w:noWrap w:val="0"/>
            <w:tcMar>
              <w:top w:w="113" w:type="dxa"/>
              <w:left w:w="108" w:type="dxa"/>
              <w:bottom w:w="113" w:type="dxa"/>
              <w:right w:w="108" w:type="dxa"/>
            </w:tcMar>
            <w:vAlign w:val="center"/>
          </w:tcPr>
          <w:p w14:paraId="33741206">
            <w:pPr>
              <w:pStyle w:val="6"/>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63E19838">
            <w:pPr>
              <w:pStyle w:val="6"/>
              <w:rPr>
                <w:rFonts w:hint="eastAsia" w:hAnsi="宋体"/>
                <w:szCs w:val="21"/>
                <w:highlight w:val="none"/>
              </w:rPr>
            </w:pPr>
            <w:r>
              <w:rPr>
                <w:rFonts w:hint="eastAsia" w:hAnsi="宋体"/>
                <w:szCs w:val="21"/>
                <w:highlight w:val="none"/>
              </w:rPr>
              <w:t>质量、进度及安全保证措施不够具体，可实施性一般，得3.0分；</w:t>
            </w:r>
          </w:p>
        </w:tc>
      </w:tr>
      <w:tr w14:paraId="15CD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center"/>
          </w:tcPr>
          <w:p w14:paraId="0826EF0C">
            <w:pPr>
              <w:pStyle w:val="6"/>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center"/>
          </w:tcPr>
          <w:p w14:paraId="05DAB985">
            <w:pPr>
              <w:pStyle w:val="6"/>
              <w:spacing w:line="276" w:lineRule="auto"/>
              <w:jc w:val="center"/>
              <w:rPr>
                <w:rFonts w:hint="eastAsia" w:hAnsi="宋体"/>
                <w:szCs w:val="21"/>
                <w:highlight w:val="none"/>
              </w:rPr>
            </w:pPr>
          </w:p>
        </w:tc>
        <w:tc>
          <w:tcPr>
            <w:tcW w:w="653" w:type="pct"/>
            <w:vMerge w:val="continue"/>
            <w:noWrap w:val="0"/>
            <w:tcMar>
              <w:top w:w="113" w:type="dxa"/>
              <w:left w:w="108" w:type="dxa"/>
              <w:bottom w:w="113" w:type="dxa"/>
              <w:right w:w="108" w:type="dxa"/>
            </w:tcMar>
            <w:vAlign w:val="center"/>
          </w:tcPr>
          <w:p w14:paraId="068EC02B">
            <w:pPr>
              <w:pStyle w:val="6"/>
              <w:spacing w:line="276" w:lineRule="auto"/>
              <w:jc w:val="center"/>
              <w:rPr>
                <w:rFonts w:hAnsi="宋体"/>
                <w:szCs w:val="21"/>
                <w:highlight w:val="none"/>
              </w:rPr>
            </w:pPr>
          </w:p>
        </w:tc>
        <w:tc>
          <w:tcPr>
            <w:tcW w:w="914" w:type="pct"/>
            <w:vMerge w:val="restart"/>
            <w:noWrap w:val="0"/>
            <w:tcMar>
              <w:top w:w="113" w:type="dxa"/>
              <w:left w:w="108" w:type="dxa"/>
              <w:bottom w:w="113" w:type="dxa"/>
              <w:right w:w="108" w:type="dxa"/>
            </w:tcMar>
            <w:vAlign w:val="center"/>
          </w:tcPr>
          <w:p w14:paraId="057EB35A">
            <w:pPr>
              <w:pStyle w:val="6"/>
              <w:rPr>
                <w:rFonts w:hint="eastAsia" w:hAnsi="宋体"/>
                <w:szCs w:val="21"/>
                <w:highlight w:val="none"/>
              </w:rPr>
            </w:pPr>
            <w:r>
              <w:rPr>
                <w:rFonts w:hint="eastAsia" w:hAnsi="宋体"/>
                <w:szCs w:val="21"/>
                <w:highlight w:val="none"/>
              </w:rPr>
              <w:t>后续服务的安排及保证措施</w:t>
            </w:r>
          </w:p>
        </w:tc>
        <w:tc>
          <w:tcPr>
            <w:tcW w:w="450" w:type="pct"/>
            <w:vMerge w:val="restart"/>
            <w:noWrap w:val="0"/>
            <w:tcMar>
              <w:top w:w="113" w:type="dxa"/>
              <w:left w:w="108" w:type="dxa"/>
              <w:bottom w:w="113" w:type="dxa"/>
              <w:right w:w="108" w:type="dxa"/>
            </w:tcMar>
            <w:vAlign w:val="center"/>
          </w:tcPr>
          <w:p w14:paraId="187E8E2E">
            <w:pPr>
              <w:pStyle w:val="6"/>
              <w:spacing w:line="276" w:lineRule="auto"/>
              <w:ind w:left="134" w:hanging="134" w:hangingChars="64"/>
              <w:jc w:val="center"/>
              <w:rPr>
                <w:rFonts w:hAnsi="宋体"/>
                <w:szCs w:val="21"/>
                <w:highlight w:val="none"/>
              </w:rPr>
            </w:pPr>
            <w:r>
              <w:rPr>
                <w:rFonts w:hint="eastAsia" w:hAnsi="宋体"/>
                <w:szCs w:val="21"/>
                <w:highlight w:val="none"/>
                <w:u w:val="single"/>
              </w:rPr>
              <w:t>5</w:t>
            </w:r>
            <w:r>
              <w:rPr>
                <w:rFonts w:hint="eastAsia" w:hAnsi="宋体"/>
                <w:szCs w:val="21"/>
                <w:highlight w:val="none"/>
              </w:rPr>
              <w:t>分</w:t>
            </w:r>
          </w:p>
        </w:tc>
        <w:tc>
          <w:tcPr>
            <w:tcW w:w="1800" w:type="pct"/>
            <w:noWrap w:val="0"/>
            <w:tcMar>
              <w:top w:w="113" w:type="dxa"/>
              <w:left w:w="108" w:type="dxa"/>
              <w:bottom w:w="113" w:type="dxa"/>
              <w:right w:w="108" w:type="dxa"/>
            </w:tcMar>
            <w:vAlign w:val="top"/>
          </w:tcPr>
          <w:p w14:paraId="6216DD73">
            <w:pPr>
              <w:pStyle w:val="6"/>
              <w:rPr>
                <w:rFonts w:hint="eastAsia" w:hAnsi="宋体"/>
                <w:szCs w:val="21"/>
                <w:highlight w:val="none"/>
              </w:rPr>
            </w:pPr>
            <w:r>
              <w:rPr>
                <w:rFonts w:hint="eastAsia" w:hAnsi="宋体"/>
                <w:szCs w:val="21"/>
                <w:highlight w:val="none"/>
              </w:rPr>
              <w:t>投标人对于后续服务的承诺及保证措施安排完善合理，得4.0-5.0分。</w:t>
            </w:r>
          </w:p>
        </w:tc>
      </w:tr>
      <w:tr w14:paraId="0DB7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9" w:type="pct"/>
            <w:vMerge w:val="continue"/>
            <w:noWrap w:val="0"/>
            <w:tcMar>
              <w:top w:w="113" w:type="dxa"/>
              <w:left w:w="108" w:type="dxa"/>
              <w:bottom w:w="113" w:type="dxa"/>
              <w:right w:w="108" w:type="dxa"/>
            </w:tcMar>
            <w:vAlign w:val="top"/>
          </w:tcPr>
          <w:p w14:paraId="2496E354">
            <w:pPr>
              <w:pStyle w:val="6"/>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35403604">
            <w:pPr>
              <w:pStyle w:val="6"/>
              <w:spacing w:line="276" w:lineRule="auto"/>
              <w:rPr>
                <w:rFonts w:hAnsi="宋体"/>
                <w:szCs w:val="21"/>
                <w:highlight w:val="none"/>
              </w:rPr>
            </w:pPr>
          </w:p>
        </w:tc>
        <w:tc>
          <w:tcPr>
            <w:tcW w:w="653" w:type="pct"/>
            <w:vMerge w:val="continue"/>
            <w:noWrap w:val="0"/>
            <w:tcMar>
              <w:top w:w="113" w:type="dxa"/>
              <w:left w:w="108" w:type="dxa"/>
              <w:bottom w:w="113" w:type="dxa"/>
              <w:right w:w="108" w:type="dxa"/>
            </w:tcMar>
            <w:vAlign w:val="top"/>
          </w:tcPr>
          <w:p w14:paraId="79FA5307">
            <w:pPr>
              <w:pStyle w:val="6"/>
              <w:spacing w:line="276" w:lineRule="auto"/>
              <w:rPr>
                <w:rFonts w:hAnsi="宋体"/>
                <w:szCs w:val="21"/>
                <w:highlight w:val="none"/>
              </w:rPr>
            </w:pPr>
          </w:p>
        </w:tc>
        <w:tc>
          <w:tcPr>
            <w:tcW w:w="914" w:type="pct"/>
            <w:vMerge w:val="continue"/>
            <w:noWrap w:val="0"/>
            <w:tcMar>
              <w:top w:w="113" w:type="dxa"/>
              <w:left w:w="108" w:type="dxa"/>
              <w:bottom w:w="113" w:type="dxa"/>
              <w:right w:w="108" w:type="dxa"/>
            </w:tcMar>
            <w:vAlign w:val="center"/>
          </w:tcPr>
          <w:p w14:paraId="01C8CB66">
            <w:pPr>
              <w:pStyle w:val="6"/>
              <w:rPr>
                <w:rFonts w:hAnsi="宋体"/>
                <w:szCs w:val="21"/>
                <w:highlight w:val="none"/>
              </w:rPr>
            </w:pPr>
          </w:p>
        </w:tc>
        <w:tc>
          <w:tcPr>
            <w:tcW w:w="450" w:type="pct"/>
            <w:vMerge w:val="continue"/>
            <w:noWrap w:val="0"/>
            <w:tcMar>
              <w:top w:w="113" w:type="dxa"/>
              <w:left w:w="108" w:type="dxa"/>
              <w:bottom w:w="113" w:type="dxa"/>
              <w:right w:w="108" w:type="dxa"/>
            </w:tcMar>
            <w:vAlign w:val="center"/>
          </w:tcPr>
          <w:p w14:paraId="448CF9EC">
            <w:pPr>
              <w:pStyle w:val="6"/>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7B581779">
            <w:pPr>
              <w:pStyle w:val="6"/>
              <w:rPr>
                <w:rFonts w:hint="eastAsia" w:hAnsi="宋体"/>
                <w:szCs w:val="21"/>
                <w:highlight w:val="none"/>
              </w:rPr>
            </w:pPr>
            <w:r>
              <w:rPr>
                <w:rFonts w:hint="eastAsia" w:hAnsi="宋体"/>
                <w:szCs w:val="21"/>
                <w:highlight w:val="none"/>
              </w:rPr>
              <w:t>投标人对于后续服务的承诺及保证措施安排较完善，得3.0-4.0分；</w:t>
            </w:r>
          </w:p>
        </w:tc>
      </w:tr>
      <w:tr w14:paraId="0ACD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39" w:type="pct"/>
            <w:vMerge w:val="continue"/>
            <w:noWrap w:val="0"/>
            <w:tcMar>
              <w:top w:w="113" w:type="dxa"/>
              <w:left w:w="108" w:type="dxa"/>
              <w:bottom w:w="113" w:type="dxa"/>
              <w:right w:w="108" w:type="dxa"/>
            </w:tcMar>
            <w:vAlign w:val="top"/>
          </w:tcPr>
          <w:p w14:paraId="338140E4">
            <w:pPr>
              <w:pStyle w:val="6"/>
              <w:spacing w:line="276" w:lineRule="auto"/>
              <w:jc w:val="center"/>
              <w:rPr>
                <w:rFonts w:hAnsi="宋体"/>
                <w:szCs w:val="21"/>
                <w:highlight w:val="none"/>
              </w:rPr>
            </w:pPr>
          </w:p>
        </w:tc>
        <w:tc>
          <w:tcPr>
            <w:tcW w:w="643" w:type="pct"/>
            <w:vMerge w:val="continue"/>
            <w:noWrap w:val="0"/>
            <w:tcMar>
              <w:top w:w="113" w:type="dxa"/>
              <w:left w:w="108" w:type="dxa"/>
              <w:bottom w:w="113" w:type="dxa"/>
              <w:right w:w="108" w:type="dxa"/>
            </w:tcMar>
            <w:vAlign w:val="top"/>
          </w:tcPr>
          <w:p w14:paraId="03F9465B">
            <w:pPr>
              <w:pStyle w:val="6"/>
              <w:spacing w:line="276" w:lineRule="auto"/>
              <w:rPr>
                <w:rFonts w:hAnsi="宋体"/>
                <w:szCs w:val="21"/>
                <w:highlight w:val="none"/>
              </w:rPr>
            </w:pPr>
          </w:p>
        </w:tc>
        <w:tc>
          <w:tcPr>
            <w:tcW w:w="653" w:type="pct"/>
            <w:vMerge w:val="continue"/>
            <w:noWrap w:val="0"/>
            <w:tcMar>
              <w:top w:w="113" w:type="dxa"/>
              <w:left w:w="108" w:type="dxa"/>
              <w:bottom w:w="113" w:type="dxa"/>
              <w:right w:w="108" w:type="dxa"/>
            </w:tcMar>
            <w:vAlign w:val="top"/>
          </w:tcPr>
          <w:p w14:paraId="56DEA7EB">
            <w:pPr>
              <w:pStyle w:val="6"/>
              <w:spacing w:line="276" w:lineRule="auto"/>
              <w:rPr>
                <w:rFonts w:hAnsi="宋体"/>
                <w:szCs w:val="21"/>
                <w:highlight w:val="none"/>
              </w:rPr>
            </w:pPr>
          </w:p>
        </w:tc>
        <w:tc>
          <w:tcPr>
            <w:tcW w:w="914" w:type="pct"/>
            <w:vMerge w:val="continue"/>
            <w:noWrap w:val="0"/>
            <w:tcMar>
              <w:top w:w="113" w:type="dxa"/>
              <w:left w:w="108" w:type="dxa"/>
              <w:bottom w:w="113" w:type="dxa"/>
              <w:right w:w="108" w:type="dxa"/>
            </w:tcMar>
            <w:vAlign w:val="center"/>
          </w:tcPr>
          <w:p w14:paraId="44769E0A">
            <w:pPr>
              <w:pStyle w:val="6"/>
              <w:rPr>
                <w:rFonts w:hAnsi="宋体"/>
                <w:szCs w:val="21"/>
                <w:highlight w:val="none"/>
              </w:rPr>
            </w:pPr>
          </w:p>
        </w:tc>
        <w:tc>
          <w:tcPr>
            <w:tcW w:w="450" w:type="pct"/>
            <w:vMerge w:val="continue"/>
            <w:noWrap w:val="0"/>
            <w:tcMar>
              <w:top w:w="113" w:type="dxa"/>
              <w:left w:w="108" w:type="dxa"/>
              <w:bottom w:w="113" w:type="dxa"/>
              <w:right w:w="108" w:type="dxa"/>
            </w:tcMar>
            <w:vAlign w:val="center"/>
          </w:tcPr>
          <w:p w14:paraId="4994EF8D">
            <w:pPr>
              <w:pStyle w:val="6"/>
              <w:spacing w:line="276" w:lineRule="auto"/>
              <w:jc w:val="center"/>
              <w:rPr>
                <w:rFonts w:hAnsi="宋体"/>
                <w:szCs w:val="21"/>
                <w:highlight w:val="none"/>
              </w:rPr>
            </w:pPr>
          </w:p>
        </w:tc>
        <w:tc>
          <w:tcPr>
            <w:tcW w:w="1800" w:type="pct"/>
            <w:noWrap w:val="0"/>
            <w:tcMar>
              <w:top w:w="113" w:type="dxa"/>
              <w:left w:w="108" w:type="dxa"/>
              <w:bottom w:w="113" w:type="dxa"/>
              <w:right w:w="108" w:type="dxa"/>
            </w:tcMar>
            <w:vAlign w:val="top"/>
          </w:tcPr>
          <w:p w14:paraId="5F8F540B">
            <w:pPr>
              <w:pStyle w:val="6"/>
              <w:rPr>
                <w:rFonts w:hint="eastAsia" w:hAnsi="宋体"/>
                <w:szCs w:val="21"/>
                <w:highlight w:val="none"/>
              </w:rPr>
            </w:pPr>
            <w:r>
              <w:rPr>
                <w:rFonts w:hint="eastAsia" w:hAnsi="宋体"/>
                <w:szCs w:val="21"/>
                <w:highlight w:val="none"/>
              </w:rPr>
              <w:t>投标人对于后续服务的承诺及保证措施安排一般，得3分；</w:t>
            </w:r>
          </w:p>
        </w:tc>
      </w:tr>
      <w:tr w14:paraId="55AB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39" w:type="pct"/>
            <w:vMerge w:val="restart"/>
            <w:noWrap w:val="0"/>
            <w:tcMar>
              <w:top w:w="113" w:type="dxa"/>
              <w:left w:w="108" w:type="dxa"/>
              <w:bottom w:w="113" w:type="dxa"/>
              <w:right w:w="108" w:type="dxa"/>
            </w:tcMar>
            <w:vAlign w:val="center"/>
          </w:tcPr>
          <w:p w14:paraId="028F58E6">
            <w:pPr>
              <w:pStyle w:val="6"/>
              <w:spacing w:line="276" w:lineRule="auto"/>
              <w:jc w:val="center"/>
              <w:rPr>
                <w:rFonts w:hAnsi="宋体"/>
                <w:szCs w:val="21"/>
                <w:highlight w:val="none"/>
              </w:rPr>
            </w:pPr>
            <w:r>
              <w:rPr>
                <w:rFonts w:hint="eastAsia" w:hAnsi="宋体"/>
                <w:szCs w:val="21"/>
                <w:highlight w:val="none"/>
              </w:rPr>
              <w:t>2.2.4（2）</w:t>
            </w:r>
          </w:p>
        </w:tc>
        <w:tc>
          <w:tcPr>
            <w:tcW w:w="643" w:type="pct"/>
            <w:vMerge w:val="restart"/>
            <w:noWrap w:val="0"/>
            <w:tcMar>
              <w:top w:w="113" w:type="dxa"/>
              <w:left w:w="108" w:type="dxa"/>
              <w:bottom w:w="113" w:type="dxa"/>
              <w:right w:w="108" w:type="dxa"/>
            </w:tcMar>
            <w:vAlign w:val="center"/>
          </w:tcPr>
          <w:p w14:paraId="1F7FB9B3">
            <w:pPr>
              <w:pStyle w:val="6"/>
              <w:spacing w:line="276" w:lineRule="auto"/>
              <w:jc w:val="center"/>
              <w:rPr>
                <w:rFonts w:hint="eastAsia" w:hAnsi="宋体"/>
                <w:szCs w:val="21"/>
                <w:highlight w:val="none"/>
              </w:rPr>
            </w:pPr>
            <w:r>
              <w:rPr>
                <w:rFonts w:hint="eastAsia" w:hAnsi="宋体"/>
                <w:szCs w:val="21"/>
                <w:highlight w:val="none"/>
              </w:rPr>
              <w:t>主要人员</w:t>
            </w:r>
          </w:p>
        </w:tc>
        <w:tc>
          <w:tcPr>
            <w:tcW w:w="653" w:type="pct"/>
            <w:vMerge w:val="restart"/>
            <w:noWrap w:val="0"/>
            <w:tcMar>
              <w:top w:w="113" w:type="dxa"/>
              <w:left w:w="108" w:type="dxa"/>
              <w:bottom w:w="113" w:type="dxa"/>
              <w:right w:w="108" w:type="dxa"/>
            </w:tcMar>
            <w:vAlign w:val="center"/>
          </w:tcPr>
          <w:p w14:paraId="058BCD66">
            <w:pPr>
              <w:pStyle w:val="6"/>
              <w:spacing w:line="276" w:lineRule="auto"/>
              <w:jc w:val="center"/>
              <w:rPr>
                <w:rFonts w:hAnsi="宋体"/>
                <w:szCs w:val="21"/>
                <w:highlight w:val="none"/>
              </w:rPr>
            </w:pPr>
            <w:r>
              <w:rPr>
                <w:rFonts w:hint="eastAsia" w:hAnsi="宋体"/>
                <w:szCs w:val="21"/>
                <w:highlight w:val="none"/>
                <w:u w:val="single"/>
              </w:rPr>
              <w:t>25</w:t>
            </w:r>
            <w:r>
              <w:rPr>
                <w:rFonts w:hint="eastAsia" w:hAnsi="宋体"/>
                <w:szCs w:val="21"/>
                <w:highlight w:val="none"/>
              </w:rPr>
              <w:t>分</w:t>
            </w:r>
          </w:p>
        </w:tc>
        <w:tc>
          <w:tcPr>
            <w:tcW w:w="914" w:type="pct"/>
            <w:vMerge w:val="restart"/>
            <w:noWrap w:val="0"/>
            <w:tcMar>
              <w:top w:w="113" w:type="dxa"/>
              <w:left w:w="108" w:type="dxa"/>
              <w:bottom w:w="113" w:type="dxa"/>
              <w:right w:w="108" w:type="dxa"/>
            </w:tcMar>
            <w:vAlign w:val="center"/>
          </w:tcPr>
          <w:p w14:paraId="704E4D60">
            <w:pPr>
              <w:pStyle w:val="6"/>
              <w:rPr>
                <w:rFonts w:hint="eastAsia" w:hAnsi="宋体"/>
                <w:szCs w:val="21"/>
                <w:highlight w:val="none"/>
              </w:rPr>
            </w:pPr>
            <w:r>
              <w:rPr>
                <w:rFonts w:hint="eastAsia" w:hAnsi="宋体"/>
                <w:szCs w:val="21"/>
                <w:highlight w:val="none"/>
              </w:rPr>
              <w:t>项目负责人任职资格与业绩</w:t>
            </w:r>
          </w:p>
        </w:tc>
        <w:tc>
          <w:tcPr>
            <w:tcW w:w="450" w:type="pct"/>
            <w:vMerge w:val="restart"/>
            <w:noWrap w:val="0"/>
            <w:tcMar>
              <w:top w:w="113" w:type="dxa"/>
              <w:left w:w="108" w:type="dxa"/>
              <w:bottom w:w="113" w:type="dxa"/>
              <w:right w:w="108" w:type="dxa"/>
            </w:tcMar>
            <w:vAlign w:val="center"/>
          </w:tcPr>
          <w:p w14:paraId="2B6ADA63">
            <w:pPr>
              <w:pStyle w:val="6"/>
              <w:rPr>
                <w:rFonts w:hint="eastAsia" w:hAnsi="宋体"/>
                <w:szCs w:val="21"/>
                <w:highlight w:val="none"/>
              </w:rPr>
            </w:pPr>
            <w:r>
              <w:rPr>
                <w:rFonts w:hint="eastAsia" w:hAnsi="宋体"/>
                <w:szCs w:val="21"/>
                <w:highlight w:val="none"/>
              </w:rPr>
              <w:t>25分</w:t>
            </w:r>
          </w:p>
        </w:tc>
        <w:tc>
          <w:tcPr>
            <w:tcW w:w="1800" w:type="pct"/>
            <w:noWrap w:val="0"/>
            <w:tcMar>
              <w:top w:w="113" w:type="dxa"/>
              <w:left w:w="108" w:type="dxa"/>
              <w:bottom w:w="113" w:type="dxa"/>
              <w:right w:w="108" w:type="dxa"/>
            </w:tcMar>
            <w:vAlign w:val="center"/>
          </w:tcPr>
          <w:p w14:paraId="7143527A">
            <w:pPr>
              <w:pStyle w:val="6"/>
              <w:rPr>
                <w:rFonts w:hint="eastAsia" w:hAnsi="宋体"/>
                <w:szCs w:val="21"/>
                <w:highlight w:val="none"/>
              </w:rPr>
            </w:pPr>
            <w:r>
              <w:rPr>
                <w:rFonts w:hint="eastAsia" w:hAnsi="宋体"/>
                <w:szCs w:val="21"/>
                <w:highlight w:val="none"/>
              </w:rPr>
              <w:t>满足资格审查条件（项目负责人最低要求），得1</w:t>
            </w:r>
            <w:r>
              <w:rPr>
                <w:rFonts w:hint="eastAsia" w:hAnsi="宋体"/>
                <w:szCs w:val="21"/>
                <w:highlight w:val="none"/>
                <w:lang w:val="en-US" w:eastAsia="zh-CN"/>
              </w:rPr>
              <w:t>6</w:t>
            </w:r>
            <w:r>
              <w:rPr>
                <w:rFonts w:hint="eastAsia" w:hAnsi="宋体"/>
                <w:szCs w:val="21"/>
                <w:highlight w:val="none"/>
              </w:rPr>
              <w:t>分。</w:t>
            </w:r>
          </w:p>
        </w:tc>
      </w:tr>
      <w:tr w14:paraId="7146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39" w:type="pct"/>
            <w:vMerge w:val="continue"/>
            <w:noWrap w:val="0"/>
            <w:tcMar>
              <w:top w:w="113" w:type="dxa"/>
              <w:left w:w="108" w:type="dxa"/>
              <w:bottom w:w="113" w:type="dxa"/>
              <w:right w:w="108" w:type="dxa"/>
            </w:tcMar>
            <w:vAlign w:val="center"/>
          </w:tcPr>
          <w:p w14:paraId="493909A0">
            <w:pPr>
              <w:spacing w:line="276" w:lineRule="auto"/>
              <w:jc w:val="left"/>
              <w:rPr>
                <w:highlight w:val="none"/>
              </w:rPr>
            </w:pPr>
          </w:p>
        </w:tc>
        <w:tc>
          <w:tcPr>
            <w:tcW w:w="643" w:type="pct"/>
            <w:vMerge w:val="continue"/>
            <w:noWrap w:val="0"/>
            <w:tcMar>
              <w:top w:w="113" w:type="dxa"/>
              <w:left w:w="108" w:type="dxa"/>
              <w:bottom w:w="113" w:type="dxa"/>
              <w:right w:w="108" w:type="dxa"/>
            </w:tcMar>
            <w:vAlign w:val="center"/>
          </w:tcPr>
          <w:p w14:paraId="5758101A">
            <w:pPr>
              <w:spacing w:line="276" w:lineRule="auto"/>
              <w:jc w:val="left"/>
              <w:rPr>
                <w:highlight w:val="none"/>
              </w:rPr>
            </w:pPr>
          </w:p>
        </w:tc>
        <w:tc>
          <w:tcPr>
            <w:tcW w:w="653" w:type="pct"/>
            <w:vMerge w:val="continue"/>
            <w:noWrap w:val="0"/>
            <w:tcMar>
              <w:top w:w="113" w:type="dxa"/>
              <w:left w:w="108" w:type="dxa"/>
              <w:bottom w:w="113" w:type="dxa"/>
              <w:right w:w="108" w:type="dxa"/>
            </w:tcMar>
            <w:vAlign w:val="center"/>
          </w:tcPr>
          <w:p w14:paraId="7F888E9F">
            <w:pPr>
              <w:spacing w:line="276" w:lineRule="auto"/>
              <w:jc w:val="left"/>
              <w:rPr>
                <w:highlight w:val="none"/>
              </w:rPr>
            </w:pPr>
          </w:p>
        </w:tc>
        <w:tc>
          <w:tcPr>
            <w:tcW w:w="914" w:type="pct"/>
            <w:vMerge w:val="continue"/>
            <w:noWrap w:val="0"/>
            <w:tcMar>
              <w:top w:w="113" w:type="dxa"/>
              <w:left w:w="108" w:type="dxa"/>
              <w:bottom w:w="113" w:type="dxa"/>
              <w:right w:w="108" w:type="dxa"/>
            </w:tcMar>
            <w:vAlign w:val="center"/>
          </w:tcPr>
          <w:p w14:paraId="0D0FD5F4">
            <w:pPr>
              <w:spacing w:line="276" w:lineRule="auto"/>
              <w:jc w:val="left"/>
              <w:rPr>
                <w:highlight w:val="none"/>
              </w:rPr>
            </w:pPr>
          </w:p>
        </w:tc>
        <w:tc>
          <w:tcPr>
            <w:tcW w:w="450" w:type="pct"/>
            <w:vMerge w:val="continue"/>
            <w:noWrap w:val="0"/>
            <w:tcMar>
              <w:top w:w="113" w:type="dxa"/>
              <w:left w:w="108" w:type="dxa"/>
              <w:bottom w:w="113" w:type="dxa"/>
              <w:right w:w="108" w:type="dxa"/>
            </w:tcMar>
            <w:vAlign w:val="center"/>
          </w:tcPr>
          <w:p w14:paraId="0F245B08">
            <w:pPr>
              <w:spacing w:line="276" w:lineRule="auto"/>
              <w:jc w:val="left"/>
              <w:rPr>
                <w:highlight w:val="none"/>
              </w:rPr>
            </w:pPr>
          </w:p>
        </w:tc>
        <w:tc>
          <w:tcPr>
            <w:tcW w:w="1800" w:type="pct"/>
            <w:noWrap w:val="0"/>
            <w:tcMar>
              <w:top w:w="113" w:type="dxa"/>
              <w:left w:w="108" w:type="dxa"/>
              <w:bottom w:w="113" w:type="dxa"/>
              <w:right w:w="108" w:type="dxa"/>
            </w:tcMar>
            <w:vAlign w:val="center"/>
          </w:tcPr>
          <w:p w14:paraId="1D2F3983">
            <w:pPr>
              <w:spacing w:line="276" w:lineRule="auto"/>
              <w:jc w:val="both"/>
              <w:rPr>
                <w:rFonts w:hint="default" w:ascii="宋体" w:hAnsi="宋体" w:eastAsia="宋体"/>
                <w:bCs/>
                <w:kern w:val="2"/>
                <w:sz w:val="21"/>
                <w:szCs w:val="21"/>
                <w:highlight w:val="none"/>
                <w:lang w:val="en-US" w:eastAsia="zh-CN"/>
              </w:rPr>
            </w:pPr>
            <w:r>
              <w:rPr>
                <w:rFonts w:hint="eastAsia" w:ascii="宋体" w:hAnsi="宋体"/>
                <w:bCs/>
                <w:kern w:val="2"/>
                <w:sz w:val="21"/>
                <w:szCs w:val="21"/>
                <w:highlight w:val="none"/>
                <w:lang w:val="en-US" w:eastAsia="zh-CN"/>
              </w:rPr>
              <w:t>每增加一项满足资格审查条件</w:t>
            </w:r>
            <w:r>
              <w:rPr>
                <w:rFonts w:hint="eastAsia" w:ascii="宋体" w:hAnsi="宋体" w:eastAsia="宋体" w:cs="Times New Roman"/>
                <w:bCs/>
                <w:kern w:val="2"/>
                <w:sz w:val="21"/>
                <w:szCs w:val="21"/>
                <w:highlight w:val="none"/>
                <w:lang w:val="en-US" w:eastAsia="zh-CN"/>
              </w:rPr>
              <w:t>（项目负责人最低要求）业绩的加</w:t>
            </w:r>
            <w:r>
              <w:rPr>
                <w:rFonts w:hint="eastAsia" w:ascii="宋体" w:hAnsi="宋体" w:cs="Times New Roman"/>
                <w:bCs/>
                <w:kern w:val="2"/>
                <w:sz w:val="21"/>
                <w:szCs w:val="21"/>
                <w:highlight w:val="none"/>
                <w:lang w:val="en-US" w:eastAsia="zh-CN"/>
              </w:rPr>
              <w:t>3</w:t>
            </w:r>
            <w:r>
              <w:rPr>
                <w:rFonts w:hint="eastAsia" w:ascii="宋体" w:hAnsi="宋体" w:eastAsia="宋体" w:cs="Times New Roman"/>
                <w:bCs/>
                <w:kern w:val="2"/>
                <w:sz w:val="21"/>
                <w:szCs w:val="21"/>
                <w:highlight w:val="none"/>
                <w:lang w:val="en-US" w:eastAsia="zh-CN"/>
              </w:rPr>
              <w:t>分，本项最多加</w:t>
            </w:r>
            <w:r>
              <w:rPr>
                <w:rFonts w:hint="eastAsia" w:ascii="宋体" w:hAnsi="宋体" w:cs="Times New Roman"/>
                <w:bCs/>
                <w:kern w:val="2"/>
                <w:sz w:val="21"/>
                <w:szCs w:val="21"/>
                <w:highlight w:val="none"/>
                <w:lang w:val="en-US" w:eastAsia="zh-CN"/>
              </w:rPr>
              <w:t>9</w:t>
            </w:r>
            <w:r>
              <w:rPr>
                <w:rFonts w:hint="eastAsia" w:ascii="宋体" w:hAnsi="宋体" w:eastAsia="宋体" w:cs="Times New Roman"/>
                <w:bCs/>
                <w:kern w:val="2"/>
                <w:sz w:val="21"/>
                <w:szCs w:val="21"/>
                <w:highlight w:val="none"/>
                <w:lang w:val="en-US" w:eastAsia="zh-CN"/>
              </w:rPr>
              <w:t>分。</w:t>
            </w:r>
          </w:p>
        </w:tc>
      </w:tr>
      <w:tr w14:paraId="3413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9" w:type="pct"/>
            <w:noWrap w:val="0"/>
            <w:tcMar>
              <w:top w:w="113" w:type="dxa"/>
              <w:left w:w="108" w:type="dxa"/>
              <w:bottom w:w="113" w:type="dxa"/>
              <w:right w:w="108" w:type="dxa"/>
            </w:tcMar>
            <w:vAlign w:val="center"/>
          </w:tcPr>
          <w:p w14:paraId="1369D414">
            <w:pPr>
              <w:pStyle w:val="6"/>
              <w:spacing w:line="276" w:lineRule="auto"/>
              <w:jc w:val="center"/>
              <w:rPr>
                <w:rFonts w:hAnsi="宋体"/>
                <w:szCs w:val="21"/>
                <w:highlight w:val="none"/>
              </w:rPr>
            </w:pPr>
            <w:r>
              <w:rPr>
                <w:rFonts w:hint="eastAsia" w:hAnsi="宋体"/>
                <w:szCs w:val="21"/>
                <w:highlight w:val="none"/>
              </w:rPr>
              <w:t>2.2.4（3）</w:t>
            </w:r>
          </w:p>
        </w:tc>
        <w:tc>
          <w:tcPr>
            <w:tcW w:w="643" w:type="pct"/>
            <w:noWrap w:val="0"/>
            <w:tcMar>
              <w:top w:w="113" w:type="dxa"/>
              <w:left w:w="108" w:type="dxa"/>
              <w:bottom w:w="113" w:type="dxa"/>
              <w:right w:w="108" w:type="dxa"/>
            </w:tcMar>
            <w:vAlign w:val="center"/>
          </w:tcPr>
          <w:p w14:paraId="4075B7F9">
            <w:pPr>
              <w:pStyle w:val="6"/>
              <w:spacing w:line="276" w:lineRule="auto"/>
              <w:jc w:val="center"/>
              <w:rPr>
                <w:rFonts w:hint="eastAsia" w:hAnsi="宋体"/>
                <w:szCs w:val="21"/>
                <w:highlight w:val="none"/>
              </w:rPr>
            </w:pPr>
            <w:r>
              <w:rPr>
                <w:rFonts w:hint="eastAsia" w:hAnsi="宋体"/>
                <w:szCs w:val="21"/>
                <w:highlight w:val="none"/>
              </w:rPr>
              <w:t>评标价</w:t>
            </w:r>
          </w:p>
        </w:tc>
        <w:tc>
          <w:tcPr>
            <w:tcW w:w="653" w:type="pct"/>
            <w:noWrap w:val="0"/>
            <w:tcMar>
              <w:top w:w="113" w:type="dxa"/>
              <w:left w:w="108" w:type="dxa"/>
              <w:bottom w:w="113" w:type="dxa"/>
              <w:right w:w="108" w:type="dxa"/>
            </w:tcMar>
            <w:vAlign w:val="center"/>
          </w:tcPr>
          <w:p w14:paraId="6E3A5BB2">
            <w:pPr>
              <w:pStyle w:val="6"/>
              <w:spacing w:line="276" w:lineRule="auto"/>
              <w:jc w:val="center"/>
              <w:rPr>
                <w:rFonts w:hAnsi="宋体"/>
                <w:szCs w:val="21"/>
                <w:highlight w:val="none"/>
              </w:rPr>
            </w:pPr>
            <w:r>
              <w:rPr>
                <w:rFonts w:hint="eastAsia" w:hAnsi="宋体"/>
                <w:szCs w:val="21"/>
                <w:highlight w:val="none"/>
                <w:u w:val="single"/>
              </w:rPr>
              <w:t>10</w:t>
            </w:r>
            <w:r>
              <w:rPr>
                <w:rFonts w:hint="eastAsia" w:hAnsi="宋体"/>
                <w:szCs w:val="21"/>
                <w:highlight w:val="none"/>
              </w:rPr>
              <w:t>分</w:t>
            </w:r>
          </w:p>
        </w:tc>
        <w:tc>
          <w:tcPr>
            <w:tcW w:w="3164" w:type="pct"/>
            <w:gridSpan w:val="3"/>
            <w:noWrap w:val="0"/>
            <w:tcMar>
              <w:top w:w="113" w:type="dxa"/>
              <w:left w:w="108" w:type="dxa"/>
              <w:bottom w:w="113" w:type="dxa"/>
              <w:right w:w="108" w:type="dxa"/>
            </w:tcMar>
            <w:vAlign w:val="center"/>
          </w:tcPr>
          <w:p w14:paraId="4D207BFA">
            <w:pPr>
              <w:pStyle w:val="6"/>
              <w:spacing w:line="276" w:lineRule="auto"/>
              <w:jc w:val="left"/>
              <w:rPr>
                <w:rFonts w:hint="eastAsia" w:hAnsi="宋体"/>
                <w:szCs w:val="21"/>
                <w:highlight w:val="none"/>
              </w:rPr>
            </w:pPr>
            <w:r>
              <w:rPr>
                <w:rFonts w:hint="eastAsia" w:hAnsi="宋体"/>
                <w:szCs w:val="21"/>
                <w:highlight w:val="none"/>
              </w:rPr>
              <w:t>评标价得分计算公式：</w:t>
            </w:r>
          </w:p>
          <w:p w14:paraId="05741F1D">
            <w:pPr>
              <w:pStyle w:val="6"/>
              <w:spacing w:line="276" w:lineRule="auto"/>
              <w:jc w:val="left"/>
              <w:rPr>
                <w:rFonts w:hint="eastAsia" w:hAnsi="宋体"/>
                <w:szCs w:val="21"/>
                <w:highlight w:val="none"/>
              </w:rPr>
            </w:pPr>
            <w:r>
              <w:rPr>
                <w:rFonts w:hint="eastAsia" w:hAnsi="宋体"/>
                <w:szCs w:val="21"/>
                <w:highlight w:val="none"/>
              </w:rPr>
              <w:t>（1）如果投标人的评标价＞评标基准价，则</w:t>
            </w:r>
            <w:r>
              <w:rPr>
                <w:rFonts w:hint="eastAsia" w:hAnsi="宋体"/>
                <w:color w:val="auto"/>
                <w:szCs w:val="21"/>
                <w:highlight w:val="none"/>
              </w:rPr>
              <w:t>评标得</w:t>
            </w:r>
            <w:r>
              <w:rPr>
                <w:rFonts w:hint="eastAsia" w:hAnsi="宋体"/>
                <w:szCs w:val="21"/>
                <w:highlight w:val="none"/>
              </w:rPr>
              <w:t>分=F-偏差率×100×E1；</w:t>
            </w:r>
          </w:p>
          <w:p w14:paraId="75B3199B">
            <w:pPr>
              <w:pStyle w:val="6"/>
              <w:spacing w:line="276" w:lineRule="auto"/>
              <w:jc w:val="left"/>
              <w:rPr>
                <w:rFonts w:hint="eastAsia" w:hAnsi="宋体"/>
                <w:szCs w:val="21"/>
                <w:highlight w:val="none"/>
              </w:rPr>
            </w:pPr>
            <w:r>
              <w:rPr>
                <w:rFonts w:hint="eastAsia" w:hAnsi="宋体"/>
                <w:szCs w:val="21"/>
                <w:highlight w:val="none"/>
              </w:rPr>
              <w:t>（2）如果投标人的评标价≤评标基准价，则评标价得分=F+偏差率×100×E2。</w:t>
            </w:r>
          </w:p>
          <w:p w14:paraId="7AB06A50">
            <w:pPr>
              <w:pStyle w:val="6"/>
              <w:spacing w:line="276" w:lineRule="auto"/>
              <w:jc w:val="left"/>
              <w:rPr>
                <w:rFonts w:hint="eastAsia" w:hAnsi="宋体"/>
                <w:szCs w:val="21"/>
                <w:highlight w:val="none"/>
              </w:rPr>
            </w:pPr>
            <w:r>
              <w:rPr>
                <w:rFonts w:hint="eastAsia" w:hAnsi="宋体"/>
                <w:szCs w:val="21"/>
                <w:highlight w:val="none"/>
              </w:rPr>
              <w:t>其中，F=10；E1=0.2；E2=0.1；评标价最低得分为0分。</w:t>
            </w:r>
          </w:p>
          <w:p w14:paraId="01714A31">
            <w:pPr>
              <w:pStyle w:val="6"/>
              <w:spacing w:line="276" w:lineRule="auto"/>
              <w:jc w:val="left"/>
              <w:rPr>
                <w:rFonts w:hint="eastAsia" w:hAnsi="宋体"/>
                <w:szCs w:val="21"/>
                <w:highlight w:val="none"/>
              </w:rPr>
            </w:pPr>
            <w:r>
              <w:rPr>
                <w:rFonts w:hint="eastAsia" w:hAnsi="宋体"/>
                <w:szCs w:val="21"/>
                <w:highlight w:val="none"/>
              </w:rPr>
              <w:t>评标价得分保留2位小数。第三位小数四舍五入。</w:t>
            </w:r>
          </w:p>
        </w:tc>
      </w:tr>
      <w:tr w14:paraId="15DC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restart"/>
            <w:noWrap w:val="0"/>
            <w:tcMar>
              <w:top w:w="113" w:type="dxa"/>
              <w:left w:w="108" w:type="dxa"/>
              <w:bottom w:w="113" w:type="dxa"/>
              <w:right w:w="108" w:type="dxa"/>
            </w:tcMar>
            <w:vAlign w:val="center"/>
          </w:tcPr>
          <w:p w14:paraId="480EA640">
            <w:pPr>
              <w:pStyle w:val="6"/>
              <w:spacing w:line="276" w:lineRule="auto"/>
              <w:jc w:val="center"/>
              <w:rPr>
                <w:rFonts w:hAnsi="宋体"/>
                <w:szCs w:val="21"/>
                <w:highlight w:val="none"/>
              </w:rPr>
            </w:pPr>
            <w:r>
              <w:rPr>
                <w:rFonts w:hint="eastAsia" w:hAnsi="宋体"/>
                <w:szCs w:val="21"/>
                <w:highlight w:val="none"/>
              </w:rPr>
              <w:t>2.2.4（4）</w:t>
            </w:r>
          </w:p>
        </w:tc>
        <w:tc>
          <w:tcPr>
            <w:tcW w:w="643" w:type="pct"/>
            <w:vMerge w:val="restart"/>
            <w:noWrap w:val="0"/>
            <w:tcMar>
              <w:top w:w="113" w:type="dxa"/>
              <w:left w:w="108" w:type="dxa"/>
              <w:bottom w:w="113" w:type="dxa"/>
              <w:right w:w="108" w:type="dxa"/>
            </w:tcMar>
            <w:vAlign w:val="center"/>
          </w:tcPr>
          <w:p w14:paraId="05918D01">
            <w:pPr>
              <w:pStyle w:val="6"/>
              <w:spacing w:line="276" w:lineRule="auto"/>
              <w:jc w:val="center"/>
              <w:rPr>
                <w:rFonts w:hAnsi="宋体"/>
                <w:szCs w:val="21"/>
                <w:highlight w:val="none"/>
              </w:rPr>
            </w:pPr>
            <w:r>
              <w:rPr>
                <w:rFonts w:hint="eastAsia" w:hAnsi="宋体"/>
                <w:szCs w:val="21"/>
                <w:highlight w:val="none"/>
              </w:rPr>
              <w:t>其他因素</w:t>
            </w:r>
          </w:p>
        </w:tc>
        <w:tc>
          <w:tcPr>
            <w:tcW w:w="653" w:type="pct"/>
            <w:vMerge w:val="restart"/>
            <w:noWrap w:val="0"/>
            <w:tcMar>
              <w:top w:w="113" w:type="dxa"/>
              <w:left w:w="108" w:type="dxa"/>
              <w:bottom w:w="113" w:type="dxa"/>
              <w:right w:w="108" w:type="dxa"/>
            </w:tcMar>
            <w:vAlign w:val="center"/>
          </w:tcPr>
          <w:p w14:paraId="76C41901">
            <w:pPr>
              <w:pStyle w:val="6"/>
              <w:spacing w:line="276" w:lineRule="auto"/>
              <w:jc w:val="center"/>
              <w:rPr>
                <w:rFonts w:hAnsi="宋体"/>
                <w:szCs w:val="21"/>
                <w:highlight w:val="none"/>
              </w:rPr>
            </w:pPr>
            <w:r>
              <w:rPr>
                <w:rFonts w:hint="eastAsia" w:hAnsi="宋体"/>
                <w:szCs w:val="21"/>
                <w:highlight w:val="none"/>
                <w:u w:val="single"/>
              </w:rPr>
              <w:t>25</w:t>
            </w:r>
            <w:r>
              <w:rPr>
                <w:rFonts w:hint="eastAsia" w:hAnsi="宋体"/>
                <w:szCs w:val="21"/>
                <w:highlight w:val="none"/>
              </w:rPr>
              <w:t>分</w:t>
            </w:r>
          </w:p>
        </w:tc>
        <w:tc>
          <w:tcPr>
            <w:tcW w:w="914" w:type="pct"/>
            <w:vMerge w:val="restart"/>
            <w:noWrap w:val="0"/>
            <w:tcMar>
              <w:top w:w="113" w:type="dxa"/>
              <w:left w:w="108" w:type="dxa"/>
              <w:bottom w:w="113" w:type="dxa"/>
              <w:right w:w="108" w:type="dxa"/>
            </w:tcMar>
            <w:vAlign w:val="center"/>
          </w:tcPr>
          <w:p w14:paraId="5A7DAF28">
            <w:pPr>
              <w:pStyle w:val="6"/>
              <w:spacing w:line="276" w:lineRule="auto"/>
              <w:jc w:val="center"/>
              <w:rPr>
                <w:rFonts w:hAnsi="宋体"/>
                <w:szCs w:val="21"/>
                <w:highlight w:val="none"/>
              </w:rPr>
            </w:pPr>
            <w:r>
              <w:rPr>
                <w:rFonts w:hint="eastAsia" w:hAnsi="宋体"/>
                <w:szCs w:val="21"/>
                <w:highlight w:val="none"/>
              </w:rPr>
              <w:t>业绩</w:t>
            </w:r>
          </w:p>
        </w:tc>
        <w:tc>
          <w:tcPr>
            <w:tcW w:w="450" w:type="pct"/>
            <w:vMerge w:val="restart"/>
            <w:noWrap w:val="0"/>
            <w:tcMar>
              <w:top w:w="113" w:type="dxa"/>
              <w:left w:w="108" w:type="dxa"/>
              <w:bottom w:w="113" w:type="dxa"/>
              <w:right w:w="108" w:type="dxa"/>
            </w:tcMar>
            <w:vAlign w:val="center"/>
          </w:tcPr>
          <w:p w14:paraId="395A84FF">
            <w:pPr>
              <w:pStyle w:val="6"/>
              <w:spacing w:line="276" w:lineRule="auto"/>
              <w:jc w:val="center"/>
              <w:rPr>
                <w:rFonts w:hAnsi="宋体"/>
                <w:szCs w:val="21"/>
                <w:highlight w:val="none"/>
              </w:rPr>
            </w:pPr>
            <w:r>
              <w:rPr>
                <w:rFonts w:hint="eastAsia" w:hAnsi="宋体"/>
                <w:szCs w:val="21"/>
                <w:highlight w:val="none"/>
                <w:u w:val="single"/>
              </w:rPr>
              <w:t>25</w:t>
            </w:r>
            <w:r>
              <w:rPr>
                <w:rFonts w:hint="eastAsia" w:hAnsi="宋体"/>
                <w:szCs w:val="21"/>
                <w:highlight w:val="none"/>
              </w:rPr>
              <w:t>分</w:t>
            </w:r>
          </w:p>
        </w:tc>
        <w:tc>
          <w:tcPr>
            <w:tcW w:w="1800" w:type="pct"/>
            <w:noWrap w:val="0"/>
            <w:tcMar>
              <w:top w:w="113" w:type="dxa"/>
              <w:left w:w="108" w:type="dxa"/>
              <w:bottom w:w="113" w:type="dxa"/>
              <w:right w:w="108" w:type="dxa"/>
            </w:tcMar>
            <w:vAlign w:val="center"/>
          </w:tcPr>
          <w:p w14:paraId="06D4EFA4">
            <w:pPr>
              <w:spacing w:line="276" w:lineRule="auto"/>
              <w:rPr>
                <w:rFonts w:hint="eastAsia" w:ascii="宋体" w:hAnsi="宋体"/>
                <w:kern w:val="2"/>
                <w:sz w:val="21"/>
                <w:szCs w:val="21"/>
                <w:highlight w:val="none"/>
              </w:rPr>
            </w:pPr>
            <w:r>
              <w:rPr>
                <w:rFonts w:hint="eastAsia" w:ascii="宋体" w:hAnsi="宋体"/>
                <w:kern w:val="2"/>
                <w:sz w:val="21"/>
                <w:szCs w:val="21"/>
                <w:highlight w:val="none"/>
              </w:rPr>
              <w:t>满足资格审查条件（业绩最低要求），得1</w:t>
            </w:r>
            <w:r>
              <w:rPr>
                <w:rFonts w:hint="eastAsia" w:ascii="宋体" w:hAnsi="宋体"/>
                <w:kern w:val="2"/>
                <w:sz w:val="21"/>
                <w:szCs w:val="21"/>
                <w:highlight w:val="none"/>
                <w:lang w:val="en-US" w:eastAsia="zh-CN"/>
              </w:rPr>
              <w:t>6</w:t>
            </w:r>
            <w:r>
              <w:rPr>
                <w:rFonts w:hint="eastAsia" w:ascii="宋体" w:hAnsi="宋体"/>
                <w:kern w:val="2"/>
                <w:sz w:val="21"/>
                <w:szCs w:val="21"/>
                <w:highlight w:val="none"/>
              </w:rPr>
              <w:t>分。</w:t>
            </w:r>
          </w:p>
        </w:tc>
      </w:tr>
      <w:tr w14:paraId="7DC6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39" w:type="pct"/>
            <w:vMerge w:val="continue"/>
            <w:noWrap w:val="0"/>
            <w:tcMar>
              <w:top w:w="113" w:type="dxa"/>
              <w:left w:w="108" w:type="dxa"/>
              <w:bottom w:w="113" w:type="dxa"/>
              <w:right w:w="108" w:type="dxa"/>
            </w:tcMar>
            <w:vAlign w:val="center"/>
          </w:tcPr>
          <w:p w14:paraId="0BD0A6C3">
            <w:pPr>
              <w:spacing w:line="276" w:lineRule="auto"/>
              <w:rPr>
                <w:highlight w:val="none"/>
              </w:rPr>
            </w:pPr>
          </w:p>
        </w:tc>
        <w:tc>
          <w:tcPr>
            <w:tcW w:w="643" w:type="pct"/>
            <w:vMerge w:val="continue"/>
            <w:noWrap w:val="0"/>
            <w:tcMar>
              <w:top w:w="113" w:type="dxa"/>
              <w:left w:w="108" w:type="dxa"/>
              <w:bottom w:w="113" w:type="dxa"/>
              <w:right w:w="108" w:type="dxa"/>
            </w:tcMar>
            <w:vAlign w:val="center"/>
          </w:tcPr>
          <w:p w14:paraId="69D8A018">
            <w:pPr>
              <w:spacing w:line="276" w:lineRule="auto"/>
              <w:rPr>
                <w:highlight w:val="none"/>
              </w:rPr>
            </w:pPr>
          </w:p>
        </w:tc>
        <w:tc>
          <w:tcPr>
            <w:tcW w:w="653" w:type="pct"/>
            <w:vMerge w:val="continue"/>
            <w:noWrap w:val="0"/>
            <w:tcMar>
              <w:top w:w="113" w:type="dxa"/>
              <w:left w:w="108" w:type="dxa"/>
              <w:bottom w:w="113" w:type="dxa"/>
              <w:right w:w="108" w:type="dxa"/>
            </w:tcMar>
            <w:vAlign w:val="center"/>
          </w:tcPr>
          <w:p w14:paraId="00BAE9D2">
            <w:pPr>
              <w:spacing w:line="276" w:lineRule="auto"/>
              <w:rPr>
                <w:highlight w:val="none"/>
              </w:rPr>
            </w:pPr>
          </w:p>
        </w:tc>
        <w:tc>
          <w:tcPr>
            <w:tcW w:w="914" w:type="pct"/>
            <w:vMerge w:val="continue"/>
            <w:noWrap w:val="0"/>
            <w:tcMar>
              <w:top w:w="113" w:type="dxa"/>
              <w:left w:w="108" w:type="dxa"/>
              <w:bottom w:w="113" w:type="dxa"/>
              <w:right w:w="108" w:type="dxa"/>
            </w:tcMar>
            <w:vAlign w:val="center"/>
          </w:tcPr>
          <w:p w14:paraId="5730819E">
            <w:pPr>
              <w:spacing w:line="276" w:lineRule="auto"/>
              <w:rPr>
                <w:highlight w:val="none"/>
              </w:rPr>
            </w:pPr>
          </w:p>
        </w:tc>
        <w:tc>
          <w:tcPr>
            <w:tcW w:w="450" w:type="pct"/>
            <w:vMerge w:val="continue"/>
            <w:noWrap w:val="0"/>
            <w:tcMar>
              <w:top w:w="113" w:type="dxa"/>
              <w:left w:w="108" w:type="dxa"/>
              <w:bottom w:w="113" w:type="dxa"/>
              <w:right w:w="108" w:type="dxa"/>
            </w:tcMar>
            <w:vAlign w:val="center"/>
          </w:tcPr>
          <w:p w14:paraId="4491EECE">
            <w:pPr>
              <w:spacing w:line="276" w:lineRule="auto"/>
              <w:rPr>
                <w:highlight w:val="none"/>
              </w:rPr>
            </w:pPr>
          </w:p>
        </w:tc>
        <w:tc>
          <w:tcPr>
            <w:tcW w:w="1800" w:type="pct"/>
            <w:noWrap w:val="0"/>
            <w:tcMar>
              <w:top w:w="113" w:type="dxa"/>
              <w:left w:w="108" w:type="dxa"/>
              <w:bottom w:w="113" w:type="dxa"/>
              <w:right w:w="108" w:type="dxa"/>
            </w:tcMar>
            <w:vAlign w:val="center"/>
          </w:tcPr>
          <w:p w14:paraId="58B51FA6">
            <w:pPr>
              <w:spacing w:line="276" w:lineRule="auto"/>
              <w:jc w:val="left"/>
              <w:rPr>
                <w:rFonts w:hint="eastAsia"/>
                <w:highlight w:val="none"/>
              </w:rPr>
            </w:pPr>
            <w:r>
              <w:rPr>
                <w:rFonts w:hint="eastAsia" w:ascii="宋体" w:hAnsi="宋体"/>
                <w:bCs/>
                <w:kern w:val="2"/>
                <w:sz w:val="21"/>
                <w:szCs w:val="21"/>
                <w:highlight w:val="none"/>
                <w:lang w:val="en-US" w:eastAsia="zh-CN"/>
              </w:rPr>
              <w:t>每增加一项满足资格审查条件</w:t>
            </w:r>
            <w:r>
              <w:rPr>
                <w:rFonts w:hint="eastAsia" w:ascii="宋体" w:hAnsi="宋体"/>
                <w:kern w:val="2"/>
                <w:sz w:val="21"/>
                <w:szCs w:val="21"/>
                <w:highlight w:val="none"/>
              </w:rPr>
              <w:t>（业绩最低要求）</w:t>
            </w:r>
            <w:r>
              <w:rPr>
                <w:rFonts w:hint="eastAsia" w:ascii="宋体" w:hAnsi="宋体" w:eastAsia="宋体" w:cs="Times New Roman"/>
                <w:bCs/>
                <w:kern w:val="2"/>
                <w:sz w:val="21"/>
                <w:szCs w:val="21"/>
                <w:highlight w:val="none"/>
                <w:lang w:val="en-US" w:eastAsia="zh-CN"/>
              </w:rPr>
              <w:t>业绩的加</w:t>
            </w:r>
            <w:r>
              <w:rPr>
                <w:rFonts w:hint="eastAsia" w:ascii="宋体" w:hAnsi="宋体" w:cs="Times New Roman"/>
                <w:bCs/>
                <w:kern w:val="2"/>
                <w:sz w:val="21"/>
                <w:szCs w:val="21"/>
                <w:highlight w:val="none"/>
                <w:lang w:val="en-US" w:eastAsia="zh-CN"/>
              </w:rPr>
              <w:t>3</w:t>
            </w:r>
            <w:r>
              <w:rPr>
                <w:rFonts w:hint="eastAsia" w:ascii="宋体" w:hAnsi="宋体" w:eastAsia="宋体" w:cs="Times New Roman"/>
                <w:bCs/>
                <w:kern w:val="2"/>
                <w:sz w:val="21"/>
                <w:szCs w:val="21"/>
                <w:highlight w:val="none"/>
                <w:lang w:val="en-US" w:eastAsia="zh-CN"/>
              </w:rPr>
              <w:t>分，本项最多加</w:t>
            </w:r>
            <w:r>
              <w:rPr>
                <w:rFonts w:hint="eastAsia" w:ascii="宋体" w:hAnsi="宋体" w:cs="Times New Roman"/>
                <w:bCs/>
                <w:kern w:val="2"/>
                <w:sz w:val="21"/>
                <w:szCs w:val="21"/>
                <w:highlight w:val="none"/>
                <w:lang w:val="en-US" w:eastAsia="zh-CN"/>
              </w:rPr>
              <w:t>9</w:t>
            </w:r>
            <w:r>
              <w:rPr>
                <w:rFonts w:hint="eastAsia" w:ascii="宋体" w:hAnsi="宋体" w:eastAsia="宋体" w:cs="Times New Roman"/>
                <w:bCs/>
                <w:kern w:val="2"/>
                <w:sz w:val="21"/>
                <w:szCs w:val="21"/>
                <w:highlight w:val="none"/>
                <w:lang w:val="en-US" w:eastAsia="zh-CN"/>
              </w:rPr>
              <w:t>分。</w:t>
            </w:r>
          </w:p>
        </w:tc>
      </w:tr>
    </w:tbl>
    <w:p w14:paraId="78241980">
      <w:pPr>
        <w:pStyle w:val="6"/>
        <w:textAlignment w:val="baseline"/>
        <w:rPr>
          <w:rFonts w:hint="eastAsia" w:hAnsi="宋体"/>
          <w:highlight w:val="none"/>
        </w:rPr>
      </w:pPr>
      <w:r>
        <w:rPr>
          <w:rFonts w:hint="eastAsia" w:hAnsi="宋体"/>
          <w:highlight w:val="none"/>
        </w:rPr>
        <w:t>注：1、第2.2.4（1）项</w:t>
      </w:r>
      <w:r>
        <w:rPr>
          <w:rFonts w:hint="eastAsia" w:hAnsi="宋体" w:cs="宋体"/>
          <w:highlight w:val="none"/>
        </w:rPr>
        <w:t>各评委打分保留1位小数，</w:t>
      </w:r>
      <w:r>
        <w:rPr>
          <w:highlight w:val="none"/>
        </w:rPr>
        <w:t>投标人该项得分以各评委打分平均值计算所得，保留两位小数，第三位小数四舍五入</w:t>
      </w:r>
      <w:r>
        <w:rPr>
          <w:rFonts w:hint="eastAsia" w:hAnsi="宋体"/>
          <w:highlight w:val="none"/>
        </w:rPr>
        <w:t>。</w:t>
      </w:r>
    </w:p>
    <w:p w14:paraId="160522DC">
      <w:r>
        <w:rPr>
          <w:rFonts w:hint="eastAsia" w:hAnsi="宋体"/>
          <w:highlight w:val="none"/>
        </w:rPr>
        <w:t>2、第2.2.4（1）项各评分因素细分项得分一般不应低于其权重分值的60%，评标委员会成员对某一项评分因素细分项的评分低于权重分值60%的，应在评标报告中作出说明。评</w:t>
      </w:r>
      <w:r>
        <w:rPr>
          <w:rFonts w:hint="eastAsia" w:hAnsi="宋体" w:cs="仿宋"/>
          <w:szCs w:val="21"/>
          <w:highlight w:val="none"/>
        </w:rPr>
        <w:t>分因素细分项</w:t>
      </w:r>
      <w:r>
        <w:rPr>
          <w:rFonts w:hint="eastAsia" w:hAnsi="宋体"/>
          <w:highlight w:val="none"/>
        </w:rPr>
        <w:t>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54C93"/>
    <w:rsid w:val="07A54C93"/>
    <w:rsid w:val="7697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3">
    <w:name w:val="heading 6"/>
    <w:basedOn w:val="1"/>
    <w:next w:val="1"/>
    <w:qFormat/>
    <w:uiPriority w:val="0"/>
    <w:pPr>
      <w:keepNext/>
      <w:keepLines/>
      <w:spacing w:before="240" w:after="64" w:line="320" w:lineRule="auto"/>
      <w:outlineLvl w:val="5"/>
    </w:pPr>
    <w:rPr>
      <w:rFonts w:ascii="等线 Light" w:hAnsi="等线 Light" w:eastAsia="等线 Light" w:cs="Times New Roman"/>
      <w:b/>
      <w:bCs/>
      <w:sz w:val="24"/>
      <w:szCs w:val="2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ind w:firstLine="560" w:firstLineChars="200"/>
    </w:pPr>
    <w:rPr>
      <w:rFonts w:ascii="Cambria" w:hAnsi="Cambria"/>
      <w:szCs w:val="24"/>
    </w:rPr>
  </w:style>
  <w:style w:type="paragraph" w:styleId="5">
    <w:name w:val="Body Text"/>
    <w:basedOn w:val="1"/>
    <w:qFormat/>
    <w:uiPriority w:val="0"/>
    <w:rPr>
      <w:kern w:val="2"/>
      <w:szCs w:val="24"/>
    </w:rPr>
  </w:style>
  <w:style w:type="paragraph" w:styleId="6">
    <w:name w:val="Plain Text"/>
    <w:basedOn w:val="1"/>
    <w:qFormat/>
    <w:uiPriority w:val="0"/>
    <w:rPr>
      <w:rFonts w:ascii="宋体" w:hAnsi="Courier New"/>
      <w:kern w:val="2"/>
      <w:sz w:val="21"/>
    </w:rPr>
  </w:style>
  <w:style w:type="paragraph" w:styleId="7">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0">
    <w:name w:val="目录3"/>
    <w:basedOn w:val="1"/>
    <w:qFormat/>
    <w:uiPriority w:val="0"/>
    <w:pPr>
      <w:spacing w:before="156" w:beforeLines="50" w:after="156" w:afterLines="50" w:line="400" w:lineRule="exact"/>
    </w:pPr>
    <w:rPr>
      <w:rFonts w:ascii="黑体" w:eastAsia="黑体"/>
      <w:kern w:val="2"/>
      <w:sz w:val="24"/>
    </w:rPr>
  </w:style>
  <w:style w:type="character" w:customStyle="1" w:styleId="11">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3593</Words>
  <Characters>4158</Characters>
  <Lines>0</Lines>
  <Paragraphs>0</Paragraphs>
  <TotalTime>13</TotalTime>
  <ScaleCrop>false</ScaleCrop>
  <LinksUpToDate>false</LinksUpToDate>
  <CharactersWithSpaces>4178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2026-06-05T08:49:00Z</dcterms:created>
  <dc:creator>鲁鹏</dc:creator>
  <cp:lastModifiedBy>冯士峰</cp:lastModifiedBy>
  <dcterms:modified xsi:type="dcterms:W3CDTF">2026-06-09T01:17:55Z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72083939D6C74A04B28807CCECAB941A_11</vt:lpwstr>
  </property>
  <property fmtid="{D5CDD505-2E9C-101B-9397-08002B2CF9AE}" pid="4" name="KSOTemplateDocerSaveRecord">
    <vt:lpwstr>eyJoZGlkIjoiMjNhMGNiNzBmYzRmYmU1YWU1ZDVjYzI3MTI0YTIzZjQiLCJ1c2VySWQiOiIxNjg3ODQzOTczIn0=</vt:lpwstr>
  </property>
</Properties>
</file>