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CE428">
      <w:pPr>
        <w:snapToGrid w:val="0"/>
        <w:spacing w:line="360" w:lineRule="auto"/>
        <w:ind w:firstLine="420" w:firstLineChars="200"/>
        <w:rPr>
          <w:color w:val="auto"/>
          <w:highlight w:val="none"/>
        </w:rPr>
      </w:pPr>
      <w:r>
        <w:rPr>
          <w:rFonts w:hint="eastAsia"/>
          <w:color w:val="auto"/>
          <w:highlight w:val="none"/>
          <w:lang w:val="en-US" w:eastAsia="zh-CN"/>
        </w:rPr>
        <w:t xml:space="preserve"> </w:t>
      </w:r>
      <w:bookmarkStart w:id="6" w:name="_GoBack"/>
      <w:bookmarkEnd w:id="6"/>
    </w:p>
    <w:p w14:paraId="04425CEC">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0" w:name="_Toc131956854"/>
      <w:r>
        <w:rPr>
          <w:rFonts w:hint="eastAsia" w:cs="Times New Roman" w:asciiTheme="minorEastAsia" w:hAnsiTheme="minorEastAsia" w:eastAsiaTheme="minorEastAsia"/>
          <w:color w:val="auto"/>
          <w:spacing w:val="-2"/>
          <w:sz w:val="24"/>
          <w:szCs w:val="24"/>
          <w:highlight w:val="none"/>
        </w:rPr>
        <w:t>附件1：资格审查条件</w:t>
      </w:r>
      <w:bookmarkEnd w:id="0"/>
    </w:p>
    <w:p w14:paraId="036374EE">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bookmarkStart w:id="1" w:name="_Toc131956855"/>
      <w:r>
        <w:rPr>
          <w:rFonts w:hint="eastAsia" w:cs="Times New Roman" w:asciiTheme="minorEastAsia" w:hAnsiTheme="minorEastAsia" w:eastAsiaTheme="minorEastAsia"/>
          <w:color w:val="auto"/>
          <w:spacing w:val="-2"/>
          <w:sz w:val="24"/>
          <w:szCs w:val="24"/>
          <w:highlight w:val="none"/>
        </w:rPr>
        <w:t>附录1  资格审查条件(资质最低条件)</w:t>
      </w:r>
      <w:bookmarkEnd w:id="1"/>
    </w:p>
    <w:tbl>
      <w:tblPr>
        <w:tblStyle w:val="5"/>
        <w:tblW w:w="75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514"/>
      </w:tblGrid>
      <w:tr w14:paraId="25865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2" w:hRule="atLeast"/>
          <w:jc w:val="center"/>
        </w:trPr>
        <w:tc>
          <w:tcPr>
            <w:tcW w:w="7514" w:type="dxa"/>
            <w:tcBorders>
              <w:top w:val="single" w:color="000000" w:sz="2" w:space="0"/>
              <w:left w:val="single" w:color="auto" w:sz="4" w:space="0"/>
              <w:bottom w:val="single" w:color="000000" w:sz="4" w:space="0"/>
              <w:right w:val="single" w:color="000000" w:sz="2" w:space="0"/>
            </w:tcBorders>
            <w:vAlign w:val="center"/>
          </w:tcPr>
          <w:p w14:paraId="164AE7D2">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资质要求</w:t>
            </w:r>
          </w:p>
        </w:tc>
      </w:tr>
      <w:tr w14:paraId="7D160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7514" w:type="dxa"/>
            <w:vMerge w:val="restart"/>
            <w:tcBorders>
              <w:top w:val="single" w:color="000000" w:sz="2" w:space="0"/>
              <w:left w:val="single" w:color="auto" w:sz="4" w:space="0"/>
              <w:right w:val="single" w:color="000000" w:sz="2" w:space="0"/>
            </w:tcBorders>
            <w:vAlign w:val="center"/>
          </w:tcPr>
          <w:p w14:paraId="2E2189B1">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1.中华人民共和国境内的法人或其他组织，持有有效的营业执照。</w:t>
            </w:r>
          </w:p>
          <w:p w14:paraId="0C942DF1">
            <w:pPr>
              <w:widowControl/>
              <w:jc w:val="left"/>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bidi="ar"/>
              </w:rPr>
              <w:t>2.具备交通运输部颁发的公路工程机电专项监理资质。</w:t>
            </w:r>
          </w:p>
        </w:tc>
      </w:tr>
      <w:tr w14:paraId="4F383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7514" w:type="dxa"/>
            <w:vMerge w:val="continue"/>
            <w:tcBorders>
              <w:left w:val="single" w:color="auto" w:sz="4" w:space="0"/>
              <w:bottom w:val="single" w:color="000000" w:sz="2" w:space="0"/>
              <w:right w:val="single" w:color="000000" w:sz="2" w:space="0"/>
            </w:tcBorders>
            <w:vAlign w:val="center"/>
          </w:tcPr>
          <w:p w14:paraId="31A960E1">
            <w:pPr>
              <w:pStyle w:val="10"/>
              <w:spacing w:line="240" w:lineRule="auto"/>
              <w:rPr>
                <w:rFonts w:hint="eastAsia" w:hAnsi="宋体"/>
                <w:color w:val="auto"/>
                <w:kern w:val="2"/>
                <w:szCs w:val="24"/>
                <w:highlight w:val="none"/>
              </w:rPr>
            </w:pPr>
          </w:p>
        </w:tc>
      </w:tr>
      <w:tr w14:paraId="1CFB2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7514" w:type="dxa"/>
            <w:vMerge w:val="continue"/>
            <w:tcBorders>
              <w:left w:val="single" w:color="auto" w:sz="4" w:space="0"/>
              <w:bottom w:val="single" w:color="000000" w:sz="2" w:space="0"/>
              <w:right w:val="single" w:color="000000" w:sz="2" w:space="0"/>
            </w:tcBorders>
            <w:vAlign w:val="center"/>
          </w:tcPr>
          <w:p w14:paraId="3944518A">
            <w:pPr>
              <w:pStyle w:val="10"/>
              <w:spacing w:line="240" w:lineRule="auto"/>
              <w:rPr>
                <w:rFonts w:hint="eastAsia" w:hAnsi="宋体"/>
                <w:color w:val="auto"/>
                <w:kern w:val="2"/>
                <w:szCs w:val="24"/>
                <w:highlight w:val="none"/>
              </w:rPr>
            </w:pPr>
          </w:p>
        </w:tc>
      </w:tr>
    </w:tbl>
    <w:p w14:paraId="5070C1BF">
      <w:pPr>
        <w:rPr>
          <w:color w:val="auto"/>
          <w:highlight w:val="none"/>
        </w:rPr>
      </w:pPr>
    </w:p>
    <w:p w14:paraId="15E416E3">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bookmarkStart w:id="2" w:name="_Toc131956856"/>
      <w:r>
        <w:rPr>
          <w:rFonts w:hint="eastAsia" w:cs="Times New Roman" w:asciiTheme="minorEastAsia" w:hAnsiTheme="minorEastAsia" w:eastAsiaTheme="minorEastAsia"/>
          <w:color w:val="auto"/>
          <w:spacing w:val="-2"/>
          <w:sz w:val="24"/>
          <w:szCs w:val="24"/>
          <w:highlight w:val="none"/>
        </w:rPr>
        <w:t>附录2  资格审查条件(业绩最低要求)</w:t>
      </w:r>
      <w:bookmarkEnd w:id="2"/>
    </w:p>
    <w:tbl>
      <w:tblPr>
        <w:tblStyle w:val="5"/>
        <w:tblW w:w="75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501"/>
      </w:tblGrid>
      <w:tr w14:paraId="65D8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2" w:hRule="atLeast"/>
          <w:jc w:val="center"/>
        </w:trPr>
        <w:tc>
          <w:tcPr>
            <w:tcW w:w="7501" w:type="dxa"/>
            <w:tcBorders>
              <w:top w:val="single" w:color="000000" w:sz="2" w:space="0"/>
              <w:left w:val="single" w:color="auto" w:sz="4" w:space="0"/>
              <w:bottom w:val="single" w:color="000000" w:sz="4" w:space="0"/>
              <w:right w:val="single" w:color="000000" w:sz="2" w:space="0"/>
            </w:tcBorders>
            <w:vAlign w:val="center"/>
          </w:tcPr>
          <w:p w14:paraId="00448CBE">
            <w:pPr>
              <w:jc w:val="center"/>
              <w:textAlignment w:val="baseline"/>
              <w:rPr>
                <w:rStyle w:val="8"/>
                <w:rFonts w:hint="eastAsia" w:ascii="宋体" w:hAnsi="宋体" w:cs="宋体"/>
                <w:b/>
                <w:color w:val="auto"/>
                <w:szCs w:val="21"/>
                <w:highlight w:val="none"/>
              </w:rPr>
            </w:pPr>
            <w:r>
              <w:rPr>
                <w:rStyle w:val="8"/>
                <w:rFonts w:hint="eastAsia" w:ascii="宋体" w:hAnsi="宋体" w:cs="宋体"/>
                <w:b/>
                <w:color w:val="auto"/>
                <w:szCs w:val="21"/>
                <w:highlight w:val="none"/>
              </w:rPr>
              <w:t>业绩要求</w:t>
            </w:r>
          </w:p>
        </w:tc>
      </w:tr>
      <w:tr w14:paraId="6D40C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67" w:hRule="atLeast"/>
          <w:jc w:val="center"/>
        </w:trPr>
        <w:tc>
          <w:tcPr>
            <w:tcW w:w="7501" w:type="dxa"/>
            <w:tcBorders>
              <w:top w:val="single" w:color="000000" w:sz="2" w:space="0"/>
              <w:left w:val="single" w:color="auto" w:sz="4" w:space="0"/>
              <w:bottom w:val="single" w:color="auto" w:sz="4" w:space="0"/>
              <w:right w:val="single" w:color="000000" w:sz="2" w:space="0"/>
            </w:tcBorders>
            <w:vAlign w:val="center"/>
          </w:tcPr>
          <w:p w14:paraId="05DDD65F">
            <w:pPr>
              <w:widowControl/>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近5年内（202</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月1日至今，以交工时间为准）至少完成过1项合同金额不少于</w:t>
            </w:r>
            <w:r>
              <w:rPr>
                <w:rFonts w:hint="eastAsia" w:ascii="宋体" w:hAnsi="宋体" w:cs="宋体"/>
                <w:color w:val="auto"/>
                <w:kern w:val="0"/>
                <w:szCs w:val="21"/>
                <w:highlight w:val="none"/>
                <w:lang w:val="en-US" w:eastAsia="zh-CN" w:bidi="ar"/>
              </w:rPr>
              <w:t>70</w:t>
            </w:r>
            <w:r>
              <w:rPr>
                <w:rFonts w:hint="eastAsia" w:ascii="宋体" w:hAnsi="宋体" w:cs="宋体"/>
                <w:color w:val="auto"/>
                <w:kern w:val="0"/>
                <w:szCs w:val="21"/>
                <w:highlight w:val="none"/>
                <w:lang w:bidi="ar"/>
              </w:rPr>
              <w:t>万元（含）高速公路的机电工程</w:t>
            </w:r>
            <w:r>
              <w:rPr>
                <w:rFonts w:hint="eastAsia" w:ascii="宋体" w:hAnsi="宋体" w:cs="宋体"/>
                <w:color w:val="auto"/>
                <w:kern w:val="0"/>
                <w:szCs w:val="21"/>
                <w:highlight w:val="none"/>
                <w:lang w:val="en-US" w:eastAsia="zh-CN" w:bidi="ar"/>
              </w:rPr>
              <w:t>施工</w:t>
            </w:r>
            <w:r>
              <w:rPr>
                <w:rFonts w:hint="eastAsia" w:ascii="宋体" w:hAnsi="宋体" w:cs="宋体"/>
                <w:color w:val="auto"/>
                <w:kern w:val="0"/>
                <w:szCs w:val="21"/>
                <w:highlight w:val="none"/>
                <w:lang w:bidi="ar"/>
              </w:rPr>
              <w:t>监理业绩。</w:t>
            </w:r>
          </w:p>
        </w:tc>
      </w:tr>
    </w:tbl>
    <w:p w14:paraId="5FE3CFF7">
      <w:pPr>
        <w:pStyle w:val="3"/>
        <w:rPr>
          <w:color w:val="auto"/>
          <w:highlight w:val="none"/>
        </w:rPr>
      </w:pPr>
      <w:bookmarkStart w:id="3" w:name="_Toc131956857"/>
    </w:p>
    <w:p w14:paraId="4902A0C4">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附录3  资格审查条件(信誉最低要求)</w:t>
      </w:r>
      <w:bookmarkEnd w:id="3"/>
    </w:p>
    <w:tbl>
      <w:tblPr>
        <w:tblStyle w:val="5"/>
        <w:tblW w:w="7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463"/>
      </w:tblGrid>
      <w:tr w14:paraId="00E8E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0" w:hRule="atLeast"/>
          <w:jc w:val="center"/>
        </w:trPr>
        <w:tc>
          <w:tcPr>
            <w:tcW w:w="7463" w:type="dxa"/>
            <w:tcBorders>
              <w:top w:val="single" w:color="000000" w:sz="2" w:space="0"/>
              <w:left w:val="single" w:color="auto" w:sz="4" w:space="0"/>
              <w:bottom w:val="single" w:color="000000" w:sz="4" w:space="0"/>
              <w:right w:val="single" w:color="000000" w:sz="2" w:space="0"/>
            </w:tcBorders>
            <w:vAlign w:val="center"/>
          </w:tcPr>
          <w:p w14:paraId="7CBBB2CE">
            <w:pPr>
              <w:jc w:val="center"/>
              <w:textAlignment w:val="baseline"/>
              <w:rPr>
                <w:rStyle w:val="8"/>
                <w:rFonts w:hint="eastAsia" w:asciiTheme="minorEastAsia" w:hAnsiTheme="minorEastAsia" w:eastAsiaTheme="minorEastAsia"/>
                <w:b/>
                <w:color w:val="auto"/>
                <w:szCs w:val="21"/>
                <w:highlight w:val="none"/>
              </w:rPr>
            </w:pPr>
            <w:r>
              <w:rPr>
                <w:rStyle w:val="8"/>
                <w:rFonts w:hint="eastAsia" w:asciiTheme="minorEastAsia" w:hAnsiTheme="minorEastAsia" w:eastAsiaTheme="minorEastAsia"/>
                <w:b/>
                <w:color w:val="auto"/>
                <w:szCs w:val="21"/>
                <w:highlight w:val="none"/>
              </w:rPr>
              <w:t>信誉要求</w:t>
            </w:r>
          </w:p>
        </w:tc>
      </w:tr>
      <w:tr w14:paraId="2BC35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2" w:hRule="atLeast"/>
          <w:jc w:val="center"/>
        </w:trPr>
        <w:tc>
          <w:tcPr>
            <w:tcW w:w="7463" w:type="dxa"/>
            <w:vMerge w:val="restart"/>
            <w:tcBorders>
              <w:top w:val="single" w:color="000000" w:sz="2" w:space="0"/>
              <w:left w:val="single" w:color="auto" w:sz="4" w:space="0"/>
              <w:right w:val="single" w:color="000000" w:sz="2" w:space="0"/>
            </w:tcBorders>
            <w:vAlign w:val="center"/>
          </w:tcPr>
          <w:p w14:paraId="042E678A">
            <w:pPr>
              <w:widowControl/>
              <w:jc w:val="both"/>
              <w:rPr>
                <w:rStyle w:val="8"/>
                <w:rFonts w:hint="eastAsia" w:hAnsi="宋体"/>
                <w:color w:val="auto"/>
                <w:kern w:val="2"/>
                <w:szCs w:val="24"/>
                <w:highlight w:val="none"/>
              </w:rPr>
            </w:pPr>
            <w:r>
              <w:rPr>
                <w:rFonts w:hint="eastAsia" w:ascii="宋体" w:hAnsi="宋体" w:cs="宋体"/>
                <w:color w:val="auto"/>
                <w:kern w:val="0"/>
                <w:szCs w:val="21"/>
                <w:highlight w:val="none"/>
                <w:lang w:bidi="ar"/>
              </w:rPr>
              <w:t>投标人在近1年内(202</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年</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eastAsia="zh-CN" w:bidi="ar"/>
              </w:rPr>
              <w:t>月1日</w:t>
            </w:r>
            <w:r>
              <w:rPr>
                <w:rFonts w:hint="eastAsia" w:ascii="宋体" w:hAnsi="宋体" w:cs="宋体"/>
                <w:color w:val="auto"/>
                <w:kern w:val="0"/>
                <w:szCs w:val="21"/>
                <w:highlight w:val="none"/>
                <w:lang w:bidi="ar"/>
              </w:rPr>
              <w:t>至今)不曾在高速公路机电工程施工监理合同中违约而被驱逐或因投标人自身的原因而使高速公路机电工程施工监理合同被解除。</w:t>
            </w:r>
          </w:p>
        </w:tc>
      </w:tr>
      <w:tr w14:paraId="7573A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75" w:hRule="atLeast"/>
          <w:jc w:val="center"/>
        </w:trPr>
        <w:tc>
          <w:tcPr>
            <w:tcW w:w="7463" w:type="dxa"/>
            <w:vMerge w:val="continue"/>
            <w:tcBorders>
              <w:left w:val="single" w:color="auto" w:sz="4" w:space="0"/>
              <w:right w:val="single" w:color="000000" w:sz="2" w:space="0"/>
            </w:tcBorders>
            <w:vAlign w:val="center"/>
          </w:tcPr>
          <w:p w14:paraId="5BF4DDC8">
            <w:pPr>
              <w:pStyle w:val="10"/>
              <w:spacing w:line="240" w:lineRule="auto"/>
              <w:jc w:val="left"/>
              <w:rPr>
                <w:rStyle w:val="8"/>
                <w:rFonts w:hint="eastAsia" w:hAnsi="宋体"/>
                <w:color w:val="auto"/>
                <w:kern w:val="2"/>
                <w:szCs w:val="24"/>
                <w:highlight w:val="none"/>
              </w:rPr>
            </w:pPr>
          </w:p>
        </w:tc>
      </w:tr>
      <w:tr w14:paraId="573D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0" w:hRule="atLeast"/>
          <w:jc w:val="center"/>
        </w:trPr>
        <w:tc>
          <w:tcPr>
            <w:tcW w:w="7463" w:type="dxa"/>
            <w:vMerge w:val="continue"/>
            <w:tcBorders>
              <w:left w:val="single" w:color="auto" w:sz="4" w:space="0"/>
              <w:right w:val="single" w:color="000000" w:sz="2" w:space="0"/>
            </w:tcBorders>
            <w:vAlign w:val="center"/>
          </w:tcPr>
          <w:p w14:paraId="799EE874">
            <w:pPr>
              <w:pStyle w:val="10"/>
              <w:spacing w:line="240" w:lineRule="auto"/>
              <w:jc w:val="left"/>
              <w:rPr>
                <w:rStyle w:val="8"/>
                <w:rFonts w:hint="eastAsia" w:hAnsi="宋体"/>
                <w:color w:val="auto"/>
                <w:kern w:val="2"/>
                <w:szCs w:val="24"/>
                <w:highlight w:val="none"/>
              </w:rPr>
            </w:pPr>
          </w:p>
        </w:tc>
      </w:tr>
    </w:tbl>
    <w:p w14:paraId="0DB55411">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bookmarkStart w:id="4" w:name="_Toc131956858"/>
    </w:p>
    <w:p w14:paraId="03227132">
      <w:pPr>
        <w:rPr>
          <w:rFonts w:hint="eastAsia" w:asciiTheme="minorEastAsia" w:hAnsiTheme="minorEastAsia" w:eastAsiaTheme="minorEastAsia"/>
          <w:color w:val="auto"/>
          <w:spacing w:val="-2"/>
          <w:sz w:val="24"/>
          <w:highlight w:val="none"/>
        </w:rPr>
      </w:pPr>
      <w:r>
        <w:rPr>
          <w:rFonts w:hint="eastAsia" w:asciiTheme="minorEastAsia" w:hAnsiTheme="minorEastAsia" w:eastAsiaTheme="minorEastAsia"/>
          <w:color w:val="auto"/>
          <w:spacing w:val="-2"/>
          <w:sz w:val="24"/>
          <w:highlight w:val="none"/>
        </w:rPr>
        <w:br w:type="page"/>
      </w:r>
    </w:p>
    <w:p w14:paraId="76699B56">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p>
    <w:p w14:paraId="1EFD510A">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附录4  资格审查条件(总监理工程师最低要求)</w:t>
      </w:r>
      <w:bookmarkEnd w:id="4"/>
    </w:p>
    <w:tbl>
      <w:tblPr>
        <w:tblStyle w:val="5"/>
        <w:tblW w:w="73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56"/>
        <w:gridCol w:w="819"/>
        <w:gridCol w:w="4019"/>
        <w:gridCol w:w="1594"/>
      </w:tblGrid>
      <w:tr w14:paraId="564D3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64" w:hRule="atLeast"/>
          <w:jc w:val="center"/>
        </w:trPr>
        <w:tc>
          <w:tcPr>
            <w:tcW w:w="956" w:type="dxa"/>
            <w:tcBorders>
              <w:top w:val="single" w:color="000000" w:sz="2" w:space="0"/>
              <w:left w:val="single" w:color="000000" w:sz="2" w:space="0"/>
              <w:bottom w:val="single" w:color="000000" w:sz="4" w:space="0"/>
              <w:right w:val="single" w:color="000000" w:sz="2" w:space="0"/>
            </w:tcBorders>
            <w:vAlign w:val="center"/>
          </w:tcPr>
          <w:p w14:paraId="0CCA1345">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人员</w:t>
            </w:r>
          </w:p>
        </w:tc>
        <w:tc>
          <w:tcPr>
            <w:tcW w:w="819" w:type="dxa"/>
            <w:tcBorders>
              <w:top w:val="single" w:color="000000" w:sz="2" w:space="0"/>
              <w:left w:val="single" w:color="000000" w:sz="2" w:space="0"/>
              <w:bottom w:val="single" w:color="000000" w:sz="4" w:space="0"/>
              <w:right w:val="single" w:color="auto" w:sz="4" w:space="0"/>
            </w:tcBorders>
            <w:vAlign w:val="center"/>
          </w:tcPr>
          <w:p w14:paraId="7D0124E0">
            <w:pPr>
              <w:jc w:val="center"/>
              <w:textAlignment w:val="baseline"/>
              <w:rPr>
                <w:rStyle w:val="8"/>
                <w:b/>
                <w:color w:val="auto"/>
                <w:szCs w:val="21"/>
                <w:highlight w:val="none"/>
              </w:rPr>
            </w:pPr>
            <w:r>
              <w:rPr>
                <w:rStyle w:val="8"/>
                <w:rFonts w:hint="eastAsia" w:ascii="宋体" w:hAnsi="宋体"/>
                <w:b/>
                <w:color w:val="auto"/>
                <w:szCs w:val="21"/>
                <w:highlight w:val="none"/>
              </w:rPr>
              <w:t>数量</w:t>
            </w:r>
          </w:p>
        </w:tc>
        <w:tc>
          <w:tcPr>
            <w:tcW w:w="4019" w:type="dxa"/>
            <w:tcBorders>
              <w:top w:val="single" w:color="000000" w:sz="2" w:space="0"/>
              <w:left w:val="single" w:color="auto" w:sz="4" w:space="0"/>
              <w:bottom w:val="single" w:color="000000" w:sz="4" w:space="0"/>
              <w:right w:val="single" w:color="000000" w:sz="2" w:space="0"/>
            </w:tcBorders>
            <w:vAlign w:val="center"/>
          </w:tcPr>
          <w:p w14:paraId="642DA2A3">
            <w:pPr>
              <w:jc w:val="center"/>
              <w:textAlignment w:val="baseline"/>
              <w:rPr>
                <w:rStyle w:val="8"/>
                <w:rFonts w:hint="eastAsia" w:ascii="宋体" w:hAnsi="宋体"/>
                <w:b/>
                <w:color w:val="auto"/>
                <w:szCs w:val="21"/>
                <w:highlight w:val="none"/>
              </w:rPr>
            </w:pPr>
            <w:r>
              <w:rPr>
                <w:rStyle w:val="8"/>
                <w:rFonts w:hint="eastAsia" w:ascii="宋体" w:hAnsi="宋体"/>
                <w:b/>
                <w:color w:val="auto"/>
                <w:szCs w:val="21"/>
                <w:highlight w:val="none"/>
              </w:rPr>
              <w:t>资质要求</w:t>
            </w:r>
          </w:p>
        </w:tc>
        <w:tc>
          <w:tcPr>
            <w:tcW w:w="1594" w:type="dxa"/>
            <w:tcBorders>
              <w:top w:val="single" w:color="000000" w:sz="2" w:space="0"/>
              <w:left w:val="single" w:color="auto" w:sz="4" w:space="0"/>
              <w:bottom w:val="single" w:color="000000" w:sz="4" w:space="0"/>
              <w:right w:val="single" w:color="000000" w:sz="2" w:space="0"/>
            </w:tcBorders>
            <w:vAlign w:val="center"/>
          </w:tcPr>
          <w:p w14:paraId="2BA4348C">
            <w:pPr>
              <w:jc w:val="center"/>
              <w:textAlignment w:val="baseline"/>
              <w:rPr>
                <w:rStyle w:val="8"/>
                <w:rFonts w:hint="eastAsia" w:ascii="宋体" w:hAnsi="宋体"/>
                <w:b/>
                <w:color w:val="auto"/>
                <w:szCs w:val="21"/>
                <w:highlight w:val="none"/>
              </w:rPr>
            </w:pPr>
            <w:r>
              <w:rPr>
                <w:rFonts w:hint="eastAsia" w:ascii="宋体" w:hAnsi="宋体" w:cs="宋体"/>
                <w:b/>
                <w:bCs/>
                <w:color w:val="auto"/>
                <w:kern w:val="0"/>
                <w:szCs w:val="21"/>
                <w:highlight w:val="none"/>
              </w:rPr>
              <w:t>在岗要求</w:t>
            </w:r>
          </w:p>
        </w:tc>
      </w:tr>
      <w:tr w14:paraId="5237E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831" w:hRule="atLeast"/>
          <w:jc w:val="center"/>
        </w:trPr>
        <w:tc>
          <w:tcPr>
            <w:tcW w:w="956" w:type="dxa"/>
            <w:tcBorders>
              <w:top w:val="single" w:color="000000" w:sz="2" w:space="0"/>
              <w:left w:val="single" w:color="000000" w:sz="2" w:space="0"/>
              <w:bottom w:val="single" w:color="auto" w:sz="4" w:space="0"/>
              <w:right w:val="single" w:color="000000" w:sz="2" w:space="0"/>
            </w:tcBorders>
            <w:shd w:val="clear" w:color="auto" w:fill="auto"/>
            <w:vAlign w:val="center"/>
          </w:tcPr>
          <w:p w14:paraId="091F6300">
            <w:pPr>
              <w:widowControl/>
              <w:jc w:val="left"/>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rPr>
              <w:t>总监理工程师</w:t>
            </w:r>
          </w:p>
        </w:tc>
        <w:tc>
          <w:tcPr>
            <w:tcW w:w="819" w:type="dxa"/>
            <w:tcBorders>
              <w:top w:val="single" w:color="000000" w:sz="2" w:space="0"/>
              <w:left w:val="single" w:color="000000" w:sz="2" w:space="0"/>
              <w:bottom w:val="single" w:color="auto" w:sz="4" w:space="0"/>
              <w:right w:val="single" w:color="auto" w:sz="4" w:space="0"/>
            </w:tcBorders>
            <w:shd w:val="clear" w:color="auto" w:fill="auto"/>
            <w:vAlign w:val="center"/>
          </w:tcPr>
          <w:p w14:paraId="1C68FB8C">
            <w:pPr>
              <w:widowControl/>
              <w:jc w:val="left"/>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rPr>
              <w:t>1</w:t>
            </w:r>
          </w:p>
        </w:tc>
        <w:tc>
          <w:tcPr>
            <w:tcW w:w="4019" w:type="dxa"/>
            <w:tcBorders>
              <w:top w:val="single" w:color="000000" w:sz="2" w:space="0"/>
              <w:left w:val="single" w:color="auto" w:sz="4" w:space="0"/>
              <w:right w:val="single" w:color="000000" w:sz="2" w:space="0"/>
            </w:tcBorders>
            <w:shd w:val="clear" w:color="auto" w:fill="auto"/>
            <w:vAlign w:val="center"/>
          </w:tcPr>
          <w:p w14:paraId="140A84E4">
            <w:pPr>
              <w:widowControl/>
              <w:jc w:val="left"/>
              <w:textAlignment w:val="baseline"/>
              <w:rPr>
                <w:rFonts w:hint="default" w:ascii="宋体" w:hAnsi="宋体" w:eastAsia="宋体" w:cs="宋体"/>
                <w:bCs/>
                <w:color w:val="auto"/>
                <w:highlight w:val="none"/>
                <w:lang w:val="en-US" w:eastAsia="zh-CN"/>
              </w:rPr>
            </w:pPr>
            <w:r>
              <w:rPr>
                <w:rFonts w:hint="eastAsia" w:ascii="宋体" w:hAnsi="宋体" w:cs="宋体"/>
                <w:bCs/>
                <w:color w:val="auto"/>
                <w:highlight w:val="none"/>
              </w:rPr>
              <w:t>高级或以上技术职称，具有交通运输部颁发的监理工程师</w:t>
            </w:r>
            <w:r>
              <w:rPr>
                <w:rFonts w:hint="eastAsia" w:ascii="宋体" w:hAnsi="宋体" w:cs="宋体"/>
                <w:bCs/>
                <w:color w:val="auto"/>
                <w:highlight w:val="none"/>
                <w:lang w:val="en-US" w:eastAsia="zh-CN"/>
              </w:rPr>
              <w:t>注册</w:t>
            </w:r>
            <w:r>
              <w:rPr>
                <w:rFonts w:hint="eastAsia" w:ascii="宋体" w:hAnsi="宋体" w:cs="宋体"/>
                <w:bCs/>
                <w:color w:val="auto"/>
                <w:highlight w:val="none"/>
              </w:rPr>
              <w:t>证书（机电工程专业）或人力资源和社会保障部与交通运输部联合颁发的监理工程师</w:t>
            </w:r>
            <w:r>
              <w:rPr>
                <w:rFonts w:hint="eastAsia" w:ascii="宋体" w:hAnsi="宋体" w:cs="宋体"/>
                <w:bCs/>
                <w:color w:val="auto"/>
                <w:highlight w:val="none"/>
                <w:lang w:val="en-US" w:eastAsia="zh-CN"/>
              </w:rPr>
              <w:t>注册</w:t>
            </w:r>
            <w:r>
              <w:rPr>
                <w:rFonts w:hint="eastAsia" w:ascii="宋体" w:hAnsi="宋体" w:cs="宋体"/>
                <w:bCs/>
                <w:color w:val="auto"/>
                <w:highlight w:val="none"/>
              </w:rPr>
              <w:t>证书（交通运输工程），</w:t>
            </w:r>
            <w:r>
              <w:rPr>
                <w:rFonts w:hint="eastAsia" w:ascii="宋体" w:hAnsi="宋体" w:cs="宋体"/>
                <w:bCs/>
                <w:color w:val="auto"/>
                <w:highlight w:val="none"/>
                <w:lang w:eastAsia="zh-CN"/>
              </w:rPr>
              <w:t>（其注册单位名称必须与投标人名称一致）</w:t>
            </w:r>
            <w:r>
              <w:rPr>
                <w:rFonts w:hint="eastAsia" w:ascii="宋体" w:hAnsi="宋体" w:cs="宋体"/>
                <w:bCs/>
                <w:color w:val="auto"/>
                <w:highlight w:val="none"/>
              </w:rPr>
              <w:t>；</w:t>
            </w:r>
          </w:p>
          <w:p w14:paraId="287BE849">
            <w:pPr>
              <w:widowControl/>
              <w:jc w:val="left"/>
              <w:textAlignment w:val="baseline"/>
              <w:rPr>
                <w:rFonts w:hint="eastAsia" w:ascii="宋体" w:hAnsi="宋体" w:cs="宋体"/>
                <w:bCs/>
                <w:color w:val="auto"/>
                <w:highlight w:val="none"/>
                <w:lang w:val="en-US" w:eastAsia="zh-CN"/>
              </w:rPr>
            </w:pPr>
            <w:r>
              <w:rPr>
                <w:rFonts w:hint="eastAsia" w:ascii="宋体" w:hAnsi="宋体" w:cs="宋体"/>
                <w:bCs/>
                <w:color w:val="auto"/>
                <w:highlight w:val="none"/>
              </w:rPr>
              <w:t>近5年内（202</w:t>
            </w:r>
            <w:r>
              <w:rPr>
                <w:rFonts w:hint="eastAsia" w:ascii="宋体" w:hAnsi="宋体" w:cs="宋体"/>
                <w:bCs/>
                <w:color w:val="auto"/>
                <w:highlight w:val="none"/>
                <w:lang w:val="en-US" w:eastAsia="zh-CN"/>
              </w:rPr>
              <w:t>1</w:t>
            </w:r>
            <w:r>
              <w:rPr>
                <w:rFonts w:hint="eastAsia" w:ascii="宋体" w:hAnsi="宋体" w:cs="宋体"/>
                <w:bCs/>
                <w:color w:val="auto"/>
                <w:highlight w:val="none"/>
              </w:rPr>
              <w:t>年</w:t>
            </w:r>
            <w:r>
              <w:rPr>
                <w:rFonts w:hint="eastAsia" w:ascii="宋体" w:hAnsi="宋体" w:cs="宋体"/>
                <w:bCs/>
                <w:color w:val="auto"/>
                <w:highlight w:val="none"/>
                <w:lang w:val="en-US" w:eastAsia="zh-CN"/>
              </w:rPr>
              <w:t>6</w:t>
            </w:r>
            <w:r>
              <w:rPr>
                <w:rFonts w:hint="eastAsia" w:ascii="宋体" w:hAnsi="宋体" w:cs="宋体"/>
                <w:bCs/>
                <w:color w:val="auto"/>
                <w:highlight w:val="none"/>
              </w:rPr>
              <w:t>月1日至今，以交工时间为准）至少担任过1项</w:t>
            </w:r>
            <w:r>
              <w:rPr>
                <w:rFonts w:hint="eastAsia" w:ascii="宋体" w:hAnsi="宋体" w:cs="宋体"/>
                <w:bCs/>
                <w:color w:val="auto"/>
                <w:highlight w:val="none"/>
                <w:lang w:val="en-US" w:eastAsia="zh-CN"/>
              </w:rPr>
              <w:t>合同金额不少于70万元（含）</w:t>
            </w:r>
            <w:r>
              <w:rPr>
                <w:rFonts w:hint="eastAsia" w:ascii="宋体" w:hAnsi="宋体" w:cs="宋体"/>
                <w:bCs/>
                <w:color w:val="auto"/>
                <w:highlight w:val="none"/>
              </w:rPr>
              <w:t>高速公路的机电工程</w:t>
            </w:r>
            <w:r>
              <w:rPr>
                <w:rFonts w:hint="eastAsia" w:ascii="宋体" w:hAnsi="宋体" w:cs="宋体"/>
                <w:bCs/>
                <w:color w:val="auto"/>
                <w:highlight w:val="none"/>
                <w:lang w:val="en-US" w:eastAsia="zh-CN"/>
              </w:rPr>
              <w:t>施工</w:t>
            </w:r>
            <w:r>
              <w:rPr>
                <w:rFonts w:hint="eastAsia" w:ascii="宋体" w:hAnsi="宋体" w:cs="宋体"/>
                <w:bCs/>
                <w:color w:val="auto"/>
                <w:highlight w:val="none"/>
              </w:rPr>
              <w:t>监理工作的总监理工程师或副总监理工程师或驻地监理工程师职务。</w:t>
            </w:r>
          </w:p>
        </w:tc>
        <w:tc>
          <w:tcPr>
            <w:tcW w:w="1594" w:type="dxa"/>
            <w:tcBorders>
              <w:top w:val="single" w:color="000000" w:sz="2" w:space="0"/>
              <w:left w:val="single" w:color="auto" w:sz="4" w:space="0"/>
              <w:right w:val="single" w:color="000000" w:sz="2" w:space="0"/>
            </w:tcBorders>
            <w:vAlign w:val="center"/>
          </w:tcPr>
          <w:p w14:paraId="6D433968">
            <w:pPr>
              <w:widowControl/>
              <w:jc w:val="left"/>
              <w:textAlignment w:val="baseline"/>
              <w:rPr>
                <w:rFonts w:cs="宋体"/>
                <w:color w:val="auto"/>
                <w:highlight w:val="none"/>
              </w:rPr>
            </w:pPr>
            <w:r>
              <w:rPr>
                <w:rFonts w:hint="eastAsia" w:ascii="宋体" w:hAnsi="宋体" w:cs="宋体"/>
                <w:bCs/>
                <w:color w:val="auto"/>
                <w:highlight w:val="none"/>
              </w:rPr>
              <w:t>目前未在其他项目上任职，或虽在其他项目上任职但本项目中标后能够从该项目撤离</w:t>
            </w:r>
          </w:p>
        </w:tc>
      </w:tr>
    </w:tbl>
    <w:p w14:paraId="56B6786B">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456F528F">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76F0956B">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409F33FA">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0CFE19AA">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5E9C1CF2">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13646539">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6D3EC096">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47A3AC24">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538AF60A">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2D2A21EC">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1853AF1A">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73FE668B">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77807549">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3F2B2948">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4B90C06A">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65729CB6">
      <w:pPr>
        <w:pStyle w:val="2"/>
        <w:pageBreakBefore w:val="0"/>
        <w:widowControl w:val="0"/>
        <w:kinsoku/>
        <w:wordWrap/>
        <w:overflowPunct/>
        <w:topLinePunct w:val="0"/>
        <w:autoSpaceDE/>
        <w:autoSpaceDN/>
        <w:bidi w:val="0"/>
        <w:adjustRightInd/>
        <w:snapToGrid w:val="0"/>
        <w:spacing w:before="0" w:after="0" w:line="240" w:lineRule="auto"/>
        <w:rPr>
          <w:rFonts w:hint="eastAsia" w:cs="Times New Roman" w:asciiTheme="minorEastAsia" w:hAnsiTheme="minorEastAsia" w:eastAsiaTheme="minorEastAsia"/>
          <w:color w:val="auto"/>
          <w:spacing w:val="-2"/>
          <w:sz w:val="24"/>
          <w:szCs w:val="24"/>
          <w:highlight w:val="none"/>
        </w:rPr>
      </w:pPr>
    </w:p>
    <w:p w14:paraId="5D965370">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15EF5F9C">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401074A4">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63409C0B">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3B317E46">
      <w:pPr>
        <w:pStyle w:val="2"/>
        <w:pageBreakBefore w:val="0"/>
        <w:widowControl w:val="0"/>
        <w:kinsoku/>
        <w:wordWrap/>
        <w:overflowPunct/>
        <w:topLinePunct w:val="0"/>
        <w:autoSpaceDE/>
        <w:autoSpaceDN/>
        <w:bidi w:val="0"/>
        <w:adjustRightInd/>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03C8A45B">
      <w:pPr>
        <w:bidi w:val="0"/>
        <w:rPr>
          <w:rFonts w:hint="eastAsia" w:cs="Times New Roman" w:asciiTheme="minorEastAsia" w:hAnsiTheme="minorEastAsia" w:eastAsiaTheme="minorEastAsia"/>
          <w:color w:val="auto"/>
          <w:spacing w:val="-2"/>
          <w:sz w:val="24"/>
          <w:szCs w:val="24"/>
          <w:highlight w:val="none"/>
        </w:rPr>
      </w:pPr>
    </w:p>
    <w:p w14:paraId="45C852C8">
      <w:pPr>
        <w:bidi w:val="0"/>
        <w:rPr>
          <w:rFonts w:hint="eastAsia" w:cs="Times New Roman" w:asciiTheme="minorEastAsia" w:hAnsiTheme="minorEastAsia" w:eastAsiaTheme="minorEastAsia"/>
          <w:color w:val="auto"/>
          <w:spacing w:val="-2"/>
          <w:sz w:val="24"/>
          <w:szCs w:val="24"/>
          <w:highlight w:val="none"/>
        </w:rPr>
      </w:pPr>
    </w:p>
    <w:p w14:paraId="14671BA2">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p>
    <w:p w14:paraId="2A6F25F5">
      <w:pPr>
        <w:rPr>
          <w:rFonts w:hint="eastAsia" w:asciiTheme="minorEastAsia" w:hAnsiTheme="minorEastAsia" w:eastAsiaTheme="minorEastAsia"/>
          <w:color w:val="auto"/>
          <w:sz w:val="24"/>
          <w:highlight w:val="none"/>
        </w:rPr>
      </w:pPr>
    </w:p>
    <w:p w14:paraId="5E63BEDD">
      <w:pPr>
        <w:pStyle w:val="2"/>
        <w:adjustRightInd w:val="0"/>
        <w:snapToGrid w:val="0"/>
        <w:spacing w:before="0" w:after="0" w:line="360" w:lineRule="auto"/>
        <w:rPr>
          <w:rFonts w:hint="eastAsia" w:cs="Times New Roman" w:asciiTheme="minorEastAsia" w:hAnsiTheme="minorEastAsia" w:eastAsiaTheme="minorEastAsia"/>
          <w:color w:val="auto"/>
          <w:spacing w:val="-2"/>
          <w:sz w:val="24"/>
          <w:szCs w:val="24"/>
          <w:highlight w:val="none"/>
        </w:rPr>
      </w:pPr>
      <w:bookmarkStart w:id="5" w:name="_Toc131956860"/>
      <w:r>
        <w:rPr>
          <w:rFonts w:hint="eastAsia" w:cs="Times New Roman" w:asciiTheme="minorEastAsia" w:hAnsiTheme="minorEastAsia" w:eastAsiaTheme="minorEastAsia"/>
          <w:color w:val="auto"/>
          <w:spacing w:val="-2"/>
          <w:sz w:val="24"/>
          <w:szCs w:val="24"/>
          <w:highlight w:val="none"/>
        </w:rPr>
        <w:t>附件</w:t>
      </w:r>
      <w:r>
        <w:rPr>
          <w:rFonts w:hint="eastAsia" w:cs="Times New Roman" w:asciiTheme="minorEastAsia" w:hAnsiTheme="minorEastAsia" w:eastAsiaTheme="minorEastAsia"/>
          <w:color w:val="auto"/>
          <w:spacing w:val="-2"/>
          <w:sz w:val="24"/>
          <w:szCs w:val="24"/>
          <w:highlight w:val="none"/>
          <w:lang w:val="en-US" w:eastAsia="zh-CN"/>
        </w:rPr>
        <w:t>2</w:t>
      </w:r>
      <w:r>
        <w:rPr>
          <w:rFonts w:hint="eastAsia" w:cs="Times New Roman" w:asciiTheme="minorEastAsia" w:hAnsiTheme="minorEastAsia" w:eastAsiaTheme="minorEastAsia"/>
          <w:color w:val="auto"/>
          <w:spacing w:val="-2"/>
          <w:sz w:val="24"/>
          <w:szCs w:val="24"/>
          <w:highlight w:val="none"/>
        </w:rPr>
        <w:t>：评标办法</w:t>
      </w:r>
      <w:bookmarkEnd w:id="5"/>
    </w:p>
    <w:p w14:paraId="582BECBF">
      <w:pPr>
        <w:pStyle w:val="2"/>
        <w:adjustRightInd w:val="0"/>
        <w:snapToGrid w:val="0"/>
        <w:spacing w:before="0" w:after="0" w:line="360" w:lineRule="auto"/>
        <w:jc w:val="center"/>
        <w:rPr>
          <w:rFonts w:hint="eastAsia" w:cs="Times New Roman" w:asciiTheme="minorEastAsia" w:hAnsiTheme="minorEastAsia" w:eastAsiaTheme="minorEastAsia"/>
          <w:color w:val="auto"/>
          <w:spacing w:val="-2"/>
          <w:sz w:val="24"/>
          <w:szCs w:val="24"/>
          <w:highlight w:val="none"/>
        </w:rPr>
      </w:pPr>
      <w:r>
        <w:rPr>
          <w:rFonts w:hint="eastAsia" w:cs="Times New Roman" w:asciiTheme="minorEastAsia" w:hAnsiTheme="minorEastAsia" w:eastAsiaTheme="minorEastAsia"/>
          <w:color w:val="auto"/>
          <w:spacing w:val="-2"/>
          <w:sz w:val="24"/>
          <w:szCs w:val="24"/>
          <w:highlight w:val="none"/>
        </w:rPr>
        <w:t>评标办法前附表</w:t>
      </w:r>
    </w:p>
    <w:tbl>
      <w:tblPr>
        <w:tblStyle w:val="5"/>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230"/>
        <w:gridCol w:w="7011"/>
      </w:tblGrid>
      <w:tr w14:paraId="35B3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33" w:type="dxa"/>
            <w:tcBorders>
              <w:top w:val="single" w:color="auto" w:sz="4" w:space="0"/>
              <w:left w:val="single" w:color="auto" w:sz="4" w:space="0"/>
              <w:bottom w:val="single" w:color="auto" w:sz="4" w:space="0"/>
              <w:right w:val="single" w:color="auto" w:sz="4" w:space="0"/>
            </w:tcBorders>
            <w:vAlign w:val="center"/>
          </w:tcPr>
          <w:p w14:paraId="57E4B268">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230" w:type="dxa"/>
            <w:tcBorders>
              <w:top w:val="single" w:color="auto" w:sz="4" w:space="0"/>
              <w:left w:val="single" w:color="auto" w:sz="4" w:space="0"/>
              <w:bottom w:val="single" w:color="auto" w:sz="4" w:space="0"/>
              <w:right w:val="single" w:color="auto" w:sz="4" w:space="0"/>
            </w:tcBorders>
            <w:vAlign w:val="center"/>
          </w:tcPr>
          <w:p w14:paraId="04C9FD61">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011" w:type="dxa"/>
            <w:tcBorders>
              <w:top w:val="single" w:color="auto" w:sz="4" w:space="0"/>
              <w:left w:val="single" w:color="auto" w:sz="4" w:space="0"/>
              <w:bottom w:val="single" w:color="auto" w:sz="4" w:space="0"/>
              <w:right w:val="single" w:color="auto" w:sz="4" w:space="0"/>
            </w:tcBorders>
            <w:vAlign w:val="center"/>
          </w:tcPr>
          <w:p w14:paraId="362B92E6">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评审因素与评审标准</w:t>
            </w:r>
          </w:p>
        </w:tc>
      </w:tr>
      <w:tr w14:paraId="3516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3D6436DD">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w:t>
            </w:r>
          </w:p>
        </w:tc>
        <w:tc>
          <w:tcPr>
            <w:tcW w:w="1230" w:type="dxa"/>
            <w:tcBorders>
              <w:top w:val="single" w:color="auto" w:sz="4" w:space="0"/>
              <w:left w:val="single" w:color="auto" w:sz="4" w:space="0"/>
              <w:bottom w:val="single" w:color="auto" w:sz="4" w:space="0"/>
              <w:right w:val="single" w:color="auto" w:sz="4" w:space="0"/>
            </w:tcBorders>
            <w:vAlign w:val="center"/>
          </w:tcPr>
          <w:p w14:paraId="73C27239">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评标办法</w:t>
            </w:r>
          </w:p>
        </w:tc>
        <w:tc>
          <w:tcPr>
            <w:tcW w:w="7011" w:type="dxa"/>
            <w:tcBorders>
              <w:top w:val="single" w:color="auto" w:sz="4" w:space="0"/>
              <w:left w:val="single" w:color="auto" w:sz="4" w:space="0"/>
              <w:bottom w:val="single" w:color="auto" w:sz="4" w:space="0"/>
              <w:right w:val="single" w:color="auto" w:sz="4" w:space="0"/>
            </w:tcBorders>
            <w:vAlign w:val="center"/>
          </w:tcPr>
          <w:p w14:paraId="634536DA">
            <w:pPr>
              <w:snapToGrid w:val="0"/>
              <w:spacing w:line="32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6DD94F0F">
            <w:pPr>
              <w:snapToGrid w:val="0"/>
              <w:spacing w:line="320" w:lineRule="exact"/>
              <w:ind w:left="205" w:leftChars="97" w:hanging="1"/>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（1）评标价低的投标人优先；</w:t>
            </w:r>
          </w:p>
          <w:p w14:paraId="700C11AC">
            <w:pPr>
              <w:snapToGrid w:val="0"/>
              <w:spacing w:line="320" w:lineRule="exact"/>
              <w:ind w:left="205" w:leftChars="97" w:hanging="1"/>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（2）技术建议书得分较高的投标人优先；</w:t>
            </w:r>
          </w:p>
          <w:p w14:paraId="255C4550">
            <w:pPr>
              <w:snapToGrid w:val="0"/>
              <w:spacing w:line="360" w:lineRule="auto"/>
              <w:ind w:firstLine="482"/>
              <w:rPr>
                <w:rFonts w:hint="eastAsia" w:ascii="宋体" w:hAnsi="宋体" w:cs="宋体"/>
                <w:color w:val="auto"/>
                <w:spacing w:val="-4"/>
                <w:szCs w:val="21"/>
                <w:highlight w:val="none"/>
              </w:rPr>
            </w:pPr>
            <w:r>
              <w:rPr>
                <w:rFonts w:hint="eastAsia" w:ascii="宋体" w:hAnsi="宋体" w:cs="宋体"/>
                <w:color w:val="auto"/>
                <w:szCs w:val="21"/>
                <w:highlight w:val="none"/>
              </w:rPr>
              <w:t>（3）投标人满足资格审查条件(业绩最低条件)要求的业绩累计金额高的优先</w:t>
            </w:r>
            <w:r>
              <w:rPr>
                <w:rFonts w:hint="eastAsia" w:ascii="宋体" w:hAnsi="宋体" w:cs="宋体"/>
                <w:color w:val="auto"/>
                <w:spacing w:val="-4"/>
                <w:szCs w:val="21"/>
                <w:highlight w:val="none"/>
              </w:rPr>
              <w:t>。</w:t>
            </w:r>
          </w:p>
        </w:tc>
      </w:tr>
      <w:tr w14:paraId="66B2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16914354">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2.1.1</w:t>
            </w:r>
          </w:p>
          <w:p w14:paraId="2A326BBC">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2.1.3</w:t>
            </w:r>
          </w:p>
        </w:tc>
        <w:tc>
          <w:tcPr>
            <w:tcW w:w="1230" w:type="dxa"/>
            <w:tcBorders>
              <w:top w:val="single" w:color="auto" w:sz="4" w:space="0"/>
              <w:left w:val="single" w:color="auto" w:sz="4" w:space="0"/>
              <w:bottom w:val="single" w:color="auto" w:sz="4" w:space="0"/>
              <w:right w:val="single" w:color="auto" w:sz="4" w:space="0"/>
            </w:tcBorders>
            <w:vAlign w:val="center"/>
          </w:tcPr>
          <w:p w14:paraId="3A857411">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7011" w:type="dxa"/>
            <w:tcBorders>
              <w:top w:val="single" w:color="auto" w:sz="4" w:space="0"/>
              <w:left w:val="single" w:color="auto" w:sz="4" w:space="0"/>
              <w:bottom w:val="single" w:color="auto" w:sz="4" w:space="0"/>
              <w:right w:val="single" w:color="auto" w:sz="4" w:space="0"/>
            </w:tcBorders>
          </w:tcPr>
          <w:p w14:paraId="1B07252A">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
                <w:bCs/>
                <w:color w:val="auto"/>
                <w:kern w:val="0"/>
                <w:szCs w:val="21"/>
                <w:highlight w:val="none"/>
              </w:rPr>
              <w:t>第一个信封（商务文件）评审标准：</w:t>
            </w:r>
          </w:p>
          <w:p w14:paraId="1B94C72A">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投标文件按照招标文件规定的格式、内容填写，字迹清晰可辨。</w:t>
            </w:r>
          </w:p>
          <w:p w14:paraId="09177F18">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a．投标函按招标文件规定填报了项目名称、补遗书编号（如有）、质量要求、安全目标、监理服务期限、总监理工程师相关信息</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未对招标人名称进行修改</w:t>
            </w:r>
            <w:r>
              <w:rPr>
                <w:rFonts w:hint="eastAsia" w:ascii="宋体" w:hAnsi="宋体" w:cs="宋体"/>
                <w:color w:val="auto"/>
                <w:szCs w:val="21"/>
                <w:highlight w:val="none"/>
              </w:rPr>
              <w:t>；</w:t>
            </w:r>
          </w:p>
          <w:p w14:paraId="1A60904B">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b．投标文件组成齐全完整，内容均按规定填写。</w:t>
            </w:r>
          </w:p>
          <w:p w14:paraId="7C9CD39D">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1DB0868F">
            <w:pPr>
              <w:pStyle w:val="3"/>
              <w:snapToGrid w:val="0"/>
              <w:spacing w:after="0" w:line="320" w:lineRule="exact"/>
              <w:rPr>
                <w:rFonts w:hint="eastAsia" w:ascii="宋体" w:hAnsi="宋体" w:cs="宋体"/>
                <w:color w:val="auto"/>
                <w:szCs w:val="21"/>
                <w:highlight w:val="none"/>
              </w:rPr>
            </w:pPr>
            <w:r>
              <w:rPr>
                <w:rFonts w:hint="eastAsia" w:ascii="宋体" w:hAnsi="宋体" w:cs="宋体"/>
                <w:color w:val="auto"/>
                <w:szCs w:val="21"/>
                <w:highlight w:val="none"/>
              </w:rPr>
              <w:t>（3）投标人按照招标文件的规定提供了投标保证金，并符合投标人须知前附表3.4.1项的相关规定。</w:t>
            </w:r>
          </w:p>
          <w:p w14:paraId="039E8F82">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（4）投标人法定代表人授权委托代理人签署投标文件的，须提交授权委托书；符合招标文件规定。</w:t>
            </w:r>
          </w:p>
          <w:p w14:paraId="1C4BD3C3">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（5）投标人法定代表人若亲自签署投标文件的，提供了法定代表人身份证明；符合招标文件规定。</w:t>
            </w:r>
          </w:p>
          <w:p w14:paraId="2C7A45D1">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olor w:val="auto"/>
                <w:szCs w:val="21"/>
                <w:highlight w:val="none"/>
              </w:rPr>
              <w:t>投标人未以联合体形式投标</w:t>
            </w:r>
            <w:r>
              <w:rPr>
                <w:rFonts w:hint="eastAsia" w:ascii="宋体" w:hAnsi="宋体" w:cs="宋体"/>
                <w:color w:val="auto"/>
                <w:kern w:val="0"/>
                <w:szCs w:val="21"/>
                <w:highlight w:val="none"/>
              </w:rPr>
              <w:t>。</w:t>
            </w:r>
          </w:p>
          <w:p w14:paraId="28793776">
            <w:pPr>
              <w:snapToGrid w:val="0"/>
              <w:spacing w:line="3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投标人</w:t>
            </w:r>
            <w:r>
              <w:rPr>
                <w:rFonts w:hint="eastAsia" w:ascii="宋体" w:hAnsi="宋体" w:cs="宋体"/>
                <w:color w:val="auto"/>
                <w:kern w:val="0"/>
                <w:szCs w:val="21"/>
                <w:highlight w:val="none"/>
              </w:rPr>
              <w:t>未对本项目提出分包计划。</w:t>
            </w:r>
          </w:p>
          <w:p w14:paraId="1D5A0F03">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（8）同一投标人未提交两个以上不同的投标文件。</w:t>
            </w:r>
          </w:p>
          <w:p w14:paraId="12387C4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（9）投标文件中未出现有关投标报价的内容。</w:t>
            </w:r>
          </w:p>
          <w:p w14:paraId="5D01996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（10）投标文件载明的招标项目完成期限符合招标文件规定。</w:t>
            </w:r>
          </w:p>
          <w:p w14:paraId="75B68E1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（11）投标文件对招标文件的实质性要求和条件作出响应。</w:t>
            </w:r>
          </w:p>
          <w:p w14:paraId="33C42509">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（12）权利义务符合招标文件规定：</w:t>
            </w:r>
          </w:p>
          <w:p w14:paraId="41472B4B">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a.投标人应接受招标文件规定的风险划分原则，未提出新的风险划分办法；</w:t>
            </w:r>
          </w:p>
          <w:p w14:paraId="35C7C94F">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b.投标人未增加委托人的责任范围，或减少投标人义务；</w:t>
            </w:r>
          </w:p>
          <w:p w14:paraId="30B91977">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c.投标人未提出不同的支付办法；</w:t>
            </w:r>
          </w:p>
          <w:p w14:paraId="3C042292">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d.投标人对合同纠纷、事故处理办法未提出异议；</w:t>
            </w:r>
          </w:p>
          <w:p w14:paraId="68B7E953">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e.投标人在投标活动中无欺诈行为；</w:t>
            </w:r>
          </w:p>
          <w:p w14:paraId="17698C2B">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f.投标人未对合同条款有重要保留。</w:t>
            </w:r>
          </w:p>
          <w:p w14:paraId="6E991FD2">
            <w:pPr>
              <w:pStyle w:val="11"/>
              <w:spacing w:before="65" w:line="276" w:lineRule="auto"/>
              <w:ind w:right="109"/>
              <w:rPr>
                <w:rFonts w:hint="eastAsia" w:ascii="宋体" w:hAnsi="宋体" w:eastAsia="宋体" w:cs="宋体"/>
                <w:spacing w:val="11"/>
                <w:highlight w:val="none"/>
              </w:rPr>
            </w:pPr>
            <w:r>
              <w:rPr>
                <w:rFonts w:hint="eastAsia" w:ascii="宋体" w:hAnsi="宋体" w:eastAsia="宋体" w:cs="宋体"/>
                <w:spacing w:val="11"/>
                <w:highlight w:val="none"/>
                <w:lang w:val="en-US" w:eastAsia="zh-CN"/>
              </w:rPr>
              <w:t>（1</w:t>
            </w:r>
            <w:r>
              <w:rPr>
                <w:rFonts w:hint="eastAsia" w:cs="宋体"/>
                <w:spacing w:val="11"/>
                <w:highlight w:val="none"/>
                <w:lang w:val="en-US" w:eastAsia="zh-CN"/>
              </w:rPr>
              <w:t>3</w:t>
            </w:r>
            <w:r>
              <w:rPr>
                <w:rFonts w:hint="eastAsia" w:ascii="宋体" w:hAnsi="宋体" w:eastAsia="宋体" w:cs="宋体"/>
                <w:spacing w:val="11"/>
                <w:highlight w:val="none"/>
              </w:rPr>
              <w:t>）投标人不存在投标人须知前附表4.4(1)、(3)项规定的情形</w:t>
            </w:r>
            <w:r>
              <w:rPr>
                <w:rFonts w:hint="eastAsia" w:ascii="宋体" w:hAnsi="宋体" w:eastAsia="宋体" w:cs="宋体"/>
                <w:spacing w:val="11"/>
                <w:highlight w:val="none"/>
                <w:lang w:eastAsia="zh-CN"/>
              </w:rPr>
              <w:t>。</w:t>
            </w:r>
          </w:p>
          <w:p w14:paraId="5703708D">
            <w:pPr>
              <w:jc w:val="left"/>
              <w:textAlignment w:val="baseline"/>
              <w:rPr>
                <w:rFonts w:hint="eastAsia" w:ascii="宋体" w:hAnsi="宋体" w:cs="宋体"/>
                <w:color w:val="auto"/>
                <w:kern w:val="0"/>
                <w:szCs w:val="21"/>
                <w:highlight w:val="none"/>
              </w:rPr>
            </w:pPr>
            <w:r>
              <w:rPr>
                <w:rFonts w:hint="eastAsia" w:ascii="宋体" w:hAnsi="宋体" w:eastAsia="宋体" w:cs="宋体"/>
                <w:spacing w:val="11"/>
                <w:highlight w:val="none"/>
              </w:rPr>
              <w:t>（</w:t>
            </w:r>
            <w:r>
              <w:rPr>
                <w:rFonts w:hint="eastAsia" w:ascii="宋体" w:hAnsi="宋体" w:cs="宋体"/>
                <w:spacing w:val="11"/>
                <w:highlight w:val="none"/>
                <w:lang w:val="en-US" w:eastAsia="zh-CN"/>
              </w:rPr>
              <w:t>14</w:t>
            </w:r>
            <w:r>
              <w:rPr>
                <w:rFonts w:hint="eastAsia" w:ascii="宋体" w:hAnsi="宋体" w:eastAsia="宋体" w:cs="宋体"/>
                <w:spacing w:val="11"/>
                <w:highlight w:val="none"/>
              </w:rPr>
              <w:t>）投标人不存在</w:t>
            </w:r>
            <w:r>
              <w:rPr>
                <w:rFonts w:hint="eastAsia" w:ascii="宋体" w:hAnsi="宋体" w:eastAsia="宋体" w:cs="宋体"/>
                <w:spacing w:val="11"/>
                <w:highlight w:val="none"/>
                <w:lang w:val="en-US" w:eastAsia="zh-CN"/>
              </w:rPr>
              <w:t>因</w:t>
            </w:r>
            <w:r>
              <w:rPr>
                <w:rFonts w:hint="eastAsia" w:ascii="宋体" w:hAnsi="宋体" w:eastAsia="宋体" w:cs="宋体"/>
                <w:spacing w:val="11"/>
                <w:highlight w:val="none"/>
              </w:rPr>
              <w:t>投标人须知前附表4.4(2)项规定的情形</w:t>
            </w:r>
            <w:r>
              <w:rPr>
                <w:rFonts w:hint="eastAsia" w:ascii="宋体" w:hAnsi="宋体" w:eastAsia="宋体" w:cs="宋体"/>
                <w:spacing w:val="11"/>
                <w:highlight w:val="none"/>
                <w:lang w:val="en-US" w:eastAsia="zh-CN"/>
              </w:rPr>
              <w:t>被评标委员会认定为</w:t>
            </w:r>
            <w:r>
              <w:rPr>
                <w:rFonts w:hint="eastAsia" w:ascii="宋体" w:hAnsi="宋体" w:cs="宋体"/>
                <w:spacing w:val="9"/>
                <w:highlight w:val="none"/>
                <w:lang w:val="en-US" w:eastAsia="zh-CN"/>
              </w:rPr>
              <w:t>其他异常投标情形</w:t>
            </w:r>
            <w:r>
              <w:rPr>
                <w:rFonts w:hint="eastAsia" w:ascii="宋体" w:hAnsi="宋体" w:eastAsia="宋体" w:cs="宋体"/>
                <w:spacing w:val="11"/>
                <w:highlight w:val="none"/>
              </w:rPr>
              <w:t>。</w:t>
            </w:r>
            <w:r>
              <w:rPr>
                <w:rFonts w:hint="eastAsia" w:ascii="宋体" w:hAnsi="宋体" w:cs="宋体"/>
                <w:color w:val="auto"/>
                <w:kern w:val="0"/>
                <w:szCs w:val="21"/>
                <w:highlight w:val="none"/>
              </w:rPr>
              <w:t xml:space="preserve"> </w:t>
            </w:r>
          </w:p>
          <w:p w14:paraId="0199018F">
            <w:pPr>
              <w:widowControl/>
              <w:jc w:val="left"/>
              <w:rPr>
                <w:color w:val="auto"/>
                <w:highlight w:val="none"/>
              </w:rPr>
            </w:pPr>
            <w:r>
              <w:rPr>
                <w:rFonts w:hint="eastAsia" w:ascii="宋体" w:hAnsi="宋体" w:cs="宋体"/>
                <w:b/>
                <w:bCs/>
                <w:color w:val="auto"/>
                <w:kern w:val="0"/>
                <w:szCs w:val="21"/>
                <w:highlight w:val="none"/>
                <w:lang w:bidi="ar"/>
              </w:rPr>
              <w:t>第一个信封（技术文件）评审标准：</w:t>
            </w:r>
            <w:r>
              <w:rPr>
                <w:rFonts w:hint="eastAsia" w:ascii="宋体" w:hAnsi="宋体" w:cs="宋体"/>
                <w:b/>
                <w:bCs/>
                <w:color w:val="auto"/>
                <w:kern w:val="0"/>
                <w:sz w:val="19"/>
                <w:szCs w:val="19"/>
                <w:highlight w:val="none"/>
                <w:lang w:bidi="ar"/>
              </w:rPr>
              <w:t xml:space="preserve"> </w:t>
            </w:r>
          </w:p>
          <w:p w14:paraId="72F7740E">
            <w:pPr>
              <w:widowControl/>
              <w:jc w:val="left"/>
              <w:rPr>
                <w:color w:val="auto"/>
                <w:highlight w:val="none"/>
              </w:rPr>
            </w:pPr>
            <w:r>
              <w:rPr>
                <w:rFonts w:hint="eastAsia" w:ascii="宋体" w:hAnsi="宋体" w:cs="宋体"/>
                <w:color w:val="auto"/>
                <w:kern w:val="0"/>
                <w:szCs w:val="21"/>
                <w:highlight w:val="none"/>
                <w:lang w:bidi="ar"/>
              </w:rPr>
              <w:t>技术建议书（暗标）</w:t>
            </w:r>
            <w:r>
              <w:rPr>
                <w:rFonts w:hint="eastAsia" w:ascii="宋体" w:hAnsi="宋体" w:cs="宋体"/>
                <w:color w:val="auto"/>
                <w:kern w:val="0"/>
                <w:szCs w:val="21"/>
                <w:highlight w:val="none"/>
                <w:lang w:val="en-US" w:eastAsia="zh-CN" w:bidi="ar"/>
              </w:rPr>
              <w:t>编制</w:t>
            </w:r>
            <w:r>
              <w:rPr>
                <w:rFonts w:hint="eastAsia" w:ascii="宋体" w:hAnsi="宋体" w:cs="宋体"/>
                <w:color w:val="auto"/>
                <w:kern w:val="0"/>
                <w:szCs w:val="21"/>
                <w:highlight w:val="none"/>
                <w:lang w:bidi="ar"/>
              </w:rPr>
              <w:t>符合招标文件第二章“投标人须知”第 10.4 款的规定。</w:t>
            </w:r>
          </w:p>
          <w:p w14:paraId="59BD5A83">
            <w:pPr>
              <w:snapToGrid w:val="0"/>
              <w:spacing w:line="320" w:lineRule="exact"/>
              <w:jc w:val="left"/>
              <w:textAlignment w:val="baseline"/>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第二个信封（报价文件）评审标准：</w:t>
            </w:r>
          </w:p>
          <w:p w14:paraId="550F509D">
            <w:pPr>
              <w:snapToGrid w:val="0"/>
              <w:spacing w:line="320" w:lineRule="exact"/>
              <w:jc w:val="left"/>
              <w:textAlignment w:val="baseline"/>
              <w:rPr>
                <w:rFonts w:hint="eastAsia" w:ascii="宋体" w:hAnsi="宋体" w:cs="宋体"/>
                <w:bCs/>
                <w:color w:val="auto"/>
                <w:szCs w:val="21"/>
                <w:highlight w:val="none"/>
              </w:rPr>
            </w:pPr>
            <w:r>
              <w:rPr>
                <w:rFonts w:hint="eastAsia" w:ascii="宋体" w:hAnsi="宋体" w:cs="宋体"/>
                <w:color w:val="auto"/>
                <w:kern w:val="0"/>
                <w:szCs w:val="21"/>
                <w:highlight w:val="none"/>
              </w:rPr>
              <w:t>（1）</w:t>
            </w:r>
            <w:r>
              <w:rPr>
                <w:rFonts w:hint="eastAsia" w:ascii="宋体" w:hAnsi="宋体" w:cs="宋体"/>
                <w:bCs/>
                <w:color w:val="auto"/>
                <w:szCs w:val="21"/>
                <w:highlight w:val="none"/>
              </w:rPr>
              <w:t>投标文件按照招标文件规定的格式、内容填写，字迹清晰可辨。</w:t>
            </w:r>
          </w:p>
          <w:p w14:paraId="3162FEB2">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a．投标函按招标文件规定填报了项目名称</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补遗书编号（如有）</w:t>
            </w:r>
            <w:r>
              <w:rPr>
                <w:rFonts w:hint="eastAsia" w:ascii="宋体" w:hAnsi="宋体" w:cs="宋体"/>
                <w:color w:val="auto"/>
                <w:szCs w:val="21"/>
                <w:highlight w:val="none"/>
              </w:rPr>
              <w:t>、</w:t>
            </w:r>
            <w:r>
              <w:rPr>
                <w:rFonts w:hint="eastAsia" w:ascii="宋体" w:hAnsi="宋体" w:cs="宋体"/>
                <w:bCs/>
                <w:color w:val="auto"/>
                <w:szCs w:val="21"/>
                <w:highlight w:val="none"/>
              </w:rPr>
              <w:t>投标报价（包括大写金额和小写金额）</w:t>
            </w:r>
            <w:r>
              <w:rPr>
                <w:rFonts w:hint="eastAsia" w:ascii="宋体" w:hAnsi="宋体" w:cs="宋体"/>
                <w:bCs/>
                <w:color w:val="auto"/>
                <w:szCs w:val="21"/>
                <w:highlight w:val="none"/>
                <w:lang w:eastAsia="zh-CN"/>
              </w:rPr>
              <w:t>、</w:t>
            </w:r>
            <w:r>
              <w:rPr>
                <w:rFonts w:hint="eastAsia" w:asciiTheme="minorEastAsia" w:hAnsiTheme="minorEastAsia"/>
                <w:color w:val="auto"/>
                <w:sz w:val="21"/>
                <w:szCs w:val="21"/>
                <w:highlight w:val="none"/>
              </w:rPr>
              <w:t>缺陷责任期阶段监理服务费</w:t>
            </w:r>
            <w:r>
              <w:rPr>
                <w:rFonts w:hint="eastAsia" w:ascii="宋体" w:hAnsi="宋体" w:cs="宋体"/>
                <w:bCs/>
                <w:color w:val="auto"/>
                <w:szCs w:val="21"/>
                <w:highlight w:val="none"/>
              </w:rPr>
              <w:t>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未对招标人名称进行修改</w:t>
            </w:r>
            <w:r>
              <w:rPr>
                <w:rFonts w:hint="eastAsia" w:ascii="宋体" w:hAnsi="宋体" w:cs="宋体"/>
                <w:color w:val="auto"/>
                <w:szCs w:val="21"/>
                <w:highlight w:val="none"/>
              </w:rPr>
              <w:t>；</w:t>
            </w:r>
          </w:p>
          <w:p w14:paraId="0C26361D">
            <w:pPr>
              <w:pStyle w:val="3"/>
              <w:snapToGrid w:val="0"/>
              <w:spacing w:after="0"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b.已标价报价清单说明文字与招标文件一致，未进行实质性修改和删减</w:t>
            </w:r>
            <w:r>
              <w:rPr>
                <w:rFonts w:hint="eastAsia" w:ascii="宋体" w:hAnsi="宋体" w:cs="宋体"/>
                <w:color w:val="auto"/>
                <w:szCs w:val="21"/>
                <w:highlight w:val="none"/>
                <w:lang w:eastAsia="zh-CN"/>
              </w:rPr>
              <w:t>；</w:t>
            </w:r>
          </w:p>
          <w:p w14:paraId="577E48EE">
            <w:pPr>
              <w:snapToGrid w:val="0"/>
              <w:spacing w:line="320" w:lineRule="exact"/>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c．投标文件组成齐全完整，内容均按规定填写。</w:t>
            </w:r>
          </w:p>
          <w:p w14:paraId="51AC7B16">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rPr>
              <w:t>投标文件上法定代表人或其授权代理人的签字、投标人的单位章盖章齐全，符合招标文件规定。</w:t>
            </w:r>
          </w:p>
          <w:p w14:paraId="008BD24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投标报价未超过招标文件设定的最高投标限价。</w:t>
            </w:r>
          </w:p>
          <w:p w14:paraId="55090085">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（4）投标报价的大写金额能够确定具体数值。</w:t>
            </w:r>
          </w:p>
          <w:p w14:paraId="723810E0">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（5）同一投标人未提交两个以上不同的投标报价。</w:t>
            </w:r>
          </w:p>
          <w:p w14:paraId="001CFD12">
            <w:pPr>
              <w:snapToGrid w:val="0"/>
              <w:spacing w:line="320" w:lineRule="exact"/>
              <w:jc w:val="left"/>
              <w:textAlignment w:val="baseline"/>
              <w:rPr>
                <w:color w:val="auto"/>
                <w:highlight w:val="none"/>
              </w:rPr>
            </w:pPr>
            <w:r>
              <w:rPr>
                <w:rFonts w:hint="eastAsia" w:ascii="宋体" w:hAnsi="宋体" w:cs="宋体"/>
                <w:color w:val="auto"/>
                <w:kern w:val="0"/>
                <w:szCs w:val="21"/>
                <w:highlight w:val="none"/>
              </w:rPr>
              <w:t>（6）投标报价中缺陷责任期阶段监理服务费报价不低于监理服务总费用的5%。</w:t>
            </w:r>
          </w:p>
          <w:p w14:paraId="667CEA07">
            <w:pPr>
              <w:pStyle w:val="11"/>
              <w:numPr>
                <w:ilvl w:val="0"/>
                <w:numId w:val="0"/>
              </w:numPr>
              <w:spacing w:before="67" w:line="257" w:lineRule="auto"/>
              <w:ind w:right="109"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（7）监理服务费用清单中的投标报价和投标函投标报价大写金额一致。</w:t>
            </w:r>
          </w:p>
          <w:p w14:paraId="07CA86F6">
            <w:pPr>
              <w:snapToGrid w:val="0"/>
              <w:spacing w:line="320" w:lineRule="exact"/>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(8)投标人不存在因投标人须知前附表3.2.5项规定被评标委员会认定为低于成本或影响履约的异常低价竞标的情形。</w:t>
            </w:r>
          </w:p>
          <w:p w14:paraId="3477C4BA">
            <w:pPr>
              <w:snapToGrid w:val="0"/>
              <w:spacing w:line="320" w:lineRule="exact"/>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投标人不存在投标人须知前附表4.4(1)、(3)项规定的情形</w:t>
            </w:r>
            <w:r>
              <w:rPr>
                <w:rFonts w:hint="eastAsia" w:ascii="宋体" w:hAnsi="宋体" w:cs="宋体"/>
                <w:color w:val="auto"/>
                <w:kern w:val="0"/>
                <w:szCs w:val="21"/>
                <w:highlight w:val="none"/>
                <w:lang w:eastAsia="zh-CN"/>
              </w:rPr>
              <w:t>。</w:t>
            </w:r>
          </w:p>
          <w:p w14:paraId="50099652">
            <w:pPr>
              <w:snapToGrid w:val="0"/>
              <w:spacing w:line="320" w:lineRule="exact"/>
              <w:jc w:val="left"/>
              <w:textAlignment w:val="baseline"/>
              <w:rPr>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）投标人不存在</w:t>
            </w:r>
            <w:r>
              <w:rPr>
                <w:rFonts w:hint="eastAsia" w:ascii="宋体" w:hAnsi="宋体" w:cs="宋体"/>
                <w:color w:val="auto"/>
                <w:kern w:val="0"/>
                <w:szCs w:val="21"/>
                <w:highlight w:val="none"/>
                <w:lang w:val="en-US" w:eastAsia="zh-CN"/>
              </w:rPr>
              <w:t>因</w:t>
            </w:r>
            <w:r>
              <w:rPr>
                <w:rFonts w:hint="eastAsia" w:ascii="宋体" w:hAnsi="宋体" w:cs="宋体"/>
                <w:color w:val="auto"/>
                <w:kern w:val="0"/>
                <w:szCs w:val="21"/>
                <w:highlight w:val="none"/>
              </w:rPr>
              <w:t>投标人须知前附表4.4(2)项规定的情形</w:t>
            </w:r>
            <w:r>
              <w:rPr>
                <w:rFonts w:hint="eastAsia" w:ascii="宋体" w:hAnsi="宋体" w:cs="宋体"/>
                <w:color w:val="auto"/>
                <w:kern w:val="0"/>
                <w:szCs w:val="21"/>
                <w:highlight w:val="none"/>
                <w:lang w:val="en-US" w:eastAsia="zh-CN"/>
              </w:rPr>
              <w:t>被评标委员会认定为其他异常投标情形。</w:t>
            </w:r>
          </w:p>
        </w:tc>
      </w:tr>
      <w:tr w14:paraId="0ABD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13E7D05B">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2.1.2</w:t>
            </w:r>
          </w:p>
        </w:tc>
        <w:tc>
          <w:tcPr>
            <w:tcW w:w="1230" w:type="dxa"/>
            <w:tcBorders>
              <w:top w:val="single" w:color="auto" w:sz="4" w:space="0"/>
              <w:left w:val="single" w:color="auto" w:sz="4" w:space="0"/>
              <w:bottom w:val="single" w:color="auto" w:sz="4" w:space="0"/>
              <w:right w:val="single" w:color="auto" w:sz="4" w:space="0"/>
            </w:tcBorders>
            <w:vAlign w:val="center"/>
          </w:tcPr>
          <w:p w14:paraId="19A3E5DD">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7011" w:type="dxa"/>
            <w:tcBorders>
              <w:top w:val="single" w:color="auto" w:sz="4" w:space="0"/>
              <w:left w:val="single" w:color="auto" w:sz="4" w:space="0"/>
              <w:bottom w:val="single" w:color="auto" w:sz="4" w:space="0"/>
              <w:right w:val="single" w:color="auto" w:sz="4" w:space="0"/>
            </w:tcBorders>
            <w:vAlign w:val="center"/>
          </w:tcPr>
          <w:p w14:paraId="4EDC24EA">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（1）投标人具备有效的营业执照</w:t>
            </w:r>
            <w:r>
              <w:rPr>
                <w:rFonts w:hint="eastAsia" w:ascii="宋体" w:hAnsi="宋体" w:cs="宋体"/>
                <w:color w:val="auto"/>
                <w:szCs w:val="21"/>
                <w:highlight w:val="none"/>
                <w:lang w:eastAsia="zh-CN"/>
              </w:rPr>
              <w:t>、</w:t>
            </w:r>
            <w:r>
              <w:rPr>
                <w:rFonts w:hint="eastAsia" w:ascii="宋体" w:hAnsi="宋体" w:cs="宋体"/>
                <w:color w:val="auto"/>
                <w:szCs w:val="21"/>
                <w:highlight w:val="none"/>
              </w:rPr>
              <w:t>监理资质证书和基本账户开户许可证（或基本存款账户信息）。</w:t>
            </w:r>
          </w:p>
          <w:p w14:paraId="47584A2A">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（2）投标人的资质等级符合招标文件规定。</w:t>
            </w:r>
          </w:p>
          <w:p w14:paraId="5EA0E4F9">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（3）投标人的类似项目业绩符合招标文件的规定。</w:t>
            </w:r>
          </w:p>
          <w:p w14:paraId="1CEC944C">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（4）投标人的信誉符合招标文件规定。</w:t>
            </w:r>
          </w:p>
          <w:p w14:paraId="310C97A2">
            <w:pPr>
              <w:snapToGrid w:val="0"/>
              <w:spacing w:line="320" w:lineRule="exact"/>
              <w:textAlignment w:val="baseline"/>
              <w:rPr>
                <w:rFonts w:hint="eastAsia" w:ascii="宋体" w:hAnsi="宋体" w:cs="宋体"/>
                <w:color w:val="auto"/>
                <w:szCs w:val="21"/>
                <w:highlight w:val="none"/>
              </w:rPr>
            </w:pPr>
            <w:r>
              <w:rPr>
                <w:rFonts w:hint="eastAsia" w:ascii="宋体" w:hAnsi="宋体" w:cs="宋体"/>
                <w:color w:val="auto"/>
                <w:szCs w:val="21"/>
                <w:highlight w:val="none"/>
              </w:rPr>
              <w:t>（5）投标人的总监理工程师资格符合招标文件规定。</w:t>
            </w:r>
          </w:p>
          <w:p w14:paraId="4923E924">
            <w:pPr>
              <w:pStyle w:val="3"/>
              <w:snapToGrid w:val="0"/>
              <w:spacing w:after="0" w:line="320" w:lineRule="exact"/>
              <w:rPr>
                <w:rFonts w:hint="eastAsia" w:ascii="宋体" w:hAnsi="宋体" w:cs="宋体"/>
                <w:color w:val="auto"/>
                <w:szCs w:val="21"/>
                <w:highlight w:val="none"/>
              </w:rPr>
            </w:pPr>
            <w:r>
              <w:rPr>
                <w:rFonts w:hint="eastAsia" w:ascii="宋体" w:hAnsi="宋体" w:cs="宋体"/>
                <w:color w:val="auto"/>
                <w:szCs w:val="21"/>
                <w:highlight w:val="none"/>
              </w:rPr>
              <w:t>（6）投标人不存在第二章“投标人须知”第1.4.3项或1.4.4项规定的任何一种情形。</w:t>
            </w:r>
          </w:p>
          <w:p w14:paraId="50723C93">
            <w:pPr>
              <w:pStyle w:val="11"/>
              <w:spacing w:before="67" w:line="257" w:lineRule="auto"/>
              <w:ind w:right="10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（7）投标人符合第二章“投标人须知”第1.4.5项规定</w:t>
            </w:r>
            <w:r>
              <w:rPr>
                <w:rFonts w:hint="eastAsia" w:cs="宋体"/>
                <w:color w:val="auto"/>
                <w:szCs w:val="21"/>
                <w:highlight w:val="none"/>
                <w:lang w:eastAsia="zh-CN"/>
              </w:rPr>
              <w:t>。</w:t>
            </w:r>
          </w:p>
        </w:tc>
      </w:tr>
      <w:tr w14:paraId="115D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6674F6A0">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2.2.1</w:t>
            </w:r>
          </w:p>
        </w:tc>
        <w:tc>
          <w:tcPr>
            <w:tcW w:w="1230" w:type="dxa"/>
            <w:tcBorders>
              <w:top w:val="single" w:color="auto" w:sz="4" w:space="0"/>
              <w:left w:val="single" w:color="auto" w:sz="4" w:space="0"/>
              <w:bottom w:val="single" w:color="auto" w:sz="4" w:space="0"/>
              <w:right w:val="single" w:color="auto" w:sz="4" w:space="0"/>
            </w:tcBorders>
            <w:vAlign w:val="center"/>
          </w:tcPr>
          <w:p w14:paraId="41CE1E65">
            <w:pPr>
              <w:snapToGrid w:val="0"/>
              <w:spacing w:line="320" w:lineRule="exact"/>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分值构成</w:t>
            </w:r>
          </w:p>
        </w:tc>
        <w:tc>
          <w:tcPr>
            <w:tcW w:w="7011" w:type="dxa"/>
            <w:tcBorders>
              <w:top w:val="single" w:color="auto" w:sz="4" w:space="0"/>
              <w:left w:val="single" w:color="auto" w:sz="4" w:space="0"/>
              <w:bottom w:val="single" w:color="auto" w:sz="4" w:space="0"/>
              <w:right w:val="single" w:color="auto" w:sz="4" w:space="0"/>
            </w:tcBorders>
            <w:vAlign w:val="center"/>
          </w:tcPr>
          <w:p w14:paraId="74F42E76">
            <w:pPr>
              <w:snapToGrid w:val="0"/>
              <w:spacing w:line="320" w:lineRule="exact"/>
              <w:ind w:left="107"/>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第一信封（商务及技术文件）评分分值构成：</w:t>
            </w:r>
          </w:p>
          <w:p w14:paraId="25077801">
            <w:pPr>
              <w:snapToGrid w:val="0"/>
              <w:spacing w:line="320" w:lineRule="exact"/>
              <w:ind w:left="107"/>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技术建议书：35分</w:t>
            </w:r>
            <w:r>
              <w:rPr>
                <w:rFonts w:hint="eastAsia" w:hAnsi="宋体"/>
                <w:color w:val="auto"/>
                <w:highlight w:val="none"/>
                <w:lang w:eastAsia="zh-CN"/>
              </w:rPr>
              <w:t>（</w:t>
            </w:r>
            <w:r>
              <w:rPr>
                <w:rFonts w:hint="eastAsia" w:hAnsi="宋体"/>
                <w:color w:val="auto"/>
                <w:highlight w:val="none"/>
                <w:lang w:val="en-US" w:eastAsia="zh-CN"/>
              </w:rPr>
              <w:t>暗标</w:t>
            </w:r>
            <w:r>
              <w:rPr>
                <w:rFonts w:hint="eastAsia" w:hAnsi="宋体"/>
                <w:color w:val="auto"/>
                <w:highlight w:val="none"/>
                <w:lang w:eastAsia="zh-CN"/>
              </w:rPr>
              <w:t>）</w:t>
            </w:r>
          </w:p>
          <w:p w14:paraId="44C1E9CF">
            <w:pPr>
              <w:snapToGrid w:val="0"/>
              <w:spacing w:line="320" w:lineRule="exact"/>
              <w:ind w:left="107"/>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主要人员：30分</w:t>
            </w:r>
          </w:p>
          <w:p w14:paraId="19C790D2">
            <w:pPr>
              <w:snapToGrid w:val="0"/>
              <w:spacing w:line="320" w:lineRule="exact"/>
              <w:ind w:left="107"/>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其他因素：25分</w:t>
            </w:r>
          </w:p>
          <w:p w14:paraId="64AD4A06">
            <w:pPr>
              <w:snapToGrid w:val="0"/>
              <w:spacing w:line="320" w:lineRule="exact"/>
              <w:ind w:left="107"/>
              <w:jc w:val="left"/>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第二信封（报价文件）评分分值构成：</w:t>
            </w:r>
          </w:p>
          <w:p w14:paraId="76E542A6">
            <w:pPr>
              <w:snapToGrid w:val="0"/>
              <w:spacing w:line="320" w:lineRule="exact"/>
              <w:ind w:left="107"/>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评标价：10分</w:t>
            </w:r>
          </w:p>
        </w:tc>
      </w:tr>
      <w:tr w14:paraId="613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00CA3DF0">
            <w:pPr>
              <w:snapToGrid w:val="0"/>
              <w:spacing w:line="320" w:lineRule="exact"/>
              <w:ind w:right="113"/>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2.2.2</w:t>
            </w:r>
          </w:p>
        </w:tc>
        <w:tc>
          <w:tcPr>
            <w:tcW w:w="1230" w:type="dxa"/>
            <w:tcBorders>
              <w:top w:val="single" w:color="auto" w:sz="4" w:space="0"/>
              <w:left w:val="single" w:color="auto" w:sz="4" w:space="0"/>
              <w:bottom w:val="single" w:color="auto" w:sz="4" w:space="0"/>
              <w:right w:val="single" w:color="auto" w:sz="4" w:space="0"/>
            </w:tcBorders>
            <w:vAlign w:val="center"/>
          </w:tcPr>
          <w:p w14:paraId="23C3A538">
            <w:pPr>
              <w:snapToGrid w:val="0"/>
              <w:spacing w:line="320" w:lineRule="exact"/>
              <w:ind w:left="2"/>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7011" w:type="dxa"/>
            <w:tcBorders>
              <w:top w:val="single" w:color="auto" w:sz="4" w:space="0"/>
              <w:left w:val="single" w:color="auto" w:sz="4" w:space="0"/>
              <w:bottom w:val="single" w:color="auto" w:sz="4" w:space="0"/>
              <w:right w:val="single" w:color="auto" w:sz="4" w:space="0"/>
            </w:tcBorders>
            <w:vAlign w:val="center"/>
          </w:tcPr>
          <w:p w14:paraId="48F30C11">
            <w:pPr>
              <w:snapToGrid w:val="0"/>
              <w:spacing w:line="288" w:lineRule="auto"/>
              <w:ind w:firstLine="420" w:firstLineChars="200"/>
              <w:rPr>
                <w:rFonts w:hint="eastAsia" w:ascii="宋体" w:hAnsi="宋体" w:eastAsia="宋体"/>
                <w:szCs w:val="21"/>
              </w:rPr>
            </w:pPr>
            <w:r>
              <w:rPr>
                <w:rFonts w:hint="eastAsia" w:ascii="宋体" w:hAnsi="宋体" w:eastAsia="宋体"/>
                <w:szCs w:val="21"/>
              </w:rPr>
              <w:t>（1）评标价的确定：</w:t>
            </w:r>
          </w:p>
          <w:p w14:paraId="0557CC26">
            <w:pPr>
              <w:snapToGrid w:val="0"/>
              <w:spacing w:line="288" w:lineRule="auto"/>
              <w:ind w:firstLine="420" w:firstLineChars="200"/>
              <w:rPr>
                <w:rFonts w:hint="eastAsia" w:ascii="宋体" w:hAnsi="宋体" w:eastAsia="宋体"/>
                <w:szCs w:val="21"/>
              </w:rPr>
            </w:pPr>
            <w:r>
              <w:rPr>
                <w:rFonts w:hint="eastAsia" w:ascii="宋体" w:hAnsi="宋体" w:eastAsia="宋体"/>
                <w:szCs w:val="21"/>
              </w:rPr>
              <w:t>评标价=投标函文字报价</w:t>
            </w:r>
          </w:p>
          <w:p w14:paraId="40364665">
            <w:pPr>
              <w:snapToGrid w:val="0"/>
              <w:spacing w:line="288" w:lineRule="auto"/>
              <w:ind w:firstLine="420" w:firstLineChars="200"/>
              <w:rPr>
                <w:rFonts w:hint="eastAsia" w:ascii="宋体" w:hAnsi="宋体" w:eastAsia="宋体"/>
                <w:szCs w:val="21"/>
              </w:rPr>
            </w:pPr>
            <w:r>
              <w:rPr>
                <w:rFonts w:hint="eastAsia" w:ascii="宋体" w:hAnsi="宋体" w:eastAsia="宋体"/>
                <w:szCs w:val="21"/>
              </w:rPr>
              <w:t>（2）评标价平均值的计算：</w:t>
            </w:r>
          </w:p>
          <w:p w14:paraId="03AF6BDC">
            <w:pPr>
              <w:snapToGrid w:val="0"/>
              <w:spacing w:line="288" w:lineRule="auto"/>
              <w:ind w:firstLine="420" w:firstLineChars="200"/>
              <w:rPr>
                <w:rFonts w:hint="eastAsia" w:ascii="宋体" w:hAnsi="宋体" w:eastAsia="宋体"/>
                <w:szCs w:val="21"/>
              </w:rPr>
            </w:pPr>
            <w:r>
              <w:rPr>
                <w:rFonts w:hint="eastAsia" w:ascii="宋体" w:hAnsi="宋体" w:eastAsia="宋体"/>
                <w:szCs w:val="21"/>
              </w:rPr>
              <w:t>除按第二章“投标人须知 ”第 5.2.</w:t>
            </w:r>
            <w:r>
              <w:rPr>
                <w:rFonts w:hint="eastAsia" w:ascii="宋体" w:hAnsi="宋体"/>
                <w:szCs w:val="21"/>
                <w:lang w:val="en-US" w:eastAsia="zh-CN"/>
              </w:rPr>
              <w:t>4</w:t>
            </w:r>
            <w:r>
              <w:rPr>
                <w:rFonts w:hint="eastAsia" w:ascii="宋体" w:hAnsi="宋体" w:eastAsia="宋体"/>
                <w:szCs w:val="21"/>
              </w:rPr>
              <w:t>项规定开标现场被宣布为不进入评标基准价计算的投标报价之外，所有投标人的评标价去掉一个最高值和一个最低值后的算术平均值即为评标价平均值（如果参与评标价平均值计算的有效投标人少于 5 家时，则计算评标价平均值时不去掉最高值和最低值）。</w:t>
            </w:r>
          </w:p>
          <w:p w14:paraId="33BBCF07">
            <w:pPr>
              <w:snapToGrid w:val="0"/>
              <w:spacing w:line="288" w:lineRule="auto"/>
              <w:ind w:firstLine="420" w:firstLineChars="200"/>
              <w:rPr>
                <w:rFonts w:hint="eastAsia" w:ascii="宋体" w:hAnsi="宋体" w:eastAsia="宋体"/>
                <w:szCs w:val="21"/>
              </w:rPr>
            </w:pPr>
            <w:r>
              <w:rPr>
                <w:rFonts w:hint="eastAsia" w:ascii="宋体" w:hAnsi="宋体" w:eastAsia="宋体"/>
                <w:szCs w:val="21"/>
              </w:rPr>
              <w:t>（3）评标基准价的确定：</w:t>
            </w:r>
          </w:p>
          <w:p w14:paraId="207AE6E0">
            <w:pPr>
              <w:snapToGrid w:val="0"/>
              <w:spacing w:line="288" w:lineRule="auto"/>
              <w:ind w:firstLine="420" w:firstLineChars="200"/>
              <w:rPr>
                <w:rFonts w:hint="eastAsia" w:ascii="宋体" w:hAnsi="宋体" w:eastAsia="宋体"/>
                <w:szCs w:val="21"/>
              </w:rPr>
            </w:pPr>
            <w:r>
              <w:rPr>
                <w:rFonts w:hint="eastAsia" w:ascii="宋体" w:hAnsi="宋体" w:eastAsia="宋体"/>
                <w:szCs w:val="21"/>
              </w:rPr>
              <w:t>将评标价平均值直接作为评标基准价，保留两位小数。</w:t>
            </w:r>
          </w:p>
          <w:p w14:paraId="28F9AA74">
            <w:pPr>
              <w:snapToGrid w:val="0"/>
              <w:spacing w:line="288" w:lineRule="auto"/>
              <w:ind w:firstLine="420" w:firstLineChars="200"/>
              <w:rPr>
                <w:rFonts w:hint="eastAsia" w:ascii="宋体" w:hAnsi="宋体" w:cs="宋体"/>
                <w:color w:val="auto"/>
                <w:szCs w:val="21"/>
                <w:highlight w:val="none"/>
              </w:rPr>
            </w:pPr>
            <w:r>
              <w:rPr>
                <w:rFonts w:hint="eastAsia" w:ascii="宋体" w:hAnsi="宋体" w:eastAsia="宋体"/>
                <w:szCs w:val="21"/>
              </w:rPr>
              <w:t>在评标过程中，评标委员会应对招标人计算的评标基准价进行复核， 存在计算错误的应予以修正并在评标报告中作出说明。除此之外，评标基准价在整个评标期间保持不变，不随任何因素发生变化。</w:t>
            </w:r>
          </w:p>
        </w:tc>
      </w:tr>
      <w:tr w14:paraId="7994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19B7E126">
            <w:pPr>
              <w:snapToGrid w:val="0"/>
              <w:spacing w:line="320" w:lineRule="exact"/>
              <w:ind w:right="113"/>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2.2.3</w:t>
            </w:r>
          </w:p>
        </w:tc>
        <w:tc>
          <w:tcPr>
            <w:tcW w:w="1230" w:type="dxa"/>
            <w:tcBorders>
              <w:top w:val="single" w:color="auto" w:sz="4" w:space="0"/>
              <w:left w:val="single" w:color="auto" w:sz="4" w:space="0"/>
              <w:bottom w:val="single" w:color="auto" w:sz="4" w:space="0"/>
              <w:right w:val="single" w:color="auto" w:sz="4" w:space="0"/>
            </w:tcBorders>
            <w:vAlign w:val="center"/>
          </w:tcPr>
          <w:p w14:paraId="7CBE62F2">
            <w:pPr>
              <w:snapToGrid w:val="0"/>
              <w:spacing w:line="320" w:lineRule="exact"/>
              <w:ind w:left="-31" w:leftChars="-15"/>
              <w:textAlignment w:val="baseline"/>
              <w:rPr>
                <w:rFonts w:hint="eastAsia" w:ascii="宋体" w:hAnsi="宋体" w:cs="宋体"/>
                <w:color w:val="auto"/>
                <w:szCs w:val="21"/>
                <w:highlight w:val="none"/>
              </w:rPr>
            </w:pPr>
            <w:r>
              <w:rPr>
                <w:rFonts w:hint="eastAsia" w:ascii="宋体" w:hAnsi="宋体" w:cs="宋体"/>
                <w:color w:val="auto"/>
                <w:szCs w:val="21"/>
                <w:highlight w:val="none"/>
              </w:rPr>
              <w:t>评标价的偏差率计算公式</w:t>
            </w:r>
          </w:p>
        </w:tc>
        <w:tc>
          <w:tcPr>
            <w:tcW w:w="7011" w:type="dxa"/>
            <w:tcBorders>
              <w:top w:val="single" w:color="auto" w:sz="4" w:space="0"/>
              <w:left w:val="single" w:color="auto" w:sz="4" w:space="0"/>
              <w:bottom w:val="single" w:color="auto" w:sz="4" w:space="0"/>
              <w:right w:val="single" w:color="auto" w:sz="4" w:space="0"/>
            </w:tcBorders>
            <w:vAlign w:val="center"/>
          </w:tcPr>
          <w:p w14:paraId="625BABA7">
            <w:pPr>
              <w:snapToGrid w:val="0"/>
              <w:spacing w:line="320" w:lineRule="exact"/>
              <w:ind w:right="113" w:firstLine="426" w:firstLineChars="203"/>
              <w:textAlignment w:val="baseline"/>
              <w:rPr>
                <w:rFonts w:hint="eastAsia" w:ascii="宋体" w:hAnsi="宋体" w:cs="宋体"/>
                <w:color w:val="auto"/>
                <w:szCs w:val="21"/>
                <w:highlight w:val="none"/>
              </w:rPr>
            </w:pPr>
            <w:r>
              <w:rPr>
                <w:rFonts w:hint="eastAsia" w:ascii="宋体" w:hAnsi="宋体" w:cs="宋体"/>
                <w:color w:val="auto"/>
                <w:szCs w:val="21"/>
                <w:highlight w:val="none"/>
              </w:rPr>
              <w:t>偏差率=100%×（投标人评标价-评标基准价）/评标基准价</w:t>
            </w:r>
          </w:p>
        </w:tc>
      </w:tr>
      <w:tr w14:paraId="1319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1DB587D3">
            <w:pPr>
              <w:snapToGrid w:val="0"/>
              <w:spacing w:line="320" w:lineRule="exact"/>
              <w:ind w:right="113"/>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3.5.3</w:t>
            </w:r>
          </w:p>
        </w:tc>
        <w:tc>
          <w:tcPr>
            <w:tcW w:w="8241" w:type="dxa"/>
            <w:gridSpan w:val="2"/>
            <w:tcBorders>
              <w:top w:val="single" w:color="auto" w:sz="4" w:space="0"/>
              <w:left w:val="single" w:color="auto" w:sz="4" w:space="0"/>
              <w:bottom w:val="single" w:color="auto" w:sz="4" w:space="0"/>
              <w:right w:val="single" w:color="auto" w:sz="4" w:space="0"/>
            </w:tcBorders>
            <w:vAlign w:val="center"/>
          </w:tcPr>
          <w:p w14:paraId="5AD38E30">
            <w:pPr>
              <w:snapToGrid w:val="0"/>
              <w:spacing w:line="288" w:lineRule="auto"/>
              <w:ind w:firstLine="420" w:firstLineChars="200"/>
              <w:rPr>
                <w:rFonts w:hint="eastAsia" w:ascii="宋体" w:hAnsi="宋体"/>
                <w:szCs w:val="21"/>
                <w:lang w:val="en-US" w:eastAsia="zh-CN"/>
              </w:rPr>
            </w:pPr>
            <w:r>
              <w:rPr>
                <w:rFonts w:hint="eastAsia" w:ascii="宋体" w:hAnsi="宋体"/>
                <w:szCs w:val="21"/>
                <w:lang w:val="en-US" w:eastAsia="zh-CN"/>
              </w:rPr>
              <w:t>本款修改为：</w:t>
            </w:r>
          </w:p>
          <w:p w14:paraId="3BC4D693">
            <w:pPr>
              <w:snapToGrid w:val="0"/>
              <w:spacing w:line="288" w:lineRule="auto"/>
              <w:ind w:firstLine="420" w:firstLineChars="200"/>
              <w:rPr>
                <w:rFonts w:hint="eastAsia" w:ascii="宋体" w:hAnsi="宋体" w:cs="宋体"/>
                <w:b/>
                <w:bCs/>
                <w:color w:val="auto"/>
                <w:szCs w:val="21"/>
                <w:highlight w:val="none"/>
              </w:rPr>
            </w:pPr>
            <w:r>
              <w:rPr>
                <w:rFonts w:hint="eastAsia" w:ascii="宋体" w:hAnsi="宋体"/>
                <w:szCs w:val="21"/>
              </w:rPr>
              <w:t>存在投标人须知前附表3.2.5项情形的应当要求该投标人作出书面说明并提供相应的证明材料</w:t>
            </w:r>
            <w:r>
              <w:rPr>
                <w:rFonts w:hint="eastAsia" w:ascii="宋体" w:hAnsi="宋体"/>
                <w:szCs w:val="21"/>
                <w:lang w:eastAsia="zh-CN"/>
              </w:rPr>
              <w:t>，</w:t>
            </w:r>
            <w:r>
              <w:rPr>
                <w:rFonts w:hint="eastAsia" w:ascii="宋体" w:hAnsi="宋体"/>
                <w:szCs w:val="21"/>
                <w:lang w:val="en-US" w:eastAsia="zh-CN"/>
              </w:rPr>
              <w:t>并在规定时间内进行答复。</w:t>
            </w:r>
            <w:r>
              <w:rPr>
                <w:rFonts w:hint="eastAsia" w:ascii="宋体" w:hAnsi="宋体"/>
                <w:szCs w:val="21"/>
              </w:rPr>
              <w:t>投标人不能合理说明或者不能提供相应证明材料的，评标委员会应当认定该投标人以低于成本或影响履约的异常低价竞标，否决其投标。</w:t>
            </w:r>
          </w:p>
        </w:tc>
      </w:tr>
      <w:tr w14:paraId="7845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6ED04D27">
            <w:pPr>
              <w:snapToGrid w:val="0"/>
              <w:spacing w:line="320" w:lineRule="exact"/>
              <w:ind w:right="113"/>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3.6.1</w:t>
            </w:r>
          </w:p>
        </w:tc>
        <w:tc>
          <w:tcPr>
            <w:tcW w:w="1230" w:type="dxa"/>
            <w:tcBorders>
              <w:top w:val="single" w:color="auto" w:sz="4" w:space="0"/>
              <w:left w:val="single" w:color="auto" w:sz="4" w:space="0"/>
              <w:bottom w:val="single" w:color="auto" w:sz="4" w:space="0"/>
              <w:right w:val="single" w:color="auto" w:sz="4" w:space="0"/>
            </w:tcBorders>
            <w:vAlign w:val="center"/>
          </w:tcPr>
          <w:p w14:paraId="2B787C09">
            <w:pPr>
              <w:snapToGrid w:val="0"/>
              <w:spacing w:line="320" w:lineRule="exact"/>
              <w:ind w:left="-31" w:leftChars="-15"/>
              <w:textAlignment w:val="baseline"/>
              <w:rPr>
                <w:rFonts w:hint="eastAsia" w:ascii="宋体" w:hAnsi="宋体" w:cs="宋体"/>
                <w:color w:val="auto"/>
                <w:szCs w:val="21"/>
                <w:highlight w:val="none"/>
              </w:rPr>
            </w:pPr>
            <w:r>
              <w:rPr>
                <w:rFonts w:hint="eastAsia" w:ascii="宋体" w:hAnsi="宋体" w:cs="宋体"/>
                <w:color w:val="auto"/>
                <w:szCs w:val="21"/>
                <w:highlight w:val="none"/>
              </w:rPr>
              <w:t>投标文件相关信息的核查</w:t>
            </w:r>
          </w:p>
        </w:tc>
        <w:tc>
          <w:tcPr>
            <w:tcW w:w="7011" w:type="dxa"/>
            <w:tcBorders>
              <w:top w:val="single" w:color="auto" w:sz="4" w:space="0"/>
              <w:left w:val="single" w:color="auto" w:sz="4" w:space="0"/>
              <w:bottom w:val="single" w:color="auto" w:sz="4" w:space="0"/>
              <w:right w:val="single" w:color="auto" w:sz="4" w:space="0"/>
            </w:tcBorders>
            <w:vAlign w:val="center"/>
          </w:tcPr>
          <w:p w14:paraId="0DB9B3EA">
            <w:pPr>
              <w:adjustRightInd w:val="0"/>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在评标过程中，评标委员会应对以下信息进行查询：</w:t>
            </w:r>
          </w:p>
          <w:p w14:paraId="6D2152C8">
            <w:pPr>
              <w:wordWrap w:val="0"/>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（1）投标人名称和资质与“全国公路建设市场监督管理系统（https://hwdms.mot.gov.cn/BMWebSite/）”的复核结果一致，并满足招标文件要求；</w:t>
            </w:r>
          </w:p>
          <w:p w14:paraId="5527C938">
            <w:pPr>
              <w:wordWrap w:val="0"/>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（2）投标人的类似项目业绩符合招标文件规定，所附相关项目详细信息网页截图扫描件与“全国公路建设市场监督管理系统（https://hwdms.mot.gov.cn/BMWebSite/）”的复核结果一致，并满足招标文件要求；</w:t>
            </w:r>
          </w:p>
          <w:p w14:paraId="4D9CFBB5">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（3）所附总监理工程师在投标单位</w:t>
            </w:r>
            <w:r>
              <w:rPr>
                <w:rFonts w:hint="eastAsia" w:ascii="宋体" w:hAnsi="宋体" w:eastAsia="宋体" w:cs="宋体"/>
                <w:color w:val="auto"/>
                <w:kern w:val="0"/>
                <w:sz w:val="21"/>
                <w:szCs w:val="21"/>
                <w:highlight w:val="none"/>
                <w:lang w:val="en-US" w:eastAsia="zh-CN" w:bidi="ar"/>
              </w:rPr>
              <w:t>岗位登记信息（执业资格、履历信息等）和业绩</w:t>
            </w:r>
            <w:r>
              <w:rPr>
                <w:rFonts w:hint="eastAsia" w:ascii="宋体" w:hAnsi="宋体" w:cs="宋体"/>
                <w:color w:val="auto"/>
                <w:szCs w:val="21"/>
                <w:highlight w:val="none"/>
              </w:rPr>
              <w:t>的网页截图扫描件与“全国公路建设市场监督管理系统（https://hwdms.mot.gov.cn/BMWebSite/）”的复核结果一致，并满足招标文件要求；</w:t>
            </w:r>
          </w:p>
          <w:p w14:paraId="2B171A93">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委员会评标时在“国家企业信用信息公示系统（http://www.gsxt.gov.cn/)”对投标人的信用情况进行查询，若投标人存在被列入“严重违法失信名单（黑名单）”情形的（不含分公司），评标委员会应否决其投标。</w:t>
            </w:r>
          </w:p>
          <w:p w14:paraId="7C89958C">
            <w:pPr>
              <w:snapToGrid w:val="0"/>
              <w:spacing w:line="320" w:lineRule="exact"/>
              <w:ind w:firstLine="420" w:firstLineChars="200"/>
              <w:rPr>
                <w:rFonts w:hint="eastAsia" w:ascii="宋体" w:hAnsi="宋体" w:cs="宋体"/>
                <w:color w:val="auto"/>
                <w:sz w:val="21"/>
                <w:szCs w:val="21"/>
                <w:highlight w:val="none"/>
              </w:rPr>
            </w:pPr>
            <w:r>
              <w:rPr>
                <w:rFonts w:hint="eastAsia" w:ascii="宋体" w:hAnsi="宋体" w:cs="Arial"/>
                <w:color w:val="auto"/>
                <w:kern w:val="0"/>
                <w:sz w:val="21"/>
                <w:szCs w:val="21"/>
                <w:highlight w:val="none"/>
                <w:lang w:val="en-US" w:eastAsia="zh-CN"/>
              </w:rPr>
              <w:t>在“中国执行信息公开网”</w:t>
            </w:r>
            <w:r>
              <w:rPr>
                <w:rFonts w:hint="eastAsia" w:ascii="宋体" w:hAnsi="宋体" w:cs="宋体"/>
                <w:color w:val="auto"/>
                <w:szCs w:val="21"/>
                <w:highlight w:val="none"/>
              </w:rPr>
              <w:t>对投标人的信用情况进行查询，若投标人存在被列入“失信被执行人”情形的（不含分公司），评标委员会应否决其投标。</w:t>
            </w:r>
          </w:p>
          <w:p w14:paraId="3FB3CE09">
            <w:pPr>
              <w:snapToGrid w:val="0"/>
              <w:spacing w:line="3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信用中国网站（http://www.creditchina.gov.cn/)”对投标人的信用情况进行查询，若投标人存在被列入“经营（活动）异常名录、重大税收违法失信主体、政府采购严重违法失信行为记录名单、安全生产严重失信主体名单”情形的（均不含分公司），评标委员会应否决其投标。</w:t>
            </w:r>
          </w:p>
          <w:p w14:paraId="48C85AEA">
            <w:pPr>
              <w:snapToGrid w:val="0"/>
              <w:spacing w:line="320" w:lineRule="exact"/>
              <w:ind w:right="113" w:firstLine="420" w:firstLineChars="200"/>
              <w:textAlignment w:val="baseline"/>
              <w:rPr>
                <w:rFonts w:hint="eastAsia" w:ascii="宋体" w:hAnsi="宋体" w:cs="宋体"/>
                <w:color w:val="auto"/>
                <w:szCs w:val="21"/>
                <w:highlight w:val="none"/>
              </w:rPr>
            </w:pPr>
            <w:r>
              <w:rPr>
                <w:rFonts w:hint="eastAsia" w:ascii="宋体" w:hAnsi="宋体" w:cs="宋体"/>
                <w:color w:val="auto"/>
                <w:szCs w:val="21"/>
                <w:highlight w:val="none"/>
              </w:rPr>
              <w:t>注：前述（1）、（2）、（3）、（4）项如投标人未提供相关网页截图或所附截图与复核结果不符，使得投标人的资格条件不符合招标文件规定的，评标委员会应否决其投标。</w:t>
            </w:r>
          </w:p>
          <w:p w14:paraId="5FF1E6F3">
            <w:pPr>
              <w:snapToGrid w:val="0"/>
              <w:spacing w:line="320" w:lineRule="exact"/>
              <w:ind w:right="113" w:firstLine="420" w:firstLineChars="200"/>
              <w:textAlignment w:val="baseline"/>
              <w:rPr>
                <w:color w:val="auto"/>
                <w:highlight w:val="none"/>
              </w:rPr>
            </w:pPr>
            <w:r>
              <w:rPr>
                <w:rFonts w:hint="eastAsia" w:ascii="宋体" w:hAnsi="宋体" w:cs="宋体"/>
                <w:color w:val="auto"/>
                <w:szCs w:val="21"/>
                <w:highlight w:val="none"/>
              </w:rPr>
              <w:t>投标人应当及时核查并更新相应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14:paraId="09E03FAF">
            <w:pPr>
              <w:snapToGrid w:val="0"/>
              <w:spacing w:line="320" w:lineRule="exact"/>
              <w:ind w:right="113" w:firstLine="420" w:firstLineChars="200"/>
              <w:textAlignment w:val="baseline"/>
              <w:rPr>
                <w:color w:val="auto"/>
                <w:highlight w:val="none"/>
              </w:rPr>
            </w:pPr>
            <w:r>
              <w:rPr>
                <w:rFonts w:hint="eastAsia" w:asciiTheme="minorEastAsia" w:hAnsiTheme="minorEastAsia" w:eastAsiaTheme="minorEastAsia"/>
                <w:strike w:val="0"/>
                <w:dstrike w:val="0"/>
                <w:color w:val="auto"/>
                <w:szCs w:val="21"/>
                <w:highlight w:val="none"/>
              </w:rPr>
              <w:t>（5）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r w14:paraId="3CB1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3" w:type="dxa"/>
            <w:tcBorders>
              <w:top w:val="single" w:color="auto" w:sz="4" w:space="0"/>
              <w:left w:val="single" w:color="auto" w:sz="4" w:space="0"/>
              <w:bottom w:val="single" w:color="auto" w:sz="4" w:space="0"/>
              <w:right w:val="single" w:color="auto" w:sz="4" w:space="0"/>
            </w:tcBorders>
            <w:vAlign w:val="center"/>
          </w:tcPr>
          <w:p w14:paraId="4F1BBFD3">
            <w:pPr>
              <w:snapToGrid w:val="0"/>
              <w:spacing w:line="320" w:lineRule="exact"/>
              <w:ind w:right="113"/>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3.6.3</w:t>
            </w:r>
          </w:p>
        </w:tc>
        <w:tc>
          <w:tcPr>
            <w:tcW w:w="8241" w:type="dxa"/>
            <w:gridSpan w:val="2"/>
            <w:tcBorders>
              <w:top w:val="single" w:color="auto" w:sz="4" w:space="0"/>
              <w:left w:val="single" w:color="auto" w:sz="4" w:space="0"/>
              <w:bottom w:val="single" w:color="auto" w:sz="4" w:space="0"/>
              <w:right w:val="single" w:color="auto" w:sz="4" w:space="0"/>
            </w:tcBorders>
            <w:vAlign w:val="center"/>
          </w:tcPr>
          <w:p w14:paraId="1621E5E8">
            <w:pPr>
              <w:snapToGrid w:val="0"/>
              <w:spacing w:line="288" w:lineRule="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本款增加：</w:t>
            </w:r>
          </w:p>
          <w:p w14:paraId="0E979080">
            <w:pPr>
              <w:snapToGrid w:val="0"/>
              <w:spacing w:line="288" w:lineRule="auto"/>
              <w:ind w:firstLine="420" w:firstLineChars="200"/>
              <w:rPr>
                <w:rFonts w:hint="eastAsia" w:ascii="宋体" w:hAnsi="宋体"/>
                <w:szCs w:val="21"/>
                <w:lang w:val="en-US" w:eastAsia="zh-CN"/>
              </w:rPr>
            </w:pPr>
            <w:r>
              <w:rPr>
                <w:rFonts w:hint="eastAsia" w:ascii="宋体" w:hAnsi="宋体"/>
                <w:szCs w:val="21"/>
                <w:lang w:val="en-US" w:eastAsia="zh-CN"/>
              </w:rPr>
              <w:t>（1）投标人存在投标人须知前附表4.4(1)、(3)项规定的情形。</w:t>
            </w:r>
          </w:p>
          <w:p w14:paraId="11405348">
            <w:pPr>
              <w:snapToGrid w:val="0"/>
              <w:spacing w:line="288" w:lineRule="auto"/>
              <w:ind w:firstLine="420" w:firstLineChars="200"/>
              <w:rPr>
                <w:rFonts w:hint="default" w:asciiTheme="minorEastAsia" w:hAnsiTheme="minorEastAsia" w:eastAsiaTheme="minorEastAsia"/>
                <w:color w:val="auto"/>
                <w:szCs w:val="21"/>
                <w:highlight w:val="none"/>
                <w:lang w:val="en-US" w:eastAsia="zh-CN"/>
              </w:rPr>
            </w:pPr>
            <w:r>
              <w:rPr>
                <w:rFonts w:hint="eastAsia" w:ascii="宋体" w:hAnsi="宋体" w:eastAsia="宋体"/>
                <w:szCs w:val="21"/>
                <w:lang w:val="en-US" w:eastAsia="zh-CN"/>
              </w:rPr>
              <w:t>（</w:t>
            </w:r>
            <w:r>
              <w:rPr>
                <w:rFonts w:hint="eastAsia" w:ascii="宋体" w:hAnsi="宋体"/>
                <w:szCs w:val="21"/>
                <w:lang w:val="en-US" w:eastAsia="zh-CN"/>
              </w:rPr>
              <w:t>1</w:t>
            </w:r>
            <w:r>
              <w:rPr>
                <w:rFonts w:hint="eastAsia" w:ascii="宋体" w:hAnsi="宋体" w:eastAsia="宋体"/>
                <w:szCs w:val="21"/>
                <w:lang w:val="en-US" w:eastAsia="zh-CN"/>
              </w:rPr>
              <w:t>）投标人存在投标人须知前附表4.4(2)项规定情形，评标委员会应当通知投标人在规定时间内做出解释说明。如投标人在规定时</w:t>
            </w:r>
            <w:r>
              <w:rPr>
                <w:rFonts w:hint="eastAsia" w:ascii="宋体" w:hAnsi="宋体" w:eastAsia="宋体"/>
                <w:szCs w:val="21"/>
                <w:highlight w:val="none"/>
                <w:lang w:val="en-US" w:eastAsia="zh-CN"/>
              </w:rPr>
              <w:t>间内无法提供合理解释说明，评标委员会认为存在</w:t>
            </w:r>
            <w:r>
              <w:rPr>
                <w:rFonts w:hint="eastAsia" w:ascii="宋体" w:hAnsi="宋体" w:eastAsia="宋体" w:cs="宋体"/>
                <w:snapToGrid w:val="0"/>
                <w:color w:val="auto"/>
                <w:sz w:val="21"/>
                <w:szCs w:val="21"/>
                <w:highlight w:val="none"/>
              </w:rPr>
              <w:t>其他异常投标情形</w:t>
            </w:r>
            <w:r>
              <w:rPr>
                <w:rFonts w:hint="eastAsia" w:ascii="宋体" w:hAnsi="宋体" w:eastAsia="宋体"/>
                <w:szCs w:val="21"/>
                <w:highlight w:val="none"/>
                <w:lang w:val="en-US" w:eastAsia="zh-CN"/>
              </w:rPr>
              <w:t>，应否决其投标。</w:t>
            </w:r>
          </w:p>
        </w:tc>
      </w:tr>
    </w:tbl>
    <w:p w14:paraId="57AA3D75">
      <w:pPr>
        <w:pStyle w:val="3"/>
        <w:rPr>
          <w:color w:val="auto"/>
          <w:highlight w:val="none"/>
        </w:rPr>
      </w:pPr>
    </w:p>
    <w:p w14:paraId="21CEAF04">
      <w:pPr>
        <w:pStyle w:val="3"/>
        <w:rPr>
          <w:color w:val="auto"/>
          <w:highlight w:val="none"/>
        </w:rPr>
      </w:pPr>
      <w:r>
        <w:rPr>
          <w:color w:val="auto"/>
          <w:highlight w:val="none"/>
        </w:rPr>
        <w:br w:type="page"/>
      </w:r>
    </w:p>
    <w:p w14:paraId="1D273B63">
      <w:pPr>
        <w:pStyle w:val="4"/>
        <w:spacing w:line="360" w:lineRule="auto"/>
        <w:rPr>
          <w:rFonts w:hint="eastAsia" w:hAnsi="宋体"/>
          <w:b/>
          <w:color w:val="auto"/>
          <w:highlight w:val="none"/>
        </w:rPr>
      </w:pPr>
      <w:r>
        <w:rPr>
          <w:rFonts w:hint="eastAsia" w:hAnsi="宋体"/>
          <w:color w:val="auto"/>
          <w:sz w:val="24"/>
          <w:highlight w:val="none"/>
        </w:rPr>
        <w:t>具体评分标准如下：</w:t>
      </w:r>
    </w:p>
    <w:tbl>
      <w:tblPr>
        <w:tblStyle w:val="5"/>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36"/>
        <w:gridCol w:w="732"/>
        <w:gridCol w:w="1355"/>
        <w:gridCol w:w="708"/>
        <w:gridCol w:w="1276"/>
        <w:gridCol w:w="4359"/>
      </w:tblGrid>
      <w:tr w14:paraId="73DD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133" w:type="dxa"/>
            <w:gridSpan w:val="5"/>
            <w:tcBorders>
              <w:top w:val="single" w:color="auto" w:sz="4" w:space="0"/>
              <w:left w:val="single" w:color="auto" w:sz="4" w:space="0"/>
              <w:bottom w:val="single" w:color="auto" w:sz="4" w:space="0"/>
              <w:right w:val="single" w:color="auto" w:sz="4" w:space="0"/>
            </w:tcBorders>
            <w:vAlign w:val="center"/>
          </w:tcPr>
          <w:p w14:paraId="412BF2E1">
            <w:pPr>
              <w:pStyle w:val="4"/>
              <w:spacing w:line="160" w:lineRule="atLeast"/>
              <w:jc w:val="center"/>
              <w:textAlignment w:val="baseline"/>
              <w:rPr>
                <w:rFonts w:hint="eastAsia" w:hAnsi="宋体"/>
                <w:color w:val="auto"/>
                <w:szCs w:val="20"/>
                <w:highlight w:val="none"/>
              </w:rPr>
            </w:pPr>
            <w:r>
              <w:rPr>
                <w:rFonts w:hint="eastAsia" w:hAnsi="宋体"/>
                <w:color w:val="auto"/>
                <w:highlight w:val="none"/>
              </w:rPr>
              <w:t>评分因素与权重分值</w:t>
            </w:r>
          </w:p>
        </w:tc>
        <w:tc>
          <w:tcPr>
            <w:tcW w:w="5635" w:type="dxa"/>
            <w:gridSpan w:val="2"/>
            <w:vMerge w:val="restart"/>
            <w:tcBorders>
              <w:top w:val="single" w:color="auto" w:sz="4" w:space="0"/>
              <w:left w:val="single" w:color="auto" w:sz="4" w:space="0"/>
              <w:bottom w:val="single" w:color="auto" w:sz="4" w:space="0"/>
              <w:right w:val="single" w:color="auto" w:sz="4" w:space="0"/>
            </w:tcBorders>
            <w:vAlign w:val="center"/>
          </w:tcPr>
          <w:p w14:paraId="2775FA50">
            <w:pPr>
              <w:pStyle w:val="4"/>
              <w:spacing w:line="160" w:lineRule="atLeast"/>
              <w:jc w:val="center"/>
              <w:textAlignment w:val="baseline"/>
              <w:rPr>
                <w:rFonts w:hint="eastAsia" w:hAnsi="宋体"/>
                <w:color w:val="auto"/>
                <w:highlight w:val="none"/>
              </w:rPr>
            </w:pPr>
            <w:r>
              <w:rPr>
                <w:rFonts w:hint="eastAsia" w:hAnsi="宋体"/>
                <w:color w:val="auto"/>
                <w:highlight w:val="none"/>
              </w:rPr>
              <w:t>评分标准</w:t>
            </w:r>
          </w:p>
        </w:tc>
      </w:tr>
      <w:tr w14:paraId="1797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2" w:type="dxa"/>
            <w:tcBorders>
              <w:top w:val="single" w:color="auto" w:sz="4" w:space="0"/>
              <w:left w:val="single" w:color="auto" w:sz="4" w:space="0"/>
              <w:bottom w:val="single" w:color="auto" w:sz="4" w:space="0"/>
              <w:right w:val="single" w:color="auto" w:sz="4" w:space="0"/>
            </w:tcBorders>
            <w:vAlign w:val="center"/>
          </w:tcPr>
          <w:p w14:paraId="6A5D97DB">
            <w:pPr>
              <w:pStyle w:val="4"/>
              <w:spacing w:line="160" w:lineRule="atLeast"/>
              <w:jc w:val="center"/>
              <w:textAlignment w:val="baseline"/>
              <w:rPr>
                <w:rFonts w:hint="eastAsia" w:hAnsi="宋体"/>
                <w:color w:val="auto"/>
                <w:highlight w:val="none"/>
              </w:rPr>
            </w:pPr>
            <w:r>
              <w:rPr>
                <w:rFonts w:hint="eastAsia" w:hAnsi="宋体"/>
                <w:color w:val="auto"/>
                <w:highlight w:val="none"/>
              </w:rPr>
              <w:t>条款号</w:t>
            </w:r>
          </w:p>
        </w:tc>
        <w:tc>
          <w:tcPr>
            <w:tcW w:w="636" w:type="dxa"/>
            <w:tcBorders>
              <w:top w:val="single" w:color="auto" w:sz="4" w:space="0"/>
              <w:left w:val="single" w:color="auto" w:sz="4" w:space="0"/>
              <w:bottom w:val="single" w:color="auto" w:sz="4" w:space="0"/>
              <w:right w:val="single" w:color="auto" w:sz="4" w:space="0"/>
            </w:tcBorders>
            <w:vAlign w:val="center"/>
          </w:tcPr>
          <w:p w14:paraId="73679AA0">
            <w:pPr>
              <w:pStyle w:val="4"/>
              <w:spacing w:line="160" w:lineRule="atLeast"/>
              <w:jc w:val="center"/>
              <w:textAlignment w:val="baseline"/>
              <w:rPr>
                <w:rFonts w:hint="eastAsia" w:hAnsi="宋体"/>
                <w:color w:val="auto"/>
                <w:highlight w:val="none"/>
              </w:rPr>
            </w:pPr>
            <w:r>
              <w:rPr>
                <w:rFonts w:hint="eastAsia" w:hAnsi="宋体"/>
                <w:color w:val="auto"/>
                <w:highlight w:val="none"/>
              </w:rPr>
              <w:t>评分因素</w:t>
            </w:r>
          </w:p>
        </w:tc>
        <w:tc>
          <w:tcPr>
            <w:tcW w:w="732" w:type="dxa"/>
            <w:tcBorders>
              <w:top w:val="single" w:color="auto" w:sz="4" w:space="0"/>
              <w:left w:val="single" w:color="auto" w:sz="4" w:space="0"/>
              <w:bottom w:val="single" w:color="auto" w:sz="4" w:space="0"/>
              <w:right w:val="single" w:color="auto" w:sz="4" w:space="0"/>
            </w:tcBorders>
            <w:vAlign w:val="center"/>
          </w:tcPr>
          <w:p w14:paraId="4658DF37">
            <w:pPr>
              <w:pStyle w:val="4"/>
              <w:spacing w:line="160" w:lineRule="atLeast"/>
              <w:ind w:left="-40" w:leftChars="-19" w:firstLine="1"/>
              <w:jc w:val="center"/>
              <w:textAlignment w:val="baseline"/>
              <w:rPr>
                <w:rFonts w:hint="eastAsia" w:hAnsi="宋体"/>
                <w:color w:val="auto"/>
                <w:highlight w:val="none"/>
              </w:rPr>
            </w:pPr>
            <w:r>
              <w:rPr>
                <w:rFonts w:hint="eastAsia" w:hAnsi="宋体"/>
                <w:color w:val="auto"/>
                <w:highlight w:val="none"/>
              </w:rPr>
              <w:t>评分因素权重分值</w:t>
            </w:r>
          </w:p>
        </w:tc>
        <w:tc>
          <w:tcPr>
            <w:tcW w:w="1355" w:type="dxa"/>
            <w:tcBorders>
              <w:top w:val="single" w:color="auto" w:sz="4" w:space="0"/>
              <w:left w:val="single" w:color="auto" w:sz="4" w:space="0"/>
              <w:bottom w:val="single" w:color="auto" w:sz="4" w:space="0"/>
              <w:right w:val="single" w:color="auto" w:sz="4" w:space="0"/>
            </w:tcBorders>
            <w:vAlign w:val="center"/>
          </w:tcPr>
          <w:p w14:paraId="3684F037">
            <w:pPr>
              <w:pStyle w:val="4"/>
              <w:spacing w:line="160" w:lineRule="atLeast"/>
              <w:jc w:val="center"/>
              <w:textAlignment w:val="baseline"/>
              <w:rPr>
                <w:rFonts w:hint="eastAsia" w:hAnsi="宋体"/>
                <w:color w:val="auto"/>
                <w:highlight w:val="none"/>
              </w:rPr>
            </w:pPr>
            <w:r>
              <w:rPr>
                <w:rStyle w:val="12"/>
                <w:rFonts w:hint="default"/>
                <w:color w:val="auto"/>
                <w:highlight w:val="none"/>
              </w:rPr>
              <w:t>各评分因素细分项</w:t>
            </w:r>
          </w:p>
        </w:tc>
        <w:tc>
          <w:tcPr>
            <w:tcW w:w="708" w:type="dxa"/>
            <w:tcBorders>
              <w:top w:val="single" w:color="auto" w:sz="4" w:space="0"/>
              <w:left w:val="single" w:color="auto" w:sz="4" w:space="0"/>
              <w:bottom w:val="single" w:color="auto" w:sz="4" w:space="0"/>
              <w:right w:val="single" w:color="auto" w:sz="4" w:space="0"/>
            </w:tcBorders>
            <w:vAlign w:val="center"/>
          </w:tcPr>
          <w:p w14:paraId="6304AF18">
            <w:pPr>
              <w:pStyle w:val="4"/>
              <w:spacing w:line="160" w:lineRule="atLeast"/>
              <w:jc w:val="center"/>
              <w:textAlignment w:val="baseline"/>
              <w:rPr>
                <w:rFonts w:hint="eastAsia" w:hAnsi="宋体"/>
                <w:color w:val="auto"/>
                <w:highlight w:val="none"/>
              </w:rPr>
            </w:pPr>
            <w:r>
              <w:rPr>
                <w:rFonts w:hint="eastAsia" w:hAnsi="宋体"/>
                <w:color w:val="auto"/>
                <w:highlight w:val="none"/>
              </w:rPr>
              <w:t>分值</w:t>
            </w:r>
          </w:p>
        </w:tc>
        <w:tc>
          <w:tcPr>
            <w:tcW w:w="5635" w:type="dxa"/>
            <w:gridSpan w:val="2"/>
            <w:vMerge w:val="continue"/>
            <w:tcBorders>
              <w:top w:val="single" w:color="auto" w:sz="4" w:space="0"/>
              <w:left w:val="single" w:color="auto" w:sz="4" w:space="0"/>
              <w:bottom w:val="single" w:color="auto" w:sz="4" w:space="0"/>
              <w:right w:val="single" w:color="auto" w:sz="4" w:space="0"/>
            </w:tcBorders>
            <w:vAlign w:val="center"/>
          </w:tcPr>
          <w:p w14:paraId="10982FA0">
            <w:pPr>
              <w:widowControl/>
              <w:jc w:val="left"/>
              <w:rPr>
                <w:rFonts w:hint="eastAsia" w:ascii="宋体" w:hAnsi="宋体" w:cs="Courier New" w:eastAsiaTheme="minorEastAsia"/>
                <w:color w:val="auto"/>
                <w:szCs w:val="21"/>
                <w:highlight w:val="none"/>
              </w:rPr>
            </w:pPr>
          </w:p>
        </w:tc>
      </w:tr>
      <w:tr w14:paraId="2C51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2" w:type="dxa"/>
            <w:vMerge w:val="restart"/>
            <w:tcBorders>
              <w:top w:val="single" w:color="auto" w:sz="4" w:space="0"/>
              <w:left w:val="single" w:color="auto" w:sz="4" w:space="0"/>
              <w:bottom w:val="single" w:color="auto" w:sz="4" w:space="0"/>
              <w:right w:val="single" w:color="auto" w:sz="4" w:space="0"/>
            </w:tcBorders>
            <w:vAlign w:val="center"/>
          </w:tcPr>
          <w:p w14:paraId="153226B2">
            <w:pPr>
              <w:pStyle w:val="4"/>
              <w:spacing w:line="160" w:lineRule="atLeast"/>
              <w:jc w:val="center"/>
              <w:textAlignment w:val="baseline"/>
              <w:rPr>
                <w:rFonts w:hint="eastAsia" w:hAnsi="宋体"/>
                <w:color w:val="auto"/>
                <w:highlight w:val="none"/>
              </w:rPr>
            </w:pPr>
            <w:r>
              <w:rPr>
                <w:rFonts w:hint="eastAsia" w:hAnsi="宋体"/>
                <w:color w:val="auto"/>
                <w:highlight w:val="none"/>
              </w:rPr>
              <w:t>2.2.4（1）</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27435B25">
            <w:pPr>
              <w:pStyle w:val="4"/>
              <w:spacing w:line="160" w:lineRule="atLeast"/>
              <w:jc w:val="center"/>
              <w:textAlignment w:val="baseline"/>
              <w:rPr>
                <w:rFonts w:hint="eastAsia" w:hAnsi="宋体"/>
                <w:color w:val="auto"/>
                <w:highlight w:val="none"/>
              </w:rPr>
            </w:pPr>
            <w:r>
              <w:rPr>
                <w:rFonts w:hint="eastAsia" w:hAnsi="宋体"/>
                <w:color w:val="auto"/>
                <w:highlight w:val="none"/>
              </w:rPr>
              <w:t>技术建议书</w:t>
            </w:r>
          </w:p>
          <w:p w14:paraId="058FD84D">
            <w:pPr>
              <w:pStyle w:val="4"/>
              <w:spacing w:line="160" w:lineRule="atLeast"/>
              <w:jc w:val="center"/>
              <w:textAlignment w:val="baseline"/>
              <w:rPr>
                <w:rFonts w:hint="eastAsia" w:hAnsi="宋体" w:eastAsiaTheme="minorEastAsia"/>
                <w:color w:val="auto"/>
                <w:highlight w:val="none"/>
                <w:lang w:eastAsia="zh-CN"/>
              </w:rPr>
            </w:pPr>
            <w:r>
              <w:rPr>
                <w:rFonts w:hint="eastAsia" w:hAnsi="宋体"/>
                <w:color w:val="auto"/>
                <w:highlight w:val="none"/>
                <w:lang w:eastAsia="zh-CN"/>
              </w:rPr>
              <w:t>（</w:t>
            </w:r>
            <w:r>
              <w:rPr>
                <w:rFonts w:hint="eastAsia" w:hAnsi="宋体"/>
                <w:color w:val="auto"/>
                <w:highlight w:val="none"/>
                <w:lang w:val="en-US" w:eastAsia="zh-CN"/>
              </w:rPr>
              <w:t>暗标</w:t>
            </w:r>
            <w:r>
              <w:rPr>
                <w:rFonts w:hint="eastAsia" w:hAnsi="宋体"/>
                <w:color w:val="auto"/>
                <w:highlight w:val="none"/>
                <w:lang w:eastAsia="zh-CN"/>
              </w:rPr>
              <w:t>）</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14:paraId="5B527790">
            <w:pPr>
              <w:pStyle w:val="4"/>
              <w:spacing w:line="160" w:lineRule="atLeast"/>
              <w:jc w:val="center"/>
              <w:textAlignment w:val="baseline"/>
              <w:rPr>
                <w:rFonts w:hint="eastAsia" w:hAnsi="宋体"/>
                <w:color w:val="auto"/>
                <w:highlight w:val="none"/>
              </w:rPr>
            </w:pPr>
            <w:r>
              <w:rPr>
                <w:rFonts w:hint="eastAsia" w:hAnsi="宋体"/>
                <w:color w:val="auto"/>
                <w:highlight w:val="none"/>
              </w:rPr>
              <w:t>35分</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53D221C0">
            <w:pPr>
              <w:pStyle w:val="4"/>
              <w:spacing w:line="160" w:lineRule="atLeast"/>
              <w:jc w:val="center"/>
              <w:textAlignment w:val="baseline"/>
              <w:rPr>
                <w:rFonts w:hint="eastAsia" w:hAnsi="宋体"/>
                <w:color w:val="auto"/>
                <w:highlight w:val="none"/>
              </w:rPr>
            </w:pPr>
            <w:r>
              <w:rPr>
                <w:rFonts w:hint="eastAsia" w:hAnsi="宋体"/>
                <w:color w:val="auto"/>
                <w:highlight w:val="none"/>
              </w:rPr>
              <w:t>监理大纲和措施</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012EE00C">
            <w:pPr>
              <w:pStyle w:val="4"/>
              <w:spacing w:line="160" w:lineRule="atLeast"/>
              <w:ind w:left="33" w:leftChars="-48" w:hanging="134" w:hangingChars="64"/>
              <w:jc w:val="center"/>
              <w:textAlignment w:val="baseline"/>
              <w:rPr>
                <w:rFonts w:hint="eastAsia" w:hAnsi="宋体"/>
                <w:color w:val="auto"/>
                <w:highlight w:val="none"/>
              </w:rPr>
            </w:pPr>
            <w:r>
              <w:rPr>
                <w:rFonts w:hAnsi="宋体"/>
                <w:color w:val="auto"/>
                <w:highlight w:val="none"/>
              </w:rPr>
              <w:t>25</w:t>
            </w:r>
            <w:r>
              <w:rPr>
                <w:rFonts w:hint="eastAsia" w:hAnsi="宋体"/>
                <w:color w:val="auto"/>
                <w:highlight w:val="none"/>
              </w:rPr>
              <w:t>分</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7A27BDCF">
            <w:pPr>
              <w:pStyle w:val="4"/>
              <w:spacing w:line="160" w:lineRule="atLeast"/>
              <w:jc w:val="center"/>
              <w:textAlignment w:val="baseline"/>
              <w:rPr>
                <w:rFonts w:hint="eastAsia" w:hAnsi="宋体"/>
                <w:color w:val="auto"/>
                <w:highlight w:val="none"/>
              </w:rPr>
            </w:pPr>
            <w:r>
              <w:rPr>
                <w:rFonts w:hint="eastAsia" w:hAnsi="宋体"/>
                <w:color w:val="auto"/>
                <w:highlight w:val="none"/>
              </w:rPr>
              <w:t>对本招标项目监理工作范围和任务理解(5分)</w:t>
            </w:r>
          </w:p>
        </w:tc>
        <w:tc>
          <w:tcPr>
            <w:tcW w:w="4359" w:type="dxa"/>
            <w:tcBorders>
              <w:top w:val="single" w:color="auto" w:sz="4" w:space="0"/>
              <w:left w:val="single" w:color="auto" w:sz="4" w:space="0"/>
              <w:bottom w:val="single" w:color="auto" w:sz="4" w:space="0"/>
              <w:right w:val="single" w:color="auto" w:sz="4" w:space="0"/>
            </w:tcBorders>
            <w:vAlign w:val="center"/>
          </w:tcPr>
          <w:p w14:paraId="36BFE478">
            <w:pPr>
              <w:pStyle w:val="4"/>
              <w:spacing w:line="160" w:lineRule="atLeast"/>
              <w:jc w:val="left"/>
              <w:textAlignment w:val="baseline"/>
              <w:rPr>
                <w:rFonts w:hint="eastAsia" w:hAnsi="宋体"/>
                <w:color w:val="auto"/>
                <w:highlight w:val="none"/>
              </w:rPr>
            </w:pPr>
            <w:r>
              <w:rPr>
                <w:rFonts w:hint="eastAsia" w:hAnsi="宋体"/>
                <w:color w:val="auto"/>
                <w:highlight w:val="none"/>
              </w:rPr>
              <w:t>理解准确，思路清晰，全面、合理，符合项目要求，得4.0-5.0分；</w:t>
            </w:r>
          </w:p>
        </w:tc>
      </w:tr>
      <w:tr w14:paraId="3BA8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302B6BEF">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41E50EC">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2984154C">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37F4B863">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3425826">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16D0A83C">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620C64C7">
            <w:pPr>
              <w:pStyle w:val="4"/>
              <w:spacing w:line="160" w:lineRule="atLeast"/>
              <w:jc w:val="left"/>
              <w:textAlignment w:val="baseline"/>
              <w:rPr>
                <w:rFonts w:hint="eastAsia" w:hAnsi="宋体"/>
                <w:color w:val="auto"/>
                <w:highlight w:val="none"/>
              </w:rPr>
            </w:pPr>
            <w:r>
              <w:rPr>
                <w:rFonts w:hint="eastAsia" w:hAnsi="宋体"/>
                <w:color w:val="auto"/>
                <w:highlight w:val="none"/>
              </w:rPr>
              <w:t>理解较准确，思路较清晰，得3.0-4.0分</w:t>
            </w:r>
          </w:p>
        </w:tc>
      </w:tr>
      <w:tr w14:paraId="3218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1285A822">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D25F5C6">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523C8D78">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C64A1E7">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8F45952">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2035637">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1238EFD4">
            <w:pPr>
              <w:pStyle w:val="4"/>
              <w:spacing w:line="160" w:lineRule="atLeast"/>
              <w:jc w:val="left"/>
              <w:textAlignment w:val="baseline"/>
              <w:rPr>
                <w:rFonts w:hint="eastAsia" w:hAnsi="宋体"/>
                <w:color w:val="auto"/>
                <w:highlight w:val="none"/>
              </w:rPr>
            </w:pPr>
            <w:r>
              <w:rPr>
                <w:rFonts w:hint="eastAsia" w:hAnsi="宋体"/>
                <w:color w:val="auto"/>
                <w:highlight w:val="none"/>
              </w:rPr>
              <w:t>理解基本准确，得3.0分</w:t>
            </w:r>
          </w:p>
        </w:tc>
      </w:tr>
      <w:tr w14:paraId="72E8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61B7F77B">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677AD8E">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3BE503D1">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046EC359">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EDBCA99">
            <w:pPr>
              <w:widowControl/>
              <w:jc w:val="left"/>
              <w:rPr>
                <w:rFonts w:hint="eastAsia" w:ascii="宋体" w:hAnsi="宋体" w:cs="Courier New" w:eastAsiaTheme="minorEastAsia"/>
                <w:color w:val="auto"/>
                <w:szCs w:val="21"/>
                <w:highlight w:val="none"/>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3DF72698">
            <w:pPr>
              <w:pStyle w:val="4"/>
              <w:spacing w:line="160" w:lineRule="atLeast"/>
              <w:jc w:val="center"/>
              <w:textAlignment w:val="baseline"/>
              <w:rPr>
                <w:rFonts w:hint="eastAsia" w:hAnsi="宋体"/>
                <w:color w:val="auto"/>
                <w:highlight w:val="none"/>
              </w:rPr>
            </w:pPr>
            <w:r>
              <w:rPr>
                <w:rFonts w:hint="eastAsia" w:hAnsi="宋体"/>
                <w:color w:val="auto"/>
                <w:highlight w:val="none"/>
              </w:rPr>
              <w:t>监理方案及措施</w:t>
            </w:r>
          </w:p>
          <w:p w14:paraId="2F23B3D5">
            <w:pPr>
              <w:pStyle w:val="4"/>
              <w:spacing w:line="160" w:lineRule="atLeast"/>
              <w:jc w:val="center"/>
              <w:textAlignment w:val="baseline"/>
              <w:rPr>
                <w:rFonts w:hint="eastAsia" w:hAnsi="宋体"/>
                <w:color w:val="auto"/>
                <w:highlight w:val="none"/>
              </w:rPr>
            </w:pPr>
            <w:r>
              <w:rPr>
                <w:rFonts w:hint="eastAsia" w:hAnsi="宋体"/>
                <w:color w:val="auto"/>
                <w:highlight w:val="none"/>
              </w:rPr>
              <w:t>（10分）</w:t>
            </w:r>
          </w:p>
        </w:tc>
        <w:tc>
          <w:tcPr>
            <w:tcW w:w="4359" w:type="dxa"/>
            <w:tcBorders>
              <w:top w:val="single" w:color="auto" w:sz="4" w:space="0"/>
              <w:left w:val="single" w:color="auto" w:sz="4" w:space="0"/>
              <w:bottom w:val="single" w:color="auto" w:sz="4" w:space="0"/>
              <w:right w:val="single" w:color="auto" w:sz="4" w:space="0"/>
            </w:tcBorders>
            <w:vAlign w:val="center"/>
          </w:tcPr>
          <w:p w14:paraId="67028148">
            <w:pPr>
              <w:pStyle w:val="4"/>
              <w:spacing w:line="160" w:lineRule="atLeast"/>
              <w:jc w:val="left"/>
              <w:textAlignment w:val="baseline"/>
              <w:rPr>
                <w:rFonts w:hint="eastAsia" w:hAnsi="宋体"/>
                <w:color w:val="auto"/>
                <w:highlight w:val="none"/>
              </w:rPr>
            </w:pPr>
            <w:r>
              <w:rPr>
                <w:rFonts w:hint="eastAsia" w:hAnsi="宋体"/>
                <w:color w:val="auto"/>
                <w:highlight w:val="none"/>
              </w:rPr>
              <w:t>方案详尽，措施具体全面合理，可行性强，得8.0-10.0分</w:t>
            </w:r>
          </w:p>
        </w:tc>
      </w:tr>
      <w:tr w14:paraId="10CC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23033D5D">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D63A7B4">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4612978E">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C390364">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C495E11">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465A09C">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539FBD44">
            <w:pPr>
              <w:pStyle w:val="4"/>
              <w:spacing w:line="160" w:lineRule="atLeast"/>
              <w:jc w:val="left"/>
              <w:textAlignment w:val="baseline"/>
              <w:rPr>
                <w:rFonts w:hint="eastAsia" w:hAnsi="宋体"/>
                <w:color w:val="auto"/>
                <w:highlight w:val="none"/>
              </w:rPr>
            </w:pPr>
            <w:r>
              <w:rPr>
                <w:rFonts w:hint="eastAsia" w:hAnsi="宋体"/>
                <w:color w:val="auto"/>
                <w:highlight w:val="none"/>
              </w:rPr>
              <w:t>方案较详尽，措施合理，可行性较好，得6.0-8.0分</w:t>
            </w:r>
          </w:p>
        </w:tc>
      </w:tr>
      <w:tr w14:paraId="49B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14A70F30">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4DEB28ED">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2FF2F419">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1010A711">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D77210C">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7CA407F4">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2B2A509E">
            <w:pPr>
              <w:pStyle w:val="4"/>
              <w:spacing w:line="160" w:lineRule="atLeast"/>
              <w:jc w:val="left"/>
              <w:textAlignment w:val="baseline"/>
              <w:rPr>
                <w:rFonts w:hint="eastAsia" w:hAnsi="宋体"/>
                <w:color w:val="auto"/>
                <w:highlight w:val="none"/>
              </w:rPr>
            </w:pPr>
            <w:r>
              <w:rPr>
                <w:rFonts w:hint="eastAsia" w:hAnsi="宋体"/>
                <w:color w:val="auto"/>
                <w:highlight w:val="none"/>
              </w:rPr>
              <w:t>方案一般，措施基本全面，可行性一般，得6.0-分</w:t>
            </w:r>
          </w:p>
        </w:tc>
      </w:tr>
      <w:tr w14:paraId="7209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4C0933A2">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3E72B6B">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05C474CC">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627DD63A">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4EA338B">
            <w:pPr>
              <w:widowControl/>
              <w:jc w:val="left"/>
              <w:rPr>
                <w:rFonts w:hint="eastAsia" w:ascii="宋体" w:hAnsi="宋体" w:cs="Courier New" w:eastAsiaTheme="minorEastAsia"/>
                <w:color w:val="auto"/>
                <w:szCs w:val="21"/>
                <w:highlight w:val="none"/>
              </w:rPr>
            </w:pP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592BA07B">
            <w:pPr>
              <w:pStyle w:val="4"/>
              <w:spacing w:line="160" w:lineRule="atLeast"/>
              <w:jc w:val="center"/>
              <w:textAlignment w:val="baseline"/>
              <w:rPr>
                <w:rFonts w:hint="eastAsia" w:hAnsi="宋体"/>
                <w:color w:val="auto"/>
                <w:highlight w:val="none"/>
              </w:rPr>
            </w:pPr>
            <w:r>
              <w:rPr>
                <w:rFonts w:hint="eastAsia" w:hAnsi="宋体"/>
                <w:color w:val="auto"/>
                <w:highlight w:val="none"/>
              </w:rPr>
              <w:t>监理工</w:t>
            </w:r>
          </w:p>
          <w:p w14:paraId="39076810">
            <w:pPr>
              <w:pStyle w:val="4"/>
              <w:spacing w:line="160" w:lineRule="atLeast"/>
              <w:jc w:val="center"/>
              <w:textAlignment w:val="baseline"/>
              <w:rPr>
                <w:rFonts w:hint="eastAsia" w:hAnsi="宋体"/>
                <w:color w:val="auto"/>
                <w:highlight w:val="none"/>
              </w:rPr>
            </w:pPr>
            <w:r>
              <w:rPr>
                <w:rFonts w:hint="eastAsia" w:hAnsi="宋体"/>
                <w:color w:val="auto"/>
                <w:highlight w:val="none"/>
              </w:rPr>
              <w:t>作程序</w:t>
            </w:r>
          </w:p>
          <w:p w14:paraId="32CB6253">
            <w:pPr>
              <w:pStyle w:val="4"/>
              <w:spacing w:line="160" w:lineRule="atLeast"/>
              <w:jc w:val="center"/>
              <w:textAlignment w:val="baseline"/>
              <w:rPr>
                <w:rFonts w:hint="eastAsia" w:hAnsi="宋体"/>
                <w:color w:val="auto"/>
                <w:highlight w:val="none"/>
              </w:rPr>
            </w:pPr>
            <w:r>
              <w:rPr>
                <w:rFonts w:hint="eastAsia" w:hAnsi="宋体"/>
                <w:color w:val="auto"/>
                <w:highlight w:val="none"/>
              </w:rPr>
              <w:t>(10分)</w:t>
            </w:r>
          </w:p>
        </w:tc>
        <w:tc>
          <w:tcPr>
            <w:tcW w:w="4359" w:type="dxa"/>
            <w:tcBorders>
              <w:top w:val="single" w:color="auto" w:sz="4" w:space="0"/>
              <w:left w:val="single" w:color="auto" w:sz="4" w:space="0"/>
              <w:bottom w:val="single" w:color="auto" w:sz="4" w:space="0"/>
              <w:right w:val="single" w:color="auto" w:sz="4" w:space="0"/>
            </w:tcBorders>
            <w:vAlign w:val="center"/>
          </w:tcPr>
          <w:p w14:paraId="6F3D7394">
            <w:pPr>
              <w:pStyle w:val="4"/>
              <w:spacing w:line="160" w:lineRule="atLeast"/>
              <w:jc w:val="left"/>
              <w:textAlignment w:val="baseline"/>
              <w:rPr>
                <w:rFonts w:hint="eastAsia" w:hAnsi="宋体"/>
                <w:color w:val="auto"/>
                <w:highlight w:val="none"/>
              </w:rPr>
            </w:pPr>
            <w:r>
              <w:rPr>
                <w:rFonts w:hint="eastAsia" w:hAnsi="宋体"/>
                <w:color w:val="auto"/>
                <w:highlight w:val="none"/>
              </w:rPr>
              <w:t>内容齐全，阶段划分合理、正确，可实施性强，得8.0-10.0分</w:t>
            </w:r>
          </w:p>
        </w:tc>
      </w:tr>
      <w:tr w14:paraId="6F1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5D49B25F">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5216F942">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330DC22F">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298DD4D7">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B155289">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7C50F57">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43B1898B">
            <w:pPr>
              <w:pStyle w:val="4"/>
              <w:spacing w:line="160" w:lineRule="atLeast"/>
              <w:jc w:val="left"/>
              <w:textAlignment w:val="baseline"/>
              <w:rPr>
                <w:rFonts w:hint="eastAsia" w:hAnsi="宋体"/>
                <w:color w:val="auto"/>
                <w:highlight w:val="none"/>
              </w:rPr>
            </w:pPr>
            <w:r>
              <w:rPr>
                <w:rFonts w:hint="eastAsia" w:hAnsi="宋体"/>
                <w:color w:val="auto"/>
                <w:highlight w:val="none"/>
              </w:rPr>
              <w:t>内容较齐全，阶段划分较合理，可实施性较好，得6.0-8.0分</w:t>
            </w:r>
          </w:p>
        </w:tc>
      </w:tr>
      <w:tr w14:paraId="745C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0D883884">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F4451A8">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01375780">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88ABCF5">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816E50B">
            <w:pPr>
              <w:widowControl/>
              <w:jc w:val="left"/>
              <w:rPr>
                <w:rFonts w:hint="eastAsia" w:ascii="宋体" w:hAnsi="宋体" w:cs="Courier New" w:eastAsiaTheme="minorEastAsia"/>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5BF32CF">
            <w:pPr>
              <w:widowControl/>
              <w:jc w:val="left"/>
              <w:rPr>
                <w:rFonts w:hint="eastAsia" w:ascii="宋体" w:hAnsi="宋体" w:cs="Courier New" w:eastAsiaTheme="minorEastAsia"/>
                <w:color w:val="auto"/>
                <w:szCs w:val="21"/>
                <w:highlight w:val="none"/>
              </w:rPr>
            </w:pPr>
          </w:p>
        </w:tc>
        <w:tc>
          <w:tcPr>
            <w:tcW w:w="4359" w:type="dxa"/>
            <w:tcBorders>
              <w:top w:val="single" w:color="auto" w:sz="4" w:space="0"/>
              <w:left w:val="single" w:color="auto" w:sz="4" w:space="0"/>
              <w:bottom w:val="single" w:color="auto" w:sz="4" w:space="0"/>
              <w:right w:val="single" w:color="auto" w:sz="4" w:space="0"/>
            </w:tcBorders>
            <w:vAlign w:val="center"/>
          </w:tcPr>
          <w:p w14:paraId="7F951B33">
            <w:pPr>
              <w:pStyle w:val="4"/>
              <w:spacing w:line="160" w:lineRule="atLeast"/>
              <w:jc w:val="left"/>
              <w:textAlignment w:val="baseline"/>
              <w:rPr>
                <w:rFonts w:hint="eastAsia" w:hAnsi="宋体"/>
                <w:color w:val="auto"/>
                <w:highlight w:val="none"/>
              </w:rPr>
            </w:pPr>
            <w:r>
              <w:rPr>
                <w:rFonts w:hint="eastAsia" w:hAnsi="宋体"/>
                <w:color w:val="auto"/>
                <w:highlight w:val="none"/>
              </w:rPr>
              <w:t xml:space="preserve">内容基本齐全，阶段划分基本合理，可实施性一般，得6.0分 </w:t>
            </w:r>
          </w:p>
        </w:tc>
      </w:tr>
      <w:tr w14:paraId="6802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78D30311">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6CBAE69">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1DC80F1E">
            <w:pPr>
              <w:widowControl/>
              <w:jc w:val="left"/>
              <w:rPr>
                <w:rFonts w:hint="eastAsia" w:ascii="宋体" w:hAnsi="宋体" w:cs="Courier New" w:eastAsiaTheme="minorEastAsia"/>
                <w:color w:val="auto"/>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44200EF0">
            <w:pPr>
              <w:pStyle w:val="4"/>
              <w:spacing w:line="160" w:lineRule="atLeast"/>
              <w:jc w:val="center"/>
              <w:textAlignment w:val="baseline"/>
              <w:rPr>
                <w:rFonts w:hint="eastAsia" w:hAnsi="宋体"/>
                <w:color w:val="auto"/>
                <w:highlight w:val="none"/>
              </w:rPr>
            </w:pPr>
            <w:r>
              <w:rPr>
                <w:rFonts w:hint="eastAsia" w:hAnsi="宋体"/>
                <w:color w:val="auto"/>
                <w:highlight w:val="none"/>
              </w:rPr>
              <w:t>本工程监理工作的重点与难点分析</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31039CFB">
            <w:pPr>
              <w:pStyle w:val="4"/>
              <w:spacing w:line="160" w:lineRule="atLeast"/>
              <w:ind w:left="33" w:leftChars="-48" w:hanging="134" w:hangingChars="64"/>
              <w:jc w:val="center"/>
              <w:textAlignment w:val="baseline"/>
              <w:rPr>
                <w:rFonts w:hint="eastAsia" w:hAnsi="宋体"/>
                <w:color w:val="auto"/>
                <w:highlight w:val="none"/>
              </w:rPr>
            </w:pPr>
            <w:r>
              <w:rPr>
                <w:rFonts w:hint="eastAsia" w:hAnsi="宋体"/>
                <w:color w:val="auto"/>
                <w:highlight w:val="none"/>
              </w:rPr>
              <w:t>5分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C480113">
            <w:pPr>
              <w:pStyle w:val="4"/>
              <w:spacing w:line="160" w:lineRule="atLeast"/>
              <w:jc w:val="left"/>
              <w:textAlignment w:val="baseline"/>
              <w:rPr>
                <w:rFonts w:hint="eastAsia" w:hAnsi="宋体"/>
                <w:color w:val="auto"/>
                <w:highlight w:val="none"/>
              </w:rPr>
            </w:pPr>
            <w:r>
              <w:rPr>
                <w:rFonts w:hint="eastAsia" w:hAnsi="宋体"/>
                <w:color w:val="auto"/>
                <w:highlight w:val="none"/>
              </w:rPr>
              <w:t>分析透彻，对难点、重点把握准确；处理措施科学合理，有效可行，得4.0-5.0分</w:t>
            </w:r>
          </w:p>
        </w:tc>
      </w:tr>
      <w:tr w14:paraId="3145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267471B5">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DB522DC">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6F7217B1">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34717B58">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8DBE23D">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4824A3F5">
            <w:pPr>
              <w:pStyle w:val="4"/>
              <w:spacing w:line="160" w:lineRule="atLeast"/>
              <w:jc w:val="left"/>
              <w:textAlignment w:val="baseline"/>
              <w:rPr>
                <w:rFonts w:hint="eastAsia" w:hAnsi="宋体"/>
                <w:color w:val="auto"/>
                <w:highlight w:val="none"/>
              </w:rPr>
            </w:pPr>
            <w:r>
              <w:rPr>
                <w:rFonts w:hint="eastAsia" w:hAnsi="宋体"/>
                <w:color w:val="auto"/>
                <w:highlight w:val="none"/>
              </w:rPr>
              <w:t>分析较透彻，对难点、重点把握较准确；处理措施合理，可行，得3.0-4.0分</w:t>
            </w:r>
          </w:p>
        </w:tc>
      </w:tr>
      <w:tr w14:paraId="2548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1CCD8C6C">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65ABB4D0">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171BDAF8">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785BA6A4">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C56C478">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A73BF94">
            <w:pPr>
              <w:pStyle w:val="4"/>
              <w:spacing w:line="160" w:lineRule="atLeast"/>
              <w:jc w:val="left"/>
              <w:textAlignment w:val="baseline"/>
              <w:rPr>
                <w:rFonts w:hint="eastAsia" w:hAnsi="宋体"/>
                <w:color w:val="auto"/>
                <w:highlight w:val="none"/>
              </w:rPr>
            </w:pPr>
            <w:r>
              <w:rPr>
                <w:rFonts w:hint="eastAsia" w:hAnsi="宋体"/>
                <w:color w:val="auto"/>
                <w:highlight w:val="none"/>
              </w:rPr>
              <w:t>分析一般，对难点、重点把握一般；处理措施基本合理，基本可行，得3.0分</w:t>
            </w:r>
          </w:p>
        </w:tc>
      </w:tr>
      <w:tr w14:paraId="0438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45DA4692">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79C7105C">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64F08CBA">
            <w:pPr>
              <w:widowControl/>
              <w:jc w:val="left"/>
              <w:rPr>
                <w:rFonts w:hint="eastAsia" w:ascii="宋体" w:hAnsi="宋体" w:cs="Courier New" w:eastAsiaTheme="minorEastAsia"/>
                <w:color w:val="auto"/>
                <w:szCs w:val="21"/>
                <w:highlight w:val="none"/>
              </w:rPr>
            </w:pP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724FE444">
            <w:pPr>
              <w:pStyle w:val="4"/>
              <w:spacing w:line="160" w:lineRule="atLeast"/>
              <w:jc w:val="center"/>
              <w:textAlignment w:val="baseline"/>
              <w:rPr>
                <w:rFonts w:hint="eastAsia" w:hAnsi="宋体"/>
                <w:color w:val="auto"/>
                <w:highlight w:val="none"/>
              </w:rPr>
            </w:pPr>
            <w:r>
              <w:rPr>
                <w:rFonts w:hint="eastAsia" w:hAnsi="宋体"/>
                <w:color w:val="auto"/>
                <w:highlight w:val="none"/>
              </w:rPr>
              <w:t>对本工程的建议</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44F7B9BF">
            <w:pPr>
              <w:pStyle w:val="4"/>
              <w:spacing w:line="160" w:lineRule="atLeast"/>
              <w:jc w:val="center"/>
              <w:textAlignment w:val="baseline"/>
              <w:rPr>
                <w:rFonts w:hint="eastAsia" w:hAnsi="宋体"/>
                <w:color w:val="auto"/>
                <w:highlight w:val="none"/>
              </w:rPr>
            </w:pPr>
            <w:r>
              <w:rPr>
                <w:rFonts w:hAnsi="宋体"/>
                <w:color w:val="auto"/>
                <w:highlight w:val="none"/>
              </w:rPr>
              <w:t>5</w:t>
            </w:r>
            <w:r>
              <w:rPr>
                <w:rFonts w:hint="eastAsia" w:hAnsi="宋体"/>
                <w:color w:val="auto"/>
                <w:highlight w:val="none"/>
              </w:rPr>
              <w:t>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190903C9">
            <w:pPr>
              <w:pStyle w:val="4"/>
              <w:spacing w:line="160" w:lineRule="atLeast"/>
              <w:jc w:val="left"/>
              <w:textAlignment w:val="baseline"/>
              <w:rPr>
                <w:rFonts w:hint="eastAsia" w:hAnsi="宋体"/>
                <w:color w:val="auto"/>
                <w:highlight w:val="none"/>
              </w:rPr>
            </w:pPr>
            <w:r>
              <w:rPr>
                <w:rFonts w:hint="eastAsia" w:hAnsi="宋体"/>
                <w:color w:val="auto"/>
                <w:highlight w:val="none"/>
              </w:rPr>
              <w:t>建议措施具体全面、可靠、合理，可实施性强，4.0-5.0分</w:t>
            </w:r>
          </w:p>
        </w:tc>
      </w:tr>
      <w:tr w14:paraId="54B5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5E372346">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279DBA5C">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52CFDDA6">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2E1C04BD">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BB8A08F">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38AECC53">
            <w:pPr>
              <w:pStyle w:val="4"/>
              <w:spacing w:line="160" w:lineRule="atLeast"/>
              <w:jc w:val="left"/>
              <w:textAlignment w:val="baseline"/>
              <w:rPr>
                <w:rFonts w:hint="eastAsia" w:hAnsi="宋体"/>
                <w:color w:val="auto"/>
                <w:highlight w:val="none"/>
              </w:rPr>
            </w:pPr>
            <w:r>
              <w:rPr>
                <w:rFonts w:hint="eastAsia" w:hAnsi="宋体"/>
                <w:color w:val="auto"/>
                <w:highlight w:val="none"/>
              </w:rPr>
              <w:t>建议措施全面、合理，可实施性较好，得3.0-4.0分</w:t>
            </w:r>
          </w:p>
        </w:tc>
      </w:tr>
      <w:tr w14:paraId="440F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2" w:type="dxa"/>
            <w:vMerge w:val="continue"/>
            <w:tcBorders>
              <w:top w:val="single" w:color="auto" w:sz="4" w:space="0"/>
              <w:left w:val="single" w:color="auto" w:sz="4" w:space="0"/>
              <w:bottom w:val="single" w:color="auto" w:sz="4" w:space="0"/>
              <w:right w:val="single" w:color="auto" w:sz="4" w:space="0"/>
            </w:tcBorders>
            <w:vAlign w:val="center"/>
          </w:tcPr>
          <w:p w14:paraId="0C3A0213">
            <w:pPr>
              <w:widowControl/>
              <w:jc w:val="left"/>
              <w:rPr>
                <w:rFonts w:hint="eastAsia" w:ascii="宋体" w:hAnsi="宋体" w:cs="Courier New" w:eastAsiaTheme="minorEastAsia"/>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009B9C97">
            <w:pPr>
              <w:widowControl/>
              <w:jc w:val="left"/>
              <w:rPr>
                <w:rFonts w:hint="eastAsia" w:ascii="宋体" w:hAnsi="宋体" w:cs="Courier New" w:eastAsiaTheme="minorEastAsia"/>
                <w:color w:val="auto"/>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14:paraId="7A5864A9">
            <w:pPr>
              <w:widowControl/>
              <w:jc w:val="left"/>
              <w:rPr>
                <w:rFonts w:hint="eastAsia" w:ascii="宋体" w:hAnsi="宋体" w:cs="Courier New" w:eastAsiaTheme="minorEastAsia"/>
                <w:color w:val="auto"/>
                <w:szCs w:val="21"/>
                <w:highlight w:val="none"/>
              </w:rPr>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497B4680">
            <w:pPr>
              <w:widowControl/>
              <w:jc w:val="left"/>
              <w:rPr>
                <w:rFonts w:hint="eastAsia" w:ascii="宋体" w:hAnsi="宋体" w:cs="Courier New" w:eastAsiaTheme="minorEastAsia"/>
                <w:color w:val="auto"/>
                <w:szCs w:val="21"/>
                <w:highlight w:val="none"/>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8A1F007">
            <w:pPr>
              <w:widowControl/>
              <w:jc w:val="left"/>
              <w:rPr>
                <w:rFonts w:hint="eastAsia" w:ascii="宋体" w:hAnsi="宋体" w:cs="Courier New" w:eastAsiaTheme="minorEastAsia"/>
                <w:color w:val="auto"/>
                <w:szCs w:val="21"/>
                <w:highlight w:val="none"/>
              </w:rPr>
            </w:pP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5C97DDC0">
            <w:pPr>
              <w:pStyle w:val="4"/>
              <w:spacing w:line="160" w:lineRule="atLeast"/>
              <w:jc w:val="left"/>
              <w:textAlignment w:val="baseline"/>
              <w:rPr>
                <w:rFonts w:hint="eastAsia" w:hAnsi="宋体"/>
                <w:color w:val="auto"/>
                <w:highlight w:val="none"/>
              </w:rPr>
            </w:pPr>
            <w:r>
              <w:rPr>
                <w:rFonts w:hint="eastAsia" w:hAnsi="宋体"/>
                <w:color w:val="auto"/>
                <w:highlight w:val="none"/>
              </w:rPr>
              <w:t>建议措施基本全面、合理，可实施性一般，得3.0分</w:t>
            </w:r>
          </w:p>
        </w:tc>
      </w:tr>
      <w:tr w14:paraId="4D1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02" w:type="dxa"/>
            <w:vMerge w:val="restart"/>
            <w:tcBorders>
              <w:top w:val="nil"/>
              <w:left w:val="single" w:color="auto" w:sz="4" w:space="0"/>
              <w:bottom w:val="single" w:color="auto" w:sz="4" w:space="0"/>
              <w:right w:val="single" w:color="auto" w:sz="4" w:space="0"/>
            </w:tcBorders>
            <w:vAlign w:val="center"/>
          </w:tcPr>
          <w:p w14:paraId="5261E282">
            <w:pPr>
              <w:pStyle w:val="4"/>
              <w:spacing w:line="160" w:lineRule="atLeast"/>
              <w:jc w:val="center"/>
              <w:textAlignment w:val="baseline"/>
              <w:rPr>
                <w:rFonts w:hint="eastAsia" w:hAnsi="宋体"/>
                <w:color w:val="auto"/>
                <w:highlight w:val="none"/>
              </w:rPr>
            </w:pPr>
            <w:r>
              <w:rPr>
                <w:rFonts w:hint="eastAsia" w:hAnsi="宋体"/>
                <w:color w:val="auto"/>
                <w:highlight w:val="none"/>
              </w:rPr>
              <w:t>2.2.4（2）</w:t>
            </w:r>
          </w:p>
        </w:tc>
        <w:tc>
          <w:tcPr>
            <w:tcW w:w="636" w:type="dxa"/>
            <w:vMerge w:val="restart"/>
            <w:tcBorders>
              <w:top w:val="nil"/>
              <w:left w:val="single" w:color="auto" w:sz="4" w:space="0"/>
              <w:bottom w:val="single" w:color="auto" w:sz="4" w:space="0"/>
              <w:right w:val="single" w:color="auto" w:sz="4" w:space="0"/>
            </w:tcBorders>
            <w:vAlign w:val="center"/>
          </w:tcPr>
          <w:p w14:paraId="45D689DC">
            <w:pPr>
              <w:pStyle w:val="4"/>
              <w:spacing w:line="160" w:lineRule="atLeast"/>
              <w:jc w:val="center"/>
              <w:textAlignment w:val="baseline"/>
              <w:rPr>
                <w:rFonts w:hint="eastAsia" w:hAnsi="宋体"/>
                <w:color w:val="auto"/>
                <w:highlight w:val="none"/>
              </w:rPr>
            </w:pPr>
            <w:r>
              <w:rPr>
                <w:rFonts w:hint="eastAsia" w:hAnsi="宋体"/>
                <w:color w:val="auto"/>
                <w:highlight w:val="none"/>
              </w:rPr>
              <w:t>主要人员</w:t>
            </w:r>
          </w:p>
        </w:tc>
        <w:tc>
          <w:tcPr>
            <w:tcW w:w="732" w:type="dxa"/>
            <w:vMerge w:val="restart"/>
            <w:tcBorders>
              <w:top w:val="nil"/>
              <w:left w:val="single" w:color="auto" w:sz="4" w:space="0"/>
              <w:bottom w:val="single" w:color="auto" w:sz="4" w:space="0"/>
              <w:right w:val="single" w:color="auto" w:sz="4" w:space="0"/>
            </w:tcBorders>
            <w:vAlign w:val="center"/>
          </w:tcPr>
          <w:p w14:paraId="3171EF77">
            <w:pPr>
              <w:pStyle w:val="4"/>
              <w:spacing w:line="160" w:lineRule="atLeast"/>
              <w:jc w:val="center"/>
              <w:textAlignment w:val="baseline"/>
              <w:rPr>
                <w:rFonts w:hint="eastAsia" w:hAnsi="宋体"/>
                <w:color w:val="auto"/>
                <w:highlight w:val="none"/>
              </w:rPr>
            </w:pPr>
            <w:r>
              <w:rPr>
                <w:rFonts w:hint="eastAsia" w:hAnsi="宋体"/>
                <w:color w:val="auto"/>
                <w:highlight w:val="none"/>
              </w:rPr>
              <w:t>30分</w:t>
            </w:r>
          </w:p>
        </w:tc>
        <w:tc>
          <w:tcPr>
            <w:tcW w:w="1355" w:type="dxa"/>
            <w:vMerge w:val="restart"/>
            <w:tcBorders>
              <w:top w:val="single" w:color="auto" w:sz="4" w:space="0"/>
              <w:left w:val="single" w:color="auto" w:sz="4" w:space="0"/>
              <w:right w:val="single" w:color="auto" w:sz="4" w:space="0"/>
            </w:tcBorders>
            <w:vAlign w:val="center"/>
          </w:tcPr>
          <w:p w14:paraId="39B22751">
            <w:pPr>
              <w:pStyle w:val="4"/>
              <w:spacing w:line="160" w:lineRule="atLeast"/>
              <w:jc w:val="center"/>
              <w:textAlignment w:val="baseline"/>
              <w:rPr>
                <w:rFonts w:hint="eastAsia" w:hAnsi="宋体"/>
                <w:color w:val="auto"/>
                <w:highlight w:val="none"/>
              </w:rPr>
            </w:pPr>
            <w:r>
              <w:rPr>
                <w:rFonts w:hint="eastAsia" w:hAnsi="宋体" w:cs="宋体"/>
                <w:color w:val="auto"/>
                <w:szCs w:val="24"/>
                <w:highlight w:val="none"/>
              </w:rPr>
              <w:t>总监理工程师</w:t>
            </w:r>
          </w:p>
        </w:tc>
        <w:tc>
          <w:tcPr>
            <w:tcW w:w="708" w:type="dxa"/>
            <w:tcBorders>
              <w:top w:val="single" w:color="auto" w:sz="4" w:space="0"/>
              <w:left w:val="single" w:color="auto" w:sz="4" w:space="0"/>
              <w:bottom w:val="single" w:color="auto" w:sz="4" w:space="0"/>
              <w:right w:val="single" w:color="auto" w:sz="4" w:space="0"/>
            </w:tcBorders>
            <w:vAlign w:val="center"/>
          </w:tcPr>
          <w:p w14:paraId="3D683052">
            <w:pPr>
              <w:pStyle w:val="4"/>
              <w:spacing w:line="160" w:lineRule="atLeast"/>
              <w:jc w:val="center"/>
              <w:textAlignment w:val="baseline"/>
              <w:rPr>
                <w:rFonts w:hint="eastAsia" w:hAnsi="宋体"/>
                <w:color w:val="auto"/>
                <w:highlight w:val="none"/>
              </w:rPr>
            </w:pPr>
            <w:r>
              <w:rPr>
                <w:rFonts w:hint="eastAsia" w:hAnsi="宋体"/>
                <w:color w:val="auto"/>
                <w:highlight w:val="none"/>
              </w:rPr>
              <w:t>18分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141062B8">
            <w:pPr>
              <w:pStyle w:val="4"/>
              <w:spacing w:line="160" w:lineRule="atLeast"/>
              <w:jc w:val="left"/>
              <w:textAlignment w:val="baseline"/>
              <w:rPr>
                <w:rFonts w:hint="eastAsia" w:hAnsi="宋体"/>
                <w:color w:val="auto"/>
                <w:highlight w:val="none"/>
              </w:rPr>
            </w:pPr>
            <w:r>
              <w:rPr>
                <w:rFonts w:hint="eastAsia" w:hAnsi="宋体"/>
                <w:color w:val="auto"/>
                <w:highlight w:val="none"/>
              </w:rPr>
              <w:t>满足附录4资格审查条件（总监理工程师最低要求）得18分；</w:t>
            </w:r>
          </w:p>
        </w:tc>
      </w:tr>
      <w:tr w14:paraId="7CB4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02" w:type="dxa"/>
            <w:vMerge w:val="continue"/>
            <w:tcBorders>
              <w:top w:val="nil"/>
              <w:left w:val="single" w:color="auto" w:sz="4" w:space="0"/>
              <w:bottom w:val="single" w:color="auto" w:sz="4" w:space="0"/>
              <w:right w:val="single" w:color="auto" w:sz="4" w:space="0"/>
            </w:tcBorders>
            <w:vAlign w:val="center"/>
          </w:tcPr>
          <w:p w14:paraId="68D420BF">
            <w:pPr>
              <w:widowControl/>
              <w:jc w:val="left"/>
              <w:rPr>
                <w:rFonts w:hint="eastAsia" w:ascii="宋体" w:hAnsi="宋体" w:cs="Courier New" w:eastAsiaTheme="minorEastAsia"/>
                <w:color w:val="auto"/>
                <w:szCs w:val="21"/>
                <w:highlight w:val="none"/>
              </w:rPr>
            </w:pPr>
          </w:p>
        </w:tc>
        <w:tc>
          <w:tcPr>
            <w:tcW w:w="636" w:type="dxa"/>
            <w:vMerge w:val="continue"/>
            <w:tcBorders>
              <w:top w:val="nil"/>
              <w:left w:val="single" w:color="auto" w:sz="4" w:space="0"/>
              <w:bottom w:val="single" w:color="auto" w:sz="4" w:space="0"/>
              <w:right w:val="single" w:color="auto" w:sz="4" w:space="0"/>
            </w:tcBorders>
            <w:vAlign w:val="center"/>
          </w:tcPr>
          <w:p w14:paraId="26CC0E31">
            <w:pPr>
              <w:widowControl/>
              <w:jc w:val="left"/>
              <w:rPr>
                <w:rFonts w:hint="eastAsia" w:ascii="宋体" w:hAnsi="宋体" w:cs="Courier New" w:eastAsiaTheme="minorEastAsia"/>
                <w:color w:val="auto"/>
                <w:szCs w:val="21"/>
                <w:highlight w:val="none"/>
              </w:rPr>
            </w:pPr>
          </w:p>
        </w:tc>
        <w:tc>
          <w:tcPr>
            <w:tcW w:w="732" w:type="dxa"/>
            <w:vMerge w:val="continue"/>
            <w:tcBorders>
              <w:top w:val="nil"/>
              <w:left w:val="single" w:color="auto" w:sz="4" w:space="0"/>
              <w:bottom w:val="single" w:color="auto" w:sz="4" w:space="0"/>
              <w:right w:val="single" w:color="auto" w:sz="4" w:space="0"/>
            </w:tcBorders>
            <w:vAlign w:val="center"/>
          </w:tcPr>
          <w:p w14:paraId="163B9E4B">
            <w:pPr>
              <w:widowControl/>
              <w:jc w:val="left"/>
              <w:rPr>
                <w:rFonts w:hint="eastAsia" w:ascii="宋体" w:hAnsi="宋体" w:cs="Courier New" w:eastAsiaTheme="minorEastAsia"/>
                <w:color w:val="auto"/>
                <w:szCs w:val="21"/>
                <w:highlight w:val="none"/>
              </w:rPr>
            </w:pPr>
          </w:p>
        </w:tc>
        <w:tc>
          <w:tcPr>
            <w:tcW w:w="1355" w:type="dxa"/>
            <w:vMerge w:val="continue"/>
            <w:tcBorders>
              <w:left w:val="single" w:color="auto" w:sz="4" w:space="0"/>
              <w:right w:val="single" w:color="auto" w:sz="4" w:space="0"/>
            </w:tcBorders>
            <w:vAlign w:val="center"/>
          </w:tcPr>
          <w:p w14:paraId="1FA2B78F">
            <w:pPr>
              <w:widowControl/>
              <w:jc w:val="left"/>
              <w:rPr>
                <w:rFonts w:hint="eastAsia" w:ascii="宋体" w:hAnsi="宋体" w:cs="Courier New" w:eastAsiaTheme="minorEastAsia"/>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E0364D2">
            <w:pPr>
              <w:pStyle w:val="4"/>
              <w:spacing w:line="160" w:lineRule="atLeast"/>
              <w:jc w:val="center"/>
              <w:textAlignment w:val="baseline"/>
              <w:rPr>
                <w:rFonts w:hint="eastAsia" w:hAnsi="宋体"/>
                <w:color w:val="auto"/>
                <w:highlight w:val="none"/>
              </w:rPr>
            </w:pPr>
            <w:r>
              <w:rPr>
                <w:rFonts w:hint="eastAsia" w:hAnsi="宋体"/>
                <w:color w:val="auto"/>
                <w:highlight w:val="none"/>
              </w:rPr>
              <w:t>12分</w:t>
            </w:r>
          </w:p>
        </w:tc>
        <w:tc>
          <w:tcPr>
            <w:tcW w:w="5635" w:type="dxa"/>
            <w:gridSpan w:val="2"/>
            <w:tcBorders>
              <w:top w:val="single" w:color="auto" w:sz="4" w:space="0"/>
              <w:left w:val="single" w:color="auto" w:sz="4" w:space="0"/>
              <w:right w:val="single" w:color="auto" w:sz="4" w:space="0"/>
            </w:tcBorders>
            <w:vAlign w:val="center"/>
          </w:tcPr>
          <w:p w14:paraId="3B7A8111">
            <w:pPr>
              <w:pStyle w:val="4"/>
              <w:spacing w:line="160" w:lineRule="atLeast"/>
              <w:jc w:val="left"/>
              <w:textAlignment w:val="baseline"/>
              <w:rPr>
                <w:rFonts w:hint="eastAsia" w:hAnsi="宋体"/>
                <w:color w:val="auto"/>
                <w:highlight w:val="none"/>
              </w:rPr>
            </w:pPr>
            <w:r>
              <w:rPr>
                <w:rFonts w:hint="eastAsia" w:hAnsi="宋体"/>
                <w:color w:val="auto"/>
                <w:highlight w:val="none"/>
              </w:rPr>
              <w:t>每增加一项满足附录4资格审查条件（总监理工程师最低要求）中的业绩加</w:t>
            </w:r>
            <w:r>
              <w:rPr>
                <w:rFonts w:hint="eastAsia" w:hAnsi="宋体"/>
                <w:color w:val="auto"/>
                <w:highlight w:val="none"/>
                <w:lang w:val="en-US" w:eastAsia="zh-CN"/>
              </w:rPr>
              <w:t>6</w:t>
            </w:r>
            <w:r>
              <w:rPr>
                <w:rFonts w:hint="eastAsia" w:hAnsi="宋体"/>
                <w:color w:val="auto"/>
                <w:highlight w:val="none"/>
              </w:rPr>
              <w:t>分，本项最多加12分。</w:t>
            </w:r>
          </w:p>
        </w:tc>
      </w:tr>
      <w:tr w14:paraId="64A6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02" w:type="dxa"/>
            <w:tcBorders>
              <w:top w:val="nil"/>
              <w:left w:val="single" w:color="auto" w:sz="4" w:space="0"/>
              <w:bottom w:val="single" w:color="auto" w:sz="4" w:space="0"/>
              <w:right w:val="single" w:color="auto" w:sz="4" w:space="0"/>
            </w:tcBorders>
            <w:vAlign w:val="center"/>
          </w:tcPr>
          <w:p w14:paraId="7FFEA1D6">
            <w:pPr>
              <w:pStyle w:val="4"/>
              <w:spacing w:line="160" w:lineRule="atLeast"/>
              <w:jc w:val="center"/>
              <w:textAlignment w:val="baseline"/>
              <w:rPr>
                <w:rFonts w:hint="eastAsia" w:hAnsi="宋体"/>
                <w:color w:val="auto"/>
                <w:highlight w:val="none"/>
              </w:rPr>
            </w:pPr>
            <w:r>
              <w:rPr>
                <w:rFonts w:hint="eastAsia" w:hAnsi="宋体"/>
                <w:color w:val="auto"/>
                <w:highlight w:val="none"/>
              </w:rPr>
              <w:t>2.2.4（3）</w:t>
            </w:r>
          </w:p>
        </w:tc>
        <w:tc>
          <w:tcPr>
            <w:tcW w:w="636" w:type="dxa"/>
            <w:tcBorders>
              <w:top w:val="nil"/>
              <w:left w:val="single" w:color="auto" w:sz="4" w:space="0"/>
              <w:bottom w:val="single" w:color="auto" w:sz="4" w:space="0"/>
              <w:right w:val="single" w:color="auto" w:sz="4" w:space="0"/>
            </w:tcBorders>
            <w:vAlign w:val="center"/>
          </w:tcPr>
          <w:p w14:paraId="36501467">
            <w:pPr>
              <w:pStyle w:val="4"/>
              <w:spacing w:line="160" w:lineRule="atLeast"/>
              <w:jc w:val="center"/>
              <w:textAlignment w:val="baseline"/>
              <w:rPr>
                <w:rFonts w:hint="eastAsia" w:hAnsi="宋体"/>
                <w:color w:val="auto"/>
                <w:highlight w:val="none"/>
              </w:rPr>
            </w:pPr>
            <w:r>
              <w:rPr>
                <w:rFonts w:hint="eastAsia" w:hAnsi="宋体"/>
                <w:color w:val="auto"/>
                <w:highlight w:val="none"/>
              </w:rPr>
              <w:t>评标价</w:t>
            </w:r>
          </w:p>
        </w:tc>
        <w:tc>
          <w:tcPr>
            <w:tcW w:w="732" w:type="dxa"/>
            <w:tcBorders>
              <w:top w:val="nil"/>
              <w:left w:val="single" w:color="auto" w:sz="4" w:space="0"/>
              <w:bottom w:val="single" w:color="auto" w:sz="4" w:space="0"/>
              <w:right w:val="single" w:color="auto" w:sz="4" w:space="0"/>
            </w:tcBorders>
            <w:vAlign w:val="center"/>
          </w:tcPr>
          <w:p w14:paraId="66DC8579">
            <w:pPr>
              <w:pStyle w:val="4"/>
              <w:spacing w:line="160" w:lineRule="atLeast"/>
              <w:jc w:val="center"/>
              <w:textAlignment w:val="baseline"/>
              <w:rPr>
                <w:rFonts w:hint="eastAsia" w:hAnsi="宋体"/>
                <w:color w:val="auto"/>
                <w:highlight w:val="none"/>
              </w:rPr>
            </w:pPr>
            <w:r>
              <w:rPr>
                <w:rFonts w:hint="eastAsia" w:hAnsi="宋体"/>
                <w:color w:val="auto"/>
                <w:highlight w:val="none"/>
              </w:rPr>
              <w:t>10分</w:t>
            </w:r>
          </w:p>
        </w:tc>
        <w:tc>
          <w:tcPr>
            <w:tcW w:w="7698" w:type="dxa"/>
            <w:gridSpan w:val="4"/>
            <w:tcBorders>
              <w:top w:val="single" w:color="auto" w:sz="4" w:space="0"/>
              <w:left w:val="single" w:color="auto" w:sz="4" w:space="0"/>
              <w:bottom w:val="single" w:color="auto" w:sz="4" w:space="0"/>
              <w:right w:val="single" w:color="auto" w:sz="4" w:space="0"/>
            </w:tcBorders>
            <w:vAlign w:val="center"/>
          </w:tcPr>
          <w:p w14:paraId="40F5F17A">
            <w:pPr>
              <w:pStyle w:val="4"/>
              <w:spacing w:line="160" w:lineRule="atLeast"/>
              <w:jc w:val="left"/>
              <w:textAlignment w:val="baseline"/>
              <w:rPr>
                <w:rFonts w:hint="eastAsia" w:hAnsi="宋体"/>
                <w:color w:val="auto"/>
                <w:highlight w:val="none"/>
              </w:rPr>
            </w:pPr>
            <w:r>
              <w:rPr>
                <w:rFonts w:hint="eastAsia" w:hAnsi="宋体"/>
                <w:color w:val="auto"/>
                <w:highlight w:val="none"/>
              </w:rPr>
              <w:t>评标价得分计算公式示例：</w:t>
            </w:r>
          </w:p>
          <w:p w14:paraId="0AAF0AF6">
            <w:pPr>
              <w:pStyle w:val="4"/>
              <w:spacing w:line="160" w:lineRule="atLeast"/>
              <w:jc w:val="left"/>
              <w:textAlignment w:val="baseline"/>
              <w:rPr>
                <w:rFonts w:hint="eastAsia" w:hAnsi="宋体"/>
                <w:color w:val="auto"/>
                <w:highlight w:val="none"/>
              </w:rPr>
            </w:pPr>
            <w:r>
              <w:rPr>
                <w:rFonts w:hint="eastAsia" w:hAnsi="宋体"/>
                <w:color w:val="auto"/>
                <w:highlight w:val="none"/>
              </w:rPr>
              <w:t>（1）如果投标人的评标价＞评标基准价，则评标价得分=F-</w:t>
            </w:r>
            <w:r>
              <w:rPr>
                <w:rFonts w:hint="eastAsia" w:ascii="宋体" w:hAnsi="宋体" w:cs="宋体"/>
                <w:color w:val="auto"/>
                <w:szCs w:val="21"/>
                <w:highlight w:val="none"/>
              </w:rPr>
              <w:t>偏差率</w:t>
            </w:r>
            <w:r>
              <w:rPr>
                <w:rFonts w:hint="eastAsia" w:hAnsi="宋体"/>
                <w:color w:val="auto"/>
                <w:highlight w:val="none"/>
              </w:rPr>
              <w:t>×E1；</w:t>
            </w:r>
          </w:p>
          <w:p w14:paraId="1C1676F4">
            <w:pPr>
              <w:pStyle w:val="4"/>
              <w:spacing w:line="160" w:lineRule="atLeast"/>
              <w:jc w:val="left"/>
              <w:textAlignment w:val="baseline"/>
              <w:rPr>
                <w:rFonts w:hint="eastAsia" w:hAnsi="宋体"/>
                <w:color w:val="auto"/>
                <w:highlight w:val="none"/>
              </w:rPr>
            </w:pPr>
            <w:r>
              <w:rPr>
                <w:rFonts w:hint="eastAsia" w:hAnsi="宋体"/>
                <w:color w:val="auto"/>
                <w:highlight w:val="none"/>
              </w:rPr>
              <w:t>（2）如果投标人的评标价≤评标基准价，则评标价得分=F+</w:t>
            </w:r>
            <w:r>
              <w:rPr>
                <w:rFonts w:hint="eastAsia" w:ascii="宋体" w:hAnsi="宋体" w:cs="宋体"/>
                <w:color w:val="auto"/>
                <w:szCs w:val="21"/>
                <w:highlight w:val="none"/>
              </w:rPr>
              <w:t>偏差率</w:t>
            </w:r>
            <w:r>
              <w:rPr>
                <w:rFonts w:hint="eastAsia" w:hAnsi="宋体"/>
                <w:color w:val="auto"/>
                <w:highlight w:val="none"/>
              </w:rPr>
              <w:t>×E2。</w:t>
            </w:r>
          </w:p>
          <w:p w14:paraId="711D1B3E">
            <w:pPr>
              <w:pStyle w:val="4"/>
              <w:spacing w:line="160" w:lineRule="atLeast"/>
              <w:jc w:val="left"/>
              <w:textAlignment w:val="baseline"/>
              <w:rPr>
                <w:rFonts w:hint="eastAsia" w:hAnsi="宋体"/>
                <w:color w:val="auto"/>
                <w:highlight w:val="none"/>
              </w:rPr>
            </w:pPr>
            <w:r>
              <w:rPr>
                <w:rFonts w:hint="eastAsia" w:hAnsi="宋体"/>
                <w:color w:val="auto"/>
                <w:highlight w:val="none"/>
              </w:rPr>
              <w:t>其中，F=10；E1=0.</w:t>
            </w:r>
            <w:r>
              <w:rPr>
                <w:rFonts w:hAnsi="宋体"/>
                <w:color w:val="auto"/>
                <w:highlight w:val="none"/>
              </w:rPr>
              <w:t>2</w:t>
            </w:r>
            <w:r>
              <w:rPr>
                <w:rFonts w:hint="eastAsia" w:hAnsi="宋体"/>
                <w:color w:val="auto"/>
                <w:highlight w:val="none"/>
              </w:rPr>
              <w:t>；E2=0.</w:t>
            </w:r>
            <w:r>
              <w:rPr>
                <w:rFonts w:hAnsi="宋体"/>
                <w:color w:val="auto"/>
                <w:highlight w:val="none"/>
              </w:rPr>
              <w:t>1</w:t>
            </w:r>
            <w:r>
              <w:rPr>
                <w:rFonts w:hint="eastAsia" w:hAnsi="宋体"/>
                <w:color w:val="auto"/>
                <w:highlight w:val="none"/>
              </w:rPr>
              <w:t>；评标价最低得分为0分。</w:t>
            </w:r>
          </w:p>
        </w:tc>
      </w:tr>
      <w:tr w14:paraId="01AB7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02" w:type="dxa"/>
            <w:vMerge w:val="restart"/>
            <w:tcBorders>
              <w:top w:val="single" w:color="auto" w:sz="4" w:space="0"/>
              <w:left w:val="single" w:color="auto" w:sz="4" w:space="0"/>
              <w:right w:val="single" w:color="auto" w:sz="4" w:space="0"/>
            </w:tcBorders>
            <w:vAlign w:val="center"/>
          </w:tcPr>
          <w:p w14:paraId="5AA643EA">
            <w:pPr>
              <w:pStyle w:val="4"/>
              <w:spacing w:line="160" w:lineRule="atLeast"/>
              <w:jc w:val="center"/>
              <w:textAlignment w:val="baseline"/>
              <w:rPr>
                <w:rFonts w:hint="eastAsia" w:hAnsi="宋体"/>
                <w:color w:val="auto"/>
                <w:highlight w:val="none"/>
              </w:rPr>
            </w:pPr>
            <w:r>
              <w:rPr>
                <w:rFonts w:hint="eastAsia" w:hAnsi="宋体"/>
                <w:color w:val="auto"/>
                <w:highlight w:val="none"/>
              </w:rPr>
              <w:t>2.2.4（4）</w:t>
            </w:r>
          </w:p>
        </w:tc>
        <w:tc>
          <w:tcPr>
            <w:tcW w:w="636" w:type="dxa"/>
            <w:vMerge w:val="restart"/>
            <w:tcBorders>
              <w:top w:val="single" w:color="auto" w:sz="4" w:space="0"/>
              <w:left w:val="single" w:color="auto" w:sz="4" w:space="0"/>
              <w:right w:val="single" w:color="auto" w:sz="4" w:space="0"/>
            </w:tcBorders>
            <w:vAlign w:val="center"/>
          </w:tcPr>
          <w:p w14:paraId="45A613F4">
            <w:pPr>
              <w:pStyle w:val="4"/>
              <w:spacing w:line="160" w:lineRule="atLeast"/>
              <w:jc w:val="center"/>
              <w:textAlignment w:val="baseline"/>
              <w:rPr>
                <w:rFonts w:hint="eastAsia" w:hAnsi="宋体"/>
                <w:color w:val="auto"/>
                <w:highlight w:val="none"/>
              </w:rPr>
            </w:pPr>
            <w:r>
              <w:rPr>
                <w:rFonts w:hint="eastAsia" w:hAnsi="宋体"/>
                <w:color w:val="auto"/>
                <w:highlight w:val="none"/>
              </w:rPr>
              <w:t>其他因素</w:t>
            </w:r>
          </w:p>
        </w:tc>
        <w:tc>
          <w:tcPr>
            <w:tcW w:w="732" w:type="dxa"/>
            <w:vMerge w:val="restart"/>
            <w:tcBorders>
              <w:top w:val="single" w:color="auto" w:sz="4" w:space="0"/>
              <w:left w:val="single" w:color="auto" w:sz="4" w:space="0"/>
              <w:right w:val="single" w:color="auto" w:sz="4" w:space="0"/>
            </w:tcBorders>
            <w:vAlign w:val="center"/>
          </w:tcPr>
          <w:p w14:paraId="27FC4A2B">
            <w:pPr>
              <w:pStyle w:val="4"/>
              <w:spacing w:line="160" w:lineRule="atLeast"/>
              <w:jc w:val="center"/>
              <w:textAlignment w:val="baseline"/>
              <w:rPr>
                <w:rFonts w:hint="eastAsia" w:hAnsi="宋体"/>
                <w:color w:val="auto"/>
                <w:highlight w:val="none"/>
              </w:rPr>
            </w:pPr>
            <w:r>
              <w:rPr>
                <w:rFonts w:hAnsi="宋体"/>
                <w:color w:val="auto"/>
                <w:highlight w:val="none"/>
              </w:rPr>
              <w:t>25</w:t>
            </w:r>
            <w:r>
              <w:rPr>
                <w:rFonts w:hint="eastAsia" w:hAnsi="宋体"/>
                <w:color w:val="auto"/>
                <w:highlight w:val="none"/>
              </w:rPr>
              <w:t>分</w:t>
            </w:r>
          </w:p>
        </w:tc>
        <w:tc>
          <w:tcPr>
            <w:tcW w:w="1355" w:type="dxa"/>
            <w:vMerge w:val="restart"/>
            <w:tcBorders>
              <w:top w:val="single" w:color="auto" w:sz="4" w:space="0"/>
              <w:left w:val="single" w:color="auto" w:sz="4" w:space="0"/>
              <w:right w:val="single" w:color="auto" w:sz="4" w:space="0"/>
            </w:tcBorders>
            <w:vAlign w:val="center"/>
          </w:tcPr>
          <w:p w14:paraId="3F9C26B0">
            <w:pPr>
              <w:pStyle w:val="10"/>
              <w:spacing w:line="264" w:lineRule="auto"/>
              <w:ind w:firstLine="23" w:firstLineChars="11"/>
              <w:rPr>
                <w:rFonts w:hint="eastAsia" w:hAnsi="宋体"/>
                <w:color w:val="auto"/>
                <w:highlight w:val="none"/>
              </w:rPr>
            </w:pPr>
            <w:r>
              <w:rPr>
                <w:rFonts w:hint="eastAsia" w:hAnsi="宋体"/>
                <w:color w:val="auto"/>
                <w:highlight w:val="none"/>
              </w:rPr>
              <w:t>企业业绩</w:t>
            </w:r>
          </w:p>
        </w:tc>
        <w:tc>
          <w:tcPr>
            <w:tcW w:w="708" w:type="dxa"/>
            <w:tcBorders>
              <w:top w:val="single" w:color="auto" w:sz="4" w:space="0"/>
              <w:left w:val="single" w:color="auto" w:sz="4" w:space="0"/>
              <w:bottom w:val="single" w:color="auto" w:sz="4" w:space="0"/>
              <w:right w:val="single" w:color="auto" w:sz="4" w:space="0"/>
            </w:tcBorders>
            <w:vAlign w:val="center"/>
          </w:tcPr>
          <w:p w14:paraId="35578968">
            <w:pPr>
              <w:pStyle w:val="4"/>
              <w:spacing w:line="160" w:lineRule="atLeast"/>
              <w:ind w:right="-71" w:rightChars="-34"/>
              <w:jc w:val="center"/>
              <w:textAlignment w:val="baseline"/>
              <w:rPr>
                <w:rFonts w:hint="eastAsia" w:hAnsi="宋体"/>
                <w:color w:val="auto"/>
                <w:highlight w:val="none"/>
              </w:rPr>
            </w:pPr>
            <w:r>
              <w:rPr>
                <w:rFonts w:hAnsi="宋体"/>
                <w:color w:val="auto"/>
                <w:highlight w:val="none"/>
              </w:rPr>
              <w:t>15</w:t>
            </w:r>
            <w:r>
              <w:rPr>
                <w:rFonts w:hint="eastAsia" w:hAnsi="宋体"/>
                <w:color w:val="auto"/>
                <w:highlight w:val="none"/>
              </w:rPr>
              <w:t>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6F858207">
            <w:pPr>
              <w:pStyle w:val="4"/>
              <w:spacing w:line="160" w:lineRule="atLeast"/>
              <w:jc w:val="left"/>
              <w:textAlignment w:val="baseline"/>
              <w:rPr>
                <w:rFonts w:hint="eastAsia" w:hAnsi="宋体"/>
                <w:color w:val="auto"/>
                <w:highlight w:val="none"/>
              </w:rPr>
            </w:pPr>
            <w:r>
              <w:rPr>
                <w:rFonts w:hint="eastAsia" w:hAnsi="宋体"/>
                <w:color w:val="auto"/>
                <w:highlight w:val="none"/>
              </w:rPr>
              <w:t>满足附录2资格审查条件（业绩最低要求）的，得15分；</w:t>
            </w:r>
          </w:p>
        </w:tc>
      </w:tr>
      <w:tr w14:paraId="490A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02" w:type="dxa"/>
            <w:vMerge w:val="continue"/>
            <w:tcBorders>
              <w:left w:val="single" w:color="auto" w:sz="4" w:space="0"/>
              <w:right w:val="single" w:color="auto" w:sz="4" w:space="0"/>
            </w:tcBorders>
            <w:vAlign w:val="center"/>
          </w:tcPr>
          <w:p w14:paraId="11788C4E">
            <w:pPr>
              <w:widowControl/>
              <w:jc w:val="left"/>
              <w:rPr>
                <w:rFonts w:hint="eastAsia" w:ascii="宋体" w:hAnsi="宋体" w:cs="Courier New" w:eastAsiaTheme="minorEastAsia"/>
                <w:color w:val="auto"/>
                <w:szCs w:val="21"/>
                <w:highlight w:val="none"/>
              </w:rPr>
            </w:pPr>
          </w:p>
        </w:tc>
        <w:tc>
          <w:tcPr>
            <w:tcW w:w="636" w:type="dxa"/>
            <w:vMerge w:val="continue"/>
            <w:tcBorders>
              <w:left w:val="single" w:color="auto" w:sz="4" w:space="0"/>
              <w:right w:val="single" w:color="auto" w:sz="4" w:space="0"/>
            </w:tcBorders>
            <w:vAlign w:val="center"/>
          </w:tcPr>
          <w:p w14:paraId="336051BD">
            <w:pPr>
              <w:widowControl/>
              <w:jc w:val="left"/>
              <w:rPr>
                <w:rFonts w:hint="eastAsia" w:ascii="宋体" w:hAnsi="宋体" w:cs="Courier New" w:eastAsiaTheme="minorEastAsia"/>
                <w:color w:val="auto"/>
                <w:szCs w:val="21"/>
                <w:highlight w:val="none"/>
              </w:rPr>
            </w:pPr>
          </w:p>
        </w:tc>
        <w:tc>
          <w:tcPr>
            <w:tcW w:w="732" w:type="dxa"/>
            <w:vMerge w:val="continue"/>
            <w:tcBorders>
              <w:left w:val="single" w:color="auto" w:sz="4" w:space="0"/>
              <w:right w:val="single" w:color="auto" w:sz="4" w:space="0"/>
            </w:tcBorders>
            <w:vAlign w:val="center"/>
          </w:tcPr>
          <w:p w14:paraId="35DA759D">
            <w:pPr>
              <w:widowControl/>
              <w:jc w:val="left"/>
              <w:rPr>
                <w:rFonts w:hint="eastAsia" w:ascii="宋体" w:hAnsi="宋体" w:cs="Courier New" w:eastAsiaTheme="minorEastAsia"/>
                <w:color w:val="auto"/>
                <w:szCs w:val="21"/>
                <w:highlight w:val="none"/>
              </w:rPr>
            </w:pPr>
          </w:p>
        </w:tc>
        <w:tc>
          <w:tcPr>
            <w:tcW w:w="1355" w:type="dxa"/>
            <w:vMerge w:val="continue"/>
            <w:tcBorders>
              <w:left w:val="single" w:color="auto" w:sz="4" w:space="0"/>
              <w:bottom w:val="single" w:color="auto" w:sz="4" w:space="0"/>
              <w:right w:val="single" w:color="auto" w:sz="4" w:space="0"/>
            </w:tcBorders>
            <w:vAlign w:val="center"/>
          </w:tcPr>
          <w:p w14:paraId="3DD0FA29">
            <w:pPr>
              <w:pStyle w:val="10"/>
              <w:spacing w:line="264" w:lineRule="auto"/>
              <w:ind w:firstLine="23" w:firstLineChars="11"/>
              <w:rPr>
                <w:rFonts w:hint="eastAsia" w:hAnsi="宋体"/>
                <w:color w:val="auto"/>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360E183">
            <w:pPr>
              <w:pStyle w:val="4"/>
              <w:spacing w:line="160" w:lineRule="atLeast"/>
              <w:ind w:right="-71" w:rightChars="-34"/>
              <w:jc w:val="center"/>
              <w:textAlignment w:val="baseline"/>
              <w:rPr>
                <w:rFonts w:hint="eastAsia" w:hAnsi="宋体"/>
                <w:color w:val="auto"/>
                <w:highlight w:val="none"/>
              </w:rPr>
            </w:pPr>
            <w:r>
              <w:rPr>
                <w:rFonts w:hAnsi="宋体"/>
                <w:color w:val="auto"/>
                <w:highlight w:val="none"/>
              </w:rPr>
              <w:t>10</w:t>
            </w:r>
            <w:r>
              <w:rPr>
                <w:rFonts w:hint="eastAsia" w:hAnsi="宋体"/>
                <w:color w:val="auto"/>
                <w:highlight w:val="none"/>
              </w:rPr>
              <w:t>分</w:t>
            </w:r>
          </w:p>
        </w:tc>
        <w:tc>
          <w:tcPr>
            <w:tcW w:w="5635" w:type="dxa"/>
            <w:gridSpan w:val="2"/>
            <w:tcBorders>
              <w:top w:val="single" w:color="auto" w:sz="4" w:space="0"/>
              <w:left w:val="single" w:color="auto" w:sz="4" w:space="0"/>
              <w:bottom w:val="single" w:color="auto" w:sz="4" w:space="0"/>
              <w:right w:val="single" w:color="auto" w:sz="4" w:space="0"/>
            </w:tcBorders>
            <w:vAlign w:val="center"/>
          </w:tcPr>
          <w:p w14:paraId="6DC2AEA4">
            <w:pPr>
              <w:pStyle w:val="4"/>
              <w:spacing w:line="160" w:lineRule="atLeast"/>
              <w:jc w:val="left"/>
              <w:textAlignment w:val="baseline"/>
              <w:rPr>
                <w:rFonts w:hint="eastAsia" w:hAnsi="宋体"/>
                <w:color w:val="auto"/>
                <w:highlight w:val="none"/>
              </w:rPr>
            </w:pPr>
            <w:r>
              <w:rPr>
                <w:rFonts w:hint="eastAsia" w:hAnsi="宋体"/>
                <w:color w:val="auto"/>
                <w:highlight w:val="none"/>
              </w:rPr>
              <w:t>每增加一项满足附录2资格审查条件（业绩最低要求）的业绩加</w:t>
            </w:r>
            <w:r>
              <w:rPr>
                <w:rFonts w:hint="eastAsia" w:hAnsi="宋体"/>
                <w:color w:val="auto"/>
                <w:highlight w:val="none"/>
                <w:lang w:val="en-US" w:eastAsia="zh-CN"/>
              </w:rPr>
              <w:t>5</w:t>
            </w:r>
            <w:r>
              <w:rPr>
                <w:rFonts w:hint="eastAsia" w:hAnsi="宋体"/>
                <w:color w:val="auto"/>
                <w:highlight w:val="none"/>
              </w:rPr>
              <w:t>分，本项最多加10分。</w:t>
            </w:r>
          </w:p>
        </w:tc>
      </w:tr>
    </w:tbl>
    <w:p w14:paraId="4A52C9A7">
      <w:pPr>
        <w:pStyle w:val="4"/>
        <w:textAlignment w:val="baseline"/>
        <w:rPr>
          <w:rFonts w:hint="eastAsia" w:hAnsi="宋体"/>
          <w:color w:val="auto"/>
          <w:highlight w:val="none"/>
        </w:rPr>
      </w:pPr>
      <w:r>
        <w:rPr>
          <w:rFonts w:hint="eastAsia" w:hAnsi="宋体"/>
          <w:color w:val="auto"/>
          <w:highlight w:val="none"/>
        </w:rPr>
        <w:t>注：1、第2.2.4（1）项</w:t>
      </w:r>
      <w:r>
        <w:rPr>
          <w:rFonts w:hint="eastAsia" w:hAnsi="宋体" w:cs="宋体"/>
          <w:color w:val="auto"/>
          <w:highlight w:val="none"/>
        </w:rPr>
        <w:t>各评委打分保留1位小数，</w:t>
      </w:r>
      <w:r>
        <w:rPr>
          <w:color w:val="auto"/>
          <w:highlight w:val="none"/>
        </w:rPr>
        <w:t>投标人该项得分以各评委打分平均值计算所得，保留两位小数，第三位小数四舍五入</w:t>
      </w:r>
      <w:r>
        <w:rPr>
          <w:rFonts w:hint="eastAsia" w:hAnsi="宋体"/>
          <w:color w:val="auto"/>
          <w:highlight w:val="none"/>
        </w:rPr>
        <w:t>。</w:t>
      </w:r>
    </w:p>
    <w:p w14:paraId="76482366">
      <w:pPr>
        <w:pStyle w:val="4"/>
        <w:ind w:firstLine="420" w:firstLineChars="200"/>
        <w:textAlignment w:val="baseline"/>
        <w:rPr>
          <w:rFonts w:hint="eastAsia" w:hAnsi="宋体"/>
          <w:color w:val="auto"/>
          <w:highlight w:val="none"/>
        </w:rPr>
      </w:pPr>
      <w:r>
        <w:rPr>
          <w:rFonts w:hint="eastAsia" w:hAnsi="宋体"/>
          <w:color w:val="auto"/>
          <w:highlight w:val="none"/>
        </w:rPr>
        <w:t>2、第2.2.4（1）项评标委员会成员对某一项评分因素的评分低于权重分值 60%的，应在评标报告中作出说明。评审</w:t>
      </w:r>
      <w:r>
        <w:rPr>
          <w:rFonts w:hint="eastAsia" w:hAnsi="宋体"/>
          <w:color w:val="auto"/>
          <w:highlight w:val="none"/>
          <w:lang w:val="en-US" w:eastAsia="zh-CN"/>
        </w:rPr>
        <w:t>因素细分项</w:t>
      </w:r>
      <w:r>
        <w:rPr>
          <w:rFonts w:hint="eastAsia" w:hAnsi="宋体"/>
          <w:color w:val="auto"/>
          <w:highlight w:val="none"/>
        </w:rPr>
        <w:t>缺项则该项得0分。</w:t>
      </w:r>
    </w:p>
    <w:p w14:paraId="38567AC6">
      <w:pPr>
        <w:widowControl/>
        <w:jc w:val="left"/>
        <w:rPr>
          <w:rFonts w:ascii="宋体" w:cs="Courier New" w:hAnsiTheme="minorHAnsi" w:eastAsiaTheme="minorEastAsia"/>
          <w:color w:val="auto"/>
          <w:szCs w:val="21"/>
          <w:highlight w:val="none"/>
        </w:rPr>
      </w:pPr>
      <w:r>
        <w:rPr>
          <w:color w:val="auto"/>
          <w:highlight w:val="none"/>
        </w:rPr>
        <w:br w:type="page"/>
      </w:r>
    </w:p>
    <w:p w14:paraId="68DE5B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E3DE0"/>
    <w:rsid w:val="1CAD7018"/>
    <w:rsid w:val="457E3DE0"/>
    <w:rsid w:val="626E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Plain Text"/>
    <w:basedOn w:val="1"/>
    <w:unhideWhenUsed/>
    <w:qFormat/>
    <w:uiPriority w:val="0"/>
    <w:rPr>
      <w:rFonts w:ascii="宋体" w:cs="Courier New" w:hAnsiTheme="minorHAnsi" w:eastAsiaTheme="minorEastAsia"/>
      <w:szCs w:val="21"/>
    </w:rPr>
  </w:style>
  <w:style w:type="paragraph" w:customStyle="1" w:styleId="7">
    <w:name w:val="1正文"/>
    <w:basedOn w:val="1"/>
    <w:autoRedefine/>
    <w:qFormat/>
    <w:uiPriority w:val="0"/>
    <w:pPr>
      <w:spacing w:line="360" w:lineRule="auto"/>
      <w:ind w:firstLine="480" w:firstLineChars="200"/>
    </w:pPr>
    <w:rPr>
      <w:snapToGrid w:val="0"/>
      <w:sz w:val="24"/>
      <w:szCs w:val="32"/>
    </w:rPr>
  </w:style>
  <w:style w:type="character" w:customStyle="1" w:styleId="8">
    <w:name w:val="NormalCharacter"/>
    <w:link w:val="9"/>
    <w:qFormat/>
    <w:uiPriority w:val="0"/>
    <w:rPr>
      <w:kern w:val="0"/>
      <w:sz w:val="20"/>
      <w:szCs w:val="20"/>
    </w:rPr>
  </w:style>
  <w:style w:type="paragraph" w:customStyle="1" w:styleId="9">
    <w:name w:val="UserStyle_24"/>
    <w:basedOn w:val="1"/>
    <w:link w:val="8"/>
    <w:qFormat/>
    <w:uiPriority w:val="0"/>
    <w:pPr>
      <w:widowControl/>
      <w:spacing w:line="360" w:lineRule="auto"/>
      <w:ind w:firstLine="200" w:firstLineChars="200"/>
      <w:jc w:val="left"/>
    </w:pPr>
    <w:rPr>
      <w:kern w:val="0"/>
      <w:sz w:val="20"/>
      <w:szCs w:val="20"/>
    </w:rPr>
  </w:style>
  <w:style w:type="paragraph" w:customStyle="1" w:styleId="10">
    <w:name w:val="UserStyle_340"/>
    <w:basedOn w:val="1"/>
    <w:qFormat/>
    <w:uiPriority w:val="0"/>
    <w:pPr>
      <w:widowControl/>
      <w:spacing w:line="340" w:lineRule="exact"/>
      <w:jc w:val="center"/>
    </w:pPr>
    <w:rPr>
      <w:rFonts w:ascii="宋体" w:hAnsi="Calibri"/>
      <w:bCs/>
      <w:color w:val="000000"/>
      <w:kern w:val="0"/>
      <w:szCs w:val="21"/>
    </w:rPr>
  </w:style>
  <w:style w:type="paragraph" w:customStyle="1" w:styleId="11">
    <w:name w:val="Table Text"/>
    <w:basedOn w:val="1"/>
    <w:autoRedefine/>
    <w:semiHidden/>
    <w:qFormat/>
    <w:uiPriority w:val="0"/>
    <w:rPr>
      <w:rFonts w:ascii="宋体" w:hAnsi="宋体" w:eastAsia="宋体" w:cs="宋体"/>
      <w:sz w:val="20"/>
      <w:szCs w:val="20"/>
      <w:lang w:val="en-US" w:eastAsia="en-US" w:bidi="ar-SA"/>
    </w:rPr>
  </w:style>
  <w:style w:type="character" w:customStyle="1" w:styleId="12">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7171</Words>
  <Characters>7973</Characters>
  <Lines>0</Lines>
  <Paragraphs>0</Paragraphs>
  <TotalTime>0</TotalTime>
  <ScaleCrop>false</ScaleCrop>
  <LinksUpToDate>false</LinksUpToDate>
  <CharactersWithSpaces>8061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2026-06-02T00:35:00Z</dcterms:created>
  <dc:creator>鲁鹏</dc:creator>
  <cp:lastModifiedBy>冯士峰</cp:lastModifiedBy>
  <dcterms:modified xsi:type="dcterms:W3CDTF">2026-06-02T00:46:50Z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313A53D265144CF28E89CD2942963675_11</vt:lpwstr>
  </property>
  <property fmtid="{D5CDD505-2E9C-101B-9397-08002B2CF9AE}" pid="4" name="KSOTemplateDocerSaveRecord">
    <vt:lpwstr>eyJoZGlkIjoiMjNhMGNiNzBmYzRmYmU1YWU1ZDVjYzI3MTI0YTIzZjQiLCJ1c2VySWQiOiIxNjg3ODQzOTczIn0=</vt:lpwstr>
  </property>
</Properties>
</file>