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5CCA0">
      <w:pPr>
        <w:spacing w:after="0" w:line="280" w:lineRule="exact"/>
        <w:rPr>
          <w:rFonts w:ascii="宋体" w:hAnsi="宋体" w:eastAsia="宋体" w:cs="Times New Roman"/>
          <w:b/>
          <w:kern w:val="0"/>
          <w:sz w:val="24"/>
          <w:szCs w:val="22"/>
          <w14:ligatures w14:val="none"/>
        </w:rPr>
      </w:pPr>
      <w:bookmarkStart w:id="7" w:name="_GoBack"/>
      <w:bookmarkEnd w:id="7"/>
      <w:bookmarkStart w:id="0" w:name="_Hlk37503166"/>
      <w:r>
        <w:rPr>
          <w:rFonts w:ascii="宋体" w:hAnsi="宋体" w:eastAsia="宋体" w:cs="Times New Roman"/>
          <w:b/>
          <w:kern w:val="0"/>
          <w:sz w:val="24"/>
          <w:szCs w:val="22"/>
          <w14:ligatures w14:val="none"/>
        </w:rPr>
        <w:t>附件1：资格审查条件</w:t>
      </w:r>
    </w:p>
    <w:p w14:paraId="0F37F49D">
      <w:pPr>
        <w:spacing w:after="0" w:line="240" w:lineRule="auto"/>
        <w:jc w:val="center"/>
        <w:rPr>
          <w:rFonts w:ascii="宋体" w:hAnsi="宋体" w:eastAsia="宋体" w:cs="Times New Roman"/>
          <w:b/>
          <w:kern w:val="0"/>
          <w:sz w:val="28"/>
          <w:szCs w:val="22"/>
          <w14:ligatures w14:val="none"/>
        </w:rPr>
      </w:pPr>
      <w:r>
        <w:rPr>
          <w:rFonts w:ascii="宋体" w:hAnsi="宋体" w:eastAsia="宋体" w:cs="Times New Roman"/>
          <w:b/>
          <w:kern w:val="0"/>
          <w:sz w:val="28"/>
          <w:szCs w:val="22"/>
          <w14:ligatures w14:val="none"/>
        </w:rPr>
        <w:t>附录1 资格审查条件(资质最低条件)</w:t>
      </w:r>
    </w:p>
    <w:tbl>
      <w:tblPr>
        <w:tblStyle w:val="1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265"/>
        <w:gridCol w:w="4759"/>
      </w:tblGrid>
      <w:tr w14:paraId="263F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09" w:type="dxa"/>
            <w:gridSpan w:val="3"/>
            <w:tcBorders>
              <w:top w:val="single" w:color="auto" w:sz="4" w:space="0"/>
              <w:left w:val="single" w:color="auto" w:sz="4" w:space="0"/>
              <w:bottom w:val="single" w:color="auto" w:sz="4" w:space="0"/>
              <w:right w:val="single" w:color="auto" w:sz="4" w:space="0"/>
            </w:tcBorders>
            <w:vAlign w:val="center"/>
          </w:tcPr>
          <w:p w14:paraId="70AFE062">
            <w:pPr>
              <w:spacing w:after="0" w:line="280" w:lineRule="exact"/>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企业资质等级要求</w:t>
            </w:r>
          </w:p>
        </w:tc>
      </w:tr>
      <w:tr w14:paraId="6CED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85" w:type="dxa"/>
            <w:vMerge w:val="restart"/>
            <w:tcBorders>
              <w:top w:val="single" w:color="auto" w:sz="4" w:space="0"/>
              <w:left w:val="single" w:color="auto" w:sz="4" w:space="0"/>
              <w:right w:val="single" w:color="auto" w:sz="4" w:space="0"/>
            </w:tcBorders>
            <w:vAlign w:val="center"/>
          </w:tcPr>
          <w:p w14:paraId="7ECE5011">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制造商要求：</w:t>
            </w:r>
          </w:p>
        </w:tc>
        <w:tc>
          <w:tcPr>
            <w:tcW w:w="3265" w:type="dxa"/>
            <w:tcBorders>
              <w:top w:val="single" w:color="auto" w:sz="4" w:space="0"/>
              <w:left w:val="single" w:color="auto" w:sz="4" w:space="0"/>
              <w:bottom w:val="single" w:color="auto" w:sz="4" w:space="0"/>
              <w:right w:val="single" w:color="auto" w:sz="4" w:space="0"/>
            </w:tcBorders>
            <w:vAlign w:val="center"/>
          </w:tcPr>
          <w:p w14:paraId="4BE2A119">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营业执照要求</w:t>
            </w:r>
          </w:p>
        </w:tc>
        <w:tc>
          <w:tcPr>
            <w:tcW w:w="4759" w:type="dxa"/>
            <w:tcBorders>
              <w:top w:val="single" w:color="auto" w:sz="4" w:space="0"/>
              <w:left w:val="single" w:color="auto" w:sz="4" w:space="0"/>
              <w:bottom w:val="single" w:color="auto" w:sz="4" w:space="0"/>
              <w:right w:val="single" w:color="auto" w:sz="4" w:space="0"/>
            </w:tcBorders>
            <w:vAlign w:val="center"/>
          </w:tcPr>
          <w:p w14:paraId="504B1EE9">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具有独立</w:t>
            </w:r>
            <w:bookmarkStart w:id="1" w:name="OLE_LINK3"/>
            <w:r>
              <w:rPr>
                <w:rFonts w:ascii="宋体" w:hAnsi="宋体" w:eastAsia="宋体" w:cs="Times New Roman"/>
                <w:kern w:val="0"/>
                <w:szCs w:val="21"/>
                <w14:ligatures w14:val="none"/>
              </w:rPr>
              <w:t>企业</w:t>
            </w:r>
            <w:bookmarkEnd w:id="1"/>
            <w:r>
              <w:rPr>
                <w:rFonts w:ascii="宋体" w:hAnsi="宋体" w:eastAsia="宋体" w:cs="Times New Roman"/>
                <w:kern w:val="0"/>
                <w:szCs w:val="21"/>
                <w14:ligatures w14:val="none"/>
              </w:rPr>
              <w:t>法人资格，具有有效的营业执照。</w:t>
            </w:r>
          </w:p>
        </w:tc>
      </w:tr>
      <w:tr w14:paraId="0799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85" w:type="dxa"/>
            <w:vMerge w:val="continue"/>
            <w:tcBorders>
              <w:left w:val="single" w:color="auto" w:sz="4" w:space="0"/>
              <w:bottom w:val="single" w:color="auto" w:sz="4" w:space="0"/>
              <w:right w:val="single" w:color="auto" w:sz="4" w:space="0"/>
            </w:tcBorders>
            <w:vAlign w:val="center"/>
          </w:tcPr>
          <w:p w14:paraId="780DA20C">
            <w:pPr>
              <w:adjustRightInd w:val="0"/>
              <w:snapToGrid w:val="0"/>
              <w:spacing w:after="0" w:line="360" w:lineRule="auto"/>
              <w:rPr>
                <w:rFonts w:ascii="宋体" w:hAnsi="宋体" w:eastAsia="宋体" w:cs="Times New Roman"/>
                <w:kern w:val="0"/>
                <w:szCs w:val="21"/>
                <w14:ligatures w14:val="none"/>
              </w:rPr>
            </w:pPr>
          </w:p>
        </w:tc>
        <w:tc>
          <w:tcPr>
            <w:tcW w:w="3265" w:type="dxa"/>
            <w:tcBorders>
              <w:top w:val="single" w:color="auto" w:sz="4" w:space="0"/>
              <w:left w:val="single" w:color="auto" w:sz="4" w:space="0"/>
              <w:bottom w:val="single" w:color="auto" w:sz="4" w:space="0"/>
              <w:right w:val="single" w:color="auto" w:sz="4" w:space="0"/>
            </w:tcBorders>
            <w:vAlign w:val="center"/>
          </w:tcPr>
          <w:p w14:paraId="3E0EA19E">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检测报告</w:t>
            </w:r>
          </w:p>
        </w:tc>
        <w:tc>
          <w:tcPr>
            <w:tcW w:w="4759" w:type="dxa"/>
            <w:tcBorders>
              <w:top w:val="single" w:color="auto" w:sz="4" w:space="0"/>
              <w:left w:val="single" w:color="auto" w:sz="4" w:space="0"/>
              <w:bottom w:val="single" w:color="auto" w:sz="4" w:space="0"/>
              <w:right w:val="single" w:color="auto" w:sz="4" w:space="0"/>
            </w:tcBorders>
            <w:vAlign w:val="center"/>
          </w:tcPr>
          <w:p w14:paraId="525AFC98">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具有CMA认证检测机构出具的有效防撞垫检测报告。</w:t>
            </w:r>
          </w:p>
        </w:tc>
      </w:tr>
      <w:tr w14:paraId="7873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85" w:type="dxa"/>
            <w:vMerge w:val="restart"/>
            <w:tcBorders>
              <w:top w:val="single" w:color="auto" w:sz="4" w:space="0"/>
              <w:left w:val="single" w:color="auto" w:sz="4" w:space="0"/>
              <w:right w:val="single" w:color="auto" w:sz="4" w:space="0"/>
            </w:tcBorders>
            <w:vAlign w:val="center"/>
          </w:tcPr>
          <w:p w14:paraId="1BE0B8EC">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代理商要求：</w:t>
            </w:r>
          </w:p>
        </w:tc>
        <w:tc>
          <w:tcPr>
            <w:tcW w:w="3265" w:type="dxa"/>
            <w:tcBorders>
              <w:top w:val="single" w:color="auto" w:sz="4" w:space="0"/>
              <w:left w:val="single" w:color="auto" w:sz="4" w:space="0"/>
              <w:bottom w:val="single" w:color="auto" w:sz="4" w:space="0"/>
              <w:right w:val="single" w:color="auto" w:sz="4" w:space="0"/>
            </w:tcBorders>
            <w:vAlign w:val="center"/>
          </w:tcPr>
          <w:p w14:paraId="1723041D">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营业执照要求</w:t>
            </w:r>
          </w:p>
        </w:tc>
        <w:tc>
          <w:tcPr>
            <w:tcW w:w="4759" w:type="dxa"/>
            <w:tcBorders>
              <w:top w:val="single" w:color="auto" w:sz="4" w:space="0"/>
              <w:left w:val="single" w:color="auto" w:sz="4" w:space="0"/>
              <w:bottom w:val="single" w:color="auto" w:sz="4" w:space="0"/>
              <w:right w:val="single" w:color="auto" w:sz="4" w:space="0"/>
            </w:tcBorders>
            <w:vAlign w:val="center"/>
          </w:tcPr>
          <w:p w14:paraId="35617FDD">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具有独立企业法人资格，具有有效的营业执照。</w:t>
            </w:r>
          </w:p>
        </w:tc>
      </w:tr>
      <w:tr w14:paraId="0528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85" w:type="dxa"/>
            <w:vMerge w:val="continue"/>
            <w:tcBorders>
              <w:left w:val="single" w:color="auto" w:sz="4" w:space="0"/>
              <w:right w:val="single" w:color="auto" w:sz="4" w:space="0"/>
            </w:tcBorders>
            <w:vAlign w:val="center"/>
          </w:tcPr>
          <w:p w14:paraId="6F947272">
            <w:pPr>
              <w:adjustRightInd w:val="0"/>
              <w:snapToGrid w:val="0"/>
              <w:spacing w:after="0" w:line="360" w:lineRule="auto"/>
              <w:jc w:val="center"/>
              <w:rPr>
                <w:rFonts w:ascii="宋体" w:hAnsi="宋体" w:eastAsia="宋体" w:cs="Times New Roman"/>
                <w:kern w:val="0"/>
                <w:szCs w:val="21"/>
                <w14:ligatures w14:val="none"/>
              </w:rPr>
            </w:pPr>
          </w:p>
        </w:tc>
        <w:tc>
          <w:tcPr>
            <w:tcW w:w="3265" w:type="dxa"/>
            <w:tcBorders>
              <w:top w:val="single" w:color="auto" w:sz="4" w:space="0"/>
              <w:left w:val="single" w:color="auto" w:sz="4" w:space="0"/>
              <w:bottom w:val="single" w:color="auto" w:sz="4" w:space="0"/>
              <w:right w:val="single" w:color="auto" w:sz="4" w:space="0"/>
            </w:tcBorders>
            <w:vAlign w:val="center"/>
          </w:tcPr>
          <w:p w14:paraId="2CF77354">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制造商出具的授权书（适用于代理商）</w:t>
            </w:r>
          </w:p>
        </w:tc>
        <w:tc>
          <w:tcPr>
            <w:tcW w:w="4759" w:type="dxa"/>
            <w:tcBorders>
              <w:top w:val="single" w:color="auto" w:sz="4" w:space="0"/>
              <w:left w:val="single" w:color="auto" w:sz="4" w:space="0"/>
              <w:bottom w:val="single" w:color="auto" w:sz="4" w:space="0"/>
              <w:right w:val="single" w:color="auto" w:sz="4" w:space="0"/>
            </w:tcBorders>
            <w:vAlign w:val="center"/>
          </w:tcPr>
          <w:p w14:paraId="2C10375B">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具有制造商出具的针对本项目的授权书。</w:t>
            </w:r>
          </w:p>
        </w:tc>
      </w:tr>
      <w:tr w14:paraId="4BE0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85" w:type="dxa"/>
            <w:vMerge w:val="continue"/>
            <w:tcBorders>
              <w:left w:val="single" w:color="auto" w:sz="4" w:space="0"/>
              <w:bottom w:val="single" w:color="auto" w:sz="4" w:space="0"/>
              <w:right w:val="single" w:color="auto" w:sz="4" w:space="0"/>
            </w:tcBorders>
            <w:vAlign w:val="center"/>
          </w:tcPr>
          <w:p w14:paraId="7B533252">
            <w:pPr>
              <w:adjustRightInd w:val="0"/>
              <w:snapToGrid w:val="0"/>
              <w:spacing w:after="0" w:line="360" w:lineRule="auto"/>
              <w:jc w:val="center"/>
              <w:rPr>
                <w:rFonts w:ascii="宋体" w:hAnsi="宋体" w:eastAsia="宋体" w:cs="Times New Roman"/>
                <w:kern w:val="0"/>
                <w:szCs w:val="21"/>
                <w14:ligatures w14:val="none"/>
              </w:rPr>
            </w:pPr>
          </w:p>
        </w:tc>
        <w:tc>
          <w:tcPr>
            <w:tcW w:w="3265" w:type="dxa"/>
            <w:tcBorders>
              <w:top w:val="single" w:color="auto" w:sz="4" w:space="0"/>
              <w:left w:val="single" w:color="auto" w:sz="4" w:space="0"/>
              <w:bottom w:val="single" w:color="auto" w:sz="4" w:space="0"/>
              <w:right w:val="single" w:color="auto" w:sz="4" w:space="0"/>
            </w:tcBorders>
            <w:vAlign w:val="center"/>
          </w:tcPr>
          <w:p w14:paraId="41BE6861">
            <w:pPr>
              <w:adjustRightInd w:val="0"/>
              <w:snapToGrid w:val="0"/>
              <w:spacing w:after="0" w:line="360" w:lineRule="auto"/>
              <w:jc w:val="center"/>
              <w:rPr>
                <w:rFonts w:ascii="宋体" w:hAnsi="宋体" w:eastAsia="宋体" w:cs="Times New Roman"/>
                <w:kern w:val="0"/>
                <w:szCs w:val="21"/>
                <w14:ligatures w14:val="none"/>
              </w:rPr>
            </w:pPr>
            <w:r>
              <w:rPr>
                <w:rFonts w:ascii="宋体" w:hAnsi="宋体" w:eastAsia="宋体" w:cs="Times New Roman"/>
                <w:kern w:val="0"/>
                <w:szCs w:val="21"/>
                <w14:ligatures w14:val="none"/>
              </w:rPr>
              <w:t>检测报告</w:t>
            </w:r>
          </w:p>
        </w:tc>
        <w:tc>
          <w:tcPr>
            <w:tcW w:w="4759" w:type="dxa"/>
            <w:tcBorders>
              <w:top w:val="single" w:color="auto" w:sz="4" w:space="0"/>
              <w:left w:val="single" w:color="auto" w:sz="4" w:space="0"/>
              <w:bottom w:val="single" w:color="auto" w:sz="4" w:space="0"/>
              <w:right w:val="single" w:color="auto" w:sz="4" w:space="0"/>
            </w:tcBorders>
            <w:vAlign w:val="center"/>
          </w:tcPr>
          <w:p w14:paraId="40B71CFE">
            <w:pPr>
              <w:adjustRightInd w:val="0"/>
              <w:snapToGrid w:val="0"/>
              <w:spacing w:after="0" w:line="36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具有CMA认证检测机构出具的有效防撞垫检测报告。</w:t>
            </w:r>
          </w:p>
        </w:tc>
      </w:tr>
    </w:tbl>
    <w:p w14:paraId="6CA96021">
      <w:pPr>
        <w:spacing w:after="0" w:line="240" w:lineRule="auto"/>
        <w:jc w:val="center"/>
        <w:rPr>
          <w:rFonts w:ascii="宋体" w:hAnsi="宋体" w:eastAsia="宋体" w:cs="Times New Roman"/>
          <w:b/>
          <w:kern w:val="0"/>
          <w:sz w:val="28"/>
          <w:szCs w:val="22"/>
          <w14:ligatures w14:val="none"/>
        </w:rPr>
      </w:pPr>
    </w:p>
    <w:p w14:paraId="38D9CCDF">
      <w:pPr>
        <w:spacing w:after="0" w:line="240" w:lineRule="auto"/>
        <w:jc w:val="center"/>
        <w:rPr>
          <w:rFonts w:ascii="宋体" w:hAnsi="宋体" w:eastAsia="宋体" w:cs="Times New Roman"/>
          <w:b/>
          <w:kern w:val="0"/>
          <w:sz w:val="28"/>
          <w:szCs w:val="22"/>
          <w14:ligatures w14:val="none"/>
        </w:rPr>
      </w:pPr>
    </w:p>
    <w:p w14:paraId="16955CA8">
      <w:pPr>
        <w:spacing w:after="0" w:line="240" w:lineRule="auto"/>
        <w:jc w:val="center"/>
        <w:rPr>
          <w:rFonts w:ascii="宋体" w:hAnsi="宋体" w:eastAsia="宋体" w:cs="Times New Roman"/>
          <w:b/>
          <w:kern w:val="0"/>
          <w:sz w:val="28"/>
          <w:szCs w:val="22"/>
          <w14:ligatures w14:val="none"/>
        </w:rPr>
      </w:pPr>
      <w:bookmarkStart w:id="2" w:name="_Toc524343454"/>
      <w:r>
        <w:rPr>
          <w:rFonts w:ascii="宋体" w:hAnsi="宋体" w:eastAsia="宋体" w:cs="Times New Roman"/>
          <w:b/>
          <w:kern w:val="0"/>
          <w:sz w:val="28"/>
          <w:szCs w:val="22"/>
          <w14:ligatures w14:val="none"/>
        </w:rPr>
        <w:t>附录2  资格审查条件(业绩最低要求)</w:t>
      </w:r>
      <w:bookmarkEnd w:id="2"/>
    </w:p>
    <w:tbl>
      <w:tblPr>
        <w:tblStyle w:val="15"/>
        <w:tblW w:w="900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1"/>
      </w:tblGrid>
      <w:tr w14:paraId="3ED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9001" w:type="dxa"/>
            <w:vAlign w:val="center"/>
          </w:tcPr>
          <w:p w14:paraId="7B10641B">
            <w:pPr>
              <w:wordWrap w:val="0"/>
              <w:adjustRightInd w:val="0"/>
              <w:snapToGrid w:val="0"/>
              <w:spacing w:after="0" w:line="240" w:lineRule="auto"/>
              <w:jc w:val="center"/>
              <w:rPr>
                <w:rFonts w:ascii="宋体" w:hAnsi="宋体" w:eastAsia="宋体" w:cs="Times New Roman"/>
                <w:b/>
                <w:kern w:val="0"/>
                <w:sz w:val="21"/>
                <w:szCs w:val="21"/>
                <w:shd w:val="clear" w:color="auto" w:fill="FFFFFF"/>
                <w:lang w:eastAsia="en-US"/>
                <w14:ligatures w14:val="none"/>
              </w:rPr>
            </w:pPr>
            <w:r>
              <w:rPr>
                <w:rFonts w:ascii="宋体" w:hAnsi="宋体" w:eastAsia="宋体" w:cs="Times New Roman"/>
                <w:b/>
                <w:kern w:val="0"/>
                <w:sz w:val="21"/>
                <w:szCs w:val="21"/>
                <w:shd w:val="clear" w:color="auto" w:fill="FFFFFF"/>
                <w:lang w:eastAsia="en-US"/>
                <w14:ligatures w14:val="none"/>
              </w:rPr>
              <w:t>业绩要求</w:t>
            </w:r>
          </w:p>
        </w:tc>
      </w:tr>
      <w:tr w14:paraId="2F53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trPr>
        <w:tc>
          <w:tcPr>
            <w:tcW w:w="9001" w:type="dxa"/>
            <w:vAlign w:val="center"/>
          </w:tcPr>
          <w:p w14:paraId="4DBEE494">
            <w:pPr>
              <w:adjustRightInd w:val="0"/>
              <w:snapToGrid w:val="0"/>
              <w:spacing w:after="0" w:line="360" w:lineRule="auto"/>
              <w:ind w:firstLine="440" w:firstLineChars="200"/>
              <w:rPr>
                <w:rFonts w:ascii="宋体" w:hAnsi="宋体" w:eastAsia="宋体" w:cs="Times New Roman"/>
                <w:kern w:val="0"/>
                <w:sz w:val="21"/>
                <w:szCs w:val="21"/>
                <w:shd w:val="clear" w:color="auto" w:fill="FFFFFF"/>
                <w14:ligatures w14:val="none"/>
              </w:rPr>
            </w:pPr>
            <w:r>
              <w:rPr>
                <w:rFonts w:ascii="宋体" w:hAnsi="宋体" w:eastAsia="宋体" w:cs="Times New Roman"/>
                <w:kern w:val="0"/>
                <w:szCs w:val="21"/>
                <w14:ligatures w14:val="none"/>
              </w:rPr>
              <w:t>近3年内(2023年5月1日至今，以合同签订时间为准)至少有1项防撞垫的供货业绩。</w:t>
            </w:r>
          </w:p>
        </w:tc>
      </w:tr>
    </w:tbl>
    <w:p w14:paraId="3EDA7DF5">
      <w:pPr>
        <w:wordWrap w:val="0"/>
        <w:adjustRightInd w:val="0"/>
        <w:snapToGrid w:val="0"/>
        <w:spacing w:after="0" w:line="360" w:lineRule="auto"/>
        <w:rPr>
          <w:rFonts w:ascii="宋体" w:hAnsi="宋体" w:eastAsia="宋体" w:cs="Times New Roman"/>
          <w:kern w:val="0"/>
          <w:sz w:val="20"/>
          <w:szCs w:val="20"/>
          <w:shd w:val="clear" w:color="auto" w:fill="FFFFFF"/>
          <w14:ligatures w14:val="none"/>
        </w:rPr>
      </w:pPr>
      <w:r>
        <w:rPr>
          <w:rFonts w:ascii="宋体" w:hAnsi="宋体" w:eastAsia="宋体" w:cs="Times New Roman"/>
          <w:kern w:val="0"/>
          <w:sz w:val="21"/>
          <w:szCs w:val="20"/>
          <w:shd w:val="clear" w:color="auto" w:fill="FFFFFF"/>
          <w14:ligatures w14:val="none"/>
        </w:rPr>
        <w:t>注：代理商和制造商的业绩可互用。</w:t>
      </w:r>
    </w:p>
    <w:p w14:paraId="5F1EE516">
      <w:pPr>
        <w:spacing w:after="0" w:line="240" w:lineRule="auto"/>
        <w:jc w:val="center"/>
        <w:rPr>
          <w:rFonts w:ascii="宋体" w:hAnsi="宋体" w:eastAsia="宋体" w:cs="Times New Roman"/>
          <w:b/>
          <w:kern w:val="0"/>
          <w:sz w:val="28"/>
          <w:szCs w:val="22"/>
          <w14:ligatures w14:val="none"/>
        </w:rPr>
      </w:pPr>
    </w:p>
    <w:p w14:paraId="3F4768F7">
      <w:pPr>
        <w:spacing w:after="0" w:line="240" w:lineRule="auto"/>
        <w:jc w:val="center"/>
        <w:rPr>
          <w:rFonts w:ascii="宋体" w:hAnsi="宋体" w:eastAsia="宋体" w:cs="Times New Roman"/>
          <w:b/>
          <w:kern w:val="0"/>
          <w:sz w:val="28"/>
          <w:szCs w:val="22"/>
          <w14:ligatures w14:val="none"/>
        </w:rPr>
      </w:pPr>
      <w:r>
        <w:rPr>
          <w:rFonts w:ascii="宋体" w:hAnsi="宋体" w:eastAsia="宋体" w:cs="Times New Roman"/>
          <w:b/>
          <w:kern w:val="0"/>
          <w:sz w:val="28"/>
          <w:szCs w:val="22"/>
          <w14:ligatures w14:val="none"/>
        </w:rPr>
        <w:t>附录3 资格审查条件(信誉最低条件)</w:t>
      </w:r>
    </w:p>
    <w:tbl>
      <w:tblPr>
        <w:tblStyle w:val="1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14:paraId="606E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939" w:type="dxa"/>
            <w:tcBorders>
              <w:top w:val="single" w:color="auto" w:sz="4" w:space="0"/>
              <w:left w:val="single" w:color="auto" w:sz="4" w:space="0"/>
              <w:bottom w:val="single" w:color="auto" w:sz="4" w:space="0"/>
              <w:right w:val="single" w:color="auto" w:sz="4" w:space="0"/>
            </w:tcBorders>
            <w:vAlign w:val="center"/>
          </w:tcPr>
          <w:p w14:paraId="31929BC1">
            <w:pPr>
              <w:spacing w:after="0" w:line="280" w:lineRule="exact"/>
              <w:jc w:val="center"/>
              <w:rPr>
                <w:rFonts w:ascii="宋体" w:hAnsi="宋体" w:eastAsia="宋体" w:cs="Times New Roman"/>
                <w:kern w:val="0"/>
                <w:szCs w:val="22"/>
                <w:lang w:eastAsia="en-US"/>
                <w14:ligatures w14:val="none"/>
              </w:rPr>
            </w:pPr>
            <w:r>
              <w:rPr>
                <w:rFonts w:ascii="宋体" w:hAnsi="宋体" w:eastAsia="宋体" w:cs="Times New Roman"/>
                <w:kern w:val="0"/>
                <w:szCs w:val="22"/>
                <w:lang w:eastAsia="en-US"/>
                <w14:ligatures w14:val="none"/>
              </w:rPr>
              <w:t>信誉要求</w:t>
            </w:r>
          </w:p>
        </w:tc>
      </w:tr>
      <w:tr w14:paraId="7EA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939" w:type="dxa"/>
            <w:tcBorders>
              <w:top w:val="single" w:color="auto" w:sz="4" w:space="0"/>
              <w:left w:val="single" w:color="auto" w:sz="4" w:space="0"/>
              <w:bottom w:val="single" w:color="auto" w:sz="4" w:space="0"/>
              <w:right w:val="single" w:color="auto" w:sz="4" w:space="0"/>
            </w:tcBorders>
            <w:vAlign w:val="center"/>
          </w:tcPr>
          <w:p w14:paraId="7A1B26D4">
            <w:pPr>
              <w:adjustRightInd w:val="0"/>
              <w:snapToGrid w:val="0"/>
              <w:spacing w:after="0" w:line="360" w:lineRule="auto"/>
              <w:ind w:firstLine="440" w:firstLineChars="200"/>
              <w:rPr>
                <w:rFonts w:ascii="宋体" w:hAnsi="宋体" w:eastAsia="宋体" w:cs="Times New Roman"/>
                <w:b/>
                <w:kern w:val="0"/>
                <w:szCs w:val="21"/>
                <w14:ligatures w14:val="none"/>
              </w:rPr>
            </w:pPr>
            <w:r>
              <w:rPr>
                <w:rFonts w:ascii="宋体" w:hAnsi="宋体" w:eastAsia="宋体" w:cs="Times New Roman"/>
                <w:kern w:val="0"/>
                <w:szCs w:val="21"/>
                <w14:ligatures w14:val="none"/>
              </w:rPr>
              <w:t>投标人过去1年（2025年5月1日至今）中不曾因防撞垫供货合同违约而被驱逐或因投标人自身的原因而使供货合同被解除。</w:t>
            </w:r>
          </w:p>
        </w:tc>
      </w:tr>
    </w:tbl>
    <w:p w14:paraId="609D03A1">
      <w:pPr>
        <w:spacing w:after="0" w:line="460" w:lineRule="exact"/>
        <w:rPr>
          <w:rFonts w:ascii="宋体" w:hAnsi="宋体" w:eastAsia="宋体" w:cs="Times New Roman"/>
          <w:b/>
          <w:kern w:val="0"/>
          <w:sz w:val="24"/>
          <w:szCs w:val="22"/>
          <w14:ligatures w14:val="none"/>
        </w:rPr>
      </w:pPr>
      <w:r>
        <w:rPr>
          <w:rFonts w:ascii="宋体" w:hAnsi="宋体" w:eastAsia="宋体" w:cs="Times New Roman"/>
          <w:kern w:val="0"/>
          <w:sz w:val="24"/>
          <w14:ligatures w14:val="none"/>
        </w:rPr>
        <w:br w:type="page"/>
      </w:r>
      <w:bookmarkStart w:id="3" w:name="_Hlk531337368"/>
      <w:r>
        <w:rPr>
          <w:rFonts w:ascii="宋体" w:hAnsi="宋体" w:eastAsia="宋体" w:cs="Times New Roman"/>
          <w:b/>
          <w:kern w:val="0"/>
          <w:sz w:val="24"/>
          <w:szCs w:val="22"/>
          <w14:ligatures w14:val="none"/>
        </w:rPr>
        <w:t>附件2：评标办法</w:t>
      </w:r>
      <w:bookmarkEnd w:id="3"/>
    </w:p>
    <w:p w14:paraId="02A11860">
      <w:pPr>
        <w:widowControl/>
        <w:wordWrap w:val="0"/>
        <w:spacing w:before="312" w:beforeLines="100" w:after="312" w:afterLines="100" w:line="240" w:lineRule="auto"/>
        <w:outlineLvl w:val="0"/>
        <w:rPr>
          <w:rFonts w:ascii="宋体" w:hAnsi="宋体" w:eastAsia="宋体" w:cs="宋体"/>
          <w:bCs/>
          <w:kern w:val="0"/>
          <w:sz w:val="28"/>
          <w:szCs w:val="28"/>
          <w14:ligatures w14:val="none"/>
        </w:rPr>
      </w:pPr>
      <w:bookmarkStart w:id="4" w:name="_Toc85193225"/>
      <w:r>
        <w:rPr>
          <w:rFonts w:ascii="宋体" w:hAnsi="宋体" w:eastAsia="宋体" w:cs="宋体"/>
          <w:bCs/>
          <w:kern w:val="0"/>
          <w:sz w:val="24"/>
          <w:szCs w:val="20"/>
          <w14:ligatures w14:val="none"/>
        </w:rPr>
        <w:t>评标办法前附表</w:t>
      </w:r>
      <w:bookmarkEnd w:id="4"/>
    </w:p>
    <w:tbl>
      <w:tblPr>
        <w:tblStyle w:val="15"/>
        <w:tblW w:w="9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123"/>
        <w:gridCol w:w="2477"/>
        <w:gridCol w:w="4943"/>
      </w:tblGrid>
      <w:tr w14:paraId="3ACD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blHeader/>
          <w:jc w:val="center"/>
        </w:trPr>
        <w:tc>
          <w:tcPr>
            <w:tcW w:w="2023" w:type="dxa"/>
            <w:gridSpan w:val="2"/>
            <w:vAlign w:val="center"/>
          </w:tcPr>
          <w:p w14:paraId="7930C907">
            <w:pPr>
              <w:spacing w:before="40" w:after="0" w:line="240" w:lineRule="auto"/>
              <w:ind w:left="670" w:right="670"/>
              <w:jc w:val="center"/>
              <w:rPr>
                <w:rFonts w:ascii="宋体" w:hAnsi="宋体" w:eastAsia="宋体" w:cs="Microsoft JhengHei"/>
                <w:kern w:val="0"/>
                <w:sz w:val="21"/>
                <w:szCs w:val="21"/>
                <w:lang w:eastAsia="en-US"/>
                <w14:ligatures w14:val="none"/>
              </w:rPr>
            </w:pPr>
            <w:bookmarkStart w:id="5" w:name="OLE_LINK4"/>
            <w:r>
              <w:rPr>
                <w:rFonts w:ascii="宋体" w:hAnsi="宋体" w:eastAsia="宋体" w:cs="Microsoft JhengHei"/>
                <w:kern w:val="0"/>
                <w:sz w:val="21"/>
                <w:szCs w:val="21"/>
                <w:lang w:eastAsia="en-US"/>
                <w14:ligatures w14:val="none"/>
              </w:rPr>
              <w:t>条款号</w:t>
            </w:r>
          </w:p>
        </w:tc>
        <w:tc>
          <w:tcPr>
            <w:tcW w:w="2477" w:type="dxa"/>
            <w:vAlign w:val="center"/>
          </w:tcPr>
          <w:p w14:paraId="5F9D0D8D">
            <w:pPr>
              <w:spacing w:before="40" w:after="0" w:line="240" w:lineRule="auto"/>
              <w:ind w:left="810"/>
              <w:rPr>
                <w:rFonts w:ascii="宋体" w:hAnsi="宋体" w:eastAsia="宋体" w:cs="Microsoft JhengHei"/>
                <w:kern w:val="0"/>
                <w:sz w:val="21"/>
                <w:szCs w:val="21"/>
                <w:lang w:eastAsia="en-US"/>
                <w14:ligatures w14:val="none"/>
              </w:rPr>
            </w:pPr>
            <w:r>
              <w:rPr>
                <w:rFonts w:ascii="宋体" w:hAnsi="宋体" w:eastAsia="宋体" w:cs="Microsoft JhengHei"/>
                <w:kern w:val="0"/>
                <w:sz w:val="21"/>
                <w:szCs w:val="21"/>
                <w:lang w:eastAsia="en-US"/>
                <w14:ligatures w14:val="none"/>
              </w:rPr>
              <w:t>评审因素</w:t>
            </w:r>
          </w:p>
        </w:tc>
        <w:tc>
          <w:tcPr>
            <w:tcW w:w="4943" w:type="dxa"/>
            <w:vAlign w:val="center"/>
          </w:tcPr>
          <w:p w14:paraId="271DBC4E">
            <w:pPr>
              <w:spacing w:before="40" w:after="0" w:line="240" w:lineRule="auto"/>
              <w:ind w:left="1685" w:right="1685"/>
              <w:jc w:val="center"/>
              <w:rPr>
                <w:rFonts w:ascii="宋体" w:hAnsi="宋体" w:eastAsia="宋体" w:cs="Microsoft JhengHei"/>
                <w:kern w:val="0"/>
                <w:sz w:val="21"/>
                <w:szCs w:val="21"/>
                <w:lang w:eastAsia="en-US"/>
                <w14:ligatures w14:val="none"/>
              </w:rPr>
            </w:pPr>
            <w:r>
              <w:rPr>
                <w:rFonts w:ascii="宋体" w:hAnsi="宋体" w:eastAsia="宋体" w:cs="Microsoft JhengHei"/>
                <w:kern w:val="0"/>
                <w:sz w:val="21"/>
                <w:szCs w:val="21"/>
                <w:lang w:eastAsia="en-US"/>
                <w14:ligatures w14:val="none"/>
              </w:rPr>
              <w:t>评审标准</w:t>
            </w:r>
          </w:p>
        </w:tc>
      </w:tr>
      <w:tr w14:paraId="19F1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Align w:val="center"/>
          </w:tcPr>
          <w:p w14:paraId="04483D6A">
            <w:pPr>
              <w:spacing w:after="0" w:line="240" w:lineRule="auto"/>
              <w:ind w:left="371" w:right="371"/>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1</w:t>
            </w:r>
          </w:p>
        </w:tc>
        <w:tc>
          <w:tcPr>
            <w:tcW w:w="1123" w:type="dxa"/>
            <w:vAlign w:val="center"/>
          </w:tcPr>
          <w:p w14:paraId="6268B637">
            <w:pPr>
              <w:spacing w:before="140" w:after="0" w:line="240" w:lineRule="auto"/>
              <w:ind w:left="135"/>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评标方法</w:t>
            </w:r>
          </w:p>
        </w:tc>
        <w:tc>
          <w:tcPr>
            <w:tcW w:w="2477" w:type="dxa"/>
            <w:vAlign w:val="center"/>
          </w:tcPr>
          <w:p w14:paraId="66234A59">
            <w:pPr>
              <w:spacing w:before="140" w:after="0" w:line="240" w:lineRule="auto"/>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中标候选人排序方法</w:t>
            </w:r>
          </w:p>
        </w:tc>
        <w:tc>
          <w:tcPr>
            <w:tcW w:w="4943" w:type="dxa"/>
            <w:vAlign w:val="center"/>
          </w:tcPr>
          <w:p w14:paraId="72E82786">
            <w:pPr>
              <w:spacing w:after="0" w:line="400" w:lineRule="exact"/>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F412ECC">
            <w:pPr>
              <w:spacing w:after="0" w:line="400" w:lineRule="exact"/>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（1）以评标价低的优先；</w:t>
            </w:r>
          </w:p>
          <w:p w14:paraId="12AD3056">
            <w:pPr>
              <w:spacing w:after="0" w:line="400" w:lineRule="exact"/>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（2）评标价也相等的，以技术部分得分高的优；</w:t>
            </w:r>
          </w:p>
          <w:p w14:paraId="1924201F">
            <w:pPr>
              <w:spacing w:after="0" w:line="400" w:lineRule="exact"/>
              <w:ind w:firstLine="412" w:firstLineChars="200"/>
              <w:jc w:val="both"/>
              <w:rPr>
                <w:rFonts w:ascii="Times New Roman" w:hAnsi="Times New Roman" w:eastAsia="宋体" w:cs="Times New Roman"/>
                <w:kern w:val="0"/>
                <w:sz w:val="21"/>
                <w:szCs w:val="21"/>
                <w14:ligatures w14:val="none"/>
              </w:rPr>
            </w:pPr>
            <w:r>
              <w:rPr>
                <w:rFonts w:ascii="宋体" w:hAnsi="宋体" w:eastAsia="宋体" w:cs="宋体"/>
                <w:spacing w:val="-2"/>
                <w:kern w:val="0"/>
                <w:sz w:val="21"/>
                <w:szCs w:val="21"/>
                <w14:ligatures w14:val="none"/>
              </w:rPr>
              <w:t>（3）技术得分也相等时，以满足资格审查条件附录2（业绩最低要求）要求的供货业绩累计设备数量多的优先。</w:t>
            </w:r>
          </w:p>
        </w:tc>
      </w:tr>
      <w:tr w14:paraId="4371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restart"/>
            <w:tcBorders>
              <w:top w:val="single" w:color="auto" w:sz="4" w:space="0"/>
            </w:tcBorders>
            <w:vAlign w:val="center"/>
          </w:tcPr>
          <w:p w14:paraId="4E99E447">
            <w:pPr>
              <w:spacing w:after="0" w:line="240" w:lineRule="auto"/>
              <w:ind w:left="234"/>
              <w:rPr>
                <w:rFonts w:ascii="宋体" w:hAnsi="宋体" w:eastAsia="宋体" w:cs="Times New Roman"/>
                <w:kern w:val="0"/>
                <w:sz w:val="21"/>
                <w:szCs w:val="21"/>
                <w14:ligatures w14:val="none"/>
              </w:rPr>
            </w:pPr>
            <w:r>
              <w:rPr>
                <w:rFonts w:ascii="宋体" w:hAnsi="宋体" w:eastAsia="宋体" w:cs="Times New Roman"/>
                <w:kern w:val="0"/>
                <w:sz w:val="21"/>
                <w:szCs w:val="21"/>
                <w:lang w:eastAsia="en-US"/>
                <w14:ligatures w14:val="none"/>
              </w:rPr>
              <w:t>2.1.1</w:t>
            </w:r>
          </w:p>
        </w:tc>
        <w:tc>
          <w:tcPr>
            <w:tcW w:w="1123" w:type="dxa"/>
            <w:vMerge w:val="restart"/>
            <w:tcBorders>
              <w:top w:val="single" w:color="auto" w:sz="4" w:space="0"/>
            </w:tcBorders>
            <w:vAlign w:val="center"/>
          </w:tcPr>
          <w:p w14:paraId="00D751F0">
            <w:pPr>
              <w:spacing w:after="0" w:line="240" w:lineRule="auto"/>
              <w:jc w:val="center"/>
              <w:rPr>
                <w:rFonts w:ascii="宋体" w:hAnsi="宋体" w:eastAsia="宋体" w:cs="宋体"/>
                <w:kern w:val="0"/>
                <w:sz w:val="21"/>
                <w:szCs w:val="21"/>
                <w14:ligatures w14:val="none"/>
              </w:rPr>
            </w:pPr>
            <w:r>
              <w:rPr>
                <w:rFonts w:ascii="宋体" w:hAnsi="宋体" w:eastAsia="宋体" w:cs="宋体"/>
                <w:spacing w:val="-1"/>
                <w:kern w:val="0"/>
                <w:sz w:val="21"/>
                <w:szCs w:val="21"/>
                <w14:ligatures w14:val="none"/>
              </w:rPr>
              <w:t>形式评审</w:t>
            </w:r>
          </w:p>
          <w:p w14:paraId="5F6F0501">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标准</w:t>
            </w:r>
          </w:p>
        </w:tc>
        <w:tc>
          <w:tcPr>
            <w:tcW w:w="2477" w:type="dxa"/>
            <w:tcBorders>
              <w:top w:val="single" w:color="auto" w:sz="4" w:space="0"/>
            </w:tcBorders>
            <w:vAlign w:val="center"/>
          </w:tcPr>
          <w:p w14:paraId="411FE6A2">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投标人名称</w:t>
            </w:r>
          </w:p>
        </w:tc>
        <w:tc>
          <w:tcPr>
            <w:tcW w:w="4943" w:type="dxa"/>
            <w:tcBorders>
              <w:top w:val="single" w:color="auto" w:sz="4" w:space="0"/>
            </w:tcBorders>
            <w:vAlign w:val="center"/>
          </w:tcPr>
          <w:p w14:paraId="7FDFB009">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与营业执照一致</w:t>
            </w:r>
          </w:p>
        </w:tc>
      </w:tr>
      <w:tr w14:paraId="036F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C6FD4E0">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194690B6">
            <w:pPr>
              <w:spacing w:after="0" w:line="210" w:lineRule="exact"/>
              <w:ind w:left="344"/>
              <w:rPr>
                <w:rFonts w:ascii="宋体" w:hAnsi="宋体" w:eastAsia="宋体" w:cs="Times New Roman"/>
                <w:kern w:val="0"/>
                <w:sz w:val="21"/>
                <w:szCs w:val="21"/>
                <w14:ligatures w14:val="none"/>
              </w:rPr>
            </w:pPr>
          </w:p>
        </w:tc>
        <w:tc>
          <w:tcPr>
            <w:tcW w:w="2477" w:type="dxa"/>
            <w:vAlign w:val="center"/>
          </w:tcPr>
          <w:p w14:paraId="432A48FE">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投标函签字盖章</w:t>
            </w:r>
          </w:p>
        </w:tc>
        <w:tc>
          <w:tcPr>
            <w:tcW w:w="4943" w:type="dxa"/>
            <w:vAlign w:val="center"/>
          </w:tcPr>
          <w:p w14:paraId="483F1EED">
            <w:pPr>
              <w:spacing w:after="0" w:line="400" w:lineRule="exact"/>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1.投标文件中法定代表人或其授权代理人的签字、投标人的单位章盖章齐全，符合招标文件规定，“投标文件”中要求盖单位章和（或）法定代表人或其委托代理人签字的地方，投标人均应使用CA数字证书加盖投标人的单位电子印章和（或）法定代表人或其委托代理人的个人电子印章或电子签名章。</w:t>
            </w:r>
          </w:p>
          <w:p w14:paraId="38923E18">
            <w:pPr>
              <w:spacing w:after="0" w:line="400" w:lineRule="exact"/>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2.如果投标文件由委托代理人签署，则投标人须提交授权委托书，授权委托书应按第六章“投标文件格式”的要求出具，并在授权书指定位置加盖单位电子印章、授权人个人电子印章。投标函签署的日期与授权委托书出具的日期同日或在其之后，并与投标截止时间同日或在其之前；授权委托书只能授权给一名委托代理人。</w:t>
            </w:r>
          </w:p>
          <w:p w14:paraId="5D64E9F2">
            <w:pPr>
              <w:spacing w:after="0" w:line="400" w:lineRule="exact"/>
              <w:jc w:val="both"/>
              <w:rPr>
                <w:rFonts w:ascii="宋体" w:hAnsi="宋体" w:eastAsia="宋体" w:cs="宋体"/>
                <w:kern w:val="0"/>
                <w:sz w:val="21"/>
                <w:szCs w:val="21"/>
                <w14:ligatures w14:val="none"/>
              </w:rPr>
            </w:pPr>
            <w:r>
              <w:rPr>
                <w:rFonts w:ascii="宋体" w:hAnsi="宋体" w:eastAsia="宋体" w:cs="Times New Roman"/>
                <w:kern w:val="0"/>
                <w:sz w:val="21"/>
                <w:szCs w:val="21"/>
                <w14:ligatures w14:val="none"/>
              </w:rPr>
              <w:t>3.如果投标文件由投标人的法定代表人亲自签署，则投标人须提交法定代表人身份证明，身份证明应符合第六章“投标文件格式”的要求。</w:t>
            </w:r>
          </w:p>
        </w:tc>
      </w:tr>
      <w:tr w14:paraId="1866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73AB9F78">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1A11B6DB">
            <w:pPr>
              <w:spacing w:after="0" w:line="210" w:lineRule="exact"/>
              <w:ind w:left="344"/>
              <w:rPr>
                <w:rFonts w:ascii="宋体" w:hAnsi="宋体" w:eastAsia="宋体" w:cs="宋体"/>
                <w:kern w:val="0"/>
                <w:sz w:val="21"/>
                <w:szCs w:val="21"/>
                <w14:ligatures w14:val="none"/>
              </w:rPr>
            </w:pPr>
          </w:p>
        </w:tc>
        <w:tc>
          <w:tcPr>
            <w:tcW w:w="2477" w:type="dxa"/>
            <w:vAlign w:val="center"/>
          </w:tcPr>
          <w:p w14:paraId="34A0B791">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投标文件格式</w:t>
            </w:r>
          </w:p>
        </w:tc>
        <w:tc>
          <w:tcPr>
            <w:tcW w:w="4943" w:type="dxa"/>
            <w:vAlign w:val="center"/>
          </w:tcPr>
          <w:p w14:paraId="14AEFE82">
            <w:pPr>
              <w:spacing w:after="0" w:line="400" w:lineRule="exact"/>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主要内容实质上响应第六章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投标文件格式</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的规定</w:t>
            </w:r>
          </w:p>
        </w:tc>
      </w:tr>
      <w:tr w14:paraId="09B4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30C84A56">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0ED88B27">
            <w:pPr>
              <w:spacing w:after="0" w:line="240" w:lineRule="auto"/>
              <w:rPr>
                <w:rFonts w:ascii="宋体" w:hAnsi="宋体" w:eastAsia="宋体" w:cs="Times New Roman"/>
                <w:kern w:val="0"/>
                <w:sz w:val="21"/>
                <w:szCs w:val="21"/>
                <w14:ligatures w14:val="none"/>
              </w:rPr>
            </w:pPr>
          </w:p>
        </w:tc>
        <w:tc>
          <w:tcPr>
            <w:tcW w:w="2477" w:type="dxa"/>
            <w:vAlign w:val="center"/>
          </w:tcPr>
          <w:p w14:paraId="245F1CB4">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联合体投标人</w:t>
            </w:r>
          </w:p>
        </w:tc>
        <w:tc>
          <w:tcPr>
            <w:tcW w:w="4943" w:type="dxa"/>
            <w:vAlign w:val="center"/>
          </w:tcPr>
          <w:p w14:paraId="6FDCEE71">
            <w:pPr>
              <w:spacing w:after="0" w:line="400" w:lineRule="exact"/>
              <w:jc w:val="both"/>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投标人未以联合体形式投标</w:t>
            </w:r>
          </w:p>
        </w:tc>
      </w:tr>
      <w:tr w14:paraId="208B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92FD9D6">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6BC4E212">
            <w:pPr>
              <w:spacing w:after="0" w:line="240" w:lineRule="auto"/>
              <w:rPr>
                <w:rFonts w:ascii="宋体" w:hAnsi="宋体" w:eastAsia="宋体" w:cs="Times New Roman"/>
                <w:kern w:val="0"/>
                <w:sz w:val="21"/>
                <w:szCs w:val="21"/>
                <w14:ligatures w14:val="none"/>
              </w:rPr>
            </w:pPr>
          </w:p>
        </w:tc>
        <w:tc>
          <w:tcPr>
            <w:tcW w:w="2477" w:type="dxa"/>
            <w:vAlign w:val="center"/>
          </w:tcPr>
          <w:p w14:paraId="7B21CBFD">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备选投标方案</w:t>
            </w:r>
          </w:p>
        </w:tc>
        <w:tc>
          <w:tcPr>
            <w:tcW w:w="4943" w:type="dxa"/>
            <w:vAlign w:val="center"/>
          </w:tcPr>
          <w:p w14:paraId="5A9BA810">
            <w:pPr>
              <w:spacing w:after="0" w:line="400" w:lineRule="exact"/>
              <w:jc w:val="both"/>
              <w:rPr>
                <w:rFonts w:ascii="宋体" w:hAnsi="宋体" w:eastAsia="宋体" w:cs="宋体"/>
                <w:kern w:val="0"/>
                <w:sz w:val="21"/>
                <w:szCs w:val="21"/>
                <w14:ligatures w14:val="none"/>
              </w:rPr>
            </w:pPr>
            <w:r>
              <w:rPr>
                <w:rFonts w:ascii="宋体" w:hAnsi="宋体" w:eastAsia="宋体" w:cs="宋体"/>
                <w:spacing w:val="1"/>
                <w:kern w:val="0"/>
                <w:sz w:val="21"/>
                <w:szCs w:val="21"/>
                <w14:ligatures w14:val="none"/>
              </w:rPr>
              <w:t>投标</w:t>
            </w:r>
            <w:r>
              <w:rPr>
                <w:rFonts w:ascii="宋体" w:hAnsi="宋体" w:eastAsia="宋体" w:cs="宋体"/>
                <w:spacing w:val="-2"/>
                <w:kern w:val="0"/>
                <w:sz w:val="21"/>
                <w:szCs w:val="21"/>
                <w14:ligatures w14:val="none"/>
              </w:rPr>
              <w:t>人未提交备选投标方案</w:t>
            </w:r>
          </w:p>
        </w:tc>
      </w:tr>
      <w:tr w14:paraId="03C2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1BB2D30C">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36573838">
            <w:pPr>
              <w:spacing w:after="0" w:line="240" w:lineRule="auto"/>
              <w:rPr>
                <w:rFonts w:ascii="宋体" w:hAnsi="宋体" w:eastAsia="宋体" w:cs="Times New Roman"/>
                <w:kern w:val="0"/>
                <w:sz w:val="21"/>
                <w:szCs w:val="21"/>
                <w14:ligatures w14:val="none"/>
              </w:rPr>
            </w:pPr>
          </w:p>
        </w:tc>
        <w:tc>
          <w:tcPr>
            <w:tcW w:w="2477" w:type="dxa"/>
            <w:vAlign w:val="center"/>
          </w:tcPr>
          <w:p w14:paraId="4B149369">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分包</w:t>
            </w:r>
          </w:p>
        </w:tc>
        <w:tc>
          <w:tcPr>
            <w:tcW w:w="4943" w:type="dxa"/>
            <w:vAlign w:val="center"/>
          </w:tcPr>
          <w:p w14:paraId="6F67FF87">
            <w:pPr>
              <w:spacing w:after="0" w:line="400" w:lineRule="exact"/>
              <w:jc w:val="both"/>
              <w:rPr>
                <w:rFonts w:ascii="宋体" w:hAnsi="宋体" w:eastAsia="宋体" w:cs="宋体"/>
                <w:spacing w:val="1"/>
                <w:kern w:val="0"/>
                <w:sz w:val="21"/>
                <w:szCs w:val="21"/>
                <w14:ligatures w14:val="none"/>
              </w:rPr>
            </w:pPr>
            <w:r>
              <w:rPr>
                <w:rFonts w:ascii="Times New Roman" w:hAnsi="Times New Roman" w:eastAsia="宋体" w:cs="微软雅黑"/>
                <w:kern w:val="0"/>
                <w:sz w:val="21"/>
                <w:szCs w:val="21"/>
                <w14:ligatures w14:val="none"/>
              </w:rPr>
              <w:t>投标人未对本项目提出分包计划</w:t>
            </w:r>
          </w:p>
        </w:tc>
      </w:tr>
      <w:tr w14:paraId="22350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59E4B04">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04B0B36C">
            <w:pPr>
              <w:spacing w:after="0" w:line="240" w:lineRule="auto"/>
              <w:rPr>
                <w:rFonts w:ascii="宋体" w:hAnsi="宋体" w:eastAsia="宋体" w:cs="Times New Roman"/>
                <w:kern w:val="0"/>
                <w:sz w:val="21"/>
                <w:szCs w:val="21"/>
                <w14:ligatures w14:val="none"/>
              </w:rPr>
            </w:pPr>
          </w:p>
        </w:tc>
        <w:tc>
          <w:tcPr>
            <w:tcW w:w="2477" w:type="dxa"/>
            <w:vAlign w:val="center"/>
          </w:tcPr>
          <w:p w14:paraId="09DFD6FB">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14:ligatures w14:val="none"/>
              </w:rPr>
              <w:t>其他</w:t>
            </w:r>
          </w:p>
        </w:tc>
        <w:tc>
          <w:tcPr>
            <w:tcW w:w="4943" w:type="dxa"/>
            <w:vAlign w:val="center"/>
          </w:tcPr>
          <w:p w14:paraId="6B471D1E">
            <w:pPr>
              <w:spacing w:after="0" w:line="400" w:lineRule="exact"/>
              <w:jc w:val="both"/>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投标文件第一信封中未出现有关投标报价的内容</w:t>
            </w:r>
          </w:p>
        </w:tc>
      </w:tr>
      <w:tr w14:paraId="7CC25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restart"/>
            <w:vAlign w:val="center"/>
          </w:tcPr>
          <w:p w14:paraId="669EA989">
            <w:pPr>
              <w:spacing w:after="0" w:line="240" w:lineRule="auto"/>
              <w:ind w:left="234"/>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2.1.2</w:t>
            </w:r>
          </w:p>
        </w:tc>
        <w:tc>
          <w:tcPr>
            <w:tcW w:w="1123" w:type="dxa"/>
            <w:vMerge w:val="restart"/>
            <w:vAlign w:val="center"/>
          </w:tcPr>
          <w:p w14:paraId="6FDAE3E7">
            <w:pPr>
              <w:spacing w:after="0" w:line="360" w:lineRule="auto"/>
              <w:ind w:left="135"/>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资格评审</w:t>
            </w:r>
            <w:r>
              <w:rPr>
                <w:rFonts w:ascii="宋体" w:hAnsi="宋体" w:eastAsia="宋体" w:cs="宋体"/>
                <w:kern w:val="0"/>
                <w:sz w:val="21"/>
                <w:szCs w:val="21"/>
                <w14:ligatures w14:val="none"/>
              </w:rPr>
              <w:t>标准</w:t>
            </w:r>
          </w:p>
        </w:tc>
        <w:tc>
          <w:tcPr>
            <w:tcW w:w="2477" w:type="dxa"/>
            <w:vAlign w:val="center"/>
          </w:tcPr>
          <w:p w14:paraId="3B660DC7">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营业执照</w:t>
            </w:r>
          </w:p>
        </w:tc>
        <w:tc>
          <w:tcPr>
            <w:tcW w:w="4943" w:type="dxa"/>
            <w:vAlign w:val="center"/>
          </w:tcPr>
          <w:p w14:paraId="552B64AE">
            <w:pPr>
              <w:spacing w:after="0" w:line="400" w:lineRule="exact"/>
              <w:rPr>
                <w:rFonts w:ascii="宋体" w:hAnsi="宋体" w:eastAsia="宋体" w:cs="宋体"/>
                <w:kern w:val="0"/>
                <w:sz w:val="21"/>
                <w:szCs w:val="21"/>
                <w14:ligatures w14:val="none"/>
              </w:rPr>
            </w:pPr>
            <w:r>
              <w:rPr>
                <w:rFonts w:ascii="宋体" w:hAnsi="宋体" w:eastAsia="宋体" w:cs="宋体"/>
                <w:kern w:val="0"/>
                <w:sz w:val="21"/>
                <w:szCs w:val="21"/>
                <w14:ligatures w14:val="none"/>
              </w:rPr>
              <w:t>符合</w:t>
            </w:r>
            <w:r>
              <w:rPr>
                <w:rFonts w:ascii="宋体" w:hAnsi="宋体" w:eastAsia="宋体" w:cs="宋体"/>
                <w:spacing w:val="-3"/>
                <w:kern w:val="0"/>
                <w:sz w:val="21"/>
                <w:szCs w:val="21"/>
                <w14:ligatures w14:val="none"/>
              </w:rPr>
              <w:t>第</w:t>
            </w:r>
            <w:r>
              <w:rPr>
                <w:rFonts w:ascii="宋体" w:hAnsi="宋体" w:eastAsia="宋体" w:cs="宋体"/>
                <w:kern w:val="0"/>
                <w:sz w:val="21"/>
                <w:szCs w:val="21"/>
                <w14:ligatures w14:val="none"/>
              </w:rPr>
              <w:t>二</w:t>
            </w:r>
            <w:r>
              <w:rPr>
                <w:rFonts w:ascii="宋体" w:hAnsi="宋体" w:eastAsia="宋体" w:cs="宋体"/>
                <w:spacing w:val="-3"/>
                <w:kern w:val="0"/>
                <w:sz w:val="21"/>
                <w:szCs w:val="21"/>
                <w14:ligatures w14:val="none"/>
              </w:rPr>
              <w:t>章</w:t>
            </w:r>
            <w:r>
              <w:rPr>
                <w:rFonts w:ascii="宋体" w:hAnsi="宋体" w:eastAsia="宋体" w:cs="Times New Roman"/>
                <w:i/>
                <w:spacing w:val="-2"/>
                <w:kern w:val="0"/>
                <w:sz w:val="21"/>
                <w:szCs w:val="21"/>
                <w14:ligatures w14:val="none"/>
              </w:rPr>
              <w:t>“</w:t>
            </w:r>
            <w:r>
              <w:rPr>
                <w:rFonts w:ascii="宋体" w:hAnsi="宋体" w:eastAsia="宋体" w:cs="宋体"/>
                <w:spacing w:val="-3"/>
                <w:kern w:val="0"/>
                <w:sz w:val="21"/>
                <w:szCs w:val="21"/>
                <w14:ligatures w14:val="none"/>
              </w:rPr>
              <w:t>投</w:t>
            </w:r>
            <w:r>
              <w:rPr>
                <w:rFonts w:ascii="宋体" w:hAnsi="宋体" w:eastAsia="宋体" w:cs="宋体"/>
                <w:kern w:val="0"/>
                <w:sz w:val="21"/>
                <w:szCs w:val="21"/>
                <w14:ligatures w14:val="none"/>
              </w:rPr>
              <w:t>标</w:t>
            </w:r>
            <w:r>
              <w:rPr>
                <w:rFonts w:ascii="宋体" w:hAnsi="宋体" w:eastAsia="宋体" w:cs="宋体"/>
                <w:spacing w:val="-3"/>
                <w:kern w:val="0"/>
                <w:sz w:val="21"/>
                <w:szCs w:val="21"/>
                <w14:ligatures w14:val="none"/>
              </w:rPr>
              <w:t>人</w:t>
            </w:r>
            <w:r>
              <w:rPr>
                <w:rFonts w:ascii="宋体" w:hAnsi="宋体" w:eastAsia="宋体" w:cs="宋体"/>
                <w:kern w:val="0"/>
                <w:sz w:val="21"/>
                <w:szCs w:val="21"/>
                <w14:ligatures w14:val="none"/>
              </w:rPr>
              <w:t>须</w:t>
            </w:r>
            <w:r>
              <w:rPr>
                <w:rFonts w:ascii="宋体" w:hAnsi="宋体" w:eastAsia="宋体" w:cs="宋体"/>
                <w:spacing w:val="-1"/>
                <w:kern w:val="0"/>
                <w:sz w:val="21"/>
                <w:szCs w:val="21"/>
                <w14:ligatures w14:val="none"/>
              </w:rPr>
              <w:t>知</w:t>
            </w:r>
            <w:r>
              <w:rPr>
                <w:rFonts w:ascii="宋体" w:hAnsi="宋体" w:eastAsia="宋体" w:cs="Times New Roman"/>
                <w:i/>
                <w:spacing w:val="-4"/>
                <w:kern w:val="0"/>
                <w:sz w:val="21"/>
                <w:szCs w:val="21"/>
                <w14:ligatures w14:val="none"/>
              </w:rPr>
              <w:t>”</w:t>
            </w:r>
            <w:r>
              <w:rPr>
                <w:rFonts w:ascii="宋体" w:hAnsi="宋体" w:eastAsia="宋体" w:cs="宋体"/>
                <w:kern w:val="0"/>
                <w:sz w:val="21"/>
                <w:szCs w:val="21"/>
                <w14:ligatures w14:val="none"/>
              </w:rPr>
              <w:t>第</w:t>
            </w:r>
            <w:r>
              <w:rPr>
                <w:rFonts w:ascii="宋体" w:hAnsi="宋体" w:eastAsia="宋体" w:cs="Times New Roman"/>
                <w:kern w:val="0"/>
                <w:sz w:val="21"/>
                <w:szCs w:val="21"/>
                <w14:ligatures w14:val="none"/>
              </w:rPr>
              <w:t>3.5</w:t>
            </w:r>
            <w:r>
              <w:rPr>
                <w:rFonts w:ascii="宋体" w:hAnsi="宋体" w:eastAsia="宋体" w:cs="Times New Roman"/>
                <w:spacing w:val="-3"/>
                <w:kern w:val="0"/>
                <w:sz w:val="21"/>
                <w:szCs w:val="21"/>
                <w14:ligatures w14:val="none"/>
              </w:rPr>
              <w:t>.</w:t>
            </w:r>
            <w:r>
              <w:rPr>
                <w:rFonts w:ascii="宋体" w:hAnsi="宋体" w:eastAsia="宋体" w:cs="Times New Roman"/>
                <w:kern w:val="0"/>
                <w:sz w:val="21"/>
                <w:szCs w:val="21"/>
                <w14:ligatures w14:val="none"/>
              </w:rPr>
              <w:t>1</w:t>
            </w:r>
            <w:r>
              <w:rPr>
                <w:rFonts w:ascii="宋体" w:hAnsi="宋体" w:eastAsia="宋体" w:cs="宋体"/>
                <w:spacing w:val="-3"/>
                <w:kern w:val="0"/>
                <w:sz w:val="21"/>
                <w:szCs w:val="21"/>
                <w14:ligatures w14:val="none"/>
              </w:rPr>
              <w:t>项</w:t>
            </w:r>
            <w:r>
              <w:rPr>
                <w:rFonts w:ascii="宋体" w:hAnsi="宋体" w:eastAsia="宋体" w:cs="宋体"/>
                <w:kern w:val="0"/>
                <w:sz w:val="21"/>
                <w:szCs w:val="21"/>
                <w14:ligatures w14:val="none"/>
              </w:rPr>
              <w:t>规</w:t>
            </w:r>
            <w:r>
              <w:rPr>
                <w:rFonts w:ascii="宋体" w:hAnsi="宋体" w:eastAsia="宋体" w:cs="宋体"/>
                <w:spacing w:val="-3"/>
                <w:kern w:val="0"/>
                <w:sz w:val="21"/>
                <w:szCs w:val="21"/>
                <w14:ligatures w14:val="none"/>
              </w:rPr>
              <w:t>定</w:t>
            </w:r>
            <w:r>
              <w:rPr>
                <w:rFonts w:ascii="宋体" w:hAnsi="宋体" w:eastAsia="宋体" w:cs="宋体"/>
                <w:spacing w:val="-29"/>
                <w:kern w:val="0"/>
                <w:sz w:val="21"/>
                <w:szCs w:val="21"/>
                <w14:ligatures w14:val="none"/>
              </w:rPr>
              <w:t>，</w:t>
            </w:r>
            <w:r>
              <w:rPr>
                <w:rFonts w:ascii="宋体" w:hAnsi="宋体" w:eastAsia="宋体" w:cs="宋体"/>
                <w:kern w:val="0"/>
                <w:sz w:val="21"/>
                <w:szCs w:val="21"/>
                <w14:ligatures w14:val="none"/>
              </w:rPr>
              <w:t>具</w:t>
            </w:r>
            <w:r>
              <w:rPr>
                <w:rFonts w:ascii="宋体" w:hAnsi="宋体" w:eastAsia="宋体" w:cs="宋体"/>
                <w:spacing w:val="-3"/>
                <w:kern w:val="0"/>
                <w:sz w:val="21"/>
                <w:szCs w:val="21"/>
                <w14:ligatures w14:val="none"/>
              </w:rPr>
              <w:t>备</w:t>
            </w:r>
            <w:r>
              <w:rPr>
                <w:rFonts w:ascii="宋体" w:hAnsi="宋体" w:eastAsia="宋体" w:cs="宋体"/>
                <w:kern w:val="0"/>
                <w:sz w:val="21"/>
                <w:szCs w:val="21"/>
                <w14:ligatures w14:val="none"/>
              </w:rPr>
              <w:t>有</w:t>
            </w:r>
            <w:r>
              <w:rPr>
                <w:rFonts w:ascii="宋体" w:hAnsi="宋体" w:eastAsia="宋体" w:cs="宋体"/>
                <w:spacing w:val="-2"/>
                <w:kern w:val="0"/>
                <w:sz w:val="21"/>
                <w:szCs w:val="21"/>
                <w14:ligatures w14:val="none"/>
              </w:rPr>
              <w:t>效的营业执照</w:t>
            </w:r>
            <w:r>
              <w:rPr>
                <w:rFonts w:ascii="宋体" w:hAnsi="宋体" w:eastAsia="宋体" w:cs="Times New Roman"/>
                <w:kern w:val="0"/>
                <w:sz w:val="21"/>
                <w:szCs w:val="21"/>
                <w14:ligatures w14:val="none"/>
              </w:rPr>
              <w:t>。</w:t>
            </w:r>
            <w:r>
              <w:rPr>
                <w:rFonts w:ascii="宋体" w:hAnsi="宋体" w:eastAsia="宋体" w:cs="宋体"/>
                <w:kern w:val="0"/>
                <w:sz w:val="21"/>
                <w:szCs w:val="21"/>
                <w14:ligatures w14:val="none"/>
              </w:rPr>
              <w:t xml:space="preserve"> </w:t>
            </w:r>
          </w:p>
        </w:tc>
      </w:tr>
      <w:tr w14:paraId="02B5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4748933A">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4644E41F">
            <w:pPr>
              <w:spacing w:after="0" w:line="240" w:lineRule="auto"/>
              <w:rPr>
                <w:rFonts w:ascii="宋体" w:hAnsi="宋体" w:eastAsia="宋体" w:cs="Times New Roman"/>
                <w:kern w:val="0"/>
                <w:sz w:val="21"/>
                <w:szCs w:val="21"/>
                <w14:ligatures w14:val="none"/>
              </w:rPr>
            </w:pPr>
          </w:p>
        </w:tc>
        <w:tc>
          <w:tcPr>
            <w:tcW w:w="2477" w:type="dxa"/>
            <w:vAlign w:val="center"/>
          </w:tcPr>
          <w:p w14:paraId="5BF0611C">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业绩要求</w:t>
            </w:r>
          </w:p>
        </w:tc>
        <w:tc>
          <w:tcPr>
            <w:tcW w:w="4943" w:type="dxa"/>
            <w:vAlign w:val="center"/>
          </w:tcPr>
          <w:p w14:paraId="2FCA65EF">
            <w:pPr>
              <w:spacing w:after="0" w:line="400" w:lineRule="exact"/>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符合第二章“投标人须知”第1.4.1项规定</w:t>
            </w:r>
          </w:p>
        </w:tc>
      </w:tr>
      <w:tr w14:paraId="514C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01F7C108">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18B4EEEE">
            <w:pPr>
              <w:spacing w:after="0" w:line="240" w:lineRule="auto"/>
              <w:rPr>
                <w:rFonts w:ascii="宋体" w:hAnsi="宋体" w:eastAsia="宋体" w:cs="Times New Roman"/>
                <w:kern w:val="0"/>
                <w:sz w:val="21"/>
                <w:szCs w:val="21"/>
                <w14:ligatures w14:val="none"/>
              </w:rPr>
            </w:pPr>
          </w:p>
        </w:tc>
        <w:tc>
          <w:tcPr>
            <w:tcW w:w="2477" w:type="dxa"/>
            <w:vAlign w:val="center"/>
          </w:tcPr>
          <w:p w14:paraId="703EF293">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信誉要求</w:t>
            </w:r>
          </w:p>
        </w:tc>
        <w:tc>
          <w:tcPr>
            <w:tcW w:w="4943" w:type="dxa"/>
            <w:vAlign w:val="center"/>
          </w:tcPr>
          <w:p w14:paraId="39ECECFB">
            <w:pPr>
              <w:spacing w:after="0" w:line="400" w:lineRule="exact"/>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1.4.1</w:t>
            </w:r>
            <w:r>
              <w:rPr>
                <w:rFonts w:ascii="宋体" w:hAnsi="宋体" w:eastAsia="宋体" w:cs="宋体"/>
                <w:spacing w:val="-1"/>
                <w:kern w:val="0"/>
                <w:sz w:val="21"/>
                <w:szCs w:val="21"/>
                <w14:ligatures w14:val="none"/>
              </w:rPr>
              <w:t>项规定</w:t>
            </w:r>
          </w:p>
        </w:tc>
      </w:tr>
      <w:tr w14:paraId="5E83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F6BAB99">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10A2EC6B">
            <w:pPr>
              <w:spacing w:after="0" w:line="240" w:lineRule="auto"/>
              <w:rPr>
                <w:rFonts w:ascii="宋体" w:hAnsi="宋体" w:eastAsia="宋体" w:cs="Times New Roman"/>
                <w:kern w:val="0"/>
                <w:sz w:val="21"/>
                <w:szCs w:val="21"/>
                <w14:ligatures w14:val="none"/>
              </w:rPr>
            </w:pPr>
          </w:p>
        </w:tc>
        <w:tc>
          <w:tcPr>
            <w:tcW w:w="2477" w:type="dxa"/>
            <w:vAlign w:val="center"/>
          </w:tcPr>
          <w:p w14:paraId="555484A2">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其他要求</w:t>
            </w:r>
          </w:p>
        </w:tc>
        <w:tc>
          <w:tcPr>
            <w:tcW w:w="4943" w:type="dxa"/>
            <w:vAlign w:val="center"/>
          </w:tcPr>
          <w:p w14:paraId="26712ACC">
            <w:pPr>
              <w:spacing w:after="0" w:line="400" w:lineRule="exact"/>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无</w:t>
            </w:r>
          </w:p>
        </w:tc>
      </w:tr>
      <w:tr w14:paraId="5CD2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79177E97">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156056E0">
            <w:pPr>
              <w:spacing w:after="0" w:line="240" w:lineRule="auto"/>
              <w:rPr>
                <w:rFonts w:ascii="宋体" w:hAnsi="宋体" w:eastAsia="宋体" w:cs="Times New Roman"/>
                <w:kern w:val="0"/>
                <w:sz w:val="21"/>
                <w:szCs w:val="21"/>
                <w14:ligatures w14:val="none"/>
              </w:rPr>
            </w:pPr>
          </w:p>
        </w:tc>
        <w:tc>
          <w:tcPr>
            <w:tcW w:w="2477" w:type="dxa"/>
            <w:vAlign w:val="center"/>
          </w:tcPr>
          <w:p w14:paraId="2BF19822">
            <w:pPr>
              <w:spacing w:before="140" w:after="0" w:line="240" w:lineRule="auto"/>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不存在禁止投标的情形</w:t>
            </w:r>
          </w:p>
        </w:tc>
        <w:tc>
          <w:tcPr>
            <w:tcW w:w="4943" w:type="dxa"/>
            <w:vAlign w:val="center"/>
          </w:tcPr>
          <w:p w14:paraId="6E661223">
            <w:pPr>
              <w:spacing w:after="0" w:line="400" w:lineRule="exact"/>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不存在第二章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kern w:val="0"/>
                <w:sz w:val="21"/>
                <w:szCs w:val="21"/>
                <w14:ligatures w14:val="none"/>
              </w:rPr>
              <w:t>1.4.3</w:t>
            </w:r>
            <w:r>
              <w:rPr>
                <w:rFonts w:ascii="宋体" w:hAnsi="宋体" w:eastAsia="宋体" w:cs="宋体"/>
                <w:spacing w:val="-1"/>
                <w:kern w:val="0"/>
                <w:sz w:val="21"/>
                <w:szCs w:val="21"/>
                <w14:ligatures w14:val="none"/>
              </w:rPr>
              <w:t>项规定的任何一种情形</w:t>
            </w:r>
          </w:p>
        </w:tc>
      </w:tr>
      <w:tr w14:paraId="1F25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1A761385">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3ED7A557">
            <w:pPr>
              <w:spacing w:after="0" w:line="240" w:lineRule="auto"/>
              <w:rPr>
                <w:rFonts w:ascii="宋体" w:hAnsi="宋体" w:eastAsia="宋体" w:cs="Times New Roman"/>
                <w:kern w:val="0"/>
                <w:sz w:val="21"/>
                <w:szCs w:val="21"/>
                <w14:ligatures w14:val="none"/>
              </w:rPr>
            </w:pPr>
          </w:p>
        </w:tc>
        <w:tc>
          <w:tcPr>
            <w:tcW w:w="2477" w:type="dxa"/>
            <w:vAlign w:val="center"/>
          </w:tcPr>
          <w:p w14:paraId="71EED424">
            <w:pPr>
              <w:spacing w:before="140" w:after="0" w:line="240" w:lineRule="auto"/>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投标材料制造商的资质要求</w:t>
            </w:r>
          </w:p>
        </w:tc>
        <w:tc>
          <w:tcPr>
            <w:tcW w:w="4943" w:type="dxa"/>
            <w:vAlign w:val="center"/>
          </w:tcPr>
          <w:p w14:paraId="724D6B9A">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1.4.1</w:t>
            </w:r>
            <w:r>
              <w:rPr>
                <w:rFonts w:ascii="宋体" w:hAnsi="宋体" w:eastAsia="宋体" w:cs="宋体"/>
                <w:spacing w:val="-1"/>
                <w:kern w:val="0"/>
                <w:sz w:val="21"/>
                <w:szCs w:val="21"/>
                <w14:ligatures w14:val="none"/>
              </w:rPr>
              <w:t>项规定</w:t>
            </w:r>
          </w:p>
        </w:tc>
      </w:tr>
      <w:tr w14:paraId="4C485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restart"/>
            <w:vAlign w:val="center"/>
          </w:tcPr>
          <w:p w14:paraId="0A9AF0D6">
            <w:pPr>
              <w:spacing w:after="0" w:line="240" w:lineRule="auto"/>
              <w:ind w:left="234"/>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2.1.3</w:t>
            </w:r>
          </w:p>
        </w:tc>
        <w:tc>
          <w:tcPr>
            <w:tcW w:w="1123" w:type="dxa"/>
            <w:vMerge w:val="restart"/>
            <w:vAlign w:val="center"/>
          </w:tcPr>
          <w:p w14:paraId="7515F3F1">
            <w:pPr>
              <w:spacing w:after="0" w:line="240" w:lineRule="auto"/>
              <w:ind w:left="135"/>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响应性评</w:t>
            </w:r>
            <w:r>
              <w:rPr>
                <w:rFonts w:ascii="宋体" w:hAnsi="宋体" w:eastAsia="宋体" w:cs="宋体"/>
                <w:kern w:val="0"/>
                <w:sz w:val="21"/>
                <w:szCs w:val="21"/>
                <w:lang w:eastAsia="en-US"/>
                <w14:ligatures w14:val="none"/>
              </w:rPr>
              <w:t>审标准</w:t>
            </w:r>
          </w:p>
        </w:tc>
        <w:tc>
          <w:tcPr>
            <w:tcW w:w="2477" w:type="dxa"/>
            <w:vAlign w:val="center"/>
          </w:tcPr>
          <w:p w14:paraId="663C5936">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投标内容</w:t>
            </w:r>
          </w:p>
        </w:tc>
        <w:tc>
          <w:tcPr>
            <w:tcW w:w="4943" w:type="dxa"/>
            <w:vAlign w:val="center"/>
          </w:tcPr>
          <w:p w14:paraId="343765C7">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1.3.1</w:t>
            </w:r>
            <w:r>
              <w:rPr>
                <w:rFonts w:ascii="宋体" w:hAnsi="宋体" w:eastAsia="宋体" w:cs="宋体"/>
                <w:spacing w:val="-1"/>
                <w:kern w:val="0"/>
                <w:sz w:val="21"/>
                <w:szCs w:val="21"/>
                <w14:ligatures w14:val="none"/>
              </w:rPr>
              <w:t>项规定</w:t>
            </w:r>
          </w:p>
        </w:tc>
      </w:tr>
      <w:tr w14:paraId="7D25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0D83260A">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7B56F8A3">
            <w:pPr>
              <w:spacing w:after="0" w:line="210" w:lineRule="exact"/>
              <w:ind w:left="238"/>
              <w:rPr>
                <w:rFonts w:ascii="宋体" w:hAnsi="宋体" w:eastAsia="宋体" w:cs="Times New Roman"/>
                <w:kern w:val="0"/>
                <w:sz w:val="21"/>
                <w:szCs w:val="21"/>
                <w14:ligatures w14:val="none"/>
              </w:rPr>
            </w:pPr>
          </w:p>
        </w:tc>
        <w:tc>
          <w:tcPr>
            <w:tcW w:w="2477" w:type="dxa"/>
            <w:vAlign w:val="center"/>
          </w:tcPr>
          <w:p w14:paraId="528D8F75">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交货期</w:t>
            </w:r>
          </w:p>
        </w:tc>
        <w:tc>
          <w:tcPr>
            <w:tcW w:w="4943" w:type="dxa"/>
            <w:vAlign w:val="center"/>
          </w:tcPr>
          <w:p w14:paraId="1BC55A4A">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1.3.2</w:t>
            </w:r>
            <w:r>
              <w:rPr>
                <w:rFonts w:ascii="宋体" w:hAnsi="宋体" w:eastAsia="宋体" w:cs="宋体"/>
                <w:spacing w:val="-1"/>
                <w:kern w:val="0"/>
                <w:sz w:val="21"/>
                <w:szCs w:val="21"/>
                <w14:ligatures w14:val="none"/>
              </w:rPr>
              <w:t>项规定</w:t>
            </w:r>
          </w:p>
        </w:tc>
      </w:tr>
      <w:tr w14:paraId="6CCD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2695D3C1">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5CE953C6">
            <w:pPr>
              <w:spacing w:after="0" w:line="210" w:lineRule="exact"/>
              <w:ind w:left="238"/>
              <w:rPr>
                <w:rFonts w:ascii="宋体" w:hAnsi="宋体" w:eastAsia="宋体" w:cs="Times New Roman"/>
                <w:kern w:val="0"/>
                <w:sz w:val="21"/>
                <w:szCs w:val="21"/>
                <w14:ligatures w14:val="none"/>
              </w:rPr>
            </w:pPr>
          </w:p>
        </w:tc>
        <w:tc>
          <w:tcPr>
            <w:tcW w:w="2477" w:type="dxa"/>
            <w:vAlign w:val="center"/>
          </w:tcPr>
          <w:p w14:paraId="7E3FC9C3">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交货地点</w:t>
            </w:r>
          </w:p>
        </w:tc>
        <w:tc>
          <w:tcPr>
            <w:tcW w:w="4943" w:type="dxa"/>
            <w:vAlign w:val="center"/>
          </w:tcPr>
          <w:p w14:paraId="702C4130">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1.3.3</w:t>
            </w:r>
            <w:r>
              <w:rPr>
                <w:rFonts w:ascii="宋体" w:hAnsi="宋体" w:eastAsia="宋体" w:cs="宋体"/>
                <w:spacing w:val="-1"/>
                <w:kern w:val="0"/>
                <w:sz w:val="21"/>
                <w:szCs w:val="21"/>
                <w14:ligatures w14:val="none"/>
              </w:rPr>
              <w:t>项规定</w:t>
            </w:r>
          </w:p>
        </w:tc>
      </w:tr>
      <w:tr w14:paraId="15FF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2B24A1DE">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37627C2B">
            <w:pPr>
              <w:spacing w:after="0" w:line="210" w:lineRule="exact"/>
              <w:ind w:left="238"/>
              <w:rPr>
                <w:rFonts w:ascii="宋体" w:hAnsi="宋体" w:eastAsia="宋体" w:cs="Times New Roman"/>
                <w:kern w:val="0"/>
                <w:sz w:val="21"/>
                <w:szCs w:val="21"/>
                <w14:ligatures w14:val="none"/>
              </w:rPr>
            </w:pPr>
          </w:p>
        </w:tc>
        <w:tc>
          <w:tcPr>
            <w:tcW w:w="2477" w:type="dxa"/>
            <w:vAlign w:val="center"/>
          </w:tcPr>
          <w:p w14:paraId="58425224">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技术性能指标</w:t>
            </w:r>
          </w:p>
        </w:tc>
        <w:tc>
          <w:tcPr>
            <w:tcW w:w="4943" w:type="dxa"/>
            <w:vAlign w:val="center"/>
          </w:tcPr>
          <w:p w14:paraId="035604BA">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1.3.4</w:t>
            </w:r>
            <w:r>
              <w:rPr>
                <w:rFonts w:ascii="宋体" w:hAnsi="宋体" w:eastAsia="宋体" w:cs="宋体"/>
                <w:spacing w:val="-1"/>
                <w:kern w:val="0"/>
                <w:sz w:val="21"/>
                <w:szCs w:val="21"/>
                <w14:ligatures w14:val="none"/>
              </w:rPr>
              <w:t>项规定</w:t>
            </w:r>
          </w:p>
        </w:tc>
      </w:tr>
      <w:tr w14:paraId="6005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17E4E283">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42D274D6">
            <w:pPr>
              <w:spacing w:after="0" w:line="210" w:lineRule="exact"/>
              <w:ind w:left="238"/>
              <w:rPr>
                <w:rFonts w:ascii="宋体" w:hAnsi="宋体" w:eastAsia="宋体" w:cs="Times New Roman"/>
                <w:kern w:val="0"/>
                <w:sz w:val="21"/>
                <w:szCs w:val="21"/>
                <w14:ligatures w14:val="none"/>
              </w:rPr>
            </w:pPr>
          </w:p>
        </w:tc>
        <w:tc>
          <w:tcPr>
            <w:tcW w:w="2477" w:type="dxa"/>
            <w:vAlign w:val="center"/>
          </w:tcPr>
          <w:p w14:paraId="1ED906E4">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投标有效期</w:t>
            </w:r>
          </w:p>
        </w:tc>
        <w:tc>
          <w:tcPr>
            <w:tcW w:w="4943" w:type="dxa"/>
            <w:vAlign w:val="center"/>
          </w:tcPr>
          <w:p w14:paraId="06EA27CE">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3.3.1</w:t>
            </w:r>
            <w:r>
              <w:rPr>
                <w:rFonts w:ascii="宋体" w:hAnsi="宋体" w:eastAsia="宋体" w:cs="宋体"/>
                <w:spacing w:val="-1"/>
                <w:kern w:val="0"/>
                <w:sz w:val="21"/>
                <w:szCs w:val="21"/>
                <w14:ligatures w14:val="none"/>
              </w:rPr>
              <w:t>项规定</w:t>
            </w:r>
          </w:p>
        </w:tc>
      </w:tr>
      <w:tr w14:paraId="01F3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59D199FD">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590D638A">
            <w:pPr>
              <w:spacing w:after="0" w:line="210" w:lineRule="exact"/>
              <w:ind w:left="238"/>
              <w:rPr>
                <w:rFonts w:ascii="宋体" w:hAnsi="宋体" w:eastAsia="宋体" w:cs="Times New Roman"/>
                <w:kern w:val="0"/>
                <w:sz w:val="21"/>
                <w:szCs w:val="21"/>
                <w14:ligatures w14:val="none"/>
              </w:rPr>
            </w:pPr>
          </w:p>
        </w:tc>
        <w:tc>
          <w:tcPr>
            <w:tcW w:w="2477" w:type="dxa"/>
            <w:vAlign w:val="center"/>
          </w:tcPr>
          <w:p w14:paraId="71B07CCC">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投标保证金</w:t>
            </w:r>
          </w:p>
        </w:tc>
        <w:tc>
          <w:tcPr>
            <w:tcW w:w="4943" w:type="dxa"/>
            <w:vAlign w:val="center"/>
          </w:tcPr>
          <w:p w14:paraId="1AB08BE2">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1"/>
                <w:kern w:val="0"/>
                <w:sz w:val="21"/>
                <w:szCs w:val="21"/>
                <w14:ligatures w14:val="none"/>
              </w:rPr>
              <w:t>3.4.1</w:t>
            </w:r>
            <w:r>
              <w:rPr>
                <w:rFonts w:ascii="宋体" w:hAnsi="宋体" w:eastAsia="宋体" w:cs="宋体"/>
                <w:spacing w:val="-1"/>
                <w:kern w:val="0"/>
                <w:sz w:val="21"/>
                <w:szCs w:val="21"/>
                <w14:ligatures w14:val="none"/>
              </w:rPr>
              <w:t>项规定</w:t>
            </w:r>
          </w:p>
        </w:tc>
      </w:tr>
      <w:tr w14:paraId="082A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56B0874">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56302B2D">
            <w:pPr>
              <w:spacing w:after="0" w:line="210" w:lineRule="exact"/>
              <w:ind w:left="238"/>
              <w:rPr>
                <w:rFonts w:ascii="宋体" w:hAnsi="宋体" w:eastAsia="宋体" w:cs="宋体"/>
                <w:kern w:val="0"/>
                <w:sz w:val="21"/>
                <w:szCs w:val="21"/>
                <w14:ligatures w14:val="none"/>
              </w:rPr>
            </w:pPr>
          </w:p>
        </w:tc>
        <w:tc>
          <w:tcPr>
            <w:tcW w:w="2477" w:type="dxa"/>
            <w:vAlign w:val="center"/>
          </w:tcPr>
          <w:p w14:paraId="10F53072">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权利义务</w:t>
            </w:r>
          </w:p>
        </w:tc>
        <w:tc>
          <w:tcPr>
            <w:tcW w:w="4943" w:type="dxa"/>
            <w:vAlign w:val="center"/>
          </w:tcPr>
          <w:p w14:paraId="295049C0">
            <w:pPr>
              <w:spacing w:after="0" w:line="400" w:lineRule="exact"/>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符合第二章“投标人须知”第1.11.1项规定</w:t>
            </w:r>
          </w:p>
        </w:tc>
      </w:tr>
      <w:tr w14:paraId="4E92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51D09D4A">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4B2EF5AD">
            <w:pPr>
              <w:spacing w:after="0" w:line="240" w:lineRule="auto"/>
              <w:rPr>
                <w:rFonts w:ascii="宋体" w:hAnsi="宋体" w:eastAsia="宋体" w:cs="Times New Roman"/>
                <w:kern w:val="0"/>
                <w:sz w:val="21"/>
                <w:szCs w:val="21"/>
                <w14:ligatures w14:val="none"/>
              </w:rPr>
            </w:pPr>
          </w:p>
        </w:tc>
        <w:tc>
          <w:tcPr>
            <w:tcW w:w="2477" w:type="dxa"/>
            <w:vAlign w:val="center"/>
          </w:tcPr>
          <w:p w14:paraId="6393C6DC">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投标材料及技术服务</w:t>
            </w:r>
          </w:p>
        </w:tc>
        <w:tc>
          <w:tcPr>
            <w:tcW w:w="4943" w:type="dxa"/>
            <w:vAlign w:val="center"/>
          </w:tcPr>
          <w:p w14:paraId="3740DE08">
            <w:pPr>
              <w:spacing w:after="0" w:line="400" w:lineRule="exact"/>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符合第五章“供货要求”中的实质性要求和条件</w:t>
            </w:r>
          </w:p>
        </w:tc>
      </w:tr>
      <w:tr w14:paraId="6E02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Merge w:val="continue"/>
            <w:vAlign w:val="center"/>
          </w:tcPr>
          <w:p w14:paraId="6DDA2FCE">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6668E453">
            <w:pPr>
              <w:spacing w:after="0" w:line="240" w:lineRule="auto"/>
              <w:rPr>
                <w:rFonts w:ascii="宋体" w:hAnsi="宋体" w:eastAsia="宋体" w:cs="Times New Roman"/>
                <w:kern w:val="0"/>
                <w:sz w:val="21"/>
                <w:szCs w:val="21"/>
                <w14:ligatures w14:val="none"/>
              </w:rPr>
            </w:pPr>
          </w:p>
        </w:tc>
        <w:tc>
          <w:tcPr>
            <w:tcW w:w="2477" w:type="dxa"/>
            <w:vAlign w:val="center"/>
          </w:tcPr>
          <w:p w14:paraId="610C32F8">
            <w:pPr>
              <w:spacing w:before="140" w:after="0" w:line="240" w:lineRule="auto"/>
              <w:jc w:val="center"/>
              <w:rPr>
                <w:rFonts w:ascii="宋体" w:hAnsi="宋体" w:eastAsia="宋体" w:cs="宋体"/>
                <w:spacing w:val="-1"/>
                <w:kern w:val="0"/>
                <w:sz w:val="21"/>
                <w:szCs w:val="21"/>
                <w:lang w:eastAsia="en-US"/>
                <w14:ligatures w14:val="none"/>
              </w:rPr>
            </w:pPr>
            <w:r>
              <w:rPr>
                <w:rFonts w:ascii="宋体" w:hAnsi="宋体" w:eastAsia="宋体" w:cs="宋体"/>
                <w:spacing w:val="-1"/>
                <w:kern w:val="0"/>
                <w:sz w:val="21"/>
                <w:szCs w:val="21"/>
                <w:lang w:eastAsia="en-US"/>
                <w14:ligatures w14:val="none"/>
              </w:rPr>
              <w:t>技术支持资料</w:t>
            </w:r>
          </w:p>
        </w:tc>
        <w:tc>
          <w:tcPr>
            <w:tcW w:w="4943" w:type="dxa"/>
            <w:vAlign w:val="center"/>
          </w:tcPr>
          <w:p w14:paraId="2C0C46BC">
            <w:pPr>
              <w:spacing w:after="0" w:line="400" w:lineRule="exact"/>
              <w:jc w:val="both"/>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符合第二章</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投标人须知</w:t>
            </w:r>
            <w:r>
              <w:rPr>
                <w:rFonts w:ascii="宋体" w:hAnsi="宋体" w:eastAsia="宋体" w:cs="Times New Roman"/>
                <w:i/>
                <w:spacing w:val="-3"/>
                <w:kern w:val="0"/>
                <w:sz w:val="21"/>
                <w:szCs w:val="21"/>
                <w14:ligatures w14:val="none"/>
              </w:rPr>
              <w:t>”</w:t>
            </w:r>
            <w:r>
              <w:rPr>
                <w:rFonts w:ascii="宋体" w:hAnsi="宋体" w:eastAsia="宋体" w:cs="宋体"/>
                <w:spacing w:val="-2"/>
                <w:kern w:val="0"/>
                <w:sz w:val="21"/>
                <w:szCs w:val="21"/>
                <w14:ligatures w14:val="none"/>
              </w:rPr>
              <w:t>第</w:t>
            </w:r>
            <w:r>
              <w:rPr>
                <w:rFonts w:ascii="宋体" w:hAnsi="宋体" w:eastAsia="宋体" w:cs="Times New Roman"/>
                <w:spacing w:val="-2"/>
                <w:kern w:val="0"/>
                <w:sz w:val="21"/>
                <w:szCs w:val="21"/>
                <w14:ligatures w14:val="none"/>
              </w:rPr>
              <w:t>1.11.3</w:t>
            </w:r>
            <w:r>
              <w:rPr>
                <w:rFonts w:ascii="宋体" w:hAnsi="宋体" w:eastAsia="宋体" w:cs="宋体"/>
                <w:spacing w:val="-1"/>
                <w:kern w:val="0"/>
                <w:sz w:val="21"/>
                <w:szCs w:val="21"/>
                <w14:ligatures w14:val="none"/>
              </w:rPr>
              <w:t>项规定</w:t>
            </w:r>
          </w:p>
        </w:tc>
      </w:tr>
      <w:tr w14:paraId="082D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Align w:val="center"/>
          </w:tcPr>
          <w:p w14:paraId="6EA9FA55">
            <w:pPr>
              <w:spacing w:after="0" w:line="240" w:lineRule="auto"/>
              <w:jc w:val="center"/>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2.1.4</w:t>
            </w:r>
          </w:p>
        </w:tc>
        <w:tc>
          <w:tcPr>
            <w:tcW w:w="1123" w:type="dxa"/>
            <w:vAlign w:val="center"/>
          </w:tcPr>
          <w:p w14:paraId="09F58C63">
            <w:pPr>
              <w:spacing w:after="0" w:line="240" w:lineRule="auto"/>
              <w:jc w:val="center"/>
              <w:rPr>
                <w:rFonts w:ascii="宋体" w:hAnsi="宋体" w:eastAsia="宋体" w:cs="宋体"/>
                <w:spacing w:val="-1"/>
                <w:kern w:val="0"/>
                <w:sz w:val="21"/>
                <w:szCs w:val="21"/>
                <w14:ligatures w14:val="none"/>
              </w:rPr>
            </w:pPr>
            <w:r>
              <w:rPr>
                <w:rFonts w:ascii="宋体" w:hAnsi="宋体" w:eastAsia="宋体" w:cs="宋体"/>
                <w:kern w:val="0"/>
                <w:sz w:val="21"/>
                <w:szCs w:val="21"/>
                <w14:ligatures w14:val="none"/>
              </w:rPr>
              <w:t>投标文件相关信息核查</w:t>
            </w:r>
          </w:p>
        </w:tc>
        <w:tc>
          <w:tcPr>
            <w:tcW w:w="7420" w:type="dxa"/>
            <w:gridSpan w:val="2"/>
            <w:vAlign w:val="center"/>
          </w:tcPr>
          <w:p w14:paraId="2C176F08">
            <w:pPr>
              <w:adjustRightInd w:val="0"/>
              <w:snapToGrid w:val="0"/>
              <w:spacing w:after="0" w:line="300" w:lineRule="exact"/>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在评标过程中，评标委员会应对以下信息进行查询：</w:t>
            </w:r>
          </w:p>
          <w:p w14:paraId="1A0B612C">
            <w:pPr>
              <w:spacing w:after="0" w:line="400" w:lineRule="exact"/>
              <w:ind w:firstLine="412" w:firstLineChars="200"/>
              <w:jc w:val="both"/>
              <w:rPr>
                <w:rFonts w:ascii="宋体" w:hAnsi="宋体" w:eastAsia="宋体" w:cs="宋体"/>
                <w:spacing w:val="-2"/>
                <w:kern w:val="0"/>
                <w:sz w:val="21"/>
                <w:szCs w:val="21"/>
                <w14:ligatures w14:val="none"/>
              </w:rPr>
            </w:pPr>
            <w:r>
              <w:rPr>
                <w:rFonts w:ascii="宋体" w:hAnsi="宋体" w:eastAsia="宋体" w:cs="宋体"/>
                <w:spacing w:val="-2"/>
                <w:kern w:val="0"/>
                <w:sz w:val="21"/>
                <w:szCs w:val="21"/>
                <w14:ligatures w14:val="none"/>
              </w:rPr>
              <w:t>（1）评标委员会评标时应在“国家企业信用信息公示系统（http://www.gsxt.gov.cn/)”进行查询，若投标人存在被列入“严重违法失信名单（黑名单）信息”情形的，评标委员会应否决其投标。</w:t>
            </w:r>
          </w:p>
          <w:p w14:paraId="419B919A">
            <w:pPr>
              <w:spacing w:after="0" w:line="400" w:lineRule="exact"/>
              <w:jc w:val="both"/>
              <w:rPr>
                <w:rFonts w:ascii="宋体" w:hAnsi="宋体" w:eastAsia="宋体" w:cs="Times New Roman"/>
                <w:kern w:val="0"/>
                <w:sz w:val="21"/>
                <w:szCs w:val="21"/>
                <w14:ligatures w14:val="none"/>
              </w:rPr>
            </w:pPr>
            <w:r>
              <w:rPr>
                <w:rFonts w:ascii="宋体" w:hAnsi="宋体" w:eastAsia="宋体" w:cs="宋体"/>
                <w:spacing w:val="-2"/>
                <w:kern w:val="0"/>
                <w:sz w:val="21"/>
                <w:szCs w:val="21"/>
                <w14:ligatures w14:val="none"/>
              </w:rPr>
              <w:t>评标委员会评标时还应对投标人的信用情况在“信用中国网站（http://www.creditchina.gov.cn/)”进行查询，若投标人存在被列入失信被执行人（或中国执行信息公开网http://zxgk.court.gov.cn/shixin/被执行人查询）、经营（活动）异常名录信息查询、重大税收违法失信主体、安全生产严重失信主体名单、政府采购严重违法失信行为记录名单的（均不含分公司），评标委员会应否决其投标。</w:t>
            </w:r>
          </w:p>
        </w:tc>
      </w:tr>
      <w:tr w14:paraId="347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43" w:type="dxa"/>
            <w:gridSpan w:val="4"/>
            <w:vAlign w:val="center"/>
          </w:tcPr>
          <w:p w14:paraId="584A462F">
            <w:pPr>
              <w:adjustRightInd w:val="0"/>
              <w:snapToGrid w:val="0"/>
              <w:spacing w:after="0" w:line="300" w:lineRule="exact"/>
              <w:ind w:firstLine="210" w:firstLineChars="1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3.1.1评标委员会依据本章第2.1款规定的标准对投标文件进行初步评审。有一项不符合评审标准的，评标委员会应当否决其投标。</w:t>
            </w:r>
          </w:p>
        </w:tc>
      </w:tr>
      <w:bookmarkEnd w:id="0"/>
    </w:tbl>
    <w:p w14:paraId="469CD40D">
      <w:pPr>
        <w:spacing w:after="0" w:line="240" w:lineRule="auto"/>
        <w:ind w:left="3"/>
        <w:jc w:val="center"/>
        <w:outlineLvl w:val="1"/>
        <w:rPr>
          <w:rFonts w:ascii="Microsoft JhengHei" w:hAnsi="Microsoft JhengHei" w:eastAsia="Microsoft JhengHei" w:cs="Times New Roman"/>
          <w:b/>
          <w:bCs/>
          <w:strike/>
          <w:kern w:val="0"/>
          <w:sz w:val="44"/>
          <w:szCs w:val="44"/>
          <w14:ligatures w14:val="none"/>
        </w:rPr>
      </w:pPr>
    </w:p>
    <w:p w14:paraId="097FD4D6">
      <w:pPr>
        <w:tabs>
          <w:tab w:val="left" w:pos="4650"/>
          <w:tab w:val="left" w:pos="7990"/>
        </w:tabs>
        <w:spacing w:after="0" w:line="430" w:lineRule="exact"/>
        <w:ind w:left="100"/>
        <w:rPr>
          <w:rFonts w:ascii="宋体" w:hAnsi="宋体" w:eastAsia="宋体" w:cs="Times New Roman"/>
          <w:kern w:val="0"/>
          <w:sz w:val="24"/>
          <w14:ligatures w14:val="none"/>
        </w:rPr>
      </w:pPr>
      <w:r>
        <w:rPr>
          <w:rFonts w:ascii="宋体" w:hAnsi="宋体" w:eastAsia="宋体" w:cs="Times New Roman"/>
          <w:strike/>
          <w:kern w:val="0"/>
          <w:sz w:val="21"/>
          <w:szCs w:val="21"/>
          <w14:ligatures w14:val="none"/>
        </w:rPr>
        <w:br w:type="page"/>
      </w:r>
      <w:r>
        <w:rPr>
          <w:rFonts w:ascii="宋体" w:hAnsi="宋体" w:eastAsia="宋体" w:cs="Times New Roman"/>
          <w:kern w:val="0"/>
          <w:sz w:val="24"/>
          <w14:ligatures w14:val="none"/>
        </w:rPr>
        <w:t>续上表</w:t>
      </w:r>
    </w:p>
    <w:tbl>
      <w:tblPr>
        <w:tblStyle w:val="15"/>
        <w:tblW w:w="95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123"/>
        <w:gridCol w:w="1500"/>
        <w:gridCol w:w="6010"/>
      </w:tblGrid>
      <w:tr w14:paraId="2267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blHeader/>
          <w:jc w:val="center"/>
        </w:trPr>
        <w:tc>
          <w:tcPr>
            <w:tcW w:w="2023" w:type="dxa"/>
            <w:gridSpan w:val="2"/>
            <w:vAlign w:val="center"/>
          </w:tcPr>
          <w:p w14:paraId="0814CE9E">
            <w:pPr>
              <w:spacing w:before="39" w:after="0" w:line="240" w:lineRule="auto"/>
              <w:ind w:left="670" w:right="670"/>
              <w:jc w:val="center"/>
              <w:rPr>
                <w:rFonts w:ascii="宋体" w:hAnsi="宋体" w:eastAsia="宋体" w:cs="Microsoft JhengHei"/>
                <w:kern w:val="0"/>
                <w:sz w:val="21"/>
                <w:szCs w:val="21"/>
                <w:lang w:eastAsia="en-US"/>
                <w14:ligatures w14:val="none"/>
              </w:rPr>
            </w:pPr>
            <w:r>
              <w:rPr>
                <w:rFonts w:ascii="Times New Roman" w:hAnsi="Times New Roman" w:eastAsia="宋体" w:cs="Times New Roman"/>
                <w:kern w:val="0"/>
                <w:sz w:val="24"/>
                <w14:ligatures w14:val="none"/>
              </w:rPr>
              <w:br w:type="page"/>
            </w:r>
            <w:r>
              <w:rPr>
                <w:rFonts w:ascii="宋体" w:hAnsi="宋体" w:eastAsia="宋体" w:cs="Microsoft JhengHei"/>
                <w:kern w:val="0"/>
                <w:sz w:val="21"/>
                <w:szCs w:val="21"/>
                <w:lang w:eastAsia="en-US"/>
                <w14:ligatures w14:val="none"/>
              </w:rPr>
              <w:t>条款号</w:t>
            </w:r>
          </w:p>
        </w:tc>
        <w:tc>
          <w:tcPr>
            <w:tcW w:w="1500" w:type="dxa"/>
            <w:vAlign w:val="center"/>
          </w:tcPr>
          <w:p w14:paraId="214731B5">
            <w:pPr>
              <w:spacing w:before="39" w:after="0" w:line="240" w:lineRule="auto"/>
              <w:ind w:left="1" w:hanging="1"/>
              <w:jc w:val="center"/>
              <w:rPr>
                <w:rFonts w:ascii="宋体" w:hAnsi="宋体" w:eastAsia="宋体" w:cs="Microsoft JhengHei"/>
                <w:kern w:val="0"/>
                <w:sz w:val="21"/>
                <w:szCs w:val="21"/>
                <w:lang w:eastAsia="en-US"/>
                <w14:ligatures w14:val="none"/>
              </w:rPr>
            </w:pPr>
            <w:r>
              <w:rPr>
                <w:rFonts w:ascii="宋体" w:hAnsi="宋体" w:eastAsia="宋体" w:cs="Microsoft JhengHei"/>
                <w:kern w:val="0"/>
                <w:sz w:val="21"/>
                <w:szCs w:val="21"/>
                <w:lang w:eastAsia="en-US"/>
                <w14:ligatures w14:val="none"/>
              </w:rPr>
              <w:t>条款内容</w:t>
            </w:r>
          </w:p>
        </w:tc>
        <w:tc>
          <w:tcPr>
            <w:tcW w:w="6010" w:type="dxa"/>
            <w:vAlign w:val="center"/>
          </w:tcPr>
          <w:p w14:paraId="434AA9F8">
            <w:pPr>
              <w:spacing w:before="39" w:after="0" w:line="240" w:lineRule="auto"/>
              <w:ind w:left="1685" w:right="1685"/>
              <w:jc w:val="center"/>
              <w:rPr>
                <w:rFonts w:ascii="宋体" w:hAnsi="宋体" w:eastAsia="宋体" w:cs="Microsoft JhengHei"/>
                <w:kern w:val="0"/>
                <w:sz w:val="21"/>
                <w:szCs w:val="21"/>
                <w:lang w:eastAsia="en-US"/>
                <w14:ligatures w14:val="none"/>
              </w:rPr>
            </w:pPr>
            <w:r>
              <w:rPr>
                <w:rFonts w:ascii="宋体" w:hAnsi="宋体" w:eastAsia="宋体" w:cs="Microsoft JhengHei"/>
                <w:kern w:val="0"/>
                <w:sz w:val="21"/>
                <w:szCs w:val="21"/>
                <w:lang w:eastAsia="en-US"/>
                <w14:ligatures w14:val="none"/>
              </w:rPr>
              <w:t>编列内容</w:t>
            </w:r>
          </w:p>
        </w:tc>
      </w:tr>
      <w:tr w14:paraId="0069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 w:hRule="atLeast"/>
          <w:jc w:val="center"/>
        </w:trPr>
        <w:tc>
          <w:tcPr>
            <w:tcW w:w="2023" w:type="dxa"/>
            <w:gridSpan w:val="2"/>
            <w:vAlign w:val="center"/>
          </w:tcPr>
          <w:p w14:paraId="767EAFFB">
            <w:pPr>
              <w:spacing w:after="0" w:line="240" w:lineRule="auto"/>
              <w:ind w:left="517" w:right="506"/>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2.2.1</w:t>
            </w:r>
          </w:p>
        </w:tc>
        <w:tc>
          <w:tcPr>
            <w:tcW w:w="1500" w:type="dxa"/>
            <w:vAlign w:val="center"/>
          </w:tcPr>
          <w:p w14:paraId="75322F1C">
            <w:pPr>
              <w:spacing w:after="0" w:line="240" w:lineRule="auto"/>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分值构成</w:t>
            </w:r>
          </w:p>
          <w:p w14:paraId="214639FD">
            <w:pPr>
              <w:spacing w:after="0" w:line="240" w:lineRule="auto"/>
              <w:jc w:val="center"/>
              <w:rPr>
                <w:rFonts w:ascii="宋体" w:hAnsi="宋体" w:eastAsia="宋体" w:cs="宋体"/>
                <w:kern w:val="0"/>
                <w:sz w:val="21"/>
                <w:szCs w:val="21"/>
                <w:lang w:eastAsia="en-US"/>
                <w14:ligatures w14:val="none"/>
              </w:rPr>
            </w:pPr>
            <w:r>
              <w:rPr>
                <w:rFonts w:ascii="宋体" w:hAnsi="宋体" w:eastAsia="宋体" w:cs="Times New Roman"/>
                <w:spacing w:val="-1"/>
                <w:kern w:val="0"/>
                <w:sz w:val="21"/>
                <w:szCs w:val="21"/>
                <w:lang w:eastAsia="en-US"/>
                <w14:ligatures w14:val="none"/>
              </w:rPr>
              <w:t>(</w:t>
            </w:r>
            <w:r>
              <w:rPr>
                <w:rFonts w:ascii="宋体" w:hAnsi="宋体" w:eastAsia="宋体" w:cs="宋体"/>
                <w:spacing w:val="-1"/>
                <w:kern w:val="0"/>
                <w:sz w:val="21"/>
                <w:szCs w:val="21"/>
                <w:lang w:eastAsia="en-US"/>
                <w14:ligatures w14:val="none"/>
              </w:rPr>
              <w:t>总分</w:t>
            </w:r>
            <w:r>
              <w:rPr>
                <w:rFonts w:ascii="宋体" w:hAnsi="宋体" w:eastAsia="宋体" w:cs="Times New Roman"/>
                <w:spacing w:val="-1"/>
                <w:kern w:val="0"/>
                <w:sz w:val="21"/>
                <w:szCs w:val="21"/>
                <w:lang w:eastAsia="en-US"/>
                <w14:ligatures w14:val="none"/>
              </w:rPr>
              <w:t>100</w:t>
            </w:r>
            <w:r>
              <w:rPr>
                <w:rFonts w:ascii="宋体" w:hAnsi="宋体" w:eastAsia="宋体" w:cs="宋体"/>
                <w:kern w:val="0"/>
                <w:sz w:val="21"/>
                <w:szCs w:val="21"/>
                <w:lang w:eastAsia="en-US"/>
                <w14:ligatures w14:val="none"/>
              </w:rPr>
              <w:t>分</w:t>
            </w:r>
            <w:r>
              <w:rPr>
                <w:rFonts w:ascii="宋体" w:hAnsi="宋体" w:eastAsia="宋体" w:cs="Times New Roman"/>
                <w:kern w:val="0"/>
                <w:sz w:val="21"/>
                <w:szCs w:val="21"/>
                <w:lang w:eastAsia="en-US"/>
                <w14:ligatures w14:val="none"/>
              </w:rPr>
              <w:t>)</w:t>
            </w:r>
          </w:p>
        </w:tc>
        <w:tc>
          <w:tcPr>
            <w:tcW w:w="6010" w:type="dxa"/>
            <w:vAlign w:val="center"/>
          </w:tcPr>
          <w:p w14:paraId="1E2B5948">
            <w:pPr>
              <w:tabs>
                <w:tab w:val="left" w:pos="1672"/>
              </w:tabs>
              <w:snapToGrid w:val="0"/>
              <w:spacing w:after="0" w:line="240" w:lineRule="auto"/>
              <w:jc w:val="both"/>
              <w:rPr>
                <w:rFonts w:ascii="宋体" w:hAnsi="宋体" w:eastAsia="宋体" w:cs="Times New Roman"/>
                <w:kern w:val="0"/>
                <w:sz w:val="21"/>
                <w:szCs w:val="22"/>
                <w14:ligatures w14:val="none"/>
              </w:rPr>
            </w:pPr>
            <w:r>
              <w:rPr>
                <w:rFonts w:ascii="宋体" w:hAnsi="宋体" w:eastAsia="宋体" w:cs="Times New Roman"/>
                <w:spacing w:val="-2"/>
                <w:kern w:val="0"/>
                <w:sz w:val="21"/>
                <w:szCs w:val="22"/>
                <w14:ligatures w14:val="none"/>
              </w:rPr>
              <w:t>商务部分：</w:t>
            </w:r>
            <w:r>
              <w:rPr>
                <w:rFonts w:ascii="宋体" w:hAnsi="宋体" w:eastAsia="宋体" w:cs="Times New Roman"/>
                <w:spacing w:val="-2"/>
                <w:kern w:val="0"/>
                <w:sz w:val="21"/>
                <w:szCs w:val="22"/>
                <w:u w:val="single"/>
                <w14:ligatures w14:val="none"/>
              </w:rPr>
              <w:t>20</w:t>
            </w:r>
            <w:r>
              <w:rPr>
                <w:rFonts w:ascii="宋体" w:hAnsi="宋体" w:eastAsia="宋体" w:cs="Times New Roman"/>
                <w:kern w:val="0"/>
                <w:sz w:val="21"/>
                <w:szCs w:val="22"/>
                <w14:ligatures w14:val="none"/>
              </w:rPr>
              <w:t>分</w:t>
            </w:r>
          </w:p>
          <w:p w14:paraId="000CE5BE">
            <w:pPr>
              <w:tabs>
                <w:tab w:val="left" w:pos="1576"/>
              </w:tabs>
              <w:snapToGrid w:val="0"/>
              <w:spacing w:after="0" w:line="240" w:lineRule="auto"/>
              <w:jc w:val="both"/>
              <w:rPr>
                <w:rFonts w:ascii="宋体" w:hAnsi="宋体" w:eastAsia="宋体" w:cs="Times New Roman"/>
                <w:kern w:val="0"/>
                <w:sz w:val="21"/>
                <w:szCs w:val="22"/>
                <w14:ligatures w14:val="none"/>
              </w:rPr>
            </w:pPr>
            <w:r>
              <w:rPr>
                <w:rFonts w:ascii="宋体" w:hAnsi="宋体" w:eastAsia="宋体" w:cs="Times New Roman"/>
                <w:spacing w:val="-2"/>
                <w:kern w:val="0"/>
                <w:sz w:val="21"/>
                <w:szCs w:val="22"/>
                <w14:ligatures w14:val="none"/>
              </w:rPr>
              <w:t>技术部分：</w:t>
            </w:r>
            <w:r>
              <w:rPr>
                <w:rFonts w:ascii="宋体" w:hAnsi="宋体" w:eastAsia="宋体" w:cs="Times New Roman"/>
                <w:spacing w:val="-2"/>
                <w:kern w:val="0"/>
                <w:sz w:val="21"/>
                <w:szCs w:val="22"/>
                <w:u w:val="single"/>
                <w14:ligatures w14:val="none"/>
              </w:rPr>
              <w:t>50</w:t>
            </w:r>
            <w:r>
              <w:rPr>
                <w:rFonts w:ascii="宋体" w:hAnsi="宋体" w:eastAsia="宋体" w:cs="Times New Roman"/>
                <w:kern w:val="0"/>
                <w:sz w:val="21"/>
                <w:szCs w:val="22"/>
                <w14:ligatures w14:val="none"/>
              </w:rPr>
              <w:t>分</w:t>
            </w:r>
          </w:p>
          <w:p w14:paraId="09D6618D">
            <w:pPr>
              <w:tabs>
                <w:tab w:val="left" w:pos="1888"/>
              </w:tabs>
              <w:spacing w:after="0" w:line="240" w:lineRule="auto"/>
              <w:jc w:val="both"/>
              <w:rPr>
                <w:rFonts w:ascii="宋体" w:hAnsi="宋体" w:eastAsia="宋体" w:cs="Times New Roman"/>
                <w:kern w:val="0"/>
                <w:sz w:val="21"/>
                <w:szCs w:val="21"/>
                <w14:ligatures w14:val="none"/>
              </w:rPr>
            </w:pPr>
            <w:r>
              <w:rPr>
                <w:rFonts w:ascii="宋体" w:hAnsi="宋体" w:eastAsia="宋体" w:cs="Times New Roman"/>
                <w:spacing w:val="-2"/>
                <w:kern w:val="0"/>
                <w:sz w:val="21"/>
                <w:szCs w:val="22"/>
                <w14:ligatures w14:val="none"/>
              </w:rPr>
              <w:t>评 标 价：</w:t>
            </w:r>
            <w:r>
              <w:rPr>
                <w:rFonts w:ascii="宋体" w:hAnsi="宋体" w:eastAsia="宋体" w:cs="Times New Roman"/>
                <w:spacing w:val="-2"/>
                <w:kern w:val="0"/>
                <w:sz w:val="21"/>
                <w:szCs w:val="22"/>
                <w:u w:val="single"/>
                <w14:ligatures w14:val="none"/>
              </w:rPr>
              <w:t>30</w:t>
            </w:r>
            <w:r>
              <w:rPr>
                <w:rFonts w:ascii="宋体" w:hAnsi="宋体" w:eastAsia="宋体" w:cs="Times New Roman"/>
                <w:kern w:val="0"/>
                <w:sz w:val="21"/>
                <w:szCs w:val="22"/>
                <w14:ligatures w14:val="none"/>
              </w:rPr>
              <w:t>分</w:t>
            </w:r>
          </w:p>
        </w:tc>
      </w:tr>
      <w:tr w14:paraId="7B10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5" w:hRule="atLeast"/>
          <w:jc w:val="center"/>
        </w:trPr>
        <w:tc>
          <w:tcPr>
            <w:tcW w:w="2023" w:type="dxa"/>
            <w:gridSpan w:val="2"/>
            <w:vAlign w:val="center"/>
          </w:tcPr>
          <w:p w14:paraId="5785DA20">
            <w:pPr>
              <w:spacing w:after="0" w:line="240" w:lineRule="auto"/>
              <w:ind w:left="517" w:right="506"/>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2.2.2</w:t>
            </w:r>
          </w:p>
        </w:tc>
        <w:tc>
          <w:tcPr>
            <w:tcW w:w="1500" w:type="dxa"/>
            <w:vAlign w:val="center"/>
          </w:tcPr>
          <w:p w14:paraId="450DDA7B">
            <w:pPr>
              <w:spacing w:after="0" w:line="240" w:lineRule="auto"/>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评标基准价计算方法</w:t>
            </w:r>
          </w:p>
        </w:tc>
        <w:tc>
          <w:tcPr>
            <w:tcW w:w="6010" w:type="dxa"/>
            <w:vAlign w:val="center"/>
          </w:tcPr>
          <w:p w14:paraId="3F838311">
            <w:pPr>
              <w:adjustRightInd w:val="0"/>
              <w:snapToGrid w:val="0"/>
              <w:spacing w:after="0" w:line="240" w:lineRule="auto"/>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评标基准价的计算：</w:t>
            </w:r>
          </w:p>
          <w:p w14:paraId="3347E99C">
            <w:pPr>
              <w:spacing w:after="0" w:line="240" w:lineRule="auto"/>
              <w:ind w:firstLine="420" w:firstLineChars="2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招标人在开标现场当场计算并宣布评标基准价。</w:t>
            </w:r>
          </w:p>
          <w:p w14:paraId="68D9D59E">
            <w:pPr>
              <w:spacing w:after="0" w:line="240" w:lineRule="auto"/>
              <w:ind w:firstLine="420" w:firstLineChars="2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(1)评标价的确定：</w:t>
            </w:r>
          </w:p>
          <w:p w14:paraId="07E50756">
            <w:pPr>
              <w:spacing w:after="0" w:line="240" w:lineRule="auto"/>
              <w:ind w:firstLine="420" w:firstLineChars="2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评标价=投标函文字报价</w:t>
            </w:r>
          </w:p>
          <w:p w14:paraId="78572829">
            <w:pPr>
              <w:spacing w:after="0" w:line="240" w:lineRule="auto"/>
              <w:ind w:firstLine="420" w:firstLineChars="2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(2)评标基准价的计算：</w:t>
            </w:r>
          </w:p>
          <w:p w14:paraId="42AC9665">
            <w:pPr>
              <w:spacing w:after="0" w:line="240" w:lineRule="auto"/>
              <w:ind w:firstLine="420" w:firstLineChars="200"/>
              <w:rPr>
                <w:rFonts w:ascii="宋体" w:hAnsi="宋体" w:eastAsia="宋体" w:cs="Times New Roman"/>
                <w:kern w:val="0"/>
                <w:sz w:val="21"/>
                <w:szCs w:val="21"/>
                <w14:ligatures w14:val="none"/>
              </w:rPr>
            </w:pPr>
            <w:bookmarkStart w:id="6" w:name="_Hlk71804202"/>
            <w:r>
              <w:rPr>
                <w:rFonts w:ascii="宋体" w:hAnsi="宋体" w:eastAsia="宋体" w:cs="Times New Roman"/>
                <w:kern w:val="0"/>
                <w:sz w:val="21"/>
                <w:szCs w:val="21"/>
                <w14:ligatures w14:val="none"/>
              </w:rPr>
              <w:t>除按第二章“投标人须知”第5.2（5）项规定开标现场被宣布不再参加评标基准价计算的投标报价之外，所有投标人</w:t>
            </w:r>
            <w:bookmarkEnd w:id="6"/>
            <w:r>
              <w:rPr>
                <w:rFonts w:ascii="宋体" w:hAnsi="宋体" w:eastAsia="宋体" w:cs="Times New Roman"/>
                <w:kern w:val="0"/>
                <w:sz w:val="21"/>
                <w:szCs w:val="21"/>
                <w14:ligatures w14:val="none"/>
              </w:rPr>
              <w:t>的评标价的算术平均值即为评标基准价（评标基准价保留小数点后两位，小数点后第三位四舍五入）。</w:t>
            </w:r>
          </w:p>
          <w:p w14:paraId="721270F0">
            <w:pPr>
              <w:spacing w:after="0" w:line="240" w:lineRule="auto"/>
              <w:ind w:firstLine="420" w:firstLineChars="20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88395A2">
            <w:pPr>
              <w:spacing w:after="0" w:line="240" w:lineRule="auto"/>
              <w:ind w:firstLine="420" w:firstLineChars="200"/>
              <w:rPr>
                <w:rFonts w:ascii="宋体" w:hAnsi="宋体" w:eastAsia="宋体" w:cs="Times New Roman"/>
                <w:kern w:val="0"/>
                <w:sz w:val="21"/>
                <w:szCs w:val="21"/>
                <w14:ligatures w14:val="none"/>
              </w:rPr>
            </w:pPr>
            <w:r>
              <w:rPr>
                <w:rFonts w:ascii="Times New Roman" w:hAnsi="Times New Roman" w:eastAsia="宋体" w:cs="Times New Roman"/>
                <w:kern w:val="0"/>
                <w:sz w:val="21"/>
                <w:szCs w:val="21"/>
                <w14:ligatures w14:val="none"/>
              </w:rPr>
              <w:t>当所有投标价都高于招标人投标控制价上限时，招标人将重新招标。</w:t>
            </w:r>
          </w:p>
        </w:tc>
      </w:tr>
      <w:tr w14:paraId="3B45E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023" w:type="dxa"/>
            <w:gridSpan w:val="2"/>
            <w:vAlign w:val="center"/>
          </w:tcPr>
          <w:p w14:paraId="3839860B">
            <w:pPr>
              <w:spacing w:after="0" w:line="240" w:lineRule="auto"/>
              <w:ind w:left="517" w:right="506"/>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2"/>
                <w:lang w:eastAsia="en-US"/>
                <w14:ligatures w14:val="none"/>
              </w:rPr>
              <w:t>2.2.3</w:t>
            </w:r>
          </w:p>
        </w:tc>
        <w:tc>
          <w:tcPr>
            <w:tcW w:w="1500" w:type="dxa"/>
            <w:vAlign w:val="center"/>
          </w:tcPr>
          <w:p w14:paraId="11D8346F">
            <w:pPr>
              <w:spacing w:after="0" w:line="240" w:lineRule="auto"/>
              <w:jc w:val="center"/>
              <w:rPr>
                <w:rFonts w:ascii="宋体" w:hAnsi="宋体" w:eastAsia="宋体" w:cs="宋体"/>
                <w:kern w:val="0"/>
                <w:sz w:val="21"/>
                <w:szCs w:val="21"/>
                <w14:ligatures w14:val="none"/>
              </w:rPr>
            </w:pPr>
            <w:r>
              <w:rPr>
                <w:rFonts w:ascii="宋体" w:hAnsi="宋体" w:eastAsia="宋体" w:cs="宋体"/>
                <w:spacing w:val="-2"/>
                <w:kern w:val="0"/>
                <w:sz w:val="21"/>
                <w:szCs w:val="21"/>
                <w14:ligatures w14:val="none"/>
              </w:rPr>
              <w:t>评标价的偏差率</w:t>
            </w:r>
            <w:r>
              <w:rPr>
                <w:rFonts w:ascii="宋体" w:hAnsi="宋体" w:eastAsia="宋体" w:cs="宋体"/>
                <w:spacing w:val="-1"/>
                <w:kern w:val="0"/>
                <w:sz w:val="21"/>
                <w:szCs w:val="21"/>
                <w14:ligatures w14:val="none"/>
              </w:rPr>
              <w:t>计算公式</w:t>
            </w:r>
          </w:p>
        </w:tc>
        <w:tc>
          <w:tcPr>
            <w:tcW w:w="6010" w:type="dxa"/>
            <w:vAlign w:val="center"/>
          </w:tcPr>
          <w:p w14:paraId="2E603109">
            <w:pPr>
              <w:snapToGrid w:val="0"/>
              <w:spacing w:after="0" w:line="240" w:lineRule="auto"/>
              <w:ind w:firstLine="105" w:firstLineChars="50"/>
              <w:rPr>
                <w:rFonts w:ascii="宋体" w:hAnsi="宋体" w:eastAsia="宋体" w:cs="Times New Roman"/>
                <w:kern w:val="0"/>
                <w:sz w:val="21"/>
                <w:szCs w:val="21"/>
                <w14:ligatures w14:val="none"/>
              </w:rPr>
            </w:pPr>
            <w:r>
              <w:rPr>
                <w:rFonts w:ascii="宋体" w:hAnsi="宋体" w:eastAsia="宋体" w:cs="Times New Roman"/>
                <w:kern w:val="0"/>
                <w:sz w:val="21"/>
                <w:szCs w:val="22"/>
                <w14:ligatures w14:val="none"/>
              </w:rPr>
              <w:t>偏差率=100%×（投标人评标价-评标基准价）/评标基准价</w:t>
            </w:r>
          </w:p>
        </w:tc>
      </w:tr>
      <w:tr w14:paraId="4157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0" w:hRule="atLeast"/>
          <w:jc w:val="center"/>
        </w:trPr>
        <w:tc>
          <w:tcPr>
            <w:tcW w:w="900" w:type="dxa"/>
            <w:vAlign w:val="center"/>
          </w:tcPr>
          <w:p w14:paraId="04D2E2A1">
            <w:pPr>
              <w:spacing w:before="160" w:after="0" w:line="240" w:lineRule="auto"/>
              <w:ind w:left="234"/>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2.2.4</w:t>
            </w:r>
          </w:p>
          <w:p w14:paraId="294CDCE2">
            <w:pPr>
              <w:spacing w:after="0" w:line="240" w:lineRule="auto"/>
              <w:ind w:left="234"/>
              <w:jc w:val="center"/>
              <w:rPr>
                <w:rFonts w:ascii="宋体" w:hAnsi="宋体" w:eastAsia="宋体" w:cs="Times New Roman"/>
                <w:kern w:val="0"/>
                <w:sz w:val="21"/>
                <w:szCs w:val="21"/>
                <w14:ligatures w14:val="none"/>
              </w:rPr>
            </w:pPr>
            <w:r>
              <w:rPr>
                <w:rFonts w:ascii="宋体" w:hAnsi="宋体" w:eastAsia="宋体" w:cs="宋体"/>
                <w:spacing w:val="-1"/>
                <w:kern w:val="0"/>
                <w:sz w:val="21"/>
                <w:szCs w:val="21"/>
                <w:lang w:eastAsia="en-US"/>
                <w14:ligatures w14:val="none"/>
              </w:rPr>
              <w:t>（</w:t>
            </w:r>
            <w:r>
              <w:rPr>
                <w:rFonts w:ascii="宋体" w:hAnsi="宋体" w:eastAsia="宋体" w:cs="Times New Roman"/>
                <w:spacing w:val="-1"/>
                <w:kern w:val="0"/>
                <w:sz w:val="21"/>
                <w:szCs w:val="21"/>
                <w14:ligatures w14:val="none"/>
              </w:rPr>
              <w:t>1</w:t>
            </w:r>
            <w:r>
              <w:rPr>
                <w:rFonts w:ascii="宋体" w:hAnsi="宋体" w:eastAsia="宋体" w:cs="宋体"/>
                <w:spacing w:val="-1"/>
                <w:kern w:val="0"/>
                <w:sz w:val="21"/>
                <w:szCs w:val="21"/>
                <w:lang w:eastAsia="en-US"/>
                <w14:ligatures w14:val="none"/>
              </w:rPr>
              <w:t>）</w:t>
            </w:r>
          </w:p>
        </w:tc>
        <w:tc>
          <w:tcPr>
            <w:tcW w:w="1123" w:type="dxa"/>
            <w:vAlign w:val="center"/>
          </w:tcPr>
          <w:p w14:paraId="04C28BE4">
            <w:pPr>
              <w:spacing w:after="0" w:line="240" w:lineRule="auto"/>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lang w:eastAsia="en-US"/>
                <w14:ligatures w14:val="none"/>
              </w:rPr>
              <w:t>商务评分</w:t>
            </w:r>
          </w:p>
          <w:p w14:paraId="367D6FBD">
            <w:pPr>
              <w:spacing w:after="0" w:line="240" w:lineRule="auto"/>
              <w:jc w:val="center"/>
              <w:rPr>
                <w:rFonts w:ascii="宋体" w:hAnsi="宋体" w:eastAsia="宋体" w:cs="宋体"/>
                <w:kern w:val="0"/>
                <w:sz w:val="21"/>
                <w:szCs w:val="21"/>
                <w:lang w:eastAsia="en-US"/>
                <w14:ligatures w14:val="none"/>
              </w:rPr>
            </w:pPr>
            <w:r>
              <w:rPr>
                <w:rFonts w:ascii="宋体" w:hAnsi="宋体" w:eastAsia="宋体" w:cs="宋体"/>
                <w:kern w:val="0"/>
                <w:sz w:val="21"/>
                <w:szCs w:val="21"/>
                <w:lang w:eastAsia="en-US"/>
                <w14:ligatures w14:val="none"/>
              </w:rPr>
              <w:t>标准</w:t>
            </w:r>
          </w:p>
          <w:p w14:paraId="05346B33">
            <w:pPr>
              <w:spacing w:after="0" w:line="240" w:lineRule="auto"/>
              <w:jc w:val="center"/>
              <w:rPr>
                <w:rFonts w:ascii="宋体" w:hAnsi="宋体" w:eastAsia="宋体" w:cs="宋体"/>
                <w:spacing w:val="-1"/>
                <w:kern w:val="0"/>
                <w:sz w:val="21"/>
                <w:szCs w:val="21"/>
                <w14:ligatures w14:val="none"/>
              </w:rPr>
            </w:pPr>
            <w:r>
              <w:rPr>
                <w:rFonts w:ascii="宋体" w:hAnsi="宋体" w:eastAsia="宋体" w:cs="宋体"/>
                <w:kern w:val="0"/>
                <w:sz w:val="21"/>
                <w:szCs w:val="21"/>
                <w14:ligatures w14:val="none"/>
              </w:rPr>
              <w:t>（20分）</w:t>
            </w:r>
          </w:p>
        </w:tc>
        <w:tc>
          <w:tcPr>
            <w:tcW w:w="1500" w:type="dxa"/>
            <w:vAlign w:val="center"/>
          </w:tcPr>
          <w:p w14:paraId="47012638">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业绩</w:t>
            </w:r>
          </w:p>
          <w:p w14:paraId="12241002">
            <w:pPr>
              <w:spacing w:after="0" w:line="240" w:lineRule="auto"/>
              <w:jc w:val="center"/>
              <w:rPr>
                <w:rFonts w:ascii="宋体" w:hAnsi="宋体" w:eastAsia="宋体" w:cs="宋体"/>
                <w:spacing w:val="-1"/>
                <w:kern w:val="0"/>
                <w:sz w:val="21"/>
                <w:szCs w:val="21"/>
                <w14:ligatures w14:val="none"/>
              </w:rPr>
            </w:pPr>
            <w:r>
              <w:rPr>
                <w:rFonts w:ascii="宋体" w:hAnsi="宋体" w:eastAsia="宋体" w:cs="宋体"/>
                <w:kern w:val="0"/>
                <w:sz w:val="21"/>
                <w:szCs w:val="21"/>
                <w14:ligatures w14:val="none"/>
              </w:rPr>
              <w:t>（20分）</w:t>
            </w:r>
          </w:p>
        </w:tc>
        <w:tc>
          <w:tcPr>
            <w:tcW w:w="6010" w:type="dxa"/>
            <w:vAlign w:val="center"/>
          </w:tcPr>
          <w:p w14:paraId="0C86D227">
            <w:pPr>
              <w:spacing w:after="0" w:line="240" w:lineRule="auto"/>
              <w:rPr>
                <w:rFonts w:ascii="宋体" w:hAnsi="宋体" w:eastAsia="宋体" w:cs="宋体"/>
                <w:kern w:val="0"/>
                <w:sz w:val="21"/>
                <w:szCs w:val="21"/>
                <w14:ligatures w14:val="none"/>
              </w:rPr>
            </w:pPr>
            <w:r>
              <w:rPr>
                <w:rFonts w:ascii="宋体" w:hAnsi="宋体" w:eastAsia="宋体" w:cs="宋体"/>
                <w:kern w:val="0"/>
                <w:sz w:val="21"/>
                <w:szCs w:val="21"/>
                <w14:ligatures w14:val="none"/>
              </w:rPr>
              <w:t>满足投标人须知前附表附录2 资格审查条件(业绩最低条件)，得12分；</w:t>
            </w:r>
          </w:p>
          <w:p w14:paraId="2B38E934">
            <w:pPr>
              <w:spacing w:after="0" w:line="240" w:lineRule="auto"/>
              <w:rPr>
                <w:rFonts w:ascii="宋体" w:hAnsi="宋体" w:eastAsia="宋体" w:cs="宋体"/>
                <w:kern w:val="0"/>
                <w:sz w:val="21"/>
                <w:szCs w:val="21"/>
                <w14:ligatures w14:val="none"/>
              </w:rPr>
            </w:pPr>
            <w:r>
              <w:rPr>
                <w:rFonts w:ascii="宋体" w:hAnsi="宋体" w:eastAsia="宋体" w:cs="宋体"/>
                <w:kern w:val="0"/>
                <w:sz w:val="21"/>
                <w:szCs w:val="21"/>
                <w14:ligatures w14:val="none"/>
              </w:rPr>
              <w:t>近3年内(2023年5月1日至今，以合同签订时间为准)每增加1项防撞垫供货业绩加4分，最多加8分。</w:t>
            </w:r>
          </w:p>
        </w:tc>
      </w:tr>
      <w:tr w14:paraId="61D1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jc w:val="center"/>
        </w:trPr>
        <w:tc>
          <w:tcPr>
            <w:tcW w:w="900" w:type="dxa"/>
            <w:vMerge w:val="restart"/>
            <w:vAlign w:val="center"/>
          </w:tcPr>
          <w:p w14:paraId="481411E3">
            <w:pPr>
              <w:spacing w:after="0" w:line="240" w:lineRule="auto"/>
              <w:ind w:left="234"/>
              <w:jc w:val="center"/>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2.2.4</w:t>
            </w:r>
          </w:p>
          <w:p w14:paraId="44FF14BF">
            <w:pPr>
              <w:spacing w:before="151" w:after="0" w:line="240" w:lineRule="auto"/>
              <w:ind w:left="181"/>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w:t>
            </w:r>
            <w:r>
              <w:rPr>
                <w:rFonts w:ascii="宋体" w:hAnsi="宋体" w:eastAsia="宋体" w:cs="Times New Roman"/>
                <w:spacing w:val="-1"/>
                <w:kern w:val="0"/>
                <w:sz w:val="21"/>
                <w:szCs w:val="21"/>
                <w:lang w:eastAsia="en-US"/>
                <w14:ligatures w14:val="none"/>
              </w:rPr>
              <w:t>2</w:t>
            </w:r>
            <w:r>
              <w:rPr>
                <w:rFonts w:ascii="宋体" w:hAnsi="宋体" w:eastAsia="宋体" w:cs="宋体"/>
                <w:spacing w:val="-1"/>
                <w:kern w:val="0"/>
                <w:sz w:val="21"/>
                <w:szCs w:val="21"/>
                <w:lang w:eastAsia="en-US"/>
                <w14:ligatures w14:val="none"/>
              </w:rPr>
              <w:t>）</w:t>
            </w:r>
          </w:p>
        </w:tc>
        <w:tc>
          <w:tcPr>
            <w:tcW w:w="1123" w:type="dxa"/>
            <w:vMerge w:val="restart"/>
            <w:vAlign w:val="center"/>
          </w:tcPr>
          <w:p w14:paraId="08CBB0B7">
            <w:pPr>
              <w:spacing w:after="0" w:line="240" w:lineRule="auto"/>
              <w:ind w:left="344" w:hanging="209"/>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技术评分</w:t>
            </w:r>
            <w:r>
              <w:rPr>
                <w:rFonts w:ascii="宋体" w:hAnsi="宋体" w:eastAsia="宋体" w:cs="宋体"/>
                <w:kern w:val="0"/>
                <w:sz w:val="21"/>
                <w:szCs w:val="21"/>
                <w:lang w:eastAsia="en-US"/>
                <w14:ligatures w14:val="none"/>
              </w:rPr>
              <w:t>标准</w:t>
            </w:r>
          </w:p>
          <w:p w14:paraId="09472158">
            <w:pPr>
              <w:spacing w:after="0" w:line="240" w:lineRule="auto"/>
              <w:ind w:left="344" w:hanging="209"/>
              <w:rPr>
                <w:rFonts w:ascii="宋体" w:hAnsi="宋体" w:eastAsia="宋体" w:cs="宋体"/>
                <w:kern w:val="0"/>
                <w:sz w:val="21"/>
                <w:szCs w:val="21"/>
                <w14:ligatures w14:val="none"/>
              </w:rPr>
            </w:pPr>
            <w:r>
              <w:rPr>
                <w:rFonts w:ascii="宋体" w:hAnsi="宋体" w:eastAsia="宋体" w:cs="宋体"/>
                <w:kern w:val="0"/>
                <w:sz w:val="21"/>
                <w:szCs w:val="21"/>
                <w14:ligatures w14:val="none"/>
              </w:rPr>
              <w:t>（50分）</w:t>
            </w:r>
          </w:p>
        </w:tc>
        <w:tc>
          <w:tcPr>
            <w:tcW w:w="1500" w:type="dxa"/>
            <w:vAlign w:val="center"/>
          </w:tcPr>
          <w:p w14:paraId="08D6DDAD">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投标材料整体性能评价</w:t>
            </w:r>
          </w:p>
          <w:p w14:paraId="3602EBDF">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（15分）</w:t>
            </w:r>
          </w:p>
        </w:tc>
        <w:tc>
          <w:tcPr>
            <w:tcW w:w="6010" w:type="dxa"/>
            <w:vAlign w:val="center"/>
          </w:tcPr>
          <w:p w14:paraId="291FA26E">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满足招标文件要求，材料整体性能一般，得9分；</w:t>
            </w:r>
          </w:p>
          <w:p w14:paraId="3DA71653">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满足招标文件要求，材料整体性能较优越，得9～12分；</w:t>
            </w:r>
          </w:p>
          <w:p w14:paraId="4E10491D">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优于招标文件要求，材料整体性能优越，得12～15分；</w:t>
            </w:r>
          </w:p>
        </w:tc>
      </w:tr>
      <w:tr w14:paraId="7279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jc w:val="center"/>
        </w:trPr>
        <w:tc>
          <w:tcPr>
            <w:tcW w:w="900" w:type="dxa"/>
            <w:vMerge w:val="continue"/>
            <w:vAlign w:val="center"/>
          </w:tcPr>
          <w:p w14:paraId="4865CDAA">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048FC69B">
            <w:pPr>
              <w:spacing w:after="0" w:line="240" w:lineRule="auto"/>
              <w:rPr>
                <w:rFonts w:ascii="宋体" w:hAnsi="宋体" w:eastAsia="宋体" w:cs="Times New Roman"/>
                <w:kern w:val="0"/>
                <w:sz w:val="21"/>
                <w:szCs w:val="21"/>
                <w14:ligatures w14:val="none"/>
              </w:rPr>
            </w:pPr>
          </w:p>
        </w:tc>
        <w:tc>
          <w:tcPr>
            <w:tcW w:w="1500" w:type="dxa"/>
            <w:vAlign w:val="center"/>
          </w:tcPr>
          <w:p w14:paraId="1AC2E59A">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材料主要</w:t>
            </w:r>
          </w:p>
          <w:p w14:paraId="41EF0EC0">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技术指标</w:t>
            </w:r>
          </w:p>
          <w:p w14:paraId="0B15B25F">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（15分）</w:t>
            </w:r>
          </w:p>
        </w:tc>
        <w:tc>
          <w:tcPr>
            <w:tcW w:w="6010" w:type="dxa"/>
            <w:vAlign w:val="center"/>
          </w:tcPr>
          <w:p w14:paraId="5A689916">
            <w:pPr>
              <w:spacing w:after="0" w:line="320" w:lineRule="exact"/>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满足主要技术要求，性能一般，质量一般，得9分；</w:t>
            </w:r>
          </w:p>
          <w:p w14:paraId="79C5D221">
            <w:pPr>
              <w:spacing w:after="0" w:line="320" w:lineRule="exact"/>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满足主要技术要求，性能较高，质量较好，得9</w:t>
            </w:r>
            <w:r>
              <w:rPr>
                <w:rFonts w:ascii="宋体" w:hAnsi="宋体" w:eastAsia="宋体" w:cs="宋体"/>
                <w:kern w:val="0"/>
                <w:sz w:val="21"/>
                <w:szCs w:val="21"/>
                <w14:ligatures w14:val="none"/>
              </w:rPr>
              <w:t>～12</w:t>
            </w:r>
            <w:r>
              <w:rPr>
                <w:rFonts w:ascii="宋体" w:hAnsi="宋体" w:eastAsia="宋体" w:cs="Times New Roman"/>
                <w:kern w:val="0"/>
                <w:sz w:val="21"/>
                <w:szCs w:val="21"/>
                <w14:ligatures w14:val="none"/>
              </w:rPr>
              <w:t>分；</w:t>
            </w:r>
          </w:p>
          <w:p w14:paraId="351B46D5">
            <w:pPr>
              <w:spacing w:after="0" w:line="240" w:lineRule="auto"/>
              <w:jc w:val="both"/>
              <w:rPr>
                <w:rFonts w:ascii="宋体" w:hAnsi="宋体" w:eastAsia="宋体" w:cs="宋体"/>
                <w:kern w:val="0"/>
                <w:sz w:val="21"/>
                <w:szCs w:val="21"/>
                <w14:ligatures w14:val="none"/>
              </w:rPr>
            </w:pPr>
            <w:r>
              <w:rPr>
                <w:rFonts w:ascii="宋体" w:hAnsi="宋体" w:eastAsia="宋体" w:cs="Times New Roman"/>
                <w:kern w:val="0"/>
                <w:sz w:val="21"/>
                <w:szCs w:val="21"/>
                <w14:ligatures w14:val="none"/>
              </w:rPr>
              <w:t>优于主要技术要求，性能高，质量好，得12</w:t>
            </w:r>
            <w:r>
              <w:rPr>
                <w:rFonts w:ascii="宋体" w:hAnsi="宋体" w:eastAsia="宋体" w:cs="宋体"/>
                <w:kern w:val="0"/>
                <w:sz w:val="21"/>
                <w:szCs w:val="21"/>
                <w14:ligatures w14:val="none"/>
              </w:rPr>
              <w:t>～15</w:t>
            </w:r>
            <w:r>
              <w:rPr>
                <w:rFonts w:ascii="宋体" w:hAnsi="宋体" w:eastAsia="宋体" w:cs="Times New Roman"/>
                <w:kern w:val="0"/>
                <w:sz w:val="21"/>
                <w:szCs w:val="21"/>
                <w14:ligatures w14:val="none"/>
              </w:rPr>
              <w:t>分。</w:t>
            </w:r>
          </w:p>
        </w:tc>
      </w:tr>
      <w:tr w14:paraId="7995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900" w:type="dxa"/>
            <w:vMerge w:val="continue"/>
            <w:vAlign w:val="center"/>
          </w:tcPr>
          <w:p w14:paraId="2C4798B1">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51B9973D">
            <w:pPr>
              <w:spacing w:after="0" w:line="240" w:lineRule="auto"/>
              <w:rPr>
                <w:rFonts w:ascii="宋体" w:hAnsi="宋体" w:eastAsia="宋体" w:cs="Times New Roman"/>
                <w:kern w:val="0"/>
                <w:sz w:val="21"/>
                <w:szCs w:val="21"/>
                <w14:ligatures w14:val="none"/>
              </w:rPr>
            </w:pPr>
          </w:p>
        </w:tc>
        <w:tc>
          <w:tcPr>
            <w:tcW w:w="1500" w:type="dxa"/>
            <w:vAlign w:val="center"/>
          </w:tcPr>
          <w:p w14:paraId="57EBF04D">
            <w:pPr>
              <w:spacing w:after="0" w:line="240" w:lineRule="auto"/>
              <w:jc w:val="center"/>
              <w:rPr>
                <w:rFonts w:ascii="宋体" w:hAnsi="宋体" w:eastAsia="宋体" w:cs="宋体"/>
                <w:kern w:val="0"/>
                <w:sz w:val="21"/>
                <w:szCs w:val="21"/>
                <w14:ligatures w14:val="none"/>
              </w:rPr>
            </w:pPr>
            <w:r>
              <w:rPr>
                <w:rFonts w:ascii="宋体" w:hAnsi="宋体" w:eastAsia="宋体" w:cs="Times New Roman"/>
                <w:kern w:val="0"/>
                <w:sz w:val="21"/>
                <w:szCs w:val="21"/>
                <w14:ligatures w14:val="none"/>
              </w:rPr>
              <w:t>对投标人技术服务和缺陷责任期服务能力的评价（15分）</w:t>
            </w:r>
          </w:p>
        </w:tc>
        <w:tc>
          <w:tcPr>
            <w:tcW w:w="6010" w:type="dxa"/>
            <w:vAlign w:val="center"/>
          </w:tcPr>
          <w:p w14:paraId="116E9E74">
            <w:pPr>
              <w:spacing w:after="0" w:line="320" w:lineRule="exact"/>
              <w:rPr>
                <w:rFonts w:ascii="宋体" w:hAnsi="宋体" w:eastAsia="宋体" w:cs="Times New Roman"/>
                <w:spacing w:val="12"/>
                <w:kern w:val="0"/>
                <w:sz w:val="21"/>
                <w:szCs w:val="21"/>
                <w14:ligatures w14:val="none"/>
              </w:rPr>
            </w:pPr>
            <w:r>
              <w:rPr>
                <w:rFonts w:ascii="宋体" w:hAnsi="宋体" w:eastAsia="宋体" w:cs="Times New Roman"/>
                <w:spacing w:val="12"/>
                <w:kern w:val="0"/>
                <w:sz w:val="21"/>
                <w:szCs w:val="21"/>
                <w14:ligatures w14:val="none"/>
              </w:rPr>
              <w:t>技术服务能力和</w:t>
            </w:r>
            <w:r>
              <w:rPr>
                <w:rFonts w:ascii="宋体" w:hAnsi="宋体" w:eastAsia="宋体" w:cs="Times New Roman"/>
                <w:kern w:val="0"/>
                <w:sz w:val="21"/>
                <w:szCs w:val="21"/>
                <w14:ligatures w14:val="none"/>
              </w:rPr>
              <w:t>缺陷责任期</w:t>
            </w:r>
            <w:r>
              <w:rPr>
                <w:rFonts w:ascii="宋体" w:hAnsi="宋体" w:eastAsia="宋体" w:cs="Times New Roman"/>
                <w:spacing w:val="12"/>
                <w:kern w:val="0"/>
                <w:sz w:val="21"/>
                <w:szCs w:val="21"/>
                <w14:ligatures w14:val="none"/>
              </w:rPr>
              <w:t>服务满足招标文件要求，得9分；</w:t>
            </w:r>
          </w:p>
          <w:p w14:paraId="5BC191DE">
            <w:pPr>
              <w:spacing w:after="0" w:line="320" w:lineRule="exact"/>
              <w:rPr>
                <w:rFonts w:ascii="宋体" w:hAnsi="宋体" w:eastAsia="宋体" w:cs="Times New Roman"/>
                <w:spacing w:val="12"/>
                <w:kern w:val="0"/>
                <w:sz w:val="21"/>
                <w:szCs w:val="21"/>
                <w14:ligatures w14:val="none"/>
              </w:rPr>
            </w:pPr>
            <w:r>
              <w:rPr>
                <w:rFonts w:ascii="宋体" w:hAnsi="宋体" w:eastAsia="宋体" w:cs="Times New Roman"/>
                <w:spacing w:val="12"/>
                <w:kern w:val="0"/>
                <w:sz w:val="21"/>
                <w:szCs w:val="21"/>
                <w14:ligatures w14:val="none"/>
              </w:rPr>
              <w:t>技术服务能力和</w:t>
            </w:r>
            <w:r>
              <w:rPr>
                <w:rFonts w:ascii="宋体" w:hAnsi="宋体" w:eastAsia="宋体" w:cs="Times New Roman"/>
                <w:kern w:val="0"/>
                <w:sz w:val="21"/>
                <w:szCs w:val="21"/>
                <w14:ligatures w14:val="none"/>
              </w:rPr>
              <w:t>缺陷责任期</w:t>
            </w:r>
            <w:r>
              <w:rPr>
                <w:rFonts w:ascii="宋体" w:hAnsi="宋体" w:eastAsia="宋体" w:cs="Times New Roman"/>
                <w:spacing w:val="12"/>
                <w:kern w:val="0"/>
                <w:sz w:val="21"/>
                <w:szCs w:val="21"/>
                <w14:ligatures w14:val="none"/>
              </w:rPr>
              <w:t>服务满足招标文件要求，能力良好，得9</w:t>
            </w:r>
            <w:r>
              <w:rPr>
                <w:rFonts w:ascii="宋体" w:hAnsi="宋体" w:eastAsia="宋体" w:cs="Times New Roman"/>
                <w:kern w:val="0"/>
                <w:sz w:val="21"/>
                <w:szCs w:val="21"/>
                <w14:ligatures w14:val="none"/>
              </w:rPr>
              <w:t>～</w:t>
            </w:r>
            <w:r>
              <w:rPr>
                <w:rFonts w:ascii="宋体" w:hAnsi="宋体" w:eastAsia="宋体" w:cs="Times New Roman"/>
                <w:spacing w:val="12"/>
                <w:kern w:val="0"/>
                <w:sz w:val="21"/>
                <w:szCs w:val="21"/>
                <w14:ligatures w14:val="none"/>
              </w:rPr>
              <w:t>12分；</w:t>
            </w:r>
          </w:p>
          <w:p w14:paraId="2C05E7A9">
            <w:pPr>
              <w:spacing w:after="0" w:line="320" w:lineRule="exact"/>
              <w:rPr>
                <w:rFonts w:ascii="宋体" w:hAnsi="宋体" w:eastAsia="宋体" w:cs="Times New Roman"/>
                <w:kern w:val="0"/>
                <w:sz w:val="21"/>
                <w:szCs w:val="21"/>
                <w14:ligatures w14:val="none"/>
              </w:rPr>
            </w:pPr>
            <w:r>
              <w:rPr>
                <w:rFonts w:ascii="宋体" w:hAnsi="宋体" w:eastAsia="宋体" w:cs="Times New Roman"/>
                <w:spacing w:val="12"/>
                <w:kern w:val="0"/>
                <w:sz w:val="21"/>
                <w:szCs w:val="21"/>
                <w14:ligatures w14:val="none"/>
              </w:rPr>
              <w:t>技术服务能力和</w:t>
            </w:r>
            <w:r>
              <w:rPr>
                <w:rFonts w:ascii="宋体" w:hAnsi="宋体" w:eastAsia="宋体" w:cs="Times New Roman"/>
                <w:kern w:val="0"/>
                <w:sz w:val="21"/>
                <w:szCs w:val="21"/>
                <w14:ligatures w14:val="none"/>
              </w:rPr>
              <w:t>缺陷责任期</w:t>
            </w:r>
            <w:r>
              <w:rPr>
                <w:rFonts w:ascii="宋体" w:hAnsi="宋体" w:eastAsia="宋体" w:cs="Times New Roman"/>
                <w:spacing w:val="12"/>
                <w:kern w:val="0"/>
                <w:sz w:val="21"/>
                <w:szCs w:val="21"/>
                <w14:ligatures w14:val="none"/>
              </w:rPr>
              <w:t>服务满足招标文件要求，能力优秀，得12</w:t>
            </w:r>
            <w:r>
              <w:rPr>
                <w:rFonts w:ascii="宋体" w:hAnsi="宋体" w:eastAsia="宋体" w:cs="Times New Roman"/>
                <w:kern w:val="0"/>
                <w:sz w:val="21"/>
                <w:szCs w:val="21"/>
                <w14:ligatures w14:val="none"/>
              </w:rPr>
              <w:t>～</w:t>
            </w:r>
            <w:r>
              <w:rPr>
                <w:rFonts w:ascii="宋体" w:hAnsi="宋体" w:eastAsia="宋体" w:cs="Times New Roman"/>
                <w:spacing w:val="12"/>
                <w:kern w:val="0"/>
                <w:sz w:val="21"/>
                <w:szCs w:val="21"/>
                <w14:ligatures w14:val="none"/>
              </w:rPr>
              <w:t>15分。</w:t>
            </w:r>
          </w:p>
        </w:tc>
      </w:tr>
      <w:tr w14:paraId="73AD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jc w:val="center"/>
        </w:trPr>
        <w:tc>
          <w:tcPr>
            <w:tcW w:w="900" w:type="dxa"/>
            <w:vMerge w:val="continue"/>
            <w:vAlign w:val="center"/>
          </w:tcPr>
          <w:p w14:paraId="684B21E8">
            <w:pPr>
              <w:spacing w:after="0" w:line="240" w:lineRule="auto"/>
              <w:rPr>
                <w:rFonts w:ascii="宋体" w:hAnsi="宋体" w:eastAsia="宋体" w:cs="Times New Roman"/>
                <w:kern w:val="0"/>
                <w:sz w:val="21"/>
                <w:szCs w:val="21"/>
                <w14:ligatures w14:val="none"/>
              </w:rPr>
            </w:pPr>
          </w:p>
        </w:tc>
        <w:tc>
          <w:tcPr>
            <w:tcW w:w="1123" w:type="dxa"/>
            <w:vMerge w:val="continue"/>
            <w:vAlign w:val="center"/>
          </w:tcPr>
          <w:p w14:paraId="2560A95C">
            <w:pPr>
              <w:spacing w:after="0" w:line="240" w:lineRule="auto"/>
              <w:rPr>
                <w:rFonts w:ascii="宋体" w:hAnsi="宋体" w:eastAsia="宋体" w:cs="Times New Roman"/>
                <w:kern w:val="0"/>
                <w:sz w:val="21"/>
                <w:szCs w:val="21"/>
                <w14:ligatures w14:val="none"/>
              </w:rPr>
            </w:pPr>
          </w:p>
        </w:tc>
        <w:tc>
          <w:tcPr>
            <w:tcW w:w="1500" w:type="dxa"/>
            <w:vAlign w:val="center"/>
          </w:tcPr>
          <w:p w14:paraId="084DED5E">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服务承诺</w:t>
            </w:r>
          </w:p>
          <w:p w14:paraId="3097D271">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（5分）</w:t>
            </w:r>
          </w:p>
        </w:tc>
        <w:tc>
          <w:tcPr>
            <w:tcW w:w="6010" w:type="dxa"/>
            <w:vAlign w:val="center"/>
          </w:tcPr>
          <w:p w14:paraId="4B7101BB">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1、承诺能在设备故障发生后24小时内即时响应得3分；</w:t>
            </w:r>
          </w:p>
          <w:p w14:paraId="495C441E">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2、具有7*24小时服务响应，承诺能在设备故障发生后12小时内即时响应得5分。</w:t>
            </w:r>
          </w:p>
        </w:tc>
      </w:tr>
      <w:tr w14:paraId="7AB2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Align w:val="center"/>
          </w:tcPr>
          <w:p w14:paraId="74CCFB9E">
            <w:pPr>
              <w:spacing w:before="160" w:after="0" w:line="240" w:lineRule="auto"/>
              <w:ind w:left="234"/>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2.2.4</w:t>
            </w:r>
          </w:p>
          <w:p w14:paraId="76DDCF69">
            <w:pPr>
              <w:spacing w:before="151" w:after="0" w:line="240" w:lineRule="auto"/>
              <w:ind w:left="181"/>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w:t>
            </w:r>
            <w:r>
              <w:rPr>
                <w:rFonts w:ascii="宋体" w:hAnsi="宋体" w:eastAsia="宋体" w:cs="Times New Roman"/>
                <w:spacing w:val="-1"/>
                <w:kern w:val="0"/>
                <w:sz w:val="21"/>
                <w:szCs w:val="21"/>
                <w:lang w:eastAsia="en-US"/>
                <w14:ligatures w14:val="none"/>
              </w:rPr>
              <w:t>3</w:t>
            </w:r>
            <w:r>
              <w:rPr>
                <w:rFonts w:ascii="宋体" w:hAnsi="宋体" w:eastAsia="宋体" w:cs="宋体"/>
                <w:spacing w:val="-1"/>
                <w:kern w:val="0"/>
                <w:sz w:val="21"/>
                <w:szCs w:val="21"/>
                <w:lang w:eastAsia="en-US"/>
                <w14:ligatures w14:val="none"/>
              </w:rPr>
              <w:t>）</w:t>
            </w:r>
          </w:p>
        </w:tc>
        <w:tc>
          <w:tcPr>
            <w:tcW w:w="1123" w:type="dxa"/>
            <w:vAlign w:val="center"/>
          </w:tcPr>
          <w:p w14:paraId="366AE874">
            <w:pPr>
              <w:spacing w:before="3" w:after="0" w:line="240" w:lineRule="auto"/>
              <w:ind w:left="135"/>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评标价评分标准</w:t>
            </w:r>
          </w:p>
          <w:p w14:paraId="3E6486FA">
            <w:pPr>
              <w:spacing w:before="3" w:after="0" w:line="240" w:lineRule="auto"/>
              <w:ind w:left="135"/>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（30分）</w:t>
            </w:r>
          </w:p>
        </w:tc>
        <w:tc>
          <w:tcPr>
            <w:tcW w:w="1500" w:type="dxa"/>
            <w:vAlign w:val="center"/>
          </w:tcPr>
          <w:p w14:paraId="319B00AF">
            <w:pPr>
              <w:spacing w:after="0" w:line="240" w:lineRule="auto"/>
              <w:jc w:val="center"/>
              <w:rPr>
                <w:rFonts w:ascii="宋体" w:hAnsi="宋体" w:eastAsia="宋体" w:cs="宋体"/>
                <w:spacing w:val="-1"/>
                <w:kern w:val="0"/>
                <w:sz w:val="21"/>
                <w:szCs w:val="21"/>
                <w14:ligatures w14:val="none"/>
              </w:rPr>
            </w:pPr>
            <w:r>
              <w:rPr>
                <w:rFonts w:ascii="宋体" w:hAnsi="宋体" w:eastAsia="宋体" w:cs="宋体"/>
                <w:spacing w:val="-1"/>
                <w:kern w:val="0"/>
                <w:sz w:val="21"/>
                <w:szCs w:val="21"/>
                <w14:ligatures w14:val="none"/>
              </w:rPr>
              <w:t>评标价</w:t>
            </w:r>
          </w:p>
          <w:p w14:paraId="22760794">
            <w:pPr>
              <w:spacing w:after="0" w:line="240" w:lineRule="auto"/>
              <w:jc w:val="center"/>
              <w:rPr>
                <w:rFonts w:ascii="宋体" w:hAnsi="宋体" w:eastAsia="宋体" w:cs="宋体"/>
                <w:kern w:val="0"/>
                <w:sz w:val="21"/>
                <w:szCs w:val="21"/>
                <w14:ligatures w14:val="none"/>
              </w:rPr>
            </w:pPr>
            <w:r>
              <w:rPr>
                <w:rFonts w:ascii="宋体" w:hAnsi="宋体" w:eastAsia="宋体" w:cs="宋体"/>
                <w:kern w:val="0"/>
                <w:sz w:val="21"/>
                <w:szCs w:val="21"/>
                <w14:ligatures w14:val="none"/>
              </w:rPr>
              <w:t>（30分）</w:t>
            </w:r>
          </w:p>
        </w:tc>
        <w:tc>
          <w:tcPr>
            <w:tcW w:w="6010" w:type="dxa"/>
            <w:vAlign w:val="center"/>
          </w:tcPr>
          <w:p w14:paraId="250D6F9D">
            <w:pPr>
              <w:tabs>
                <w:tab w:val="left" w:pos="3060"/>
              </w:tabs>
              <w:spacing w:after="0" w:line="320" w:lineRule="exact"/>
              <w:ind w:firstLine="220" w:firstLineChars="100"/>
              <w:rPr>
                <w:rFonts w:ascii="宋体" w:hAnsi="宋体" w:eastAsia="宋体" w:cs="宋体"/>
                <w:kern w:val="0"/>
                <w:szCs w:val="21"/>
                <w14:ligatures w14:val="none"/>
              </w:rPr>
            </w:pPr>
            <w:r>
              <w:rPr>
                <w:rFonts w:ascii="宋体" w:hAnsi="宋体" w:eastAsia="宋体" w:cs="宋体"/>
                <w:kern w:val="0"/>
                <w:szCs w:val="21"/>
                <w14:ligatures w14:val="none"/>
              </w:rPr>
              <w:t>评标价得分计算公式：</w:t>
            </w:r>
          </w:p>
          <w:p w14:paraId="0F7FB261">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评标价得分计算公式示例（评标价得分保留小数点后两位小数，第三位四舍五入）：</w:t>
            </w:r>
          </w:p>
          <w:p w14:paraId="30EAECA2">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(1)如果投标人的评标价＞评标基准价，则评标价得分=30-偏差率×100×E1；</w:t>
            </w:r>
          </w:p>
          <w:p w14:paraId="3F84E1F0">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(2)如果投标人的评标价≤评标基准价，则评标价得分=30+偏差率×100×E2；</w:t>
            </w:r>
          </w:p>
          <w:p w14:paraId="67DC7AEB">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其中：</w:t>
            </w:r>
          </w:p>
          <w:p w14:paraId="10647532">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E1是评标价每高于评标基准价一个百分点的扣分值，E1=0.2；</w:t>
            </w:r>
          </w:p>
          <w:p w14:paraId="78F0C13F">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E2是评标价每低于评标基准价一个百分点的扣分值，E2=0.1。</w:t>
            </w:r>
          </w:p>
          <w:p w14:paraId="47329608">
            <w:pPr>
              <w:spacing w:after="0" w:line="240" w:lineRule="auto"/>
              <w:ind w:firstLine="420" w:firstLineChars="200"/>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评标价得分最低得0分。</w:t>
            </w:r>
          </w:p>
        </w:tc>
      </w:tr>
      <w:tr w14:paraId="6D3F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0" w:type="dxa"/>
            <w:vAlign w:val="center"/>
          </w:tcPr>
          <w:p w14:paraId="2EC0D037">
            <w:pPr>
              <w:spacing w:before="155" w:after="0" w:line="240" w:lineRule="auto"/>
              <w:ind w:left="234"/>
              <w:rPr>
                <w:rFonts w:ascii="宋体" w:hAnsi="宋体" w:eastAsia="宋体" w:cs="Times New Roman"/>
                <w:kern w:val="0"/>
                <w:sz w:val="21"/>
                <w:szCs w:val="21"/>
                <w:lang w:eastAsia="en-US"/>
                <w14:ligatures w14:val="none"/>
              </w:rPr>
            </w:pPr>
            <w:r>
              <w:rPr>
                <w:rFonts w:ascii="宋体" w:hAnsi="宋体" w:eastAsia="宋体" w:cs="Times New Roman"/>
                <w:kern w:val="0"/>
                <w:sz w:val="21"/>
                <w:szCs w:val="21"/>
                <w:lang w:eastAsia="en-US"/>
                <w14:ligatures w14:val="none"/>
              </w:rPr>
              <w:t>2.2.4</w:t>
            </w:r>
          </w:p>
          <w:p w14:paraId="3600996F">
            <w:pPr>
              <w:spacing w:before="151" w:after="0" w:line="240" w:lineRule="auto"/>
              <w:ind w:left="181"/>
              <w:rPr>
                <w:rFonts w:ascii="宋体" w:hAnsi="宋体" w:eastAsia="宋体" w:cs="宋体"/>
                <w:kern w:val="0"/>
                <w:sz w:val="21"/>
                <w:szCs w:val="21"/>
                <w:lang w:eastAsia="en-US"/>
                <w14:ligatures w14:val="none"/>
              </w:rPr>
            </w:pPr>
            <w:r>
              <w:rPr>
                <w:rFonts w:ascii="宋体" w:hAnsi="宋体" w:eastAsia="宋体" w:cs="宋体"/>
                <w:spacing w:val="-1"/>
                <w:kern w:val="0"/>
                <w:sz w:val="21"/>
                <w:szCs w:val="21"/>
                <w:lang w:eastAsia="en-US"/>
                <w14:ligatures w14:val="none"/>
              </w:rPr>
              <w:t>（</w:t>
            </w:r>
            <w:r>
              <w:rPr>
                <w:rFonts w:ascii="宋体" w:hAnsi="宋体" w:eastAsia="宋体" w:cs="Times New Roman"/>
                <w:spacing w:val="-1"/>
                <w:kern w:val="0"/>
                <w:sz w:val="21"/>
                <w:szCs w:val="21"/>
                <w:lang w:eastAsia="en-US"/>
                <w14:ligatures w14:val="none"/>
              </w:rPr>
              <w:t>4</w:t>
            </w:r>
            <w:r>
              <w:rPr>
                <w:rFonts w:ascii="宋体" w:hAnsi="宋体" w:eastAsia="宋体" w:cs="宋体"/>
                <w:spacing w:val="-1"/>
                <w:kern w:val="0"/>
                <w:sz w:val="21"/>
                <w:szCs w:val="21"/>
                <w:lang w:eastAsia="en-US"/>
                <w14:ligatures w14:val="none"/>
              </w:rPr>
              <w:t>）</w:t>
            </w:r>
          </w:p>
        </w:tc>
        <w:tc>
          <w:tcPr>
            <w:tcW w:w="1123" w:type="dxa"/>
            <w:vAlign w:val="center"/>
          </w:tcPr>
          <w:p w14:paraId="500B0DCA">
            <w:pPr>
              <w:spacing w:before="3" w:after="0" w:line="240" w:lineRule="auto"/>
              <w:ind w:left="135"/>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14:ligatures w14:val="none"/>
              </w:rPr>
              <w:t>其他因素</w:t>
            </w:r>
          </w:p>
          <w:p w14:paraId="531CEFC0">
            <w:pPr>
              <w:spacing w:before="3" w:after="0" w:line="240" w:lineRule="auto"/>
              <w:ind w:left="135"/>
              <w:jc w:val="center"/>
              <w:rPr>
                <w:rFonts w:ascii="宋体" w:hAnsi="宋体" w:eastAsia="宋体" w:cs="宋体"/>
                <w:kern w:val="0"/>
                <w:sz w:val="21"/>
                <w:szCs w:val="21"/>
                <w:lang w:eastAsia="en-US"/>
                <w14:ligatures w14:val="none"/>
              </w:rPr>
            </w:pPr>
            <w:r>
              <w:rPr>
                <w:rFonts w:ascii="宋体" w:hAnsi="宋体" w:eastAsia="宋体" w:cs="宋体"/>
                <w:spacing w:val="-1"/>
                <w:kern w:val="0"/>
                <w:sz w:val="21"/>
                <w:szCs w:val="21"/>
                <w14:ligatures w14:val="none"/>
              </w:rPr>
              <w:t>评分标准</w:t>
            </w:r>
          </w:p>
        </w:tc>
        <w:tc>
          <w:tcPr>
            <w:tcW w:w="1500" w:type="dxa"/>
            <w:vAlign w:val="center"/>
          </w:tcPr>
          <w:p w14:paraId="18266BC6">
            <w:pPr>
              <w:spacing w:after="0" w:line="240" w:lineRule="auto"/>
              <w:jc w:val="center"/>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w:t>
            </w:r>
          </w:p>
        </w:tc>
        <w:tc>
          <w:tcPr>
            <w:tcW w:w="6010" w:type="dxa"/>
            <w:vAlign w:val="center"/>
          </w:tcPr>
          <w:p w14:paraId="1501484D">
            <w:pPr>
              <w:spacing w:after="0" w:line="240" w:lineRule="auto"/>
              <w:jc w:val="both"/>
              <w:rPr>
                <w:rFonts w:ascii="宋体" w:hAnsi="宋体" w:eastAsia="宋体" w:cs="宋体"/>
                <w:kern w:val="0"/>
                <w:sz w:val="21"/>
                <w:szCs w:val="21"/>
                <w14:ligatures w14:val="none"/>
              </w:rPr>
            </w:pPr>
            <w:r>
              <w:rPr>
                <w:rFonts w:ascii="宋体" w:hAnsi="宋体" w:eastAsia="宋体" w:cs="宋体"/>
                <w:kern w:val="0"/>
                <w:sz w:val="21"/>
                <w:szCs w:val="21"/>
                <w14:ligatures w14:val="none"/>
              </w:rPr>
              <w:t>/</w:t>
            </w:r>
          </w:p>
        </w:tc>
      </w:tr>
      <w:tr w14:paraId="4F08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533" w:type="dxa"/>
            <w:gridSpan w:val="4"/>
            <w:vAlign w:val="center"/>
          </w:tcPr>
          <w:p w14:paraId="32C7EE19">
            <w:pPr>
              <w:spacing w:after="0" w:line="24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注：</w:t>
            </w:r>
          </w:p>
          <w:p w14:paraId="3B060E79">
            <w:pPr>
              <w:spacing w:after="0" w:line="240" w:lineRule="auto"/>
              <w:rPr>
                <w:rFonts w:ascii="宋体" w:hAnsi="宋体" w:eastAsia="宋体" w:cs="Times New Roman"/>
                <w:kern w:val="0"/>
                <w:szCs w:val="21"/>
                <w14:ligatures w14:val="none"/>
              </w:rPr>
            </w:pPr>
            <w:r>
              <w:rPr>
                <w:rFonts w:ascii="宋体" w:hAnsi="宋体" w:eastAsia="宋体" w:cs="Times New Roman"/>
                <w:kern w:val="0"/>
                <w:szCs w:val="21"/>
                <w14:ligatures w14:val="none"/>
              </w:rPr>
              <w:t>1、各评分因素得分应以评标委员会各成员的打分平均值确定，评委打分保留一位小数，投标人的得分保留两位小数。</w:t>
            </w:r>
          </w:p>
          <w:p w14:paraId="7266062E">
            <w:pPr>
              <w:spacing w:after="0" w:line="240" w:lineRule="auto"/>
              <w:jc w:val="both"/>
              <w:rPr>
                <w:rFonts w:ascii="宋体" w:hAnsi="宋体" w:eastAsia="宋体" w:cs="宋体"/>
                <w:kern w:val="0"/>
                <w:sz w:val="21"/>
                <w:szCs w:val="21"/>
                <w14:ligatures w14:val="none"/>
              </w:rPr>
            </w:pPr>
            <w:r>
              <w:rPr>
                <w:rFonts w:ascii="宋体" w:hAnsi="宋体" w:eastAsia="宋体" w:cs="Times New Roman"/>
                <w:kern w:val="0"/>
                <w:szCs w:val="21"/>
                <w14:ligatures w14:val="none"/>
              </w:rPr>
              <w:t>2、2.2.4（2）评审项各评分因素缺项得0分。</w:t>
            </w:r>
          </w:p>
        </w:tc>
      </w:tr>
      <w:bookmarkEnd w:id="5"/>
    </w:tbl>
    <w:p w14:paraId="00C31F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E3"/>
    <w:rsid w:val="00185D50"/>
    <w:rsid w:val="0023265A"/>
    <w:rsid w:val="004E0A7E"/>
    <w:rsid w:val="006D71E3"/>
    <w:rsid w:val="6855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4357</Words>
  <Characters>4939</Characters>
  <Lines>37</Lines>
  <Paragraphs>10</Paragraphs>
  <TotalTime>1</TotalTime>
  <ScaleCrop>false</ScaleCrop>
  <LinksUpToDate>false</LinksUpToDate>
  <CharactersWithSpaces>4984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2026-05-28T08:41:00Z</dcterms:created>
  <dc:creator>admin</dc:creator>
  <cp:lastModifiedBy>郭爽</cp:lastModifiedBy>
  <dcterms:modified xsi:type="dcterms:W3CDTF">2026-05-28T08:48:22Z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eyJoZGlkIjoiYTU4NWY0Y2Q4MDg2Yzc0YWRjM2M5MmRmYWVhNGJjM2UiLCJ1c2VySWQiOiIxNjkyNDc3NjMxIn0=</vt:lpwstr>
  </property>
  <property fmtid="{D5CDD505-2E9C-101B-9397-08002B2CF9AE}" pid="3" name="KSOProductBuildVer">
    <vt:lpwstr>2052-12.1.0.25865</vt:lpwstr>
  </property>
  <property fmtid="{D5CDD505-2E9C-101B-9397-08002B2CF9AE}" pid="4" name="ICV">
    <vt:lpwstr>A0259D45FAE641EDB026EC8651FAF5D2_12</vt:lpwstr>
  </property>
</Properties>
</file>