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B0E5">
      <w:pPr>
        <w:pStyle w:val="2"/>
        <w:spacing w:before="0" w:after="0" w:line="360" w:lineRule="auto"/>
        <w:rPr>
          <w:rFonts w:ascii="宋体" w:hAnsi="宋体"/>
          <w:b w:val="0"/>
          <w:color w:val="000000" w:themeColor="text1"/>
          <w:sz w:val="24"/>
          <w:highlight w:val="none"/>
          <w14:textFill>
            <w14:solidFill>
              <w14:schemeClr w14:val="tx1"/>
            </w14:solidFill>
          </w14:textFill>
        </w:rPr>
      </w:pPr>
      <w:bookmarkStart w:id="0" w:name="_Toc164101095"/>
      <w:bookmarkStart w:id="1" w:name="_Toc144838350"/>
      <w:bookmarkStart w:id="2" w:name="_Toc13232"/>
      <w:bookmarkStart w:id="3" w:name="_Toc2316"/>
      <w:bookmarkStart w:id="4" w:name="_Toc144837284"/>
      <w:bookmarkStart w:id="5" w:name="_Toc247"/>
      <w:bookmarkStart w:id="6" w:name="_Toc134792338"/>
      <w:bookmarkStart w:id="7" w:name="OLE_LINK1"/>
      <w:bookmarkStart w:id="28" w:name="_GoBack"/>
      <w:bookmarkEnd w:id="28"/>
      <w:r>
        <w:rPr>
          <w:rFonts w:hint="eastAsia" w:ascii="黑体" w:hAnsi="黑体" w:eastAsia="黑体"/>
          <w:color w:val="000000" w:themeColor="text1"/>
          <w:sz w:val="24"/>
          <w:szCs w:val="24"/>
          <w:highlight w:val="none"/>
          <w14:textFill>
            <w14:solidFill>
              <w14:schemeClr w14:val="tx1"/>
            </w14:solidFill>
          </w14:textFill>
        </w:rPr>
        <w:t>附件1：资格审查条件</w:t>
      </w:r>
      <w:bookmarkEnd w:id="0"/>
      <w:bookmarkEnd w:id="1"/>
      <w:bookmarkEnd w:id="2"/>
      <w:bookmarkEnd w:id="3"/>
      <w:bookmarkEnd w:id="4"/>
      <w:bookmarkEnd w:id="5"/>
      <w:bookmarkEnd w:id="6"/>
    </w:p>
    <w:p w14:paraId="4FDBE237">
      <w:pPr>
        <w:adjustRightInd w:val="0"/>
        <w:spacing w:line="40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附录1</w:t>
      </w:r>
      <w:r>
        <w:rPr>
          <w:rFonts w:hint="eastAsia" w:ascii="宋体" w:hAnsi="宋体"/>
          <w:b/>
          <w:color w:val="000000" w:themeColor="text1"/>
          <w:sz w:val="24"/>
          <w:highlight w:val="none"/>
          <w14:textFill>
            <w14:solidFill>
              <w14:schemeClr w14:val="tx1"/>
            </w14:solidFill>
          </w14:textFill>
        </w:rPr>
        <w:t>资格</w:t>
      </w:r>
      <w:r>
        <w:rPr>
          <w:rFonts w:hint="eastAsia" w:ascii="宋体" w:hAnsi="宋体"/>
          <w:b/>
          <w:color w:val="000000" w:themeColor="text1"/>
          <w:sz w:val="24"/>
          <w:szCs w:val="24"/>
          <w:highlight w:val="none"/>
          <w14:textFill>
            <w14:solidFill>
              <w14:schemeClr w14:val="tx1"/>
            </w14:solidFill>
          </w14:textFill>
        </w:rPr>
        <w:t>审查条件（资质最低要求）</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7CC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bottom"/>
          </w:tcPr>
          <w:p w14:paraId="2EAA22EB">
            <w:pPr>
              <w:pStyle w:val="5"/>
              <w:spacing w:before="0" w:beforeAutospacing="0" w:after="0" w:afterAutospacing="0" w:line="360" w:lineRule="auto"/>
              <w:ind w:firstLine="0"/>
              <w:contextualSpacing/>
              <w:jc w:val="center"/>
              <w:rPr>
                <w:rFonts w:cs="宋体"/>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施工企业资质等级要求</w:t>
            </w:r>
          </w:p>
        </w:tc>
      </w:tr>
      <w:tr w14:paraId="43777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9286" w:type="dxa"/>
            <w:vAlign w:val="center"/>
          </w:tcPr>
          <w:p w14:paraId="115685F6">
            <w:pPr>
              <w:widowControl/>
              <w:snapToGrid w:val="0"/>
              <w:spacing w:line="320" w:lineRule="exact"/>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sz w:val="21"/>
                <w:szCs w:val="21"/>
                <w:highlight w:val="none"/>
              </w:rPr>
              <w:t>中华人民共和国境内的法人或其他组织，持有有效的营业执照</w:t>
            </w:r>
            <w:r>
              <w:rPr>
                <w:rFonts w:hint="eastAsia" w:ascii="宋体" w:hAnsi="宋体" w:cs="宋体"/>
                <w:color w:val="000000" w:themeColor="text1"/>
                <w:kern w:val="0"/>
                <w:sz w:val="21"/>
                <w:szCs w:val="21"/>
                <w:highlight w:val="none"/>
                <w14:textFill>
                  <w14:solidFill>
                    <w14:schemeClr w14:val="tx1"/>
                  </w14:solidFill>
                </w14:textFill>
              </w:rPr>
              <w:t>。</w:t>
            </w:r>
          </w:p>
          <w:p w14:paraId="31D7AF19">
            <w:pPr>
              <w:snapToGrid w:val="0"/>
              <w:spacing w:line="320" w:lineRule="exact"/>
              <w:rPr>
                <w:rFonts w:ascii="宋体" w:hAnsi="宋体" w:cs="宋体"/>
                <w:color w:val="000000" w:themeColor="text1"/>
                <w:kern w:val="2"/>
                <w:sz w:val="21"/>
                <w:szCs w:val="24"/>
                <w:highlight w:val="none"/>
                <w14:textFill>
                  <w14:solidFill>
                    <w14:schemeClr w14:val="tx1"/>
                  </w14:solidFill>
                </w14:textFill>
              </w:rPr>
            </w:pPr>
            <w:r>
              <w:rPr>
                <w:rFonts w:hint="eastAsia" w:ascii="宋体" w:hAnsi="宋体" w:cs="宋体"/>
                <w:snapToGrid w:val="0"/>
                <w:kern w:val="0"/>
                <w:sz w:val="21"/>
                <w:szCs w:val="21"/>
                <w:highlight w:val="none"/>
              </w:rPr>
              <w:t>具备住房和城乡建设主管部门颁发的建筑工程施工总承包三级及以上资质；</w:t>
            </w:r>
          </w:p>
          <w:p w14:paraId="2190D56D">
            <w:pPr>
              <w:snapToGrid w:val="0"/>
              <w:spacing w:line="320" w:lineRule="exact"/>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具有住房和城乡建设行政主管部门颁发的有效的安全生产许可证。</w:t>
            </w:r>
          </w:p>
        </w:tc>
      </w:tr>
    </w:tbl>
    <w:p w14:paraId="4BA74437">
      <w:pPr>
        <w:spacing w:beforeLines="50" w:afterLines="50"/>
        <w:jc w:val="center"/>
        <w:rPr>
          <w:rFonts w:ascii="宋体" w:hAnsi="宋体"/>
          <w:b/>
          <w:color w:val="000000" w:themeColor="text1"/>
          <w:kern w:val="2"/>
          <w:sz w:val="24"/>
          <w:szCs w:val="24"/>
          <w:highlight w:val="none"/>
          <w14:textFill>
            <w14:solidFill>
              <w14:schemeClr w14:val="tx1"/>
            </w14:solidFill>
          </w14:textFill>
        </w:rPr>
      </w:pPr>
    </w:p>
    <w:p w14:paraId="40072B3F">
      <w:pPr>
        <w:spacing w:beforeLines="50" w:afterLines="50"/>
        <w:jc w:val="center"/>
        <w:rPr>
          <w:rFonts w:ascii="宋体" w:hAnsi="宋体"/>
          <w:b/>
          <w:color w:val="000000" w:themeColor="text1"/>
          <w:kern w:val="2"/>
          <w:sz w:val="24"/>
          <w:szCs w:val="24"/>
          <w:highlight w:val="none"/>
          <w14:textFill>
            <w14:solidFill>
              <w14:schemeClr w14:val="tx1"/>
            </w14:solidFill>
          </w14:textFill>
        </w:rPr>
      </w:pPr>
    </w:p>
    <w:p w14:paraId="0CDC02BA">
      <w:pPr>
        <w:spacing w:beforeLines="50" w:afterLines="50"/>
        <w:jc w:val="center"/>
        <w:rPr>
          <w:rFonts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附录2 资格审查条件（财务最低要求）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6"/>
      </w:tblGrid>
      <w:tr w14:paraId="5578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vAlign w:val="center"/>
          </w:tcPr>
          <w:p w14:paraId="5FE89A68">
            <w:pPr>
              <w:spacing w:beforeLines="50" w:afterLines="50"/>
              <w:jc w:val="center"/>
              <w:rPr>
                <w:rFonts w:ascii="宋体" w:hAnsi="宋体"/>
                <w:b/>
                <w:bCs/>
                <w:color w:val="000000" w:themeColor="text1"/>
                <w:kern w:val="2"/>
                <w:sz w:val="21"/>
                <w:szCs w:val="21"/>
                <w:highlight w:val="none"/>
                <w14:textFill>
                  <w14:solidFill>
                    <w14:schemeClr w14:val="tx1"/>
                  </w14:solidFill>
                </w14:textFill>
              </w:rPr>
            </w:pPr>
            <w:r>
              <w:rPr>
                <w:rFonts w:hint="eastAsia" w:ascii="宋体" w:hAnsi="宋体"/>
                <w:b/>
                <w:bCs/>
                <w:color w:val="000000" w:themeColor="text1"/>
                <w:kern w:val="2"/>
                <w:sz w:val="21"/>
                <w:szCs w:val="21"/>
                <w:highlight w:val="none"/>
                <w14:textFill>
                  <w14:solidFill>
                    <w14:schemeClr w14:val="tx1"/>
                  </w14:solidFill>
                </w14:textFill>
              </w:rPr>
              <w:t>财务要求</w:t>
            </w:r>
          </w:p>
        </w:tc>
      </w:tr>
      <w:tr w14:paraId="2473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000" w:type="pct"/>
            <w:vAlign w:val="center"/>
          </w:tcPr>
          <w:p w14:paraId="01DC44F8">
            <w:pPr>
              <w:snapToGrid w:val="0"/>
              <w:spacing w:line="320" w:lineRule="exact"/>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投标人承诺为本合同所提供的营运资金(以经会计事务所或审计机构审计的财务报表(2024年度或2025年度)中：营运资金=流动资产-流动负债，以年末数计算)以及为本项目而专门开具的银行信贷证明总和不得少于300万元。</w:t>
            </w:r>
          </w:p>
        </w:tc>
      </w:tr>
    </w:tbl>
    <w:p w14:paraId="22BCF50F">
      <w:pPr>
        <w:spacing w:beforeLines="50" w:afterLines="50"/>
        <w:jc w:val="center"/>
        <w:rPr>
          <w:rFonts w:ascii="宋体" w:hAnsi="宋体"/>
          <w:b/>
          <w:color w:val="000000" w:themeColor="text1"/>
          <w:kern w:val="2"/>
          <w:sz w:val="24"/>
          <w:szCs w:val="24"/>
          <w:highlight w:val="none"/>
          <w14:textFill>
            <w14:solidFill>
              <w14:schemeClr w14:val="tx1"/>
            </w14:solidFill>
          </w14:textFill>
        </w:rPr>
      </w:pPr>
    </w:p>
    <w:p w14:paraId="356FCA98">
      <w:pPr>
        <w:spacing w:beforeLines="50" w:afterLines="50"/>
        <w:jc w:val="center"/>
        <w:rPr>
          <w:rFonts w:ascii="宋体" w:hAnsi="宋体"/>
          <w:b/>
          <w:color w:val="000000" w:themeColor="text1"/>
          <w:kern w:val="2"/>
          <w:sz w:val="24"/>
          <w:szCs w:val="24"/>
          <w:highlight w:val="none"/>
          <w14:textFill>
            <w14:solidFill>
              <w14:schemeClr w14:val="tx1"/>
            </w14:solidFill>
          </w14:textFill>
        </w:rPr>
      </w:pPr>
    </w:p>
    <w:p w14:paraId="6D36AA74">
      <w:pPr>
        <w:spacing w:beforeLines="50" w:afterLines="50"/>
        <w:jc w:val="center"/>
        <w:rPr>
          <w:rFonts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w:t>
      </w:r>
      <w:r>
        <w:rPr>
          <w:rFonts w:ascii="宋体" w:hAnsi="宋体"/>
          <w:b/>
          <w:color w:val="000000" w:themeColor="text1"/>
          <w:kern w:val="2"/>
          <w:sz w:val="24"/>
          <w:szCs w:val="24"/>
          <w:highlight w:val="none"/>
          <w14:textFill>
            <w14:solidFill>
              <w14:schemeClr w14:val="tx1"/>
            </w14:solidFill>
          </w14:textFill>
        </w:rPr>
        <w:t xml:space="preserve">3 </w:t>
      </w:r>
      <w:r>
        <w:rPr>
          <w:rFonts w:hint="eastAsia" w:ascii="宋体" w:hAnsi="宋体"/>
          <w:b/>
          <w:color w:val="000000" w:themeColor="text1"/>
          <w:kern w:val="2"/>
          <w:sz w:val="24"/>
          <w:szCs w:val="24"/>
          <w:highlight w:val="none"/>
          <w14:textFill>
            <w14:solidFill>
              <w14:schemeClr w14:val="tx1"/>
            </w14:solidFill>
          </w14:textFill>
        </w:rPr>
        <w:t>资格审查条件（业绩最低要求）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54D35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14:paraId="4238036C">
            <w:pPr>
              <w:spacing w:beforeLines="50" w:afterLines="50"/>
              <w:jc w:val="center"/>
              <w:rPr>
                <w:rFonts w:ascii="宋体" w:hAnsi="宋体"/>
                <w:b/>
                <w:bCs/>
                <w:color w:val="000000" w:themeColor="text1"/>
                <w:kern w:val="2"/>
                <w:sz w:val="21"/>
                <w:szCs w:val="24"/>
                <w:highlight w:val="none"/>
                <w14:textFill>
                  <w14:solidFill>
                    <w14:schemeClr w14:val="tx1"/>
                  </w14:solidFill>
                </w14:textFill>
              </w:rPr>
            </w:pPr>
            <w:r>
              <w:rPr>
                <w:rFonts w:hint="eastAsia" w:ascii="宋体" w:hAnsi="宋体"/>
                <w:b/>
                <w:bCs/>
                <w:color w:val="000000" w:themeColor="text1"/>
                <w:kern w:val="2"/>
                <w:sz w:val="21"/>
                <w:szCs w:val="24"/>
                <w:highlight w:val="none"/>
                <w14:textFill>
                  <w14:solidFill>
                    <w14:schemeClr w14:val="tx1"/>
                  </w14:solidFill>
                </w14:textFill>
              </w:rPr>
              <w:t>业绩要求</w:t>
            </w:r>
          </w:p>
        </w:tc>
      </w:tr>
      <w:tr w14:paraId="069CA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5000" w:type="pct"/>
            <w:tcBorders>
              <w:top w:val="single" w:color="auto" w:sz="4" w:space="0"/>
              <w:left w:val="single" w:color="auto" w:sz="4" w:space="0"/>
              <w:bottom w:val="single" w:color="auto" w:sz="4" w:space="0"/>
              <w:right w:val="single" w:color="auto" w:sz="4" w:space="0"/>
            </w:tcBorders>
            <w:vAlign w:val="center"/>
          </w:tcPr>
          <w:p w14:paraId="0798F71B">
            <w:pPr>
              <w:snapToGrid w:val="0"/>
              <w:spacing w:line="320" w:lineRule="exact"/>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近5年（2021年</w:t>
            </w:r>
            <w:r>
              <w:rPr>
                <w:rFonts w:hint="eastAsia" w:ascii="宋体" w:hAnsi="宋体"/>
                <w:color w:val="000000" w:themeColor="text1"/>
                <w:kern w:val="2"/>
                <w:sz w:val="21"/>
                <w:szCs w:val="24"/>
                <w:highlight w:val="none"/>
                <w:lang w:eastAsia="zh-CN"/>
                <w14:textFill>
                  <w14:solidFill>
                    <w14:schemeClr w14:val="tx1"/>
                  </w14:solidFill>
                </w14:textFill>
              </w:rPr>
              <w:t>5月</w:t>
            </w:r>
            <w:r>
              <w:rPr>
                <w:rFonts w:hint="eastAsia" w:ascii="宋体" w:hAnsi="宋体"/>
                <w:color w:val="000000" w:themeColor="text1"/>
                <w:kern w:val="2"/>
                <w:sz w:val="21"/>
                <w:szCs w:val="24"/>
                <w:highlight w:val="none"/>
                <w14:textFill>
                  <w14:solidFill>
                    <w14:schemeClr w14:val="tx1"/>
                  </w14:solidFill>
                </w14:textFill>
              </w:rPr>
              <w:t>1日至投标截止时间，以工程交工或竣工时间为准）</w:t>
            </w:r>
            <w:r>
              <w:rPr>
                <w:rFonts w:hint="eastAsia" w:ascii="宋体" w:hAnsi="宋体" w:cs="宋体"/>
                <w:snapToGrid w:val="0"/>
                <w:kern w:val="0"/>
                <w:sz w:val="21"/>
                <w:szCs w:val="21"/>
                <w:highlight w:val="none"/>
              </w:rPr>
              <w:t>至少完成过1项合同额不少于1000万元的房屋建筑工程施工项目业绩</w:t>
            </w:r>
            <w:r>
              <w:rPr>
                <w:rFonts w:hint="eastAsia" w:ascii="宋体" w:hAnsi="宋体"/>
                <w:color w:val="000000" w:themeColor="text1"/>
                <w:kern w:val="0"/>
                <w:sz w:val="21"/>
                <w:szCs w:val="21"/>
                <w:highlight w:val="none"/>
                <w14:textFill>
                  <w14:solidFill>
                    <w14:schemeClr w14:val="tx1"/>
                  </w14:solidFill>
                </w14:textFill>
              </w:rPr>
              <w:t>。</w:t>
            </w:r>
          </w:p>
        </w:tc>
      </w:tr>
    </w:tbl>
    <w:p w14:paraId="24742F1A">
      <w:pPr>
        <w:spacing w:beforeLines="50" w:afterLines="50"/>
        <w:jc w:val="center"/>
        <w:rPr>
          <w:rFonts w:ascii="宋体" w:hAnsi="宋体"/>
          <w:b/>
          <w:color w:val="000000" w:themeColor="text1"/>
          <w:kern w:val="2"/>
          <w:sz w:val="24"/>
          <w:szCs w:val="24"/>
          <w:highlight w:val="none"/>
          <w14:textFill>
            <w14:solidFill>
              <w14:schemeClr w14:val="tx1"/>
            </w14:solidFill>
          </w14:textFill>
        </w:rPr>
      </w:pPr>
    </w:p>
    <w:p w14:paraId="66A6B28E">
      <w:pPr>
        <w:spacing w:beforeLines="50" w:afterLines="50"/>
        <w:jc w:val="center"/>
        <w:rPr>
          <w:rFonts w:ascii="宋体" w:hAnsi="宋体"/>
          <w:b/>
          <w:color w:val="000000" w:themeColor="text1"/>
          <w:kern w:val="2"/>
          <w:sz w:val="24"/>
          <w:szCs w:val="24"/>
          <w:highlight w:val="none"/>
          <w14:textFill>
            <w14:solidFill>
              <w14:schemeClr w14:val="tx1"/>
            </w14:solidFill>
          </w14:textFill>
        </w:rPr>
      </w:pPr>
    </w:p>
    <w:p w14:paraId="600CCAA1">
      <w:pPr>
        <w:spacing w:beforeLines="50" w:afterLines="50"/>
        <w:jc w:val="center"/>
        <w:rPr>
          <w:rFonts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附录4 资格审查条件（信誉最低要求）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7541E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5000" w:type="pct"/>
            <w:tcBorders>
              <w:top w:val="single" w:color="auto" w:sz="4" w:space="0"/>
              <w:left w:val="single" w:color="auto" w:sz="4" w:space="0"/>
              <w:bottom w:val="single" w:color="auto" w:sz="4" w:space="0"/>
              <w:right w:val="single" w:color="auto" w:sz="4" w:space="0"/>
            </w:tcBorders>
            <w:vAlign w:val="center"/>
          </w:tcPr>
          <w:p w14:paraId="72F322BA">
            <w:pPr>
              <w:jc w:val="center"/>
              <w:rPr>
                <w:rFonts w:ascii="宋体" w:hAnsi="宋体"/>
                <w:b/>
                <w:bCs/>
                <w:color w:val="000000" w:themeColor="text1"/>
                <w:kern w:val="2"/>
                <w:sz w:val="21"/>
                <w:szCs w:val="21"/>
                <w:highlight w:val="none"/>
                <w14:textFill>
                  <w14:solidFill>
                    <w14:schemeClr w14:val="tx1"/>
                  </w14:solidFill>
                </w14:textFill>
              </w:rPr>
            </w:pPr>
            <w:r>
              <w:rPr>
                <w:rFonts w:hint="eastAsia" w:ascii="宋体" w:hAnsi="宋体"/>
                <w:b/>
                <w:bCs/>
                <w:color w:val="000000" w:themeColor="text1"/>
                <w:kern w:val="2"/>
                <w:sz w:val="21"/>
                <w:szCs w:val="21"/>
                <w:highlight w:val="none"/>
                <w14:textFill>
                  <w14:solidFill>
                    <w14:schemeClr w14:val="tx1"/>
                  </w14:solidFill>
                </w14:textFill>
              </w:rPr>
              <w:t>信誉要求</w:t>
            </w:r>
          </w:p>
        </w:tc>
      </w:tr>
      <w:tr w14:paraId="6DCC5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5000" w:type="pct"/>
            <w:vMerge w:val="restart"/>
            <w:tcBorders>
              <w:top w:val="single" w:color="auto" w:sz="4" w:space="0"/>
              <w:left w:val="single" w:color="auto" w:sz="4" w:space="0"/>
              <w:right w:val="single" w:color="auto" w:sz="4" w:space="0"/>
            </w:tcBorders>
            <w:vAlign w:val="center"/>
          </w:tcPr>
          <w:p w14:paraId="510639D7">
            <w:pPr>
              <w:snapToGrid w:val="0"/>
              <w:spacing w:line="320" w:lineRule="exact"/>
              <w:ind w:firstLine="42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投标人在近一年（20</w:t>
            </w: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5年</w:t>
            </w:r>
            <w:r>
              <w:rPr>
                <w:rFonts w:hint="eastAsia" w:ascii="宋体" w:hAnsi="宋体"/>
                <w:color w:val="000000" w:themeColor="text1"/>
                <w:sz w:val="21"/>
                <w:szCs w:val="21"/>
                <w:highlight w:val="none"/>
                <w:lang w:eastAsia="zh-CN"/>
                <w14:textFill>
                  <w14:solidFill>
                    <w14:schemeClr w14:val="tx1"/>
                  </w14:solidFill>
                </w14:textFill>
              </w:rPr>
              <w:t>5月</w:t>
            </w:r>
            <w:r>
              <w:rPr>
                <w:rFonts w:ascii="宋体" w:hAnsi="宋体"/>
                <w:color w:val="000000" w:themeColor="text1"/>
                <w:sz w:val="21"/>
                <w:szCs w:val="21"/>
                <w:highlight w:val="none"/>
                <w14:textFill>
                  <w14:solidFill>
                    <w14:schemeClr w14:val="tx1"/>
                  </w14:solidFill>
                </w14:textFill>
              </w:rPr>
              <w:t>1日</w:t>
            </w:r>
            <w:r>
              <w:rPr>
                <w:rFonts w:hint="eastAsia" w:ascii="宋体" w:hAnsi="宋体"/>
                <w:color w:val="000000" w:themeColor="text1"/>
                <w:sz w:val="21"/>
                <w:szCs w:val="21"/>
                <w:highlight w:val="none"/>
                <w14:textFill>
                  <w14:solidFill>
                    <w14:schemeClr w14:val="tx1"/>
                  </w14:solidFill>
                </w14:textFill>
              </w:rPr>
              <w:t>至投标截止时间）不曾在</w:t>
            </w:r>
            <w:r>
              <w:rPr>
                <w:rFonts w:hint="eastAsia" w:ascii="宋体" w:hAnsi="宋体" w:cs="宋体"/>
                <w:snapToGrid w:val="0"/>
                <w:kern w:val="0"/>
                <w:sz w:val="21"/>
                <w:szCs w:val="21"/>
                <w:highlight w:val="none"/>
              </w:rPr>
              <w:t>房屋建筑工程</w:t>
            </w:r>
            <w:r>
              <w:rPr>
                <w:rFonts w:hint="eastAsia" w:ascii="宋体" w:hAnsi="宋体"/>
                <w:color w:val="000000" w:themeColor="text1"/>
                <w:sz w:val="21"/>
                <w:szCs w:val="21"/>
                <w:highlight w:val="none"/>
                <w14:textFill>
                  <w14:solidFill>
                    <w14:schemeClr w14:val="tx1"/>
                  </w14:solidFill>
                </w14:textFill>
              </w:rPr>
              <w:t>施工项目中违约而被逐或因投标人自身的原因而使</w:t>
            </w:r>
            <w:r>
              <w:rPr>
                <w:rFonts w:hint="eastAsia" w:ascii="宋体" w:hAnsi="宋体" w:cs="宋体"/>
                <w:snapToGrid w:val="0"/>
                <w:kern w:val="0"/>
                <w:sz w:val="21"/>
                <w:szCs w:val="21"/>
                <w:highlight w:val="none"/>
              </w:rPr>
              <w:t>房屋建筑工程</w:t>
            </w:r>
            <w:r>
              <w:rPr>
                <w:rFonts w:hint="eastAsia" w:ascii="宋体" w:hAnsi="宋体"/>
                <w:color w:val="000000" w:themeColor="text1"/>
                <w:sz w:val="21"/>
                <w:szCs w:val="21"/>
                <w:highlight w:val="none"/>
                <w14:textFill>
                  <w14:solidFill>
                    <w14:schemeClr w14:val="tx1"/>
                  </w14:solidFill>
                </w14:textFill>
              </w:rPr>
              <w:t>施工项目合同被解除。</w:t>
            </w:r>
          </w:p>
        </w:tc>
      </w:tr>
      <w:tr w14:paraId="68011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vMerge w:val="continue"/>
            <w:tcBorders>
              <w:left w:val="single" w:color="auto" w:sz="4" w:space="0"/>
              <w:bottom w:val="single" w:color="auto" w:sz="4" w:space="0"/>
              <w:right w:val="single" w:color="auto" w:sz="4" w:space="0"/>
            </w:tcBorders>
            <w:vAlign w:val="center"/>
          </w:tcPr>
          <w:p w14:paraId="7765CBF3">
            <w:pPr>
              <w:spacing w:line="240" w:lineRule="exact"/>
              <w:rPr>
                <w:rFonts w:ascii="宋体" w:hAnsi="宋体"/>
                <w:color w:val="000000" w:themeColor="text1"/>
                <w:kern w:val="2"/>
                <w:sz w:val="21"/>
                <w:szCs w:val="21"/>
                <w:highlight w:val="none"/>
                <w14:textFill>
                  <w14:solidFill>
                    <w14:schemeClr w14:val="tx1"/>
                  </w14:solidFill>
                </w14:textFill>
              </w:rPr>
            </w:pPr>
          </w:p>
        </w:tc>
      </w:tr>
    </w:tbl>
    <w:p w14:paraId="7D6730D6">
      <w:pPr>
        <w:spacing w:beforeLines="50" w:afterLines="50"/>
        <w:jc w:val="center"/>
        <w:rPr>
          <w:rFonts w:ascii="宋体" w:hAnsi="宋体"/>
          <w:b/>
          <w:color w:val="000000" w:themeColor="text1"/>
          <w:kern w:val="2"/>
          <w:sz w:val="24"/>
          <w:szCs w:val="24"/>
          <w:highlight w:val="none"/>
          <w14:textFill>
            <w14:solidFill>
              <w14:schemeClr w14:val="tx1"/>
            </w14:solidFill>
          </w14:textFill>
        </w:rPr>
      </w:pPr>
    </w:p>
    <w:p w14:paraId="466BCB7B">
      <w:pPr>
        <w:spacing w:beforeLines="50" w:afterLines="50"/>
        <w:jc w:val="center"/>
        <w:rPr>
          <w:rFonts w:ascii="宋体" w:hAnsi="宋体"/>
          <w:b/>
          <w:color w:val="000000" w:themeColor="text1"/>
          <w:kern w:val="2"/>
          <w:sz w:val="24"/>
          <w:szCs w:val="24"/>
          <w:highlight w:val="none"/>
          <w14:textFill>
            <w14:solidFill>
              <w14:schemeClr w14:val="tx1"/>
            </w14:solidFill>
          </w14:textFill>
        </w:rPr>
      </w:pPr>
      <w:r>
        <w:rPr>
          <w:rFonts w:ascii="宋体" w:hAnsi="宋体"/>
          <w:b/>
          <w:color w:val="000000" w:themeColor="text1"/>
          <w:kern w:val="2"/>
          <w:sz w:val="24"/>
          <w:szCs w:val="24"/>
          <w:highlight w:val="none"/>
          <w14:textFill>
            <w14:solidFill>
              <w14:schemeClr w14:val="tx1"/>
            </w14:solidFill>
          </w14:textFill>
        </w:rPr>
        <w:br w:type="page"/>
      </w:r>
    </w:p>
    <w:p w14:paraId="5D795C73">
      <w:pPr>
        <w:spacing w:beforeLines="50" w:afterLines="50"/>
        <w:jc w:val="center"/>
        <w:rPr>
          <w:rFonts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附录5 资格审查条件（项目经理和项目总工最低要求）</w:t>
      </w:r>
    </w:p>
    <w:p w14:paraId="7C8B5C6C">
      <w:pPr>
        <w:spacing w:beforeLines="50" w:afterLines="50"/>
        <w:jc w:val="center"/>
        <w:rPr>
          <w:rFonts w:ascii="宋体" w:hAnsi="宋体"/>
          <w:b/>
          <w:color w:val="000000" w:themeColor="text1"/>
          <w:kern w:val="2"/>
          <w:szCs w:val="24"/>
          <w:highlight w:val="none"/>
          <w14:textFill>
            <w14:solidFill>
              <w14:schemeClr w14:val="tx1"/>
            </w14:solidFill>
          </w14:textFill>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818"/>
        <w:gridCol w:w="5953"/>
        <w:gridCol w:w="1310"/>
      </w:tblGrid>
      <w:tr w14:paraId="114B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06" w:type="pct"/>
            <w:vAlign w:val="center"/>
          </w:tcPr>
          <w:p w14:paraId="51A562F1">
            <w:pPr>
              <w:jc w:val="center"/>
              <w:rPr>
                <w:rFonts w:ascii="宋体" w:hAnsi="宋体"/>
                <w:color w:val="000000" w:themeColor="text1"/>
                <w:kern w:val="2"/>
                <w:sz w:val="21"/>
                <w:szCs w:val="21"/>
                <w:highlight w:val="none"/>
                <w14:textFill>
                  <w14:solidFill>
                    <w14:schemeClr w14:val="tx1"/>
                  </w14:solidFill>
                </w14:textFill>
              </w:rPr>
            </w:pPr>
            <w:bookmarkStart w:id="8" w:name="_Hlk51596344"/>
            <w:r>
              <w:rPr>
                <w:rFonts w:hint="eastAsia" w:ascii="宋体" w:hAnsi="宋体"/>
                <w:color w:val="000000" w:themeColor="text1"/>
                <w:kern w:val="2"/>
                <w:sz w:val="21"/>
                <w:szCs w:val="21"/>
                <w:highlight w:val="none"/>
                <w14:textFill>
                  <w14:solidFill>
                    <w14:schemeClr w14:val="tx1"/>
                  </w14:solidFill>
                </w14:textFill>
              </w:rPr>
              <w:t>人员</w:t>
            </w:r>
          </w:p>
        </w:tc>
        <w:tc>
          <w:tcPr>
            <w:tcW w:w="445" w:type="pct"/>
            <w:vAlign w:val="center"/>
          </w:tcPr>
          <w:p w14:paraId="72353E2A">
            <w:pPr>
              <w:jc w:val="center"/>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数量</w:t>
            </w:r>
          </w:p>
        </w:tc>
        <w:tc>
          <w:tcPr>
            <w:tcW w:w="3237" w:type="pct"/>
            <w:vAlign w:val="center"/>
          </w:tcPr>
          <w:p w14:paraId="23ACB39B">
            <w:pPr>
              <w:jc w:val="center"/>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资格要求</w:t>
            </w:r>
          </w:p>
        </w:tc>
        <w:tc>
          <w:tcPr>
            <w:tcW w:w="713" w:type="pct"/>
            <w:vAlign w:val="center"/>
          </w:tcPr>
          <w:p w14:paraId="6A345237">
            <w:pPr>
              <w:jc w:val="center"/>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在岗要求</w:t>
            </w:r>
          </w:p>
        </w:tc>
      </w:tr>
      <w:tr w14:paraId="7B14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606" w:type="pct"/>
            <w:vAlign w:val="center"/>
          </w:tcPr>
          <w:p w14:paraId="1BFD2029">
            <w:pPr>
              <w:jc w:val="center"/>
              <w:rPr>
                <w:rFonts w:ascii="宋体" w:hAnsi="宋体"/>
                <w:color w:val="000000" w:themeColor="text1"/>
                <w:kern w:val="2"/>
                <w:sz w:val="21"/>
                <w:szCs w:val="21"/>
                <w:highlight w:val="none"/>
                <w14:textFill>
                  <w14:solidFill>
                    <w14:schemeClr w14:val="tx1"/>
                  </w14:solidFill>
                </w14:textFill>
              </w:rPr>
            </w:pPr>
            <w:bookmarkStart w:id="9" w:name="_Hlk51596314"/>
            <w:r>
              <w:rPr>
                <w:rFonts w:hint="eastAsia" w:ascii="宋体" w:hAnsi="宋体"/>
                <w:color w:val="000000" w:themeColor="text1"/>
                <w:kern w:val="2"/>
                <w:sz w:val="21"/>
                <w:szCs w:val="21"/>
                <w:highlight w:val="none"/>
                <w14:textFill>
                  <w14:solidFill>
                    <w14:schemeClr w14:val="tx1"/>
                  </w14:solidFill>
                </w14:textFill>
              </w:rPr>
              <w:t>项目经理</w:t>
            </w:r>
            <w:bookmarkEnd w:id="9"/>
          </w:p>
        </w:tc>
        <w:tc>
          <w:tcPr>
            <w:tcW w:w="445" w:type="pct"/>
            <w:vAlign w:val="center"/>
          </w:tcPr>
          <w:p w14:paraId="2FB9DD46">
            <w:pPr>
              <w:jc w:val="center"/>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w:t>
            </w:r>
          </w:p>
        </w:tc>
        <w:tc>
          <w:tcPr>
            <w:tcW w:w="3237" w:type="pct"/>
            <w:vAlign w:val="center"/>
          </w:tcPr>
          <w:p w14:paraId="43390C74">
            <w:pPr>
              <w:snapToGrid w:val="0"/>
              <w:spacing w:line="320" w:lineRule="exact"/>
              <w:ind w:firstLine="420" w:firstLineChars="200"/>
              <w:rPr>
                <w:rFonts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工程师；</w:t>
            </w:r>
          </w:p>
          <w:p w14:paraId="73C1BC8E">
            <w:pPr>
              <w:snapToGrid w:val="0"/>
              <w:spacing w:line="320" w:lineRule="exact"/>
              <w:ind w:firstLine="420" w:firstLineChars="200"/>
              <w:rPr>
                <w:rFonts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具有“</w:t>
            </w:r>
            <w:r>
              <w:rPr>
                <w:rFonts w:hint="eastAsia" w:ascii="宋体" w:hAnsi="宋体" w:cs="宋体"/>
                <w:snapToGrid w:val="0"/>
                <w:kern w:val="0"/>
                <w:sz w:val="21"/>
                <w:szCs w:val="21"/>
                <w:highlight w:val="none"/>
              </w:rPr>
              <w:t>建筑工程</w:t>
            </w:r>
            <w:r>
              <w:rPr>
                <w:rFonts w:hint="eastAsia" w:ascii="宋体" w:hAnsi="宋体"/>
                <w:color w:val="000000" w:themeColor="text1"/>
                <w:kern w:val="2"/>
                <w:sz w:val="21"/>
                <w:szCs w:val="24"/>
                <w:highlight w:val="none"/>
                <w14:textFill>
                  <w14:solidFill>
                    <w14:schemeClr w14:val="tx1"/>
                  </w14:solidFill>
                </w14:textFill>
              </w:rPr>
              <w:t>”专业的“二级及以上建造师注册证书”，建造师注册证书的注册单位须与投标人单位名称一致；</w:t>
            </w:r>
          </w:p>
          <w:p w14:paraId="25BF2032">
            <w:pPr>
              <w:snapToGrid w:val="0"/>
              <w:spacing w:line="320" w:lineRule="exact"/>
              <w:ind w:firstLine="420" w:firstLineChars="200"/>
              <w:rPr>
                <w:rFonts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具有住房和城乡建设行政主管部门的有效的《安全生产考核合格证书》（B类），安全生产考核合格证书的登记单位须与投标人单位名称一致；</w:t>
            </w:r>
          </w:p>
          <w:p w14:paraId="30746C22">
            <w:pPr>
              <w:widowControl/>
              <w:snapToGrid w:val="0"/>
              <w:spacing w:line="320" w:lineRule="exact"/>
              <w:ind w:firstLine="420" w:firstLineChars="200"/>
              <w:rPr>
                <w:rFonts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近5年（2021年</w:t>
            </w:r>
            <w:r>
              <w:rPr>
                <w:rFonts w:hint="eastAsia" w:ascii="宋体" w:hAnsi="宋体"/>
                <w:color w:val="000000" w:themeColor="text1"/>
                <w:kern w:val="2"/>
                <w:sz w:val="21"/>
                <w:szCs w:val="24"/>
                <w:highlight w:val="none"/>
                <w:lang w:eastAsia="zh-CN"/>
                <w14:textFill>
                  <w14:solidFill>
                    <w14:schemeClr w14:val="tx1"/>
                  </w14:solidFill>
                </w14:textFill>
              </w:rPr>
              <w:t>5月</w:t>
            </w:r>
            <w:r>
              <w:rPr>
                <w:rFonts w:hint="eastAsia" w:ascii="宋体" w:hAnsi="宋体"/>
                <w:color w:val="000000" w:themeColor="text1"/>
                <w:kern w:val="2"/>
                <w:sz w:val="21"/>
                <w:szCs w:val="24"/>
                <w:highlight w:val="none"/>
                <w14:textFill>
                  <w14:solidFill>
                    <w14:schemeClr w14:val="tx1"/>
                  </w14:solidFill>
                </w14:textFill>
              </w:rPr>
              <w:t>1日至投标截止时间，以工程交工或竣工时间为准）至少担任过1项</w:t>
            </w:r>
            <w:r>
              <w:rPr>
                <w:rFonts w:hint="eastAsia" w:ascii="宋体" w:hAnsi="宋体"/>
                <w:color w:val="000000" w:themeColor="text1"/>
                <w:kern w:val="0"/>
                <w:sz w:val="21"/>
                <w:szCs w:val="21"/>
                <w:highlight w:val="none"/>
                <w14:textFill>
                  <w14:solidFill>
                    <w14:schemeClr w14:val="tx1"/>
                  </w14:solidFill>
                </w14:textFill>
              </w:rPr>
              <w:t>合同金额不少于1000万元的</w:t>
            </w:r>
            <w:r>
              <w:rPr>
                <w:rFonts w:hint="eastAsia" w:ascii="宋体" w:hAnsi="宋体" w:cs="宋体"/>
                <w:snapToGrid w:val="0"/>
                <w:kern w:val="0"/>
                <w:sz w:val="21"/>
                <w:szCs w:val="21"/>
                <w:highlight w:val="none"/>
              </w:rPr>
              <w:t>房屋建筑工程</w:t>
            </w:r>
            <w:r>
              <w:rPr>
                <w:rFonts w:hint="eastAsia" w:ascii="宋体" w:hAnsi="宋体"/>
                <w:color w:val="000000" w:themeColor="text1"/>
                <w:kern w:val="0"/>
                <w:sz w:val="21"/>
                <w:szCs w:val="21"/>
                <w:highlight w:val="none"/>
                <w14:textFill>
                  <w14:solidFill>
                    <w14:schemeClr w14:val="tx1"/>
                  </w14:solidFill>
                </w14:textFill>
              </w:rPr>
              <w:t>施工</w:t>
            </w:r>
            <w:r>
              <w:rPr>
                <w:rFonts w:hint="eastAsia" w:ascii="宋体" w:hAnsi="宋体"/>
                <w:color w:val="000000" w:themeColor="text1"/>
                <w:kern w:val="2"/>
                <w:sz w:val="21"/>
                <w:szCs w:val="24"/>
                <w:highlight w:val="none"/>
                <w14:textFill>
                  <w14:solidFill>
                    <w14:schemeClr w14:val="tx1"/>
                  </w14:solidFill>
                </w14:textFill>
              </w:rPr>
              <w:t>项目的项目经理（或项目总工）。</w:t>
            </w:r>
          </w:p>
        </w:tc>
        <w:tc>
          <w:tcPr>
            <w:tcW w:w="713" w:type="pct"/>
            <w:vMerge w:val="restart"/>
            <w:vAlign w:val="center"/>
          </w:tcPr>
          <w:p w14:paraId="03C7A77B">
            <w:pPr>
              <w:adjustRightInd w:val="0"/>
              <w:snapToGrid w:val="0"/>
              <w:rPr>
                <w:rFonts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未在其他项目上任职，或虽在其他项目上任职但本项目中标后能够从项目撤离</w:t>
            </w:r>
          </w:p>
        </w:tc>
      </w:tr>
      <w:tr w14:paraId="61DB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606" w:type="pct"/>
            <w:vAlign w:val="center"/>
          </w:tcPr>
          <w:p w14:paraId="46F10028">
            <w:pPr>
              <w:jc w:val="center"/>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项目总工</w:t>
            </w:r>
          </w:p>
        </w:tc>
        <w:tc>
          <w:tcPr>
            <w:tcW w:w="445" w:type="pct"/>
            <w:vAlign w:val="center"/>
          </w:tcPr>
          <w:p w14:paraId="1F80DCB3">
            <w:pPr>
              <w:jc w:val="center"/>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w:t>
            </w:r>
          </w:p>
        </w:tc>
        <w:tc>
          <w:tcPr>
            <w:tcW w:w="3237" w:type="pct"/>
            <w:vAlign w:val="center"/>
          </w:tcPr>
          <w:p w14:paraId="150C5DD3">
            <w:pPr>
              <w:widowControl/>
              <w:snapToGrid w:val="0"/>
              <w:spacing w:line="320" w:lineRule="exact"/>
              <w:ind w:firstLine="420" w:firstLineChars="200"/>
              <w:jc w:val="left"/>
              <w:rPr>
                <w:rFonts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高级工程师；</w:t>
            </w:r>
          </w:p>
          <w:p w14:paraId="05C9DEA8">
            <w:pPr>
              <w:widowControl/>
              <w:snapToGrid w:val="0"/>
              <w:spacing w:line="320" w:lineRule="exact"/>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近5年（2021年</w:t>
            </w:r>
            <w:r>
              <w:rPr>
                <w:rFonts w:hint="eastAsia" w:ascii="宋体" w:hAnsi="宋体"/>
                <w:color w:val="000000" w:themeColor="text1"/>
                <w:kern w:val="2"/>
                <w:sz w:val="21"/>
                <w:szCs w:val="24"/>
                <w:highlight w:val="none"/>
                <w:lang w:eastAsia="zh-CN"/>
                <w14:textFill>
                  <w14:solidFill>
                    <w14:schemeClr w14:val="tx1"/>
                  </w14:solidFill>
                </w14:textFill>
              </w:rPr>
              <w:t>5月</w:t>
            </w:r>
            <w:r>
              <w:rPr>
                <w:rFonts w:hint="eastAsia" w:ascii="宋体" w:hAnsi="宋体"/>
                <w:color w:val="000000" w:themeColor="text1"/>
                <w:kern w:val="2"/>
                <w:sz w:val="21"/>
                <w:szCs w:val="24"/>
                <w:highlight w:val="none"/>
                <w14:textFill>
                  <w14:solidFill>
                    <w14:schemeClr w14:val="tx1"/>
                  </w14:solidFill>
                </w14:textFill>
              </w:rPr>
              <w:t>1日至投标截止时间，以工程交工或竣工时间为准）至少担任过1项</w:t>
            </w:r>
            <w:r>
              <w:rPr>
                <w:rFonts w:hint="eastAsia" w:ascii="宋体" w:hAnsi="宋体"/>
                <w:color w:val="000000" w:themeColor="text1"/>
                <w:kern w:val="0"/>
                <w:sz w:val="21"/>
                <w:szCs w:val="21"/>
                <w:highlight w:val="none"/>
                <w14:textFill>
                  <w14:solidFill>
                    <w14:schemeClr w14:val="tx1"/>
                  </w14:solidFill>
                </w14:textFill>
              </w:rPr>
              <w:t>合同金额不少于1000万元的</w:t>
            </w:r>
            <w:r>
              <w:rPr>
                <w:rFonts w:hint="eastAsia" w:ascii="宋体" w:hAnsi="宋体" w:cs="宋体"/>
                <w:snapToGrid w:val="0"/>
                <w:kern w:val="0"/>
                <w:sz w:val="21"/>
                <w:szCs w:val="21"/>
                <w:highlight w:val="none"/>
              </w:rPr>
              <w:t>房屋建筑工程</w:t>
            </w:r>
            <w:r>
              <w:rPr>
                <w:rFonts w:hint="eastAsia" w:ascii="宋体" w:hAnsi="宋体"/>
                <w:color w:val="000000" w:themeColor="text1"/>
                <w:kern w:val="0"/>
                <w:sz w:val="21"/>
                <w:szCs w:val="21"/>
                <w:highlight w:val="none"/>
                <w14:textFill>
                  <w14:solidFill>
                    <w14:schemeClr w14:val="tx1"/>
                  </w14:solidFill>
                </w14:textFill>
              </w:rPr>
              <w:t>施工</w:t>
            </w:r>
            <w:r>
              <w:rPr>
                <w:rFonts w:hint="eastAsia" w:ascii="宋体" w:hAnsi="宋体"/>
                <w:color w:val="000000" w:themeColor="text1"/>
                <w:kern w:val="2"/>
                <w:sz w:val="21"/>
                <w:szCs w:val="24"/>
                <w:highlight w:val="none"/>
                <w14:textFill>
                  <w14:solidFill>
                    <w14:schemeClr w14:val="tx1"/>
                  </w14:solidFill>
                </w14:textFill>
              </w:rPr>
              <w:t>项目的项目总工（或</w:t>
            </w:r>
            <w:r>
              <w:rPr>
                <w:rFonts w:hint="eastAsia" w:ascii="宋体" w:hAnsi="宋体"/>
                <w:kern w:val="2"/>
                <w:sz w:val="21"/>
                <w:szCs w:val="24"/>
                <w:highlight w:val="none"/>
                <w:shd w:val="clear" w:color="auto" w:fill="FFFFFF"/>
              </w:rPr>
              <w:t>技术负责人</w:t>
            </w:r>
            <w:r>
              <w:rPr>
                <w:rFonts w:hint="eastAsia" w:ascii="宋体" w:hAnsi="宋体"/>
                <w:color w:val="000000" w:themeColor="text1"/>
                <w:kern w:val="2"/>
                <w:sz w:val="21"/>
                <w:szCs w:val="24"/>
                <w:highlight w:val="none"/>
                <w14:textFill>
                  <w14:solidFill>
                    <w14:schemeClr w14:val="tx1"/>
                  </w14:solidFill>
                </w14:textFill>
              </w:rPr>
              <w:t>）。</w:t>
            </w:r>
          </w:p>
        </w:tc>
        <w:tc>
          <w:tcPr>
            <w:tcW w:w="713" w:type="pct"/>
            <w:vMerge w:val="continue"/>
            <w:vAlign w:val="center"/>
          </w:tcPr>
          <w:p w14:paraId="66CFD3C3">
            <w:pPr>
              <w:adjustRightInd w:val="0"/>
              <w:snapToGrid w:val="0"/>
              <w:ind w:firstLine="420" w:firstLineChars="200"/>
              <w:rPr>
                <w:rFonts w:ascii="宋体" w:hAnsi="宋体" w:cs="Arial"/>
                <w:color w:val="000000" w:themeColor="text1"/>
                <w:kern w:val="0"/>
                <w:sz w:val="21"/>
                <w:szCs w:val="21"/>
                <w:highlight w:val="none"/>
                <w14:textFill>
                  <w14:solidFill>
                    <w14:schemeClr w14:val="tx1"/>
                  </w14:solidFill>
                </w14:textFill>
              </w:rPr>
            </w:pPr>
          </w:p>
        </w:tc>
      </w:tr>
      <w:bookmarkEnd w:id="8"/>
    </w:tbl>
    <w:p w14:paraId="50E38F06">
      <w:pPr>
        <w:ind w:firstLine="420" w:firstLineChars="200"/>
        <w:rPr>
          <w:rFonts w:ascii="宋体" w:hAnsi="宋体"/>
          <w:color w:val="000000" w:themeColor="text1"/>
          <w:sz w:val="21"/>
          <w:szCs w:val="21"/>
          <w:highlight w:val="none"/>
          <w14:textFill>
            <w14:solidFill>
              <w14:schemeClr w14:val="tx1"/>
            </w14:solidFill>
          </w14:textFill>
        </w:rPr>
      </w:pPr>
    </w:p>
    <w:p w14:paraId="7B7E780D">
      <w:pPr>
        <w:tabs>
          <w:tab w:val="left" w:pos="0"/>
        </w:tabs>
        <w:spacing w:line="360" w:lineRule="auto"/>
        <w:outlineLvl w:val="2"/>
        <w:rPr>
          <w:rFonts w:ascii="黑体" w:hAnsi="黑体" w:eastAsia="黑体" w:cs="黑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0" w:name="_Toc161207393"/>
      <w:bookmarkStart w:id="11" w:name="_Toc19123"/>
      <w:bookmarkStart w:id="12" w:name="_Toc164101096"/>
      <w:bookmarkStart w:id="13" w:name="_Toc17709"/>
      <w:bookmarkStart w:id="14" w:name="_Toc134792339"/>
      <w:bookmarkStart w:id="15" w:name="_Toc144837285"/>
      <w:bookmarkStart w:id="16" w:name="_Toc144838351"/>
      <w:bookmarkStart w:id="17" w:name="_Hlk144571037"/>
      <w:r>
        <w:rPr>
          <w:rFonts w:hint="eastAsia" w:ascii="黑体" w:hAnsi="黑体" w:eastAsia="黑体" w:cs="黑体"/>
          <w:color w:val="000000" w:themeColor="text1"/>
          <w:sz w:val="24"/>
          <w:szCs w:val="24"/>
          <w:highlight w:val="none"/>
          <w14:textFill>
            <w14:solidFill>
              <w14:schemeClr w14:val="tx1"/>
            </w14:solidFill>
          </w14:textFill>
        </w:rPr>
        <w:t>附件2：随机确定评标基准价计算方法的规则与程序</w:t>
      </w:r>
    </w:p>
    <w:p w14:paraId="1BD8068F">
      <w:pPr>
        <w:snapToGrid w:val="0"/>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p>
    <w:p w14:paraId="6A97518F">
      <w:pPr>
        <w:snapToGrid w:val="0"/>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一、随机抽取确定评标基准价计算方法规则</w:t>
      </w:r>
    </w:p>
    <w:p w14:paraId="6C866CBF">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参与随机确定评标基准价计算方法的各方当事人（以下简称“各方”）应当严格遵守以下规则：</w:t>
      </w:r>
    </w:p>
    <w:p w14:paraId="0D44993D">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（一）各方必须严格遵守公开、公平、公正和诚实信用原则；</w:t>
      </w:r>
    </w:p>
    <w:p w14:paraId="076C4694">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（二）随机抽取活动在招标人的主持下进行，招标人做好影像记录，并存档备查；</w:t>
      </w:r>
    </w:p>
    <w:p w14:paraId="26E1334D">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（三）用于随机抽取的器具由招标人提供；</w:t>
      </w:r>
    </w:p>
    <w:p w14:paraId="30041B62">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（四）各方必须严格遵守现场纪律，确保随机抽取活动有序进行；</w:t>
      </w:r>
    </w:p>
    <w:p w14:paraId="20897F45">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（五）投标人对随机抽取过程有异议的，在“河北省公共资源交易平台”的项目流程中点异议按钮在线提出异议，招标人当场作出答复，并作好记录。</w:t>
      </w:r>
    </w:p>
    <w:p w14:paraId="1CCCE42F">
      <w:pPr>
        <w:snapToGrid w:val="0"/>
        <w:spacing w:line="360" w:lineRule="auto"/>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二、随机抽取确定评标基准价计算方法的程序</w:t>
      </w:r>
    </w:p>
    <w:p w14:paraId="0B69353C">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（一）确定随机抽取代码球</w:t>
      </w:r>
    </w:p>
    <w:p w14:paraId="63EFA8A8">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用抽取器具随机确定抽取代码球一套，作为本次随机抽取确定评标基准价计算方法的代码球。</w:t>
      </w:r>
    </w:p>
    <w:p w14:paraId="2553CBC0">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（二）本次招标共设置三种评标基准价计算方法（详见评标办法）。</w:t>
      </w:r>
    </w:p>
    <w:p w14:paraId="5DB2355A">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确定评标基准价计算方法的编号及代码球，1号球代表评标基准价计算方法1；2号球代表评标基准价计算方法2；3号球代表评标基准价计算方法3。</w:t>
      </w:r>
    </w:p>
    <w:p w14:paraId="0DB53996">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（三）在投标文件第一信封（商务及技术文件）开标现场，将编号1、2、3代码球全部放入随机抽取器具中，由抽取器具随机抽取产生本次招标评标基准价计算方法。</w:t>
      </w:r>
    </w:p>
    <w:p w14:paraId="406EA4A5">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（四）确定评标基准价计算方法需要的系数（如有）。</w:t>
      </w:r>
    </w:p>
    <w:p w14:paraId="28C23A65">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如果抽取的评标基准价计算方法为方法二，则需要抽取评标基准价系数K。K取值范围为0.975、0.98、0.985、0.99、0.995共5个数值。将编号为1～5的代码球放入抽取器具，由抽取器具随机抽取1个代码球。1号球代表K值为0.975；2号球代表K值为0.98；3号球代表K值为0.985；4号球代表K值为0.99；5号球代表K值为0.995。在投标文件第一信封（商务及技术文件）开标现场通过随机抽取方式确定一个评标基准价系数K，并当场公布。</w:t>
      </w:r>
    </w:p>
    <w:p w14:paraId="0592E628">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2、如果抽取的评标基准价计算方法为方法一、方法三，则不需要抽取系数。</w:t>
      </w:r>
    </w:p>
    <w:p w14:paraId="2539CBB0">
      <w:pPr>
        <w:snapToGrid w:val="0"/>
        <w:spacing w:line="360" w:lineRule="auto"/>
        <w:ind w:firstLine="422" w:firstLineChars="200"/>
        <w:rPr>
          <w:rFonts w:ascii="宋体" w:hAnsi="宋体"/>
          <w:color w:val="000000" w:themeColor="text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三、</w:t>
      </w:r>
      <w:r>
        <w:rPr>
          <w:rFonts w:hint="eastAsia" w:ascii="宋体" w:hAnsi="宋体" w:cs="宋体"/>
          <w:color w:val="000000" w:themeColor="text1"/>
          <w:sz w:val="21"/>
          <w:szCs w:val="21"/>
          <w:highlight w:val="none"/>
          <w14:textFill>
            <w14:solidFill>
              <w14:schemeClr w14:val="tx1"/>
            </w14:solidFill>
          </w14:textFill>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r>
        <w:rPr>
          <w:rFonts w:ascii="宋体" w:hAnsi="宋体"/>
          <w:color w:val="000000" w:themeColor="text1"/>
          <w:highlight w:val="none"/>
          <w14:textFill>
            <w14:solidFill>
              <w14:schemeClr w14:val="tx1"/>
            </w14:solidFill>
          </w14:textFill>
        </w:rPr>
        <w:br w:type="page"/>
      </w:r>
    </w:p>
    <w:p w14:paraId="2E563D7C">
      <w:pPr>
        <w:pStyle w:val="2"/>
        <w:spacing w:before="0" w:after="0" w:line="360" w:lineRule="auto"/>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附件3：评标办法</w:t>
      </w:r>
      <w:bookmarkEnd w:id="10"/>
      <w:bookmarkEnd w:id="11"/>
      <w:bookmarkEnd w:id="12"/>
      <w:bookmarkEnd w:id="13"/>
    </w:p>
    <w:bookmarkEnd w:id="14"/>
    <w:bookmarkEnd w:id="15"/>
    <w:bookmarkEnd w:id="16"/>
    <w:p w14:paraId="7858F4A6">
      <w:pPr>
        <w:tabs>
          <w:tab w:val="left" w:pos="0"/>
        </w:tabs>
        <w:spacing w:line="360" w:lineRule="auto"/>
        <w:rPr>
          <w:rFonts w:ascii="宋体" w:hAnsi="宋体" w:cs="宋体"/>
          <w:b/>
          <w:bCs/>
          <w:color w:val="000000"/>
          <w:sz w:val="24"/>
          <w:szCs w:val="24"/>
          <w:highlight w:val="none"/>
        </w:rPr>
      </w:pPr>
      <w:bookmarkStart w:id="18" w:name="_Toc134792893"/>
      <w:bookmarkStart w:id="19" w:name="_Toc134792342"/>
      <w:bookmarkStart w:id="20" w:name="_Toc134892623"/>
      <w:bookmarkStart w:id="21" w:name="_Toc134792410"/>
      <w:bookmarkStart w:id="22" w:name="_Toc134899107"/>
      <w:bookmarkStart w:id="23" w:name="_Toc531949858"/>
      <w:bookmarkStart w:id="24" w:name="_Toc134878969"/>
      <w:bookmarkStart w:id="25" w:name="_Toc134896400"/>
      <w:bookmarkStart w:id="26" w:name="_Hlk162431530"/>
      <w:bookmarkStart w:id="27" w:name="_Hlk134977245"/>
      <w:r>
        <w:rPr>
          <w:rFonts w:hint="eastAsia" w:ascii="宋体" w:hAnsi="宋体" w:cs="宋体"/>
          <w:b/>
          <w:bCs/>
          <w:color w:val="000000"/>
          <w:sz w:val="24"/>
          <w:szCs w:val="24"/>
          <w:highlight w:val="none"/>
        </w:rPr>
        <w:t>评标办法前附表</w:t>
      </w:r>
      <w:bookmarkEnd w:id="18"/>
      <w:bookmarkEnd w:id="19"/>
      <w:bookmarkEnd w:id="20"/>
      <w:bookmarkEnd w:id="21"/>
      <w:bookmarkEnd w:id="22"/>
      <w:bookmarkEnd w:id="23"/>
      <w:bookmarkEnd w:id="24"/>
      <w:bookmarkEnd w:id="25"/>
    </w:p>
    <w:tbl>
      <w:tblPr>
        <w:tblStyle w:val="6"/>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18"/>
        <w:gridCol w:w="7262"/>
      </w:tblGrid>
      <w:tr w14:paraId="7AEB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07" w:type="pct"/>
            <w:gridSpan w:val="2"/>
            <w:vAlign w:val="center"/>
          </w:tcPr>
          <w:p w14:paraId="1C09FE38">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条款号</w:t>
            </w:r>
          </w:p>
        </w:tc>
        <w:tc>
          <w:tcPr>
            <w:tcW w:w="3892" w:type="pct"/>
            <w:vAlign w:val="center"/>
          </w:tcPr>
          <w:p w14:paraId="41AE8826">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评审因素与评审标准</w:t>
            </w:r>
          </w:p>
        </w:tc>
      </w:tr>
      <w:tr w14:paraId="20EE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398" w:type="pct"/>
            <w:vAlign w:val="center"/>
          </w:tcPr>
          <w:p w14:paraId="40C26CB1">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708" w:type="pct"/>
            <w:vAlign w:val="center"/>
          </w:tcPr>
          <w:p w14:paraId="09C0636C">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评标方法</w:t>
            </w:r>
          </w:p>
        </w:tc>
        <w:tc>
          <w:tcPr>
            <w:tcW w:w="3892" w:type="pct"/>
            <w:vAlign w:val="center"/>
          </w:tcPr>
          <w:p w14:paraId="20665269">
            <w:pPr>
              <w:snapToGrid w:val="0"/>
              <w:spacing w:line="320" w:lineRule="exact"/>
              <w:ind w:firstLine="315" w:firstLineChars="150"/>
              <w:jc w:val="left"/>
              <w:rPr>
                <w:rFonts w:ascii="宋体" w:hAnsi="宋体" w:cs="宋体"/>
                <w:sz w:val="21"/>
                <w:szCs w:val="21"/>
                <w:highlight w:val="none"/>
              </w:rPr>
            </w:pPr>
            <w:r>
              <w:rPr>
                <w:rFonts w:hint="eastAsia" w:ascii="宋体" w:hAnsi="宋体" w:cs="宋体"/>
                <w:sz w:val="21"/>
                <w:szCs w:val="21"/>
                <w:highlight w:val="none"/>
              </w:rPr>
              <w:t>本次评标采用合理低价法，双信封形式。</w:t>
            </w:r>
          </w:p>
          <w:p w14:paraId="61A15BD7">
            <w:pPr>
              <w:snapToGrid w:val="0"/>
              <w:spacing w:line="320" w:lineRule="exact"/>
              <w:ind w:firstLine="315" w:firstLineChars="150"/>
              <w:jc w:val="left"/>
              <w:rPr>
                <w:rFonts w:ascii="宋体" w:hAnsi="宋体" w:cs="宋体"/>
                <w:sz w:val="21"/>
                <w:szCs w:val="21"/>
                <w:highlight w:val="none"/>
              </w:rPr>
            </w:pPr>
            <w:r>
              <w:rPr>
                <w:rFonts w:hint="eastAsia" w:ascii="宋体" w:hAnsi="宋体" w:cs="宋体"/>
                <w:sz w:val="21"/>
                <w:szCs w:val="21"/>
                <w:highlight w:val="none"/>
              </w:rPr>
              <w:t>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44BE581B">
            <w:pPr>
              <w:snapToGrid w:val="0"/>
              <w:spacing w:line="320" w:lineRule="exact"/>
              <w:ind w:firstLine="315" w:firstLineChars="150"/>
              <w:jc w:val="left"/>
              <w:rPr>
                <w:rFonts w:ascii="宋体" w:hAnsi="宋体" w:cs="宋体"/>
                <w:sz w:val="21"/>
                <w:szCs w:val="21"/>
                <w:highlight w:val="none"/>
              </w:rPr>
            </w:pPr>
            <w:r>
              <w:rPr>
                <w:rFonts w:hint="eastAsia" w:ascii="宋体" w:hAnsi="宋体" w:cs="宋体"/>
                <w:sz w:val="21"/>
                <w:szCs w:val="21"/>
                <w:highlight w:val="none"/>
              </w:rPr>
              <w:t>（1）评标价低的投标人优先；</w:t>
            </w:r>
          </w:p>
          <w:p w14:paraId="468DFED0">
            <w:pPr>
              <w:snapToGrid w:val="0"/>
              <w:spacing w:line="320" w:lineRule="exact"/>
              <w:ind w:firstLine="315" w:firstLineChars="150"/>
              <w:jc w:val="left"/>
              <w:rPr>
                <w:rFonts w:ascii="宋体" w:hAnsi="宋体" w:cs="宋体"/>
                <w:sz w:val="21"/>
                <w:szCs w:val="21"/>
                <w:highlight w:val="none"/>
              </w:rPr>
            </w:pPr>
            <w:r>
              <w:rPr>
                <w:rFonts w:hint="eastAsia" w:ascii="宋体" w:hAnsi="宋体" w:cs="宋体"/>
                <w:sz w:val="21"/>
                <w:szCs w:val="21"/>
                <w:highlight w:val="none"/>
              </w:rPr>
              <w:t>（2）满足资格审查条件(业绩最低要求)业绩累计合同金额较高的优先。</w:t>
            </w:r>
          </w:p>
        </w:tc>
      </w:tr>
      <w:tr w14:paraId="1B6A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6759C11A">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2.1.1</w:t>
            </w:r>
          </w:p>
          <w:p w14:paraId="3DB84EF7">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2.1.3</w:t>
            </w:r>
          </w:p>
        </w:tc>
        <w:tc>
          <w:tcPr>
            <w:tcW w:w="708" w:type="pct"/>
            <w:vAlign w:val="center"/>
          </w:tcPr>
          <w:p w14:paraId="33547EB6">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形式评审与响应性评审标准</w:t>
            </w:r>
          </w:p>
        </w:tc>
        <w:tc>
          <w:tcPr>
            <w:tcW w:w="3892" w:type="pct"/>
          </w:tcPr>
          <w:p w14:paraId="29C90418">
            <w:pPr>
              <w:tabs>
                <w:tab w:val="left" w:pos="3060"/>
              </w:tabs>
              <w:snapToGrid w:val="0"/>
              <w:spacing w:line="320" w:lineRule="exact"/>
              <w:ind w:firstLine="211" w:firstLineChars="104"/>
              <w:jc w:val="left"/>
              <w:rPr>
                <w:rFonts w:ascii="宋体" w:hAnsi="宋体" w:cs="宋体"/>
                <w:b/>
                <w:bCs/>
                <w:spacing w:val="-4"/>
                <w:sz w:val="21"/>
                <w:szCs w:val="21"/>
                <w:highlight w:val="none"/>
              </w:rPr>
            </w:pPr>
            <w:r>
              <w:rPr>
                <w:rFonts w:hint="eastAsia" w:ascii="宋体" w:hAnsi="宋体" w:cs="宋体"/>
                <w:b/>
                <w:bCs/>
                <w:spacing w:val="-4"/>
                <w:sz w:val="21"/>
                <w:szCs w:val="21"/>
                <w:highlight w:val="none"/>
              </w:rPr>
              <w:t>第一个信封（商务文件）评审标准：</w:t>
            </w:r>
          </w:p>
          <w:p w14:paraId="2D84553D">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（1）投标文件按照招标文件规定的格式、内容填写，字迹清晰可辨：</w:t>
            </w:r>
          </w:p>
          <w:p w14:paraId="0AFFF5C4">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a．投标函按招标文件规定填报了招标人名称、项目名称、补遗书编号（如有）、</w:t>
            </w:r>
            <w:r>
              <w:rPr>
                <w:rFonts w:hint="eastAsia" w:ascii="宋体" w:hAnsi="宋体" w:cs="宋体"/>
                <w:spacing w:val="-4"/>
                <w:sz w:val="21"/>
                <w:szCs w:val="21"/>
                <w:highlight w:val="none"/>
              </w:rPr>
              <w:t>工程质量、安全目标、工期、项目经理、项目总工</w:t>
            </w:r>
            <w:r>
              <w:rPr>
                <w:rFonts w:hint="eastAsia" w:ascii="宋体" w:hAnsi="宋体" w:cs="宋体"/>
                <w:sz w:val="21"/>
                <w:szCs w:val="21"/>
                <w:highlight w:val="none"/>
              </w:rPr>
              <w:t>等内容；</w:t>
            </w:r>
          </w:p>
          <w:p w14:paraId="27C86A60">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b．投标函附录的所有数据均符合招标文件规定。</w:t>
            </w:r>
          </w:p>
          <w:p w14:paraId="711EAA0B">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C.投标文件组成齐全完整，内容均按规定填写。</w:t>
            </w:r>
          </w:p>
          <w:p w14:paraId="24997164">
            <w:pPr>
              <w:tabs>
                <w:tab w:val="left" w:pos="3060"/>
              </w:tabs>
              <w:snapToGrid w:val="0"/>
              <w:spacing w:line="320" w:lineRule="exact"/>
              <w:ind w:firstLine="218" w:firstLineChars="104"/>
              <w:rPr>
                <w:rFonts w:ascii="宋体" w:hAnsi="宋体" w:cs="宋体"/>
                <w:bCs/>
                <w:sz w:val="21"/>
                <w:szCs w:val="21"/>
                <w:highlight w:val="none"/>
              </w:rPr>
            </w:pPr>
            <w:r>
              <w:rPr>
                <w:rFonts w:hint="eastAsia" w:ascii="宋体" w:hAnsi="宋体" w:cs="宋体"/>
                <w:bCs/>
                <w:sz w:val="21"/>
                <w:szCs w:val="21"/>
                <w:highlight w:val="none"/>
              </w:rPr>
              <w:t>（2）投标文件上法定代表人或其授权代理人的签字、投标人的单位章盖章齐全，符合招标文件规定。</w:t>
            </w:r>
          </w:p>
          <w:p w14:paraId="54E98A44">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（3）投标人按照招标文件的规定提供了投标保证金，满足招标文件投标人须知前附表第3.4.1款要求。</w:t>
            </w:r>
          </w:p>
          <w:p w14:paraId="3DED4E0C">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（4）投标人法定代表人授权委托代理人签署投标文件的，须提交授权委托书，授权委托书符合招标文件规定。</w:t>
            </w:r>
          </w:p>
          <w:p w14:paraId="58142C36">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（5）投标人法定代表人亲自签署投标文件的，提供了法定代表人身份证明，法定代表人身份证明符合招标文件规定。</w:t>
            </w:r>
          </w:p>
          <w:p w14:paraId="25204DB7">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（6）投标人未以联合体形式投标。</w:t>
            </w:r>
          </w:p>
          <w:p w14:paraId="6ACD7588">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（7）投标人未提交两个以上不同的投标文件或备选方案。</w:t>
            </w:r>
          </w:p>
          <w:p w14:paraId="1CD7194F">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（8）投标文件中未出现有关投标报价的内容。</w:t>
            </w:r>
          </w:p>
          <w:p w14:paraId="26BB46BB">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（9）投标文件载明的招标项目完成期限未超过招标文件规定的时限。</w:t>
            </w:r>
          </w:p>
          <w:p w14:paraId="26974A64">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（10）投标文件对招标文件的实质性要求和条件作出响应。</w:t>
            </w:r>
          </w:p>
          <w:p w14:paraId="3B3121FB">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（11）权利义务符合招标文件规定：</w:t>
            </w:r>
          </w:p>
          <w:p w14:paraId="622D4542">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a.投标人应接受招标文件规定的风险划分原则，未提出新的风险划分办法；</w:t>
            </w:r>
          </w:p>
          <w:p w14:paraId="60E91E8D">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b.投标人未增加发包人的责任范围，或减少投标人义务；</w:t>
            </w:r>
          </w:p>
          <w:p w14:paraId="14C9D835">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c.投标人未提出不同的支付办法；</w:t>
            </w:r>
          </w:p>
          <w:p w14:paraId="6CDDF4EB">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d.投标人对合同纠纷、事故处理办法未提出异议；</w:t>
            </w:r>
          </w:p>
          <w:p w14:paraId="571639CD">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e.投标人在投标活动中无欺诈行为；</w:t>
            </w:r>
          </w:p>
          <w:p w14:paraId="6DD99007">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f.投标人未对合同条款有重要保留。</w:t>
            </w:r>
          </w:p>
          <w:p w14:paraId="2F530CAD">
            <w:pPr>
              <w:pStyle w:val="9"/>
              <w:snapToGrid w:val="0"/>
              <w:spacing w:line="320" w:lineRule="exact"/>
              <w:ind w:firstLine="210" w:firstLineChars="100"/>
              <w:rPr>
                <w:rFonts w:ascii="宋体" w:hAnsi="宋体" w:eastAsia="宋体" w:cs="宋体"/>
                <w:sz w:val="21"/>
                <w:szCs w:val="21"/>
                <w:highlight w:val="none"/>
              </w:rPr>
            </w:pPr>
            <w:r>
              <w:rPr>
                <w:rFonts w:hint="eastAsia" w:ascii="宋体" w:hAnsi="宋体" w:eastAsia="宋体" w:cs="宋体"/>
                <w:sz w:val="21"/>
                <w:szCs w:val="21"/>
                <w:highlight w:val="none"/>
              </w:rPr>
              <w:t>（12）投标人不存在投标人须知前附表4.4(1)、(3)项规定的情形。</w:t>
            </w:r>
          </w:p>
          <w:p w14:paraId="3FB7A60B">
            <w:pPr>
              <w:tabs>
                <w:tab w:val="left" w:pos="3060"/>
              </w:tabs>
              <w:snapToGrid w:val="0"/>
              <w:spacing w:line="320" w:lineRule="exact"/>
              <w:ind w:firstLine="218" w:firstLineChars="104"/>
              <w:jc w:val="left"/>
              <w:rPr>
                <w:rFonts w:ascii="宋体" w:hAnsi="宋体" w:cs="宋体"/>
                <w:b/>
                <w:bCs/>
                <w:spacing w:val="-4"/>
                <w:sz w:val="21"/>
                <w:szCs w:val="21"/>
                <w:highlight w:val="none"/>
              </w:rPr>
            </w:pPr>
            <w:r>
              <w:rPr>
                <w:rFonts w:hint="eastAsia" w:ascii="宋体" w:hAnsi="宋体" w:cs="宋体"/>
                <w:sz w:val="21"/>
                <w:szCs w:val="21"/>
                <w:highlight w:val="none"/>
              </w:rPr>
              <w:t>（13）投标人不存在因投标人须知前附表4.4(2)项规定的情形被评标委员会认定为投标文件异常一致或投标活动异常关联活动情形。</w:t>
            </w:r>
          </w:p>
          <w:p w14:paraId="1E3FE13A">
            <w:pPr>
              <w:tabs>
                <w:tab w:val="left" w:pos="3060"/>
              </w:tabs>
              <w:snapToGrid w:val="0"/>
              <w:spacing w:line="320" w:lineRule="exact"/>
              <w:ind w:firstLine="211" w:firstLineChars="104"/>
              <w:jc w:val="left"/>
              <w:rPr>
                <w:rFonts w:ascii="宋体" w:hAnsi="宋体" w:cs="宋体"/>
                <w:sz w:val="21"/>
                <w:szCs w:val="21"/>
                <w:highlight w:val="none"/>
              </w:rPr>
            </w:pPr>
            <w:r>
              <w:rPr>
                <w:rFonts w:hint="eastAsia" w:ascii="宋体" w:hAnsi="宋体" w:cs="宋体"/>
                <w:b/>
                <w:bCs/>
                <w:spacing w:val="-4"/>
                <w:sz w:val="21"/>
                <w:szCs w:val="21"/>
                <w:highlight w:val="none"/>
              </w:rPr>
              <w:t>第一个信封（技术文件）评审标准（暗标）：</w:t>
            </w:r>
          </w:p>
          <w:p w14:paraId="1C0DDDDE">
            <w:pPr>
              <w:tabs>
                <w:tab w:val="left" w:pos="3060"/>
              </w:tabs>
              <w:snapToGrid w:val="0"/>
              <w:spacing w:line="320" w:lineRule="exact"/>
              <w:ind w:firstLine="218" w:firstLineChars="104"/>
              <w:jc w:val="left"/>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sz w:val="21"/>
                <w:szCs w:val="21"/>
                <w:highlight w:val="none"/>
              </w:rPr>
              <w:t>施工组织设计（暗标）编制符合招标文件第二章“投标人须知”第10.2款的规定</w:t>
            </w:r>
            <w:r>
              <w:rPr>
                <w:rFonts w:hint="eastAsia" w:ascii="宋体" w:hAnsi="宋体" w:cs="宋体"/>
                <w:kern w:val="2"/>
                <w:sz w:val="21"/>
                <w:szCs w:val="21"/>
                <w:highlight w:val="none"/>
              </w:rPr>
              <w:t>。</w:t>
            </w:r>
          </w:p>
          <w:p w14:paraId="680E06FA">
            <w:pPr>
              <w:tabs>
                <w:tab w:val="left" w:pos="3060"/>
              </w:tabs>
              <w:snapToGrid w:val="0"/>
              <w:spacing w:line="320" w:lineRule="exact"/>
              <w:ind w:firstLine="219" w:firstLineChars="104"/>
              <w:rPr>
                <w:rFonts w:ascii="宋体" w:hAnsi="宋体" w:cs="宋体"/>
                <w:b/>
                <w:sz w:val="21"/>
                <w:szCs w:val="21"/>
                <w:highlight w:val="none"/>
              </w:rPr>
            </w:pPr>
            <w:r>
              <w:rPr>
                <w:rFonts w:hint="eastAsia" w:ascii="宋体" w:hAnsi="宋体" w:cs="宋体"/>
                <w:b/>
                <w:sz w:val="21"/>
                <w:szCs w:val="21"/>
                <w:highlight w:val="none"/>
              </w:rPr>
              <w:t>第二个信封（报价文件）评审标准：</w:t>
            </w:r>
          </w:p>
          <w:p w14:paraId="5F6012B6">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（1）投标文件按照招标文件规定的格式、内容填写，字迹清晰可辨，内容齐全完整：</w:t>
            </w:r>
          </w:p>
          <w:p w14:paraId="5B827A64">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a．投标函按招标文件规定填报了招标人名称、项目名称、补遗书编号（如有）、投标报价（包括大写金额和小写金额）；</w:t>
            </w:r>
          </w:p>
          <w:p w14:paraId="64768DF7">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b．已标价工程量清单说明文字与招标文件规定一致，未对实质性内容进行修改和删减；</w:t>
            </w:r>
          </w:p>
          <w:p w14:paraId="3506973C">
            <w:pPr>
              <w:tabs>
                <w:tab w:val="left" w:pos="3060"/>
              </w:tabs>
              <w:snapToGrid w:val="0"/>
              <w:spacing w:line="320" w:lineRule="exact"/>
              <w:ind w:firstLine="218" w:firstLineChars="104"/>
              <w:rPr>
                <w:rFonts w:ascii="宋体" w:hAnsi="宋体" w:cs="宋体"/>
                <w:sz w:val="21"/>
                <w:szCs w:val="21"/>
                <w:highlight w:val="none"/>
              </w:rPr>
            </w:pPr>
            <w:r>
              <w:rPr>
                <w:rFonts w:hint="eastAsia" w:ascii="宋体" w:hAnsi="宋体" w:cs="宋体"/>
                <w:sz w:val="21"/>
                <w:szCs w:val="21"/>
                <w:highlight w:val="none"/>
              </w:rPr>
              <w:t>c．投标文件组成齐全完整，内容均按规定填写；</w:t>
            </w:r>
          </w:p>
          <w:p w14:paraId="49CB4C3B">
            <w:pPr>
              <w:tabs>
                <w:tab w:val="left" w:pos="3060"/>
              </w:tabs>
              <w:snapToGrid w:val="0"/>
              <w:spacing w:line="320" w:lineRule="exact"/>
              <w:ind w:firstLine="218" w:firstLineChars="104"/>
              <w:rPr>
                <w:rFonts w:ascii="宋体" w:hAnsi="宋体" w:cs="宋体"/>
                <w:bCs/>
                <w:sz w:val="21"/>
                <w:szCs w:val="21"/>
                <w:highlight w:val="none"/>
              </w:rPr>
            </w:pPr>
            <w:r>
              <w:rPr>
                <w:rFonts w:hint="eastAsia" w:ascii="宋体" w:hAnsi="宋体" w:cs="宋体"/>
                <w:bCs/>
                <w:sz w:val="21"/>
                <w:szCs w:val="21"/>
                <w:highlight w:val="none"/>
              </w:rPr>
              <w:t>（2）投标文件上法定代表人或其授权代理人的签字、投标人的单位章盖章齐全，符合招标文件规定；</w:t>
            </w:r>
          </w:p>
          <w:p w14:paraId="2B7F3E28">
            <w:pPr>
              <w:tabs>
                <w:tab w:val="left" w:pos="3060"/>
              </w:tabs>
              <w:snapToGrid w:val="0"/>
              <w:spacing w:line="320" w:lineRule="exact"/>
              <w:ind w:firstLine="218" w:firstLineChars="104"/>
              <w:rPr>
                <w:rFonts w:ascii="宋体" w:hAnsi="宋体" w:cs="宋体"/>
                <w:bCs/>
                <w:sz w:val="21"/>
                <w:szCs w:val="21"/>
                <w:highlight w:val="none"/>
              </w:rPr>
            </w:pPr>
            <w:r>
              <w:rPr>
                <w:rFonts w:hint="eastAsia" w:ascii="宋体" w:hAnsi="宋体" w:cs="宋体"/>
                <w:bCs/>
                <w:sz w:val="21"/>
                <w:szCs w:val="21"/>
                <w:highlight w:val="none"/>
              </w:rPr>
              <w:t>（3）投标报价未超过招标文件设定的最高投标限价；</w:t>
            </w:r>
          </w:p>
          <w:p w14:paraId="437761D5">
            <w:pPr>
              <w:tabs>
                <w:tab w:val="left" w:pos="3060"/>
              </w:tabs>
              <w:snapToGrid w:val="0"/>
              <w:spacing w:line="320" w:lineRule="exact"/>
              <w:ind w:firstLine="218" w:firstLineChars="104"/>
              <w:rPr>
                <w:rFonts w:ascii="宋体" w:hAnsi="宋体" w:cs="宋体"/>
                <w:bCs/>
                <w:sz w:val="21"/>
                <w:szCs w:val="21"/>
                <w:highlight w:val="none"/>
              </w:rPr>
            </w:pPr>
            <w:r>
              <w:rPr>
                <w:rFonts w:hint="eastAsia" w:ascii="宋体" w:hAnsi="宋体" w:cs="宋体"/>
                <w:bCs/>
                <w:sz w:val="21"/>
                <w:szCs w:val="21"/>
                <w:highlight w:val="none"/>
              </w:rPr>
              <w:t>（4）投标报价大写金额能够确定具体数值；</w:t>
            </w:r>
          </w:p>
          <w:p w14:paraId="7A9FD998">
            <w:pPr>
              <w:tabs>
                <w:tab w:val="left" w:pos="3060"/>
              </w:tabs>
              <w:snapToGrid w:val="0"/>
              <w:spacing w:line="320" w:lineRule="exact"/>
              <w:ind w:firstLine="218" w:firstLineChars="104"/>
              <w:rPr>
                <w:rFonts w:ascii="宋体" w:hAnsi="宋体" w:cs="宋体"/>
                <w:bCs/>
                <w:sz w:val="21"/>
                <w:szCs w:val="21"/>
                <w:highlight w:val="none"/>
              </w:rPr>
            </w:pPr>
            <w:r>
              <w:rPr>
                <w:rFonts w:hint="eastAsia" w:ascii="宋体" w:hAnsi="宋体" w:cs="宋体"/>
                <w:bCs/>
                <w:sz w:val="21"/>
                <w:szCs w:val="21"/>
                <w:highlight w:val="none"/>
              </w:rPr>
              <w:t>（5）投标人未提交两个以上不同的投标报价；</w:t>
            </w:r>
          </w:p>
          <w:p w14:paraId="4BBEA064">
            <w:pPr>
              <w:tabs>
                <w:tab w:val="left" w:pos="3060"/>
              </w:tabs>
              <w:snapToGrid w:val="0"/>
              <w:spacing w:line="320" w:lineRule="exact"/>
              <w:ind w:firstLine="218" w:firstLineChars="104"/>
              <w:rPr>
                <w:rFonts w:ascii="宋体" w:hAnsi="宋体" w:cs="宋体"/>
                <w:kern w:val="2"/>
                <w:sz w:val="21"/>
                <w:szCs w:val="21"/>
                <w:highlight w:val="none"/>
              </w:rPr>
            </w:pPr>
            <w:r>
              <w:rPr>
                <w:rFonts w:hint="eastAsia" w:ascii="宋体" w:hAnsi="宋体" w:cs="宋体"/>
                <w:bCs/>
                <w:sz w:val="21"/>
                <w:szCs w:val="21"/>
                <w:highlight w:val="none"/>
              </w:rPr>
              <w:t>（6）</w:t>
            </w:r>
            <w:r>
              <w:rPr>
                <w:rFonts w:hint="eastAsia" w:ascii="宋体" w:hAnsi="宋体" w:cs="宋体"/>
                <w:kern w:val="2"/>
                <w:sz w:val="21"/>
                <w:szCs w:val="21"/>
                <w:highlight w:val="none"/>
              </w:rPr>
              <w:t>投标人填写完毕的工程量清单未对招标人提供的工程量固化清单电子文件中的数据、格式和运算定义进行修改；工程量清单中的投标报价和投标函大写金额报价一致。</w:t>
            </w:r>
          </w:p>
          <w:p w14:paraId="39AC6152">
            <w:pPr>
              <w:tabs>
                <w:tab w:val="left" w:pos="3060"/>
              </w:tabs>
              <w:snapToGrid w:val="0"/>
              <w:spacing w:line="320" w:lineRule="exact"/>
              <w:ind w:firstLine="205" w:firstLineChars="98"/>
              <w:rPr>
                <w:rFonts w:ascii="宋体" w:hAnsi="宋体"/>
                <w:bCs/>
                <w:sz w:val="21"/>
                <w:szCs w:val="21"/>
                <w:highlight w:val="none"/>
              </w:rPr>
            </w:pPr>
            <w:r>
              <w:rPr>
                <w:rFonts w:hint="eastAsia" w:ascii="宋体" w:hAnsi="宋体"/>
                <w:bCs/>
                <w:sz w:val="21"/>
                <w:szCs w:val="21"/>
                <w:highlight w:val="none"/>
              </w:rPr>
              <w:t>（7）投标人不存在投标人须知前附表4.4(1)、(3)项规定的情形。</w:t>
            </w:r>
          </w:p>
          <w:p w14:paraId="2E5F1E07">
            <w:pPr>
              <w:tabs>
                <w:tab w:val="left" w:pos="3060"/>
              </w:tabs>
              <w:snapToGrid w:val="0"/>
              <w:spacing w:line="320" w:lineRule="exact"/>
              <w:ind w:firstLine="205" w:firstLineChars="98"/>
              <w:rPr>
                <w:rFonts w:ascii="宋体" w:hAnsi="宋体"/>
                <w:bCs/>
                <w:sz w:val="21"/>
                <w:szCs w:val="21"/>
                <w:highlight w:val="none"/>
              </w:rPr>
            </w:pPr>
            <w:r>
              <w:rPr>
                <w:rFonts w:hint="eastAsia" w:ascii="宋体" w:hAnsi="宋体"/>
                <w:bCs/>
                <w:sz w:val="21"/>
                <w:szCs w:val="21"/>
                <w:highlight w:val="none"/>
              </w:rPr>
              <w:t>（8）</w:t>
            </w:r>
            <w:r>
              <w:rPr>
                <w:rFonts w:hint="eastAsia" w:ascii="宋体" w:hAnsi="宋体" w:cs="宋体"/>
                <w:sz w:val="21"/>
                <w:szCs w:val="21"/>
                <w:highlight w:val="none"/>
              </w:rPr>
              <w:t>投标人不存在因投标人须知前附表4.4(2)项规定的情形被评标委员会认定为投标文件异常一致或投标活动异常关联活动情形</w:t>
            </w:r>
            <w:r>
              <w:rPr>
                <w:rFonts w:hint="eastAsia" w:ascii="宋体" w:hAnsi="宋体"/>
                <w:bCs/>
                <w:sz w:val="21"/>
                <w:szCs w:val="21"/>
                <w:highlight w:val="none"/>
              </w:rPr>
              <w:t>。</w:t>
            </w:r>
          </w:p>
          <w:p w14:paraId="11613651">
            <w:pPr>
              <w:tabs>
                <w:tab w:val="left" w:pos="3060"/>
              </w:tabs>
              <w:snapToGrid w:val="0"/>
              <w:spacing w:line="320" w:lineRule="exact"/>
              <w:ind w:firstLine="218" w:firstLineChars="104"/>
              <w:rPr>
                <w:rFonts w:ascii="宋体" w:hAnsi="宋体" w:cs="宋体"/>
                <w:kern w:val="2"/>
                <w:sz w:val="21"/>
                <w:szCs w:val="21"/>
                <w:highlight w:val="none"/>
              </w:rPr>
            </w:pPr>
            <w:r>
              <w:rPr>
                <w:rFonts w:hint="eastAsia" w:ascii="宋体" w:hAnsi="宋体"/>
                <w:bCs/>
                <w:sz w:val="21"/>
                <w:szCs w:val="21"/>
                <w:highlight w:val="none"/>
              </w:rPr>
              <w:t>（9）投标人不存在因投标人须知前附表3.2.9（2）项规定被评标委员会认定为低于成本或影响履约的异常低价竞标的情形。</w:t>
            </w:r>
          </w:p>
        </w:tc>
      </w:tr>
      <w:tr w14:paraId="1541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398" w:type="pct"/>
            <w:vAlign w:val="center"/>
          </w:tcPr>
          <w:p w14:paraId="238534D5">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2.1.2</w:t>
            </w:r>
          </w:p>
        </w:tc>
        <w:tc>
          <w:tcPr>
            <w:tcW w:w="708" w:type="pct"/>
            <w:vAlign w:val="center"/>
          </w:tcPr>
          <w:p w14:paraId="120DCBFA">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资格评审标准</w:t>
            </w:r>
          </w:p>
        </w:tc>
        <w:tc>
          <w:tcPr>
            <w:tcW w:w="3892" w:type="pct"/>
          </w:tcPr>
          <w:p w14:paraId="62911FFA">
            <w:pPr>
              <w:tabs>
                <w:tab w:val="left" w:pos="3060"/>
              </w:tabs>
              <w:snapToGrid w:val="0"/>
              <w:spacing w:line="320" w:lineRule="exact"/>
              <w:ind w:firstLine="205" w:firstLineChars="98"/>
              <w:jc w:val="left"/>
              <w:rPr>
                <w:rFonts w:ascii="宋体" w:hAnsi="宋体" w:cs="宋体"/>
                <w:bCs/>
                <w:sz w:val="21"/>
                <w:szCs w:val="21"/>
                <w:highlight w:val="none"/>
              </w:rPr>
            </w:pPr>
            <w:r>
              <w:rPr>
                <w:rFonts w:hint="eastAsia" w:ascii="宋体" w:hAnsi="宋体" w:cs="宋体"/>
                <w:bCs/>
                <w:sz w:val="21"/>
                <w:szCs w:val="21"/>
                <w:highlight w:val="none"/>
              </w:rPr>
              <w:t>（1）投标人具备有效的营业执照、资质证书、安全生产许可证和基本账户开户许可证（或基本存款账户信息）。</w:t>
            </w:r>
          </w:p>
          <w:p w14:paraId="7BE99527">
            <w:pPr>
              <w:tabs>
                <w:tab w:val="left" w:pos="3060"/>
              </w:tabs>
              <w:snapToGrid w:val="0"/>
              <w:spacing w:line="320" w:lineRule="exact"/>
              <w:ind w:firstLine="205" w:firstLineChars="98"/>
              <w:jc w:val="left"/>
              <w:rPr>
                <w:rFonts w:ascii="宋体" w:hAnsi="宋体" w:cs="宋体"/>
                <w:bCs/>
                <w:sz w:val="21"/>
                <w:szCs w:val="21"/>
                <w:highlight w:val="none"/>
              </w:rPr>
            </w:pPr>
            <w:r>
              <w:rPr>
                <w:rFonts w:hint="eastAsia" w:ascii="宋体" w:hAnsi="宋体" w:cs="宋体"/>
                <w:bCs/>
                <w:sz w:val="21"/>
                <w:szCs w:val="21"/>
                <w:highlight w:val="none"/>
              </w:rPr>
              <w:t>（2）投标人的资质等级符合招标文件规定。</w:t>
            </w:r>
          </w:p>
          <w:p w14:paraId="20224D0A">
            <w:pPr>
              <w:tabs>
                <w:tab w:val="left" w:pos="3060"/>
              </w:tabs>
              <w:snapToGrid w:val="0"/>
              <w:spacing w:line="320" w:lineRule="exact"/>
              <w:ind w:firstLine="205" w:firstLineChars="98"/>
              <w:jc w:val="left"/>
              <w:rPr>
                <w:rFonts w:ascii="宋体" w:hAnsi="宋体" w:cs="宋体"/>
                <w:bCs/>
                <w:sz w:val="21"/>
                <w:szCs w:val="21"/>
                <w:highlight w:val="none"/>
              </w:rPr>
            </w:pPr>
            <w:r>
              <w:rPr>
                <w:rFonts w:hint="eastAsia" w:ascii="宋体" w:hAnsi="宋体" w:cs="宋体"/>
                <w:bCs/>
                <w:sz w:val="21"/>
                <w:szCs w:val="21"/>
                <w:highlight w:val="none"/>
              </w:rPr>
              <w:t>（3）投标人的财务状况符合招标文件规定。</w:t>
            </w:r>
          </w:p>
          <w:p w14:paraId="753994A3">
            <w:pPr>
              <w:tabs>
                <w:tab w:val="left" w:pos="3060"/>
              </w:tabs>
              <w:snapToGrid w:val="0"/>
              <w:spacing w:line="320" w:lineRule="exact"/>
              <w:ind w:firstLine="205" w:firstLineChars="98"/>
              <w:jc w:val="left"/>
              <w:rPr>
                <w:rFonts w:ascii="宋体" w:hAnsi="宋体" w:cs="宋体"/>
                <w:bCs/>
                <w:sz w:val="21"/>
                <w:szCs w:val="21"/>
                <w:highlight w:val="none"/>
              </w:rPr>
            </w:pPr>
            <w:r>
              <w:rPr>
                <w:rFonts w:hint="eastAsia" w:ascii="宋体" w:hAnsi="宋体" w:cs="宋体"/>
                <w:bCs/>
                <w:sz w:val="21"/>
                <w:szCs w:val="21"/>
                <w:highlight w:val="none"/>
              </w:rPr>
              <w:t>（4）投标人的业绩符合招标文件规定。</w:t>
            </w:r>
          </w:p>
          <w:p w14:paraId="62F41644">
            <w:pPr>
              <w:tabs>
                <w:tab w:val="left" w:pos="3060"/>
              </w:tabs>
              <w:snapToGrid w:val="0"/>
              <w:spacing w:line="320" w:lineRule="exact"/>
              <w:ind w:firstLine="205" w:firstLineChars="98"/>
              <w:jc w:val="left"/>
              <w:rPr>
                <w:rFonts w:ascii="宋体" w:hAnsi="宋体" w:cs="宋体"/>
                <w:bCs/>
                <w:sz w:val="21"/>
                <w:szCs w:val="21"/>
                <w:highlight w:val="none"/>
              </w:rPr>
            </w:pPr>
            <w:r>
              <w:rPr>
                <w:rFonts w:hint="eastAsia" w:ascii="宋体" w:hAnsi="宋体" w:cs="宋体"/>
                <w:bCs/>
                <w:sz w:val="21"/>
                <w:szCs w:val="21"/>
                <w:highlight w:val="none"/>
              </w:rPr>
              <w:t>（5）投标人的信誉符合招标文件规定。</w:t>
            </w:r>
          </w:p>
          <w:p w14:paraId="57907FED">
            <w:pPr>
              <w:tabs>
                <w:tab w:val="left" w:pos="3060"/>
              </w:tabs>
              <w:snapToGrid w:val="0"/>
              <w:spacing w:line="320" w:lineRule="exact"/>
              <w:ind w:firstLine="205" w:firstLineChars="98"/>
              <w:jc w:val="left"/>
              <w:rPr>
                <w:rFonts w:ascii="宋体" w:hAnsi="宋体" w:cs="宋体"/>
                <w:bCs/>
                <w:sz w:val="21"/>
                <w:szCs w:val="21"/>
                <w:highlight w:val="none"/>
              </w:rPr>
            </w:pPr>
            <w:r>
              <w:rPr>
                <w:rFonts w:hint="eastAsia" w:ascii="宋体" w:hAnsi="宋体" w:cs="宋体"/>
                <w:bCs/>
                <w:sz w:val="21"/>
                <w:szCs w:val="21"/>
                <w:highlight w:val="none"/>
              </w:rPr>
              <w:t>（6）投标人的项目经理和项目总工资格符合招标文件规定。</w:t>
            </w:r>
          </w:p>
          <w:p w14:paraId="67D06B2C">
            <w:pPr>
              <w:tabs>
                <w:tab w:val="left" w:pos="3060"/>
              </w:tabs>
              <w:snapToGrid w:val="0"/>
              <w:spacing w:line="320" w:lineRule="exact"/>
              <w:ind w:firstLine="105" w:firstLineChars="50"/>
              <w:rPr>
                <w:rFonts w:ascii="宋体" w:hAnsi="宋体" w:cs="宋体"/>
                <w:sz w:val="21"/>
                <w:szCs w:val="21"/>
                <w:highlight w:val="none"/>
              </w:rPr>
            </w:pPr>
            <w:r>
              <w:rPr>
                <w:rFonts w:hint="eastAsia" w:ascii="宋体" w:hAnsi="宋体" w:cs="宋体"/>
                <w:bCs/>
                <w:sz w:val="21"/>
                <w:szCs w:val="21"/>
                <w:highlight w:val="none"/>
              </w:rPr>
              <w:t>（7）投标人不存在第二章“投标人须知”第1.4.3项或第1.4.4项规定的任何一种情形。</w:t>
            </w:r>
          </w:p>
        </w:tc>
      </w:tr>
      <w:tr w14:paraId="1924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Align w:val="center"/>
          </w:tcPr>
          <w:p w14:paraId="6159C940">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2.2.1</w:t>
            </w:r>
          </w:p>
        </w:tc>
        <w:tc>
          <w:tcPr>
            <w:tcW w:w="708" w:type="pct"/>
            <w:vAlign w:val="center"/>
          </w:tcPr>
          <w:p w14:paraId="052095AE">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分值构成（总分100分）</w:t>
            </w:r>
          </w:p>
        </w:tc>
        <w:tc>
          <w:tcPr>
            <w:tcW w:w="3892" w:type="pct"/>
            <w:vAlign w:val="center"/>
          </w:tcPr>
          <w:p w14:paraId="088DA498">
            <w:pPr>
              <w:snapToGrid w:val="0"/>
              <w:spacing w:line="320" w:lineRule="exact"/>
              <w:jc w:val="left"/>
              <w:rPr>
                <w:rFonts w:ascii="宋体" w:hAnsi="宋体" w:cs="宋体"/>
                <w:b/>
                <w:sz w:val="21"/>
                <w:szCs w:val="21"/>
                <w:highlight w:val="none"/>
              </w:rPr>
            </w:pPr>
            <w:r>
              <w:rPr>
                <w:rFonts w:hint="eastAsia" w:ascii="宋体" w:hAnsi="宋体" w:cs="宋体"/>
                <w:b/>
                <w:sz w:val="21"/>
                <w:szCs w:val="21"/>
                <w:highlight w:val="none"/>
              </w:rPr>
              <w:t>评标价：</w:t>
            </w:r>
            <w:r>
              <w:rPr>
                <w:rFonts w:hint="eastAsia" w:ascii="宋体" w:hAnsi="宋体" w:cs="宋体"/>
                <w:b/>
                <w:sz w:val="21"/>
                <w:szCs w:val="21"/>
                <w:highlight w:val="none"/>
                <w:u w:val="single"/>
              </w:rPr>
              <w:t>100</w:t>
            </w:r>
            <w:r>
              <w:rPr>
                <w:rFonts w:hint="eastAsia" w:ascii="宋体" w:hAnsi="宋体" w:cs="宋体"/>
                <w:b/>
                <w:sz w:val="21"/>
                <w:szCs w:val="21"/>
                <w:highlight w:val="none"/>
              </w:rPr>
              <w:t>分</w:t>
            </w:r>
          </w:p>
        </w:tc>
      </w:tr>
      <w:tr w14:paraId="57FB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398" w:type="pct"/>
            <w:vAlign w:val="center"/>
          </w:tcPr>
          <w:p w14:paraId="1E1D60C6">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2.2.2</w:t>
            </w:r>
          </w:p>
        </w:tc>
        <w:tc>
          <w:tcPr>
            <w:tcW w:w="708" w:type="pct"/>
            <w:vAlign w:val="center"/>
          </w:tcPr>
          <w:p w14:paraId="6260BA27">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评标基准价计算方法</w:t>
            </w:r>
          </w:p>
        </w:tc>
        <w:tc>
          <w:tcPr>
            <w:tcW w:w="3892" w:type="pct"/>
            <w:vAlign w:val="center"/>
          </w:tcPr>
          <w:p w14:paraId="3387BE6A">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评标基准价的计算：</w:t>
            </w:r>
          </w:p>
          <w:p w14:paraId="440F0F3A">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在第二个信封开标现场，招标人将按照第一信封开标现场抽取的评标基准价的计算方法当场计算并宣布评标基准价。</w:t>
            </w:r>
          </w:p>
          <w:p w14:paraId="4D46456F">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(1)评标价的确定：</w:t>
            </w:r>
          </w:p>
          <w:p w14:paraId="2D0FEADA">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评标价=投标函文字报价</w:t>
            </w:r>
          </w:p>
          <w:p w14:paraId="2BF5F386">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(2)评标价平均值的计算：</w:t>
            </w:r>
          </w:p>
          <w:p w14:paraId="0D1774CB">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除按第二章“投标人须知”第5.2.4项规定开标现场被宣布为不进入评标基准价计算的投标报价之外，所有投标人的评标价去掉n1个最高评标价和n2个最低评标价后的算术平均值即为评标价平均值：</w:t>
            </w:r>
          </w:p>
          <w:p w14:paraId="02935D7B">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如果参与评标价平均值计算的投标人数量＜6家时，n1=0，n2=0；</w:t>
            </w:r>
          </w:p>
          <w:p w14:paraId="01BA851E">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6家≤参与评标价平均值计算的投标人数量＜10家时，n1=1，n2=1；</w:t>
            </w:r>
          </w:p>
          <w:p w14:paraId="099EED36">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10家≤参与评标价平均值计算的投标人数量＜20家时，n1=2，n2=2；</w:t>
            </w:r>
          </w:p>
          <w:p w14:paraId="02EC3C21">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20家≤参与评标价平均值计算的投标人数量＜40家时，n1=3，n2=3；</w:t>
            </w:r>
          </w:p>
          <w:p w14:paraId="0ABAA53C">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40家≤参与评标价平均值计算的投标人数量＜60家时，n1=4，n2=4；</w:t>
            </w:r>
          </w:p>
          <w:p w14:paraId="747B9AF4">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参与评标价平均值计算的投标人数量≥60家时，n1=5，n2=5。</w:t>
            </w:r>
          </w:p>
          <w:p w14:paraId="6810FB07">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（3）评标基准价的确定：</w:t>
            </w:r>
          </w:p>
          <w:p w14:paraId="161D3DE6">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采取随机抽取的方式从下列方法中确定评标基准价的计算方法：</w:t>
            </w:r>
          </w:p>
          <w:p w14:paraId="6752F64B">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方法一：评标价平均值直接作为评标基准价P。</w:t>
            </w:r>
          </w:p>
          <w:p w14:paraId="0C0D6777">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方法二：评标价平均值乘以评标基准价系数K，作为评标基准价P。评标基准价系数K取值范围为0.975、0.980、0.985、0.990、0.995，在开标现场随机抽取确定。</w:t>
            </w:r>
          </w:p>
          <w:p w14:paraId="25C6D5CA">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方法三：投标人评标价的中位数作为评标基准价P。</w:t>
            </w:r>
          </w:p>
          <w:p w14:paraId="78899C4F">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中位数：把所有评标价（除按第二章“投标人须知”第5.2.4项规定开标现场被宣布为不进入评标基准价计算的投标报价之外）按高低排序后找出正中间的一个作为中位数。如果评标价为偶数个，取最中间的两个数值的平均值作为中位数。</w:t>
            </w:r>
          </w:p>
          <w:p w14:paraId="0B7785C8">
            <w:pPr>
              <w:snapToGrid w:val="0"/>
              <w:spacing w:line="320" w:lineRule="exact"/>
              <w:ind w:right="113"/>
              <w:rPr>
                <w:rFonts w:ascii="宋体" w:hAnsi="宋体" w:cs="宋体"/>
                <w:sz w:val="21"/>
                <w:szCs w:val="21"/>
                <w:highlight w:val="none"/>
              </w:rPr>
            </w:pPr>
            <w:r>
              <w:rPr>
                <w:rFonts w:hint="eastAsia" w:ascii="宋体" w:hAnsi="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7DE9F2FC">
            <w:pPr>
              <w:pStyle w:val="10"/>
              <w:snapToGrid w:val="0"/>
              <w:spacing w:line="320" w:lineRule="exact"/>
              <w:ind w:firstLine="420" w:firstLineChars="200"/>
              <w:jc w:val="both"/>
              <w:rPr>
                <w:sz w:val="21"/>
                <w:szCs w:val="21"/>
                <w:highlight w:val="none"/>
              </w:rPr>
            </w:pPr>
            <w:r>
              <w:rPr>
                <w:rFonts w:hint="eastAsia"/>
                <w:sz w:val="21"/>
                <w:szCs w:val="21"/>
                <w:highlight w:val="none"/>
              </w:rPr>
              <w:t>评标基准价保留小数点后两位，小数点后第三位四舍五入。</w:t>
            </w:r>
          </w:p>
        </w:tc>
      </w:tr>
      <w:tr w14:paraId="592D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398" w:type="pct"/>
            <w:vAlign w:val="center"/>
          </w:tcPr>
          <w:p w14:paraId="00B79DF5">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2.2.3</w:t>
            </w:r>
          </w:p>
        </w:tc>
        <w:tc>
          <w:tcPr>
            <w:tcW w:w="708" w:type="pct"/>
            <w:vAlign w:val="center"/>
          </w:tcPr>
          <w:p w14:paraId="7A2D8B74">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评标价的偏差率计算公式</w:t>
            </w:r>
          </w:p>
        </w:tc>
        <w:tc>
          <w:tcPr>
            <w:tcW w:w="3892" w:type="pct"/>
            <w:vAlign w:val="center"/>
          </w:tcPr>
          <w:p w14:paraId="40371C99">
            <w:pPr>
              <w:snapToGrid w:val="0"/>
              <w:spacing w:line="320" w:lineRule="exact"/>
              <w:jc w:val="left"/>
              <w:rPr>
                <w:rFonts w:ascii="宋体" w:hAnsi="宋体" w:cs="宋体"/>
                <w:sz w:val="21"/>
                <w:szCs w:val="21"/>
                <w:highlight w:val="none"/>
              </w:rPr>
            </w:pPr>
            <w:r>
              <w:rPr>
                <w:rFonts w:hint="eastAsia" w:ascii="宋体" w:hAnsi="宋体" w:cs="宋体"/>
                <w:sz w:val="21"/>
                <w:szCs w:val="21"/>
                <w:highlight w:val="none"/>
              </w:rPr>
              <w:t>/</w:t>
            </w:r>
          </w:p>
        </w:tc>
      </w:tr>
      <w:tr w14:paraId="2B9D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398" w:type="pct"/>
            <w:vAlign w:val="center"/>
          </w:tcPr>
          <w:p w14:paraId="6EBEAB22">
            <w:pPr>
              <w:autoSpaceDE w:val="0"/>
              <w:autoSpaceDN w:val="0"/>
              <w:snapToGrid w:val="0"/>
              <w:spacing w:line="320" w:lineRule="exact"/>
              <w:ind w:right="11"/>
              <w:jc w:val="center"/>
              <w:rPr>
                <w:rFonts w:ascii="宋体" w:hAnsi="宋体" w:cs="宋体"/>
                <w:sz w:val="21"/>
                <w:szCs w:val="21"/>
                <w:highlight w:val="none"/>
              </w:rPr>
            </w:pPr>
            <w:r>
              <w:rPr>
                <w:rFonts w:hint="eastAsia" w:ascii="宋体" w:hAnsi="宋体" w:cs="宋体"/>
                <w:sz w:val="21"/>
                <w:szCs w:val="21"/>
                <w:highlight w:val="none"/>
              </w:rPr>
              <w:t>2.2.4</w:t>
            </w:r>
          </w:p>
        </w:tc>
        <w:tc>
          <w:tcPr>
            <w:tcW w:w="708" w:type="pct"/>
            <w:vAlign w:val="center"/>
          </w:tcPr>
          <w:p w14:paraId="77E6AAF4">
            <w:pPr>
              <w:autoSpaceDE w:val="0"/>
              <w:autoSpaceDN w:val="0"/>
              <w:snapToGrid w:val="0"/>
              <w:spacing w:line="320" w:lineRule="exact"/>
              <w:jc w:val="center"/>
              <w:rPr>
                <w:rFonts w:ascii="宋体" w:hAnsi="宋体" w:cs="宋体"/>
                <w:sz w:val="21"/>
                <w:szCs w:val="21"/>
                <w:highlight w:val="none"/>
              </w:rPr>
            </w:pPr>
            <w:r>
              <w:rPr>
                <w:rFonts w:hint="eastAsia" w:ascii="宋体" w:hAnsi="宋体" w:cs="宋体"/>
                <w:kern w:val="0"/>
                <w:sz w:val="21"/>
                <w:szCs w:val="21"/>
                <w:highlight w:val="none"/>
              </w:rPr>
              <w:t>评标价</w:t>
            </w:r>
          </w:p>
          <w:p w14:paraId="2A780287">
            <w:pPr>
              <w:autoSpaceDE w:val="0"/>
              <w:autoSpaceDN w:val="0"/>
              <w:snapToGrid w:val="0"/>
              <w:spacing w:line="320" w:lineRule="exact"/>
              <w:ind w:left="2" w:right="2"/>
              <w:jc w:val="center"/>
              <w:rPr>
                <w:rFonts w:ascii="宋体" w:hAnsi="宋体" w:cs="宋体"/>
                <w:sz w:val="21"/>
                <w:szCs w:val="21"/>
                <w:highlight w:val="none"/>
              </w:rPr>
            </w:pPr>
            <w:r>
              <w:rPr>
                <w:rFonts w:hint="eastAsia" w:ascii="宋体" w:hAnsi="宋体" w:cs="宋体"/>
                <w:kern w:val="0"/>
                <w:sz w:val="21"/>
                <w:szCs w:val="21"/>
                <w:highlight w:val="none"/>
              </w:rPr>
              <w:t>100分</w:t>
            </w:r>
          </w:p>
        </w:tc>
        <w:tc>
          <w:tcPr>
            <w:tcW w:w="3892" w:type="pct"/>
            <w:vAlign w:val="center"/>
          </w:tcPr>
          <w:p w14:paraId="3168965A">
            <w:pPr>
              <w:pStyle w:val="4"/>
              <w:snapToGrid w:val="0"/>
              <w:spacing w:line="320" w:lineRule="exact"/>
              <w:jc w:val="left"/>
              <w:rPr>
                <w:rFonts w:hAnsi="宋体" w:cs="宋体"/>
                <w:szCs w:val="21"/>
                <w:highlight w:val="none"/>
              </w:rPr>
            </w:pPr>
            <w:r>
              <w:rPr>
                <w:rFonts w:hint="eastAsia" w:hAnsi="宋体" w:cs="宋体"/>
                <w:szCs w:val="21"/>
                <w:highlight w:val="none"/>
              </w:rPr>
              <w:t>评标价得分计算公式：</w:t>
            </w:r>
          </w:p>
          <w:p w14:paraId="3DD2D1FB">
            <w:pPr>
              <w:snapToGrid w:val="0"/>
              <w:spacing w:line="320" w:lineRule="exact"/>
              <w:ind w:firstLine="321" w:firstLineChars="153"/>
              <w:jc w:val="left"/>
              <w:rPr>
                <w:rFonts w:ascii="宋体" w:hAnsi="宋体" w:cs="宋体"/>
                <w:bCs/>
                <w:sz w:val="21"/>
                <w:szCs w:val="21"/>
                <w:highlight w:val="none"/>
              </w:rPr>
            </w:pPr>
            <w:r>
              <w:rPr>
                <w:rFonts w:hint="eastAsia" w:ascii="宋体" w:hAnsi="宋体" w:cs="宋体"/>
                <w:bCs/>
                <w:sz w:val="21"/>
                <w:szCs w:val="21"/>
                <w:highlight w:val="none"/>
              </w:rPr>
              <w:t>a.如果投标人的评标价＞评标基准价，则评标价得分＝100－</w:t>
            </w:r>
            <w:r>
              <w:rPr>
                <w:rFonts w:hint="eastAsia" w:ascii="宋体" w:hAnsi="宋体" w:cs="宋体"/>
                <w:sz w:val="21"/>
                <w:szCs w:val="21"/>
                <w:highlight w:val="none"/>
              </w:rPr>
              <w:t>（评标价－评标基准价）/评标基准价</w:t>
            </w:r>
            <w:r>
              <w:rPr>
                <w:rFonts w:hint="eastAsia" w:ascii="宋体" w:hAnsi="宋体" w:cs="宋体"/>
                <w:bCs/>
                <w:sz w:val="21"/>
                <w:szCs w:val="21"/>
                <w:highlight w:val="none"/>
              </w:rPr>
              <w:t>×100×E1；</w:t>
            </w:r>
          </w:p>
          <w:p w14:paraId="06893C72">
            <w:pPr>
              <w:snapToGrid w:val="0"/>
              <w:spacing w:line="320" w:lineRule="exact"/>
              <w:ind w:firstLine="321" w:firstLineChars="153"/>
              <w:jc w:val="left"/>
              <w:rPr>
                <w:rFonts w:ascii="宋体" w:hAnsi="宋体" w:cs="宋体"/>
                <w:bCs/>
                <w:sz w:val="21"/>
                <w:szCs w:val="21"/>
                <w:highlight w:val="none"/>
              </w:rPr>
            </w:pPr>
            <w:r>
              <w:rPr>
                <w:rFonts w:hint="eastAsia" w:ascii="宋体" w:hAnsi="宋体" w:cs="宋体"/>
                <w:bCs/>
                <w:sz w:val="21"/>
                <w:szCs w:val="21"/>
                <w:highlight w:val="none"/>
              </w:rPr>
              <w:t>b.如果投标人的评标价≤评标基准价，则评标价得分＝100＋</w:t>
            </w:r>
            <w:r>
              <w:rPr>
                <w:rFonts w:hint="eastAsia" w:ascii="宋体" w:hAnsi="宋体" w:cs="宋体"/>
                <w:sz w:val="21"/>
                <w:szCs w:val="21"/>
                <w:highlight w:val="none"/>
              </w:rPr>
              <w:t>（评标价－评标基准价）/评标基准价</w:t>
            </w:r>
            <w:r>
              <w:rPr>
                <w:rFonts w:hint="eastAsia" w:ascii="宋体" w:hAnsi="宋体" w:cs="宋体"/>
                <w:bCs/>
                <w:sz w:val="21"/>
                <w:szCs w:val="21"/>
                <w:highlight w:val="none"/>
              </w:rPr>
              <w:t>×100×E2；</w:t>
            </w:r>
          </w:p>
          <w:p w14:paraId="7EF44249">
            <w:pPr>
              <w:pStyle w:val="4"/>
              <w:snapToGrid w:val="0"/>
              <w:spacing w:line="320" w:lineRule="exact"/>
              <w:jc w:val="left"/>
              <w:rPr>
                <w:rFonts w:hAnsi="宋体" w:cs="宋体"/>
                <w:szCs w:val="21"/>
                <w:highlight w:val="none"/>
              </w:rPr>
            </w:pPr>
            <w:r>
              <w:rPr>
                <w:rFonts w:hint="eastAsia" w:hAnsi="宋体" w:cs="宋体"/>
                <w:bCs/>
                <w:szCs w:val="21"/>
                <w:highlight w:val="none"/>
              </w:rPr>
              <w:t>其中，E1是评标价每高于评标基准价一个百分点的扣分值，E1＝2；E2是评标价每低于评标基准价一个百分点的扣分值，E2＝1。</w:t>
            </w:r>
          </w:p>
          <w:p w14:paraId="635CCD30">
            <w:pPr>
              <w:pStyle w:val="4"/>
              <w:snapToGrid w:val="0"/>
              <w:spacing w:line="320" w:lineRule="exact"/>
              <w:jc w:val="left"/>
              <w:rPr>
                <w:rFonts w:hAnsi="宋体" w:cs="宋体"/>
                <w:szCs w:val="21"/>
                <w:highlight w:val="none"/>
              </w:rPr>
            </w:pPr>
            <w:r>
              <w:rPr>
                <w:rFonts w:hint="eastAsia" w:hAnsi="宋体" w:cs="宋体"/>
                <w:szCs w:val="21"/>
                <w:highlight w:val="none"/>
              </w:rPr>
              <w:t>注：评标价得分保留小数点后两位，小数点后第三位四舍五入。</w:t>
            </w:r>
          </w:p>
        </w:tc>
      </w:tr>
      <w:tr w14:paraId="4CC3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752" w:type="dxa"/>
            <w:vAlign w:val="center"/>
          </w:tcPr>
          <w:p w14:paraId="2911DEC5">
            <w:pPr>
              <w:snapToGrid w:val="0"/>
              <w:spacing w:line="320" w:lineRule="exact"/>
              <w:jc w:val="center"/>
              <w:rPr>
                <w:rFonts w:ascii="宋体" w:hAnsi="宋体" w:cs="宋体"/>
                <w:sz w:val="21"/>
                <w:szCs w:val="21"/>
                <w:highlight w:val="none"/>
              </w:rPr>
            </w:pPr>
            <w:r>
              <w:rPr>
                <w:rFonts w:hint="eastAsia" w:ascii="宋体" w:hAnsi="宋体"/>
                <w:sz w:val="21"/>
                <w:szCs w:val="21"/>
                <w:highlight w:val="none"/>
              </w:rPr>
              <w:t>3.4.3</w:t>
            </w:r>
          </w:p>
        </w:tc>
        <w:tc>
          <w:tcPr>
            <w:tcW w:w="1335" w:type="dxa"/>
            <w:vAlign w:val="center"/>
          </w:tcPr>
          <w:p w14:paraId="16EACDEC">
            <w:pPr>
              <w:snapToGrid w:val="0"/>
              <w:spacing w:line="320" w:lineRule="exact"/>
              <w:jc w:val="center"/>
              <w:rPr>
                <w:rFonts w:ascii="宋体" w:hAnsi="宋体" w:cs="宋体"/>
                <w:kern w:val="0"/>
                <w:sz w:val="21"/>
                <w:szCs w:val="21"/>
                <w:highlight w:val="none"/>
              </w:rPr>
            </w:pPr>
            <w:r>
              <w:rPr>
                <w:rFonts w:hint="eastAsia" w:ascii="宋体" w:hAnsi="宋体"/>
                <w:sz w:val="21"/>
                <w:szCs w:val="21"/>
                <w:highlight w:val="none"/>
              </w:rPr>
              <w:t>异常低价</w:t>
            </w:r>
          </w:p>
        </w:tc>
        <w:tc>
          <w:tcPr>
            <w:tcW w:w="7336" w:type="dxa"/>
            <w:vAlign w:val="center"/>
          </w:tcPr>
          <w:p w14:paraId="78D349B3">
            <w:pPr>
              <w:snapToGrid w:val="0"/>
              <w:spacing w:line="320" w:lineRule="exact"/>
              <w:rPr>
                <w:rFonts w:ascii="宋体" w:hAnsi="宋体"/>
                <w:sz w:val="21"/>
                <w:szCs w:val="21"/>
                <w:highlight w:val="none"/>
              </w:rPr>
            </w:pPr>
            <w:r>
              <w:rPr>
                <w:rFonts w:hint="eastAsia" w:ascii="宋体" w:hAnsi="宋体"/>
                <w:sz w:val="21"/>
                <w:szCs w:val="21"/>
                <w:highlight w:val="none"/>
              </w:rPr>
              <w:t>本款修改为：</w:t>
            </w:r>
          </w:p>
          <w:p w14:paraId="6FBDEDB2">
            <w:pPr>
              <w:snapToGrid w:val="0"/>
              <w:spacing w:line="320" w:lineRule="exact"/>
              <w:rPr>
                <w:rFonts w:ascii="宋体" w:hAnsi="宋体" w:cs="宋体"/>
                <w:sz w:val="21"/>
                <w:szCs w:val="21"/>
                <w:highlight w:val="none"/>
              </w:rPr>
            </w:pPr>
            <w:r>
              <w:rPr>
                <w:rFonts w:hint="eastAsia" w:ascii="宋体" w:hAnsi="宋体"/>
                <w:sz w:val="21"/>
                <w:szCs w:val="21"/>
                <w:highlight w:val="none"/>
              </w:rPr>
              <w:t>投标人存在投标人须知前附表3.2.9（2）项情形的，评标委员会应当要求投标人在规定时间内作出书面说明并提供相应的证明材料。投标人不能合理说明或者不能提供相应证明材料的，评标委员会应当认定该投标人以低于成本或影响履约的异常低价竞标，否决其投标。</w:t>
            </w:r>
          </w:p>
        </w:tc>
      </w:tr>
      <w:tr w14:paraId="619F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jc w:val="center"/>
        </w:trPr>
        <w:tc>
          <w:tcPr>
            <w:tcW w:w="398" w:type="pct"/>
            <w:vAlign w:val="center"/>
          </w:tcPr>
          <w:p w14:paraId="1E5FBE54">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3.5.1</w:t>
            </w:r>
          </w:p>
        </w:tc>
        <w:tc>
          <w:tcPr>
            <w:tcW w:w="708" w:type="pct"/>
            <w:vAlign w:val="center"/>
          </w:tcPr>
          <w:p w14:paraId="44A3541C">
            <w:pPr>
              <w:adjustRightInd w:val="0"/>
              <w:snapToGrid w:val="0"/>
              <w:spacing w:line="320" w:lineRule="exact"/>
              <w:jc w:val="center"/>
              <w:rPr>
                <w:rFonts w:ascii="宋体" w:hAnsi="宋体" w:cs="宋体"/>
                <w:sz w:val="21"/>
                <w:szCs w:val="21"/>
                <w:highlight w:val="none"/>
              </w:rPr>
            </w:pPr>
            <w:r>
              <w:rPr>
                <w:rFonts w:hint="eastAsia" w:ascii="宋体" w:hAnsi="宋体" w:cs="宋体"/>
                <w:bCs/>
                <w:sz w:val="21"/>
                <w:szCs w:val="21"/>
                <w:highlight w:val="none"/>
              </w:rPr>
              <w:t>投标文件相关信息的核查</w:t>
            </w:r>
          </w:p>
        </w:tc>
        <w:tc>
          <w:tcPr>
            <w:tcW w:w="3892" w:type="pct"/>
            <w:vAlign w:val="center"/>
          </w:tcPr>
          <w:p w14:paraId="22C566E8">
            <w:pPr>
              <w:autoSpaceDE w:val="0"/>
              <w:autoSpaceDN w:val="0"/>
              <w:snapToGrid w:val="0"/>
              <w:spacing w:line="320" w:lineRule="exact"/>
              <w:rPr>
                <w:rFonts w:ascii="宋体" w:hAnsi="宋体" w:cs="宋体"/>
                <w:sz w:val="21"/>
                <w:szCs w:val="21"/>
                <w:highlight w:val="none"/>
              </w:rPr>
            </w:pPr>
            <w:r>
              <w:rPr>
                <w:rFonts w:hint="eastAsia" w:ascii="宋体" w:hAnsi="宋体" w:cs="宋体"/>
                <w:sz w:val="21"/>
                <w:szCs w:val="21"/>
                <w:highlight w:val="none"/>
              </w:rPr>
              <w:t>本款修改为：</w:t>
            </w:r>
          </w:p>
          <w:p w14:paraId="0D33DE7C">
            <w:pPr>
              <w:autoSpaceDE w:val="0"/>
              <w:autoSpaceDN w:val="0"/>
              <w:snapToGrid w:val="0"/>
              <w:spacing w:line="320" w:lineRule="exact"/>
              <w:ind w:firstLine="420" w:firstLineChars="200"/>
              <w:rPr>
                <w:rFonts w:ascii="宋体" w:hAnsi="宋体"/>
                <w:sz w:val="21"/>
                <w:szCs w:val="21"/>
                <w:highlight w:val="none"/>
              </w:rPr>
            </w:pPr>
            <w:r>
              <w:rPr>
                <w:rFonts w:hint="eastAsia" w:ascii="宋体" w:hAnsi="宋体"/>
                <w:sz w:val="21"/>
                <w:szCs w:val="21"/>
                <w:highlight w:val="none"/>
              </w:rPr>
              <w:t>在评标过程中，评标委员会应对以下信息进行查询：</w:t>
            </w:r>
          </w:p>
          <w:p w14:paraId="7D340A42">
            <w:pPr>
              <w:autoSpaceDE w:val="0"/>
              <w:autoSpaceDN w:val="0"/>
              <w:snapToGrid w:val="0"/>
              <w:spacing w:line="320" w:lineRule="exact"/>
              <w:ind w:firstLine="420" w:firstLineChars="200"/>
              <w:rPr>
                <w:rFonts w:ascii="宋体" w:hAnsi="宋体"/>
                <w:sz w:val="21"/>
                <w:szCs w:val="21"/>
                <w:highlight w:val="none"/>
              </w:rPr>
            </w:pPr>
            <w:r>
              <w:rPr>
                <w:rFonts w:hint="eastAsia" w:ascii="宋体" w:hAnsi="宋体"/>
                <w:sz w:val="21"/>
                <w:szCs w:val="21"/>
                <w:highlight w:val="none"/>
              </w:rPr>
              <w:t>（1）</w:t>
            </w:r>
            <w:r>
              <w:rPr>
                <w:rFonts w:hint="eastAsia" w:ascii="宋体" w:hAnsi="宋体" w:cs="宋体"/>
                <w:color w:val="000000" w:themeColor="text1"/>
                <w:sz w:val="21"/>
                <w:szCs w:val="21"/>
                <w:highlight w:val="none"/>
                <w14:textFill>
                  <w14:solidFill>
                    <w14:schemeClr w14:val="tx1"/>
                  </w14:solidFill>
                </w14:textFill>
              </w:rPr>
              <w:t>如项目经理为一级注册建造师，一级注册建造师证书评标委员会在“全国建筑市场监管公共服务平台”查询复核，复核结果与投标人所附信息不一致的，评标委员会应否决其投标。</w:t>
            </w:r>
          </w:p>
          <w:p w14:paraId="02418383">
            <w:pPr>
              <w:autoSpaceDE w:val="0"/>
              <w:autoSpaceDN w:val="0"/>
              <w:snapToGrid w:val="0"/>
              <w:spacing w:line="320" w:lineRule="exact"/>
              <w:ind w:firstLine="420" w:firstLineChars="200"/>
              <w:rPr>
                <w:rFonts w:ascii="宋体" w:hAnsi="宋体"/>
                <w:sz w:val="21"/>
                <w:szCs w:val="21"/>
                <w:highlight w:val="none"/>
              </w:rPr>
            </w:pPr>
            <w:r>
              <w:rPr>
                <w:rFonts w:hint="eastAsia" w:ascii="宋体" w:hAnsi="宋体"/>
                <w:sz w:val="21"/>
                <w:szCs w:val="21"/>
                <w:highlight w:val="none"/>
              </w:rPr>
              <w:t>（2）投标人信用情况网页截图内容与在“国家企业信用信息公示系统”中严重违法失信名单（黑名单）（不含分公司）或在“信用中国”网站中经营（活动）异常名录、重大税收违法失信主体名单、政府采购严重违法失信行为记录名单（均不含分公司）或在中国执行信息公开网（zxgk.court.gov.cn）中失信被执行人（不含分公司）的复核结果一致。如投标人未提供相关网页截图或所附截图与复核结果不一致导致不能满足资格评审要求的，评标委员会应否决其投标。</w:t>
            </w:r>
          </w:p>
          <w:p w14:paraId="084477F7">
            <w:pPr>
              <w:autoSpaceDE w:val="0"/>
              <w:autoSpaceDN w:val="0"/>
              <w:snapToGrid w:val="0"/>
              <w:spacing w:line="320" w:lineRule="exact"/>
              <w:ind w:firstLine="420" w:firstLineChars="200"/>
              <w:rPr>
                <w:rFonts w:ascii="宋体" w:hAnsi="宋体" w:cs="宋体"/>
                <w:sz w:val="21"/>
                <w:szCs w:val="21"/>
                <w:highlight w:val="none"/>
              </w:rPr>
            </w:pPr>
            <w:r>
              <w:rPr>
                <w:rFonts w:hint="eastAsia" w:ascii="宋体" w:hAnsi="宋体"/>
                <w:sz w:val="21"/>
                <w:szCs w:val="21"/>
                <w:highlight w:val="none"/>
              </w:rPr>
              <w:t>（3）评标委员会在评标时按照投标人提供的验证方式对电子保函或电子保证保险进行验证。如投标人未提供电子保函或电子保证保险的验证方式，或根据提供的验证方式无法核实的，评标委员会应否决其投标。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39E1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52" w:type="dxa"/>
            <w:vAlign w:val="center"/>
          </w:tcPr>
          <w:p w14:paraId="5422986E">
            <w:pPr>
              <w:adjustRightInd w:val="0"/>
              <w:snapToGrid w:val="0"/>
              <w:spacing w:line="320" w:lineRule="exact"/>
              <w:jc w:val="center"/>
              <w:rPr>
                <w:rFonts w:ascii="宋体" w:hAnsi="宋体" w:cs="宋体"/>
                <w:sz w:val="21"/>
                <w:szCs w:val="21"/>
                <w:highlight w:val="none"/>
              </w:rPr>
            </w:pPr>
            <w:r>
              <w:rPr>
                <w:rFonts w:hint="eastAsia" w:ascii="宋体" w:hAnsi="宋体"/>
                <w:sz w:val="21"/>
                <w:szCs w:val="21"/>
                <w:highlight w:val="none"/>
              </w:rPr>
              <w:t>增加3.5.3</w:t>
            </w:r>
          </w:p>
        </w:tc>
        <w:tc>
          <w:tcPr>
            <w:tcW w:w="1335" w:type="dxa"/>
            <w:vAlign w:val="center"/>
          </w:tcPr>
          <w:p w14:paraId="2715822A">
            <w:pPr>
              <w:adjustRightInd w:val="0"/>
              <w:snapToGrid w:val="0"/>
              <w:spacing w:line="320" w:lineRule="exact"/>
              <w:jc w:val="center"/>
              <w:rPr>
                <w:rFonts w:ascii="宋体" w:hAnsi="宋体" w:cs="宋体"/>
                <w:bCs/>
                <w:sz w:val="21"/>
                <w:szCs w:val="21"/>
                <w:highlight w:val="none"/>
              </w:rPr>
            </w:pPr>
            <w:r>
              <w:rPr>
                <w:rFonts w:hint="eastAsia" w:ascii="宋体" w:hAnsi="宋体"/>
                <w:sz w:val="21"/>
                <w:szCs w:val="21"/>
                <w:highlight w:val="none"/>
              </w:rPr>
              <w:t>投标人其他异常投标情形</w:t>
            </w:r>
          </w:p>
        </w:tc>
        <w:tc>
          <w:tcPr>
            <w:tcW w:w="7336" w:type="dxa"/>
            <w:vAlign w:val="center"/>
          </w:tcPr>
          <w:p w14:paraId="0D99E755">
            <w:pPr>
              <w:snapToGrid w:val="0"/>
              <w:spacing w:line="320" w:lineRule="exact"/>
              <w:rPr>
                <w:rFonts w:ascii="宋体" w:hAnsi="宋体"/>
                <w:sz w:val="21"/>
                <w:szCs w:val="21"/>
                <w:highlight w:val="none"/>
              </w:rPr>
            </w:pPr>
            <w:r>
              <w:rPr>
                <w:rFonts w:hint="eastAsia" w:ascii="宋体" w:hAnsi="宋体"/>
                <w:sz w:val="21"/>
                <w:szCs w:val="21"/>
                <w:highlight w:val="none"/>
              </w:rPr>
              <w:t>1.投标人不存在投标人须知前附表4.4（1）、（3）情形。</w:t>
            </w:r>
          </w:p>
          <w:p w14:paraId="3930731D">
            <w:pPr>
              <w:snapToGrid w:val="0"/>
              <w:spacing w:line="320" w:lineRule="exact"/>
              <w:rPr>
                <w:rFonts w:ascii="宋体" w:hAnsi="宋体" w:cs="宋体"/>
                <w:sz w:val="21"/>
                <w:szCs w:val="21"/>
                <w:highlight w:val="none"/>
              </w:rPr>
            </w:pPr>
            <w:r>
              <w:rPr>
                <w:rFonts w:hint="eastAsia" w:ascii="宋体" w:hAnsi="宋体"/>
                <w:sz w:val="21"/>
                <w:szCs w:val="21"/>
                <w:highlight w:val="none"/>
              </w:rPr>
              <w:t>2.投标人存在投标人须知前附表4.4（2）情形的，评标委员会应当要求投标人作出解释说明。</w:t>
            </w:r>
            <w:r>
              <w:rPr>
                <w:rFonts w:hint="eastAsia" w:ascii="宋体" w:hAnsi="宋体"/>
                <w:color w:val="000000" w:themeColor="text1"/>
                <w:sz w:val="21"/>
                <w:szCs w:val="21"/>
                <w:highlight w:val="none"/>
                <w14:textFill>
                  <w14:solidFill>
                    <w14:schemeClr w14:val="tx1"/>
                  </w14:solidFill>
                </w14:textFill>
              </w:rPr>
              <w:t>评标委员会经核查确认属于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14:textFill>
                  <w14:solidFill>
                    <w14:schemeClr w14:val="tx1"/>
                  </w14:solidFill>
                </w14:textFill>
              </w:rPr>
              <w:t>的，应否决其投标</w:t>
            </w:r>
            <w:r>
              <w:rPr>
                <w:rFonts w:hint="eastAsia" w:ascii="宋体" w:hAnsi="宋体"/>
                <w:sz w:val="21"/>
                <w:szCs w:val="21"/>
                <w:highlight w:val="none"/>
              </w:rPr>
              <w:t>。</w:t>
            </w:r>
          </w:p>
        </w:tc>
      </w:tr>
      <w:tr w14:paraId="1A78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98" w:type="pct"/>
            <w:vAlign w:val="center"/>
          </w:tcPr>
          <w:p w14:paraId="0DBDD7FF">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3.8.1</w:t>
            </w:r>
          </w:p>
        </w:tc>
        <w:tc>
          <w:tcPr>
            <w:tcW w:w="708" w:type="pct"/>
            <w:vAlign w:val="center"/>
          </w:tcPr>
          <w:p w14:paraId="40B13EB9">
            <w:pPr>
              <w:adjustRightInd w:val="0"/>
              <w:snapToGrid w:val="0"/>
              <w:spacing w:line="320" w:lineRule="exact"/>
              <w:jc w:val="center"/>
              <w:rPr>
                <w:rFonts w:ascii="宋体" w:hAnsi="宋体" w:cs="宋体"/>
                <w:bCs/>
                <w:sz w:val="21"/>
                <w:szCs w:val="21"/>
                <w:highlight w:val="none"/>
              </w:rPr>
            </w:pPr>
            <w:r>
              <w:rPr>
                <w:rFonts w:hint="eastAsia" w:ascii="宋体" w:hAnsi="宋体" w:cs="宋体"/>
                <w:bCs/>
                <w:sz w:val="21"/>
                <w:szCs w:val="21"/>
                <w:highlight w:val="none"/>
              </w:rPr>
              <w:t>评标结果</w:t>
            </w:r>
          </w:p>
        </w:tc>
        <w:tc>
          <w:tcPr>
            <w:tcW w:w="3892" w:type="pct"/>
            <w:vAlign w:val="center"/>
          </w:tcPr>
          <w:p w14:paraId="4B581F73">
            <w:pPr>
              <w:autoSpaceDE w:val="0"/>
              <w:autoSpaceDN w:val="0"/>
              <w:snapToGrid w:val="0"/>
              <w:spacing w:line="320" w:lineRule="exact"/>
              <w:rPr>
                <w:rFonts w:ascii="宋体" w:hAnsi="宋体" w:cs="宋体"/>
                <w:sz w:val="21"/>
                <w:szCs w:val="21"/>
                <w:highlight w:val="none"/>
              </w:rPr>
            </w:pPr>
            <w:r>
              <w:rPr>
                <w:rFonts w:hint="eastAsia" w:ascii="宋体" w:hAnsi="宋体" w:cs="宋体"/>
                <w:sz w:val="21"/>
                <w:szCs w:val="21"/>
                <w:highlight w:val="none"/>
              </w:rPr>
              <w:t>评标委员会按照评标办法前附表“1.评标办法”的规定推荐中标候选人</w:t>
            </w:r>
          </w:p>
        </w:tc>
      </w:tr>
      <w:tr w14:paraId="6DF3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3"/>
            <w:vAlign w:val="center"/>
          </w:tcPr>
          <w:p w14:paraId="5B7D786F">
            <w:pPr>
              <w:snapToGrid w:val="0"/>
              <w:spacing w:line="320" w:lineRule="exact"/>
              <w:ind w:right="113"/>
              <w:rPr>
                <w:rFonts w:ascii="宋体" w:hAnsi="宋体" w:cs="宋体"/>
                <w:bCs/>
                <w:sz w:val="21"/>
                <w:szCs w:val="21"/>
                <w:highlight w:val="none"/>
              </w:rPr>
            </w:pPr>
            <w:r>
              <w:rPr>
                <w:rFonts w:hint="eastAsia" w:ascii="宋体" w:hAnsi="宋体" w:cs="宋体"/>
                <w:sz w:val="21"/>
                <w:szCs w:val="21"/>
                <w:highlight w:val="none"/>
              </w:rPr>
              <w:t>需要补充的其他内容：</w:t>
            </w:r>
          </w:p>
        </w:tc>
      </w:tr>
      <w:tr w14:paraId="652C0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6" w:hRule="exact"/>
          <w:jc w:val="center"/>
        </w:trPr>
        <w:tc>
          <w:tcPr>
            <w:tcW w:w="5000" w:type="pct"/>
            <w:gridSpan w:val="3"/>
            <w:vAlign w:val="center"/>
          </w:tcPr>
          <w:p w14:paraId="1A7BE762">
            <w:pPr>
              <w:autoSpaceDE w:val="0"/>
              <w:autoSpaceDN w:val="0"/>
              <w:snapToGrid w:val="0"/>
              <w:spacing w:line="320" w:lineRule="exact"/>
              <w:ind w:right="11" w:firstLine="210" w:firstLineChars="100"/>
              <w:rPr>
                <w:rFonts w:ascii="宋体" w:hAnsi="宋体" w:cs="宋体"/>
                <w:b/>
                <w:kern w:val="0"/>
                <w:sz w:val="21"/>
                <w:szCs w:val="21"/>
                <w:highlight w:val="none"/>
              </w:rPr>
            </w:pPr>
            <w:r>
              <w:rPr>
                <w:rFonts w:hint="eastAsia" w:ascii="宋体" w:hAnsi="宋体" w:cs="宋体"/>
                <w:bCs/>
                <w:kern w:val="0"/>
                <w:sz w:val="21"/>
                <w:szCs w:val="21"/>
                <w:highlight w:val="none"/>
              </w:rPr>
              <w:t>无</w:t>
            </w:r>
          </w:p>
        </w:tc>
      </w:tr>
      <w:bookmarkEnd w:id="7"/>
      <w:bookmarkEnd w:id="17"/>
      <w:bookmarkEnd w:id="26"/>
      <w:bookmarkEnd w:id="27"/>
    </w:tbl>
    <w:p w14:paraId="20A31123">
      <w:pPr>
        <w:pStyle w:val="2"/>
        <w:spacing w:before="0" w:after="0" w:line="360" w:lineRule="auto"/>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14E7"/>
    <w:rsid w:val="02206C66"/>
    <w:rsid w:val="4D8C14E7"/>
    <w:rsid w:val="54037DF4"/>
    <w:rsid w:val="64441F15"/>
    <w:rsid w:val="790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kern w:val="2"/>
      <w:szCs w:val="24"/>
    </w:rPr>
  </w:style>
  <w:style w:type="paragraph" w:styleId="4">
    <w:name w:val="Plain Text"/>
    <w:basedOn w:val="1"/>
    <w:qFormat/>
    <w:uiPriority w:val="0"/>
    <w:rPr>
      <w:rFonts w:ascii="宋体" w:hAnsi="Courier New"/>
      <w:kern w:val="2"/>
      <w:sz w:val="21"/>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styleId="8">
    <w:name w:val="Strong"/>
    <w:qFormat/>
    <w:uiPriority w:val="0"/>
    <w:rPr>
      <w:b/>
    </w:rPr>
  </w:style>
  <w:style w:type="paragraph" w:customStyle="1" w:styleId="9">
    <w:name w:val="方案正文"/>
    <w:basedOn w:val="1"/>
    <w:qFormat/>
    <w:uiPriority w:val="0"/>
    <w:pPr>
      <w:spacing w:line="560" w:lineRule="exact"/>
      <w:ind w:firstLine="200" w:firstLineChars="200"/>
    </w:pPr>
    <w:rPr>
      <w:rFonts w:eastAsia="仿宋_GB2312" w:cs="黑体"/>
      <w:sz w:val="32"/>
    </w:rPr>
  </w:style>
  <w:style w:type="paragraph" w:customStyle="1" w:styleId="10">
    <w:name w:val="Table Paragraph"/>
    <w:basedOn w:val="1"/>
    <w:autoRedefine/>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1845</Words>
  <Characters>1915</Characters>
  <Lines>0</Lines>
  <Paragraphs>0</Paragraphs>
  <TotalTime>31</TotalTime>
  <ScaleCrop>false</ScaleCrop>
  <LinksUpToDate>false</LinksUpToDate>
  <CharactersWithSpaces>1919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2026-05-18T09:47:00Z</dcterms:created>
  <dc:creator>无谓。</dc:creator>
  <cp:lastModifiedBy>李娜</cp:lastModifiedBy>
  <dcterms:modified xsi:type="dcterms:W3CDTF">2026-05-19T08:35:11Z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30B8F4B858354C8399D87D872CE89880_11</vt:lpwstr>
  </property>
  <property fmtid="{D5CDD505-2E9C-101B-9397-08002B2CF9AE}" pid="4" name="KSOTemplateDocerSaveRecord">
    <vt:lpwstr>eyJoZGlkIjoiOWYyZDYxNTJjZmI2NmVkYTMyOWVjMGFiZjEzZGM5NjgiLCJ1c2VySWQiOiIxNTI1NDExOTAzIn0=</vt:lpwstr>
  </property>
</Properties>
</file>