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94CE1">
      <w:pPr>
        <w:wordWrap w:val="0"/>
        <w:outlineLvl w:val="3"/>
        <w:rPr>
          <w:rFonts w:ascii="Times New Roman" w:hAnsi="Times New Roman" w:eastAsia="宋体" w:cs="Times New Roman"/>
          <w:b/>
          <w:color w:val="000000"/>
          <w:sz w:val="24"/>
          <w:szCs w:val="24"/>
          <w:highlight w:val="none"/>
        </w:rPr>
      </w:pPr>
      <w:bookmarkStart w:id="1" w:name="_GoBack"/>
      <w:bookmarkEnd w:id="1"/>
      <w:r>
        <w:rPr>
          <w:rFonts w:ascii="Times New Roman" w:hAnsi="Times New Roman" w:eastAsia="宋体" w:cs="Times New Roman"/>
          <w:b/>
          <w:color w:val="000000"/>
          <w:sz w:val="24"/>
          <w:szCs w:val="24"/>
          <w:highlight w:val="none"/>
        </w:rPr>
        <w:t>附件1：</w:t>
      </w:r>
      <w:bookmarkStart w:id="0" w:name="_Toc404712451"/>
      <w:r>
        <w:rPr>
          <w:rFonts w:ascii="Times New Roman" w:hAnsi="Times New Roman" w:eastAsia="宋体" w:cs="Times New Roman"/>
          <w:b/>
          <w:color w:val="000000"/>
          <w:sz w:val="24"/>
          <w:szCs w:val="24"/>
          <w:highlight w:val="none"/>
        </w:rPr>
        <w:t>资格审查条件</w:t>
      </w:r>
      <w:bookmarkEnd w:id="0"/>
    </w:p>
    <w:p w14:paraId="1DCCD1D3">
      <w:pPr>
        <w:wordWrap w:val="0"/>
        <w:rPr>
          <w:rFonts w:ascii="Times New Roman" w:hAnsi="Times New Roman" w:eastAsia="宋体" w:cs="Times New Roman"/>
          <w:b/>
          <w:color w:val="000000"/>
          <w:sz w:val="28"/>
          <w:szCs w:val="28"/>
          <w:highlight w:val="none"/>
        </w:rPr>
      </w:pPr>
    </w:p>
    <w:p w14:paraId="490790BA">
      <w:pPr>
        <w:wordWrap w:val="0"/>
        <w:jc w:val="center"/>
        <w:rPr>
          <w:rFonts w:ascii="Times New Roman" w:hAnsi="Times New Roman" w:eastAsia="宋体" w:cs="Times New Roman"/>
          <w:color w:val="000000"/>
          <w:szCs w:val="22"/>
          <w:highlight w:val="none"/>
        </w:rPr>
      </w:pPr>
      <w:r>
        <w:rPr>
          <w:rFonts w:ascii="Times New Roman" w:hAnsi="Times New Roman" w:eastAsia="宋体" w:cs="Times New Roman"/>
          <w:b/>
          <w:color w:val="000000"/>
          <w:sz w:val="24"/>
          <w:szCs w:val="22"/>
          <w:highlight w:val="none"/>
        </w:rPr>
        <w:t>附录1  资格审查条件（资质最低要求）</w:t>
      </w:r>
    </w:p>
    <w:tbl>
      <w:tblPr>
        <w:tblStyle w:val="4"/>
        <w:tblpPr w:leftFromText="181" w:rightFromText="181" w:vertAnchor="text" w:horzAnchor="margin" w:tblpXSpec="center" w:tblpY="30"/>
        <w:tblW w:w="507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9166"/>
      </w:tblGrid>
      <w:tr w14:paraId="6F722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3" w:hRule="atLeast"/>
          <w:tblHeader/>
        </w:trPr>
        <w:tc>
          <w:tcPr>
            <w:tcW w:w="5000" w:type="pct"/>
            <w:noWrap w:val="0"/>
            <w:vAlign w:val="center"/>
          </w:tcPr>
          <w:p w14:paraId="45D3DDD2">
            <w:pPr>
              <w:wordWrap w:val="0"/>
              <w:adjustRightInd w:val="0"/>
              <w:snapToGrid w:val="0"/>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资质要求</w:t>
            </w:r>
          </w:p>
        </w:tc>
      </w:tr>
      <w:tr w14:paraId="66BE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72" w:hRule="atLeast"/>
        </w:trPr>
        <w:tc>
          <w:tcPr>
            <w:tcW w:w="5000" w:type="pct"/>
            <w:noWrap w:val="0"/>
            <w:vAlign w:val="center"/>
          </w:tcPr>
          <w:p w14:paraId="4F5CDBF8">
            <w:pPr>
              <w:wordWrap w:val="0"/>
              <w:adjustRightInd w:val="0"/>
              <w:snapToGrid w:val="0"/>
              <w:rPr>
                <w:rFonts w:hint="eastAsia" w:ascii="Times New Roman" w:hAnsi="Times New Roman" w:eastAsia="宋体" w:cs="Times New Roman"/>
                <w:color w:val="000000"/>
                <w:szCs w:val="22"/>
                <w:highlight w:val="none"/>
                <w:lang w:eastAsia="zh-CN"/>
              </w:rPr>
            </w:pPr>
            <w:r>
              <w:rPr>
                <w:rFonts w:hint="eastAsia" w:ascii="Times New Roman" w:hAnsi="Times New Roman" w:eastAsia="宋体" w:cs="Times New Roman"/>
                <w:color w:val="000000"/>
                <w:szCs w:val="22"/>
                <w:highlight w:val="none"/>
                <w:lang w:eastAsia="zh-CN"/>
              </w:rPr>
              <w:t>投标人应是中华人民共和国境内的法人或其他组织，持有有效的营业执照</w:t>
            </w:r>
            <w:r>
              <w:rPr>
                <w:rFonts w:hint="eastAsia" w:ascii="Times New Roman" w:hAnsi="Times New Roman" w:eastAsia="宋体" w:cs="Times New Roman"/>
                <w:color w:val="000000"/>
                <w:szCs w:val="22"/>
                <w:highlight w:val="none"/>
                <w:lang w:val="en-US" w:eastAsia="zh-CN"/>
              </w:rPr>
              <w:t>的制造商或经销商</w:t>
            </w:r>
            <w:r>
              <w:rPr>
                <w:rFonts w:hint="eastAsia" w:ascii="Times New Roman" w:hAnsi="Times New Roman" w:eastAsia="宋体" w:cs="Times New Roman"/>
                <w:color w:val="000000"/>
                <w:szCs w:val="22"/>
                <w:highlight w:val="none"/>
                <w:lang w:eastAsia="zh-CN"/>
              </w:rPr>
              <w:t>。</w:t>
            </w:r>
          </w:p>
        </w:tc>
      </w:tr>
    </w:tbl>
    <w:p w14:paraId="3D4579CB">
      <w:pPr>
        <w:wordWrap w:val="0"/>
        <w:jc w:val="center"/>
        <w:rPr>
          <w:rFonts w:ascii="Times New Roman" w:hAnsi="Times New Roman" w:eastAsia="宋体" w:cs="Times New Roman"/>
          <w:b/>
          <w:color w:val="000000"/>
          <w:sz w:val="24"/>
          <w:szCs w:val="22"/>
          <w:highlight w:val="none"/>
        </w:rPr>
      </w:pPr>
    </w:p>
    <w:p w14:paraId="247B600D">
      <w:pPr>
        <w:wordWrap w:val="0"/>
        <w:jc w:val="center"/>
        <w:rPr>
          <w:rFonts w:ascii="Times New Roman" w:hAnsi="Times New Roman" w:eastAsia="宋体" w:cs="Times New Roman"/>
          <w:b/>
          <w:color w:val="000000"/>
          <w:sz w:val="24"/>
          <w:szCs w:val="22"/>
          <w:highlight w:val="none"/>
        </w:rPr>
      </w:pPr>
    </w:p>
    <w:p w14:paraId="4DD29A4E">
      <w:pPr>
        <w:wordWrap w:val="0"/>
        <w:jc w:val="both"/>
        <w:rPr>
          <w:rFonts w:ascii="Times New Roman" w:hAnsi="Times New Roman" w:eastAsia="宋体" w:cs="Times New Roman"/>
          <w:b/>
          <w:color w:val="000000"/>
          <w:sz w:val="24"/>
          <w:szCs w:val="22"/>
          <w:highlight w:val="none"/>
        </w:rPr>
      </w:pPr>
    </w:p>
    <w:p w14:paraId="30196222">
      <w:pPr>
        <w:wordWrap w:val="0"/>
        <w:jc w:val="center"/>
        <w:rPr>
          <w:rFonts w:ascii="Times New Roman" w:hAnsi="Times New Roman" w:eastAsia="宋体" w:cs="Times New Roman"/>
          <w:b/>
          <w:color w:val="000000"/>
          <w:sz w:val="24"/>
          <w:szCs w:val="22"/>
          <w:highlight w:val="none"/>
        </w:rPr>
      </w:pPr>
      <w:r>
        <w:rPr>
          <w:rFonts w:ascii="Times New Roman" w:hAnsi="Times New Roman" w:eastAsia="宋体" w:cs="Times New Roman"/>
          <w:b/>
          <w:color w:val="000000"/>
          <w:sz w:val="24"/>
          <w:szCs w:val="22"/>
          <w:highlight w:val="none"/>
        </w:rPr>
        <w:t>附录</w:t>
      </w:r>
      <w:r>
        <w:rPr>
          <w:rFonts w:hint="eastAsia" w:ascii="Times New Roman" w:hAnsi="Times New Roman" w:eastAsia="宋体" w:cs="Times New Roman"/>
          <w:b/>
          <w:color w:val="000000"/>
          <w:sz w:val="24"/>
          <w:szCs w:val="22"/>
          <w:highlight w:val="none"/>
          <w:lang w:val="en-US" w:eastAsia="zh-CN"/>
        </w:rPr>
        <w:t>2</w:t>
      </w:r>
      <w:r>
        <w:rPr>
          <w:rFonts w:ascii="Times New Roman" w:hAnsi="Times New Roman" w:eastAsia="宋体" w:cs="Times New Roman"/>
          <w:b/>
          <w:color w:val="000000"/>
          <w:sz w:val="24"/>
          <w:szCs w:val="22"/>
          <w:highlight w:val="none"/>
        </w:rPr>
        <w:t xml:space="preserve">  资格审查条件（业绩最低要求）</w:t>
      </w:r>
    </w:p>
    <w:tbl>
      <w:tblPr>
        <w:tblStyle w:val="4"/>
        <w:tblW w:w="5128"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20"/>
      </w:tblGrid>
      <w:tr w14:paraId="33F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000" w:type="pct"/>
            <w:noWrap w:val="0"/>
            <w:vAlign w:val="center"/>
          </w:tcPr>
          <w:p w14:paraId="34F5D396">
            <w:pPr>
              <w:wordWrap w:val="0"/>
              <w:adjustRightInd w:val="0"/>
              <w:snapToGrid w:val="0"/>
              <w:jc w:val="center"/>
              <w:rPr>
                <w:rFonts w:ascii="Times New Roman" w:hAnsi="Times New Roman" w:eastAsia="宋体" w:cs="Times New Roman"/>
                <w:b/>
                <w:color w:val="000000"/>
                <w:szCs w:val="21"/>
                <w:highlight w:val="none"/>
                <w:shd w:val="clear" w:color="auto" w:fill="FFFFFF"/>
              </w:rPr>
            </w:pPr>
            <w:r>
              <w:rPr>
                <w:rFonts w:ascii="Times New Roman" w:hAnsi="Times New Roman" w:eastAsia="宋体" w:cs="Times New Roman"/>
                <w:b/>
                <w:color w:val="000000"/>
                <w:szCs w:val="21"/>
                <w:highlight w:val="none"/>
                <w:shd w:val="clear" w:color="auto" w:fill="FFFFFF"/>
              </w:rPr>
              <w:t>业绩要求</w:t>
            </w:r>
          </w:p>
        </w:tc>
      </w:tr>
      <w:tr w14:paraId="4463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trPr>
        <w:tc>
          <w:tcPr>
            <w:tcW w:w="5000" w:type="pct"/>
            <w:noWrap w:val="0"/>
            <w:vAlign w:val="center"/>
          </w:tcPr>
          <w:p w14:paraId="3321081E">
            <w:pPr>
              <w:widowControl w:val="0"/>
              <w:spacing w:before="141"/>
              <w:ind w:right="1" w:rightChars="0"/>
              <w:jc w:val="both"/>
              <w:rPr>
                <w:rFonts w:hint="default" w:ascii="Times New Roman" w:hAnsi="Times New Roman" w:eastAsia="宋体" w:cs="Times New Roman"/>
                <w:color w:val="000000"/>
                <w:kern w:val="2"/>
                <w:sz w:val="21"/>
                <w:szCs w:val="22"/>
                <w:highlight w:val="none"/>
                <w:lang w:val="en-US" w:eastAsia="zh-CN" w:bidi="ar-SA"/>
              </w:rPr>
            </w:pPr>
            <w:r>
              <w:rPr>
                <w:rFonts w:hint="eastAsia" w:ascii="Times New Roman" w:hAnsi="Times New Roman" w:eastAsia="宋体" w:cs="Times New Roman"/>
                <w:color w:val="000000"/>
                <w:kern w:val="2"/>
                <w:sz w:val="21"/>
                <w:szCs w:val="22"/>
                <w:highlight w:val="none"/>
                <w:lang w:val="en-US" w:eastAsia="zh-CN" w:bidi="ar-SA"/>
              </w:rPr>
              <w:t>投标人近3年内(2023年5月1日至投标截止时间，以合同签订时间为准)，累计不少于9台所投品牌的皮卡车供货业绩。</w:t>
            </w:r>
          </w:p>
        </w:tc>
      </w:tr>
    </w:tbl>
    <w:p w14:paraId="69E0A6D4">
      <w:pPr>
        <w:wordWrap w:val="0"/>
        <w:jc w:val="center"/>
        <w:rPr>
          <w:rFonts w:ascii="Times New Roman" w:hAnsi="Times New Roman" w:eastAsia="宋体" w:cs="Times New Roman"/>
          <w:b/>
          <w:color w:val="000000"/>
          <w:sz w:val="24"/>
          <w:szCs w:val="22"/>
          <w:highlight w:val="none"/>
        </w:rPr>
      </w:pPr>
    </w:p>
    <w:p w14:paraId="39BDCCBC">
      <w:pPr>
        <w:wordWrap w:val="0"/>
        <w:jc w:val="center"/>
        <w:rPr>
          <w:rFonts w:ascii="Times New Roman" w:hAnsi="Times New Roman" w:eastAsia="宋体" w:cs="Times New Roman"/>
          <w:b/>
          <w:color w:val="000000"/>
          <w:sz w:val="24"/>
          <w:szCs w:val="22"/>
          <w:highlight w:val="none"/>
        </w:rPr>
      </w:pPr>
    </w:p>
    <w:p w14:paraId="4EE3B51D">
      <w:pPr>
        <w:wordWrap w:val="0"/>
        <w:jc w:val="center"/>
        <w:rPr>
          <w:rFonts w:ascii="Times New Roman" w:hAnsi="Times New Roman" w:eastAsia="宋体" w:cs="Times New Roman"/>
          <w:b/>
          <w:color w:val="000000"/>
          <w:sz w:val="24"/>
          <w:szCs w:val="22"/>
          <w:highlight w:val="none"/>
        </w:rPr>
      </w:pPr>
    </w:p>
    <w:p w14:paraId="6A8AAAB2">
      <w:pPr>
        <w:wordWrap w:val="0"/>
        <w:jc w:val="center"/>
        <w:rPr>
          <w:rFonts w:ascii="Times New Roman" w:hAnsi="Times New Roman" w:eastAsia="宋体" w:cs="Times New Roman"/>
          <w:color w:val="000000"/>
          <w:szCs w:val="22"/>
          <w:highlight w:val="none"/>
        </w:rPr>
      </w:pPr>
      <w:r>
        <w:rPr>
          <w:rFonts w:ascii="Times New Roman" w:hAnsi="Times New Roman" w:eastAsia="宋体" w:cs="Times New Roman"/>
          <w:b/>
          <w:color w:val="000000"/>
          <w:sz w:val="24"/>
          <w:szCs w:val="22"/>
          <w:highlight w:val="none"/>
        </w:rPr>
        <w:t>附录3  资格审查条件（信誉最低要求）</w:t>
      </w:r>
    </w:p>
    <w:tbl>
      <w:tblPr>
        <w:tblStyle w:val="4"/>
        <w:tblW w:w="50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14"/>
      </w:tblGrid>
      <w:tr w14:paraId="4B2F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0D514E4B">
            <w:pPr>
              <w:wordWrap w:val="0"/>
              <w:adjustRightInd w:val="0"/>
              <w:snapToGrid w:val="0"/>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信誉要求</w:t>
            </w:r>
          </w:p>
        </w:tc>
      </w:tr>
      <w:tr w14:paraId="07AA6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59" w:hRule="atLeast"/>
          <w:jc w:val="center"/>
        </w:trPr>
        <w:tc>
          <w:tcPr>
            <w:tcW w:w="5000" w:type="pct"/>
            <w:noWrap w:val="0"/>
            <w:vAlign w:val="center"/>
          </w:tcPr>
          <w:p w14:paraId="327590D3">
            <w:pPr>
              <w:wordWrap w:val="0"/>
              <w:rPr>
                <w:rFonts w:ascii="Times New Roman" w:hAnsi="Times New Roman" w:eastAsia="宋体" w:cs="Times New Roman"/>
                <w:color w:val="000000"/>
                <w:szCs w:val="22"/>
                <w:highlight w:val="none"/>
              </w:rPr>
            </w:pPr>
            <w:r>
              <w:rPr>
                <w:rFonts w:ascii="Times New Roman" w:hAnsi="Times New Roman" w:eastAsia="宋体" w:cs="Times New Roman"/>
                <w:color w:val="000000"/>
                <w:szCs w:val="22"/>
                <w:highlight w:val="none"/>
              </w:rPr>
              <w:t>投标人在近一年（</w:t>
            </w:r>
            <w:r>
              <w:rPr>
                <w:rFonts w:hint="eastAsia" w:ascii="Times New Roman" w:hAnsi="Times New Roman" w:eastAsia="宋体" w:cs="Times New Roman"/>
                <w:color w:val="000000"/>
                <w:szCs w:val="22"/>
                <w:highlight w:val="none"/>
                <w:lang w:eastAsia="zh-CN"/>
              </w:rPr>
              <w:t>202</w:t>
            </w:r>
            <w:r>
              <w:rPr>
                <w:rFonts w:hint="eastAsia" w:ascii="Times New Roman" w:hAnsi="Times New Roman" w:eastAsia="宋体" w:cs="Times New Roman"/>
                <w:color w:val="000000"/>
                <w:szCs w:val="22"/>
                <w:highlight w:val="none"/>
                <w:lang w:val="en-US" w:eastAsia="zh-CN"/>
              </w:rPr>
              <w:t>5</w:t>
            </w:r>
            <w:r>
              <w:rPr>
                <w:rFonts w:hint="eastAsia" w:ascii="Times New Roman" w:hAnsi="Times New Roman" w:eastAsia="宋体" w:cs="Times New Roman"/>
                <w:color w:val="000000"/>
                <w:szCs w:val="22"/>
                <w:highlight w:val="none"/>
                <w:lang w:eastAsia="zh-CN"/>
              </w:rPr>
              <w:t>年</w:t>
            </w:r>
            <w:r>
              <w:rPr>
                <w:rFonts w:hint="eastAsia" w:ascii="Times New Roman" w:hAnsi="Times New Roman" w:eastAsia="宋体" w:cs="Times New Roman"/>
                <w:color w:val="000000"/>
                <w:szCs w:val="22"/>
                <w:highlight w:val="none"/>
                <w:lang w:val="en-US" w:eastAsia="zh-CN"/>
              </w:rPr>
              <w:t>5月</w:t>
            </w:r>
            <w:r>
              <w:rPr>
                <w:rFonts w:hint="eastAsia" w:ascii="Times New Roman" w:hAnsi="Times New Roman" w:eastAsia="宋体" w:cs="Times New Roman"/>
                <w:color w:val="000000"/>
                <w:szCs w:val="22"/>
                <w:highlight w:val="none"/>
                <w:lang w:eastAsia="zh-CN"/>
              </w:rPr>
              <w:t>1日</w:t>
            </w:r>
            <w:r>
              <w:rPr>
                <w:rFonts w:ascii="Times New Roman" w:hAnsi="Times New Roman" w:eastAsia="宋体" w:cs="Times New Roman"/>
                <w:color w:val="000000"/>
                <w:szCs w:val="22"/>
                <w:highlight w:val="none"/>
              </w:rPr>
              <w:t>至投标截止时间）不曾在</w:t>
            </w:r>
            <w:r>
              <w:rPr>
                <w:rFonts w:hint="eastAsia" w:ascii="Times New Roman" w:hAnsi="Times New Roman" w:eastAsia="宋体" w:cs="Times New Roman"/>
                <w:color w:val="000000"/>
                <w:szCs w:val="22"/>
                <w:highlight w:val="none"/>
                <w:lang w:val="en-US" w:eastAsia="zh-CN"/>
              </w:rPr>
              <w:t>车辆</w:t>
            </w:r>
            <w:r>
              <w:rPr>
                <w:rFonts w:ascii="Times New Roman" w:hAnsi="Times New Roman" w:eastAsia="宋体" w:cs="Times New Roman"/>
                <w:color w:val="000000"/>
                <w:szCs w:val="22"/>
                <w:highlight w:val="none"/>
              </w:rPr>
              <w:t>供货</w:t>
            </w:r>
            <w:r>
              <w:rPr>
                <w:rFonts w:hint="eastAsia" w:ascii="Times New Roman" w:hAnsi="Times New Roman" w:eastAsia="宋体" w:cs="Times New Roman"/>
                <w:color w:val="000000"/>
                <w:szCs w:val="22"/>
                <w:highlight w:val="none"/>
                <w:lang w:eastAsia="zh-CN"/>
              </w:rPr>
              <w:t>合同</w:t>
            </w:r>
            <w:r>
              <w:rPr>
                <w:rFonts w:ascii="Times New Roman" w:hAnsi="Times New Roman" w:eastAsia="宋体" w:cs="Times New Roman"/>
                <w:color w:val="000000"/>
                <w:szCs w:val="22"/>
                <w:highlight w:val="none"/>
              </w:rPr>
              <w:t>中违约</w:t>
            </w:r>
            <w:r>
              <w:rPr>
                <w:rFonts w:hint="eastAsia" w:ascii="Times New Roman" w:hAnsi="Times New Roman" w:eastAsia="宋体" w:cs="Times New Roman"/>
                <w:color w:val="000000"/>
                <w:szCs w:val="22"/>
                <w:highlight w:val="none"/>
                <w:lang w:val="en-US" w:eastAsia="zh-CN"/>
              </w:rPr>
              <w:t>而</w:t>
            </w:r>
            <w:r>
              <w:rPr>
                <w:rFonts w:ascii="Times New Roman" w:hAnsi="Times New Roman" w:eastAsia="宋体" w:cs="Times New Roman"/>
                <w:color w:val="000000"/>
                <w:szCs w:val="22"/>
                <w:highlight w:val="none"/>
              </w:rPr>
              <w:t>被</w:t>
            </w:r>
            <w:r>
              <w:rPr>
                <w:rFonts w:hint="eastAsia" w:ascii="Times New Roman" w:hAnsi="Times New Roman" w:eastAsia="宋体" w:cs="Times New Roman"/>
                <w:color w:val="000000"/>
                <w:szCs w:val="22"/>
                <w:highlight w:val="none"/>
                <w:lang w:val="en-US" w:eastAsia="zh-CN"/>
              </w:rPr>
              <w:t>驱逐</w:t>
            </w:r>
            <w:r>
              <w:rPr>
                <w:rFonts w:ascii="Times New Roman" w:hAnsi="Times New Roman" w:eastAsia="宋体" w:cs="Times New Roman"/>
                <w:color w:val="000000"/>
                <w:szCs w:val="22"/>
                <w:highlight w:val="none"/>
              </w:rPr>
              <w:t>或因投标人自身的原因而使</w:t>
            </w:r>
            <w:r>
              <w:rPr>
                <w:rFonts w:hint="eastAsia" w:ascii="Times New Roman" w:hAnsi="Times New Roman" w:eastAsia="宋体" w:cs="Times New Roman"/>
                <w:color w:val="000000"/>
                <w:szCs w:val="22"/>
                <w:highlight w:val="none"/>
                <w:lang w:val="en-US" w:eastAsia="zh-CN"/>
              </w:rPr>
              <w:t>车辆</w:t>
            </w:r>
            <w:r>
              <w:rPr>
                <w:rFonts w:ascii="Times New Roman" w:hAnsi="Times New Roman" w:eastAsia="宋体" w:cs="Times New Roman"/>
                <w:color w:val="000000"/>
                <w:szCs w:val="22"/>
                <w:highlight w:val="none"/>
              </w:rPr>
              <w:t>供货合同被解除。</w:t>
            </w:r>
          </w:p>
        </w:tc>
      </w:tr>
    </w:tbl>
    <w:p w14:paraId="5D142B24">
      <w:pPr>
        <w:wordWrap w:val="0"/>
        <w:jc w:val="both"/>
        <w:rPr>
          <w:rFonts w:ascii="Times New Roman" w:hAnsi="Times New Roman" w:eastAsia="宋体" w:cs="Times New Roman"/>
          <w:b/>
          <w:color w:val="000000"/>
          <w:sz w:val="24"/>
          <w:szCs w:val="22"/>
          <w:highlight w:val="none"/>
        </w:rPr>
      </w:pPr>
    </w:p>
    <w:p w14:paraId="5AECC28F">
      <w:pPr>
        <w:wordWrap w:val="0"/>
        <w:jc w:val="both"/>
        <w:rPr>
          <w:rFonts w:ascii="Times New Roman" w:hAnsi="Times New Roman" w:eastAsia="宋体" w:cs="Times New Roman"/>
          <w:b/>
          <w:color w:val="000000"/>
          <w:sz w:val="24"/>
          <w:szCs w:val="22"/>
          <w:highlight w:val="none"/>
        </w:rPr>
      </w:pPr>
    </w:p>
    <w:p w14:paraId="4FD10856">
      <w:pPr>
        <w:wordWrap w:val="0"/>
        <w:jc w:val="both"/>
        <w:rPr>
          <w:rFonts w:ascii="Times New Roman" w:hAnsi="Times New Roman" w:eastAsia="宋体" w:cs="Times New Roman"/>
          <w:b/>
          <w:color w:val="000000"/>
          <w:sz w:val="24"/>
          <w:szCs w:val="22"/>
          <w:highlight w:val="none"/>
        </w:rPr>
      </w:pPr>
    </w:p>
    <w:p w14:paraId="4B6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Times New Roman"/>
          <w:color w:val="000000"/>
          <w:szCs w:val="21"/>
          <w:highlight w:val="none"/>
          <w:lang w:val="en-US" w:eastAsia="zh-CN"/>
        </w:rPr>
      </w:pPr>
    </w:p>
    <w:p w14:paraId="205E88EA">
      <w:pPr>
        <w:wordWrap w:val="0"/>
        <w:autoSpaceDE w:val="0"/>
        <w:autoSpaceDN w:val="0"/>
        <w:adjustRightInd w:val="0"/>
        <w:ind w:right="-20"/>
        <w:jc w:val="left"/>
        <w:outlineLvl w:val="3"/>
        <w:rPr>
          <w:rFonts w:ascii="Times New Roman" w:hAnsi="Times New Roman" w:eastAsia="宋体" w:cs="Times New Roman"/>
          <w:b/>
          <w:color w:val="000000"/>
          <w:sz w:val="28"/>
          <w:szCs w:val="28"/>
          <w:highlight w:val="none"/>
        </w:rPr>
      </w:pPr>
      <w:r>
        <w:rPr>
          <w:rFonts w:ascii="Times New Roman" w:hAnsi="Times New Roman" w:eastAsia="宋体" w:cs="Times New Roman"/>
          <w:b/>
          <w:color w:val="000000"/>
          <w:sz w:val="28"/>
          <w:szCs w:val="28"/>
          <w:highlight w:val="none"/>
        </w:rPr>
        <w:br w:type="page"/>
      </w:r>
      <w:r>
        <w:rPr>
          <w:rFonts w:ascii="Times New Roman" w:hAnsi="Times New Roman" w:eastAsia="宋体" w:cs="Times New Roman"/>
          <w:b/>
          <w:color w:val="000000"/>
          <w:sz w:val="24"/>
          <w:szCs w:val="24"/>
          <w:highlight w:val="none"/>
        </w:rPr>
        <w:t>附件2：评标办法</w:t>
      </w:r>
    </w:p>
    <w:p w14:paraId="71D81476">
      <w:pPr>
        <w:spacing w:before="267" w:line="219" w:lineRule="auto"/>
        <w:rPr>
          <w:rFonts w:ascii="宋体" w:hAnsi="宋体" w:eastAsia="宋体" w:cs="宋体"/>
          <w:sz w:val="24"/>
          <w:szCs w:val="24"/>
          <w:highlight w:val="none"/>
        </w:rPr>
      </w:pPr>
      <w:r>
        <w:rPr>
          <w:rFonts w:ascii="宋体" w:hAnsi="宋体" w:eastAsia="宋体" w:cs="宋体"/>
          <w:b/>
          <w:bCs/>
          <w:spacing w:val="-2"/>
          <w:sz w:val="24"/>
          <w:szCs w:val="24"/>
          <w:highlight w:val="none"/>
        </w:rPr>
        <w:t>评标办法前附表</w:t>
      </w:r>
    </w:p>
    <w:p w14:paraId="118C49C9">
      <w:pPr>
        <w:spacing w:line="119" w:lineRule="exact"/>
        <w:rPr>
          <w:rFonts w:ascii="Times New Roman" w:hAnsi="Times New Roman" w:eastAsia="宋体" w:cs="Times New Roman"/>
          <w:szCs w:val="22"/>
          <w:highlight w:val="none"/>
        </w:rPr>
      </w:pPr>
    </w:p>
    <w:tbl>
      <w:tblPr>
        <w:tblStyle w:val="6"/>
        <w:tblW w:w="99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1279"/>
        <w:gridCol w:w="1551"/>
        <w:gridCol w:w="6300"/>
      </w:tblGrid>
      <w:tr w14:paraId="0EE36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2082" w:type="dxa"/>
            <w:gridSpan w:val="2"/>
            <w:vAlign w:val="top"/>
          </w:tcPr>
          <w:p w14:paraId="3F97D1B9">
            <w:pPr>
              <w:keepNext w:val="0"/>
              <w:keepLines w:val="0"/>
              <w:pageBreakBefore w:val="0"/>
              <w:widowControl w:val="0"/>
              <w:kinsoku w:val="0"/>
              <w:wordWrap/>
              <w:overflowPunct/>
              <w:topLinePunct w:val="0"/>
              <w:autoSpaceDE w:val="0"/>
              <w:autoSpaceDN w:val="0"/>
              <w:bidi w:val="0"/>
              <w:adjustRightInd w:val="0"/>
              <w:snapToGrid w:val="0"/>
              <w:spacing w:line="320" w:lineRule="exact"/>
              <w:ind w:left="689"/>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b/>
                <w:bCs/>
                <w:spacing w:val="-5"/>
                <w:kern w:val="2"/>
                <w:sz w:val="21"/>
                <w:szCs w:val="21"/>
                <w:highlight w:val="none"/>
                <w:lang w:val="en-US" w:eastAsia="en-US" w:bidi="ar-SA"/>
              </w:rPr>
              <w:t>条款号</w:t>
            </w:r>
          </w:p>
        </w:tc>
        <w:tc>
          <w:tcPr>
            <w:tcW w:w="1551" w:type="dxa"/>
            <w:vAlign w:val="top"/>
          </w:tcPr>
          <w:p w14:paraId="753D42C9">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b/>
                <w:bCs/>
                <w:spacing w:val="-4"/>
                <w:kern w:val="2"/>
                <w:sz w:val="21"/>
                <w:szCs w:val="21"/>
                <w:highlight w:val="none"/>
                <w:lang w:val="en-US" w:eastAsia="en-US" w:bidi="ar-SA"/>
              </w:rPr>
              <w:t>评审因素</w:t>
            </w:r>
          </w:p>
        </w:tc>
        <w:tc>
          <w:tcPr>
            <w:tcW w:w="6300" w:type="dxa"/>
            <w:vAlign w:val="top"/>
          </w:tcPr>
          <w:p w14:paraId="596AC1A4">
            <w:pPr>
              <w:keepNext w:val="0"/>
              <w:keepLines w:val="0"/>
              <w:pageBreakBefore w:val="0"/>
              <w:widowControl w:val="0"/>
              <w:kinsoku w:val="0"/>
              <w:wordWrap/>
              <w:overflowPunct/>
              <w:topLinePunct w:val="0"/>
              <w:autoSpaceDE w:val="0"/>
              <w:autoSpaceDN w:val="0"/>
              <w:bidi w:val="0"/>
              <w:adjustRightInd w:val="0"/>
              <w:snapToGrid w:val="0"/>
              <w:spacing w:line="320" w:lineRule="exact"/>
              <w:ind w:left="1903"/>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b/>
                <w:bCs/>
                <w:spacing w:val="-4"/>
                <w:kern w:val="2"/>
                <w:sz w:val="21"/>
                <w:szCs w:val="21"/>
                <w:highlight w:val="none"/>
                <w:lang w:val="en-US" w:eastAsia="en-US" w:bidi="ar-SA"/>
              </w:rPr>
              <w:t>评审标准</w:t>
            </w:r>
          </w:p>
        </w:tc>
      </w:tr>
      <w:tr w14:paraId="710C6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3" w:type="dxa"/>
            <w:vAlign w:val="center"/>
          </w:tcPr>
          <w:p w14:paraId="4BB77658">
            <w:pPr>
              <w:keepNext w:val="0"/>
              <w:keepLines w:val="0"/>
              <w:pageBreakBefore w:val="0"/>
              <w:widowControl w:val="0"/>
              <w:kinsoku w:val="0"/>
              <w:wordWrap/>
              <w:overflowPunct/>
              <w:topLinePunct w:val="0"/>
              <w:autoSpaceDE w:val="0"/>
              <w:autoSpaceDN w:val="0"/>
              <w:bidi w:val="0"/>
              <w:adjustRightInd w:val="0"/>
              <w:snapToGrid w:val="0"/>
              <w:spacing w:line="320" w:lineRule="exact"/>
              <w:ind w:left="418"/>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1</w:t>
            </w:r>
          </w:p>
        </w:tc>
        <w:tc>
          <w:tcPr>
            <w:tcW w:w="1279" w:type="dxa"/>
            <w:vAlign w:val="center"/>
          </w:tcPr>
          <w:p w14:paraId="298F9B0B">
            <w:pPr>
              <w:keepNext w:val="0"/>
              <w:keepLines w:val="0"/>
              <w:pageBreakBefore w:val="0"/>
              <w:widowControl w:val="0"/>
              <w:kinsoku w:val="0"/>
              <w:wordWrap/>
              <w:overflowPunct/>
              <w:topLinePunct w:val="0"/>
              <w:autoSpaceDE w:val="0"/>
              <w:autoSpaceDN w:val="0"/>
              <w:bidi w:val="0"/>
              <w:adjustRightInd w:val="0"/>
              <w:snapToGrid w:val="0"/>
              <w:spacing w:line="320" w:lineRule="exact"/>
              <w:ind w:left="123"/>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评标方法</w:t>
            </w:r>
          </w:p>
        </w:tc>
        <w:tc>
          <w:tcPr>
            <w:tcW w:w="1551" w:type="dxa"/>
            <w:vAlign w:val="center"/>
          </w:tcPr>
          <w:p w14:paraId="158B303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中标候选人排序方法</w:t>
            </w:r>
          </w:p>
        </w:tc>
        <w:tc>
          <w:tcPr>
            <w:tcW w:w="6300" w:type="dxa"/>
            <w:vAlign w:val="top"/>
          </w:tcPr>
          <w:p w14:paraId="5F49CCBF">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本</w:t>
            </w:r>
            <w:r>
              <w:rPr>
                <w:rFonts w:hint="eastAsia" w:ascii="宋体" w:hAnsi="宋体" w:eastAsia="宋体" w:cs="宋体"/>
                <w:color w:val="auto"/>
                <w:spacing w:val="-1"/>
                <w:kern w:val="2"/>
                <w:sz w:val="21"/>
                <w:szCs w:val="21"/>
                <w:highlight w:val="none"/>
                <w:lang w:val="en-US" w:eastAsia="zh-CN"/>
              </w:rPr>
              <w:t>款</w:t>
            </w:r>
            <w:r>
              <w:rPr>
                <w:rFonts w:hint="eastAsia" w:ascii="宋体" w:hAnsi="宋体" w:eastAsia="宋体" w:cs="宋体"/>
                <w:color w:val="auto"/>
                <w:spacing w:val="-1"/>
                <w:kern w:val="2"/>
                <w:sz w:val="21"/>
                <w:szCs w:val="21"/>
                <w:highlight w:val="none"/>
              </w:rPr>
              <w:t>修改为：</w:t>
            </w:r>
          </w:p>
          <w:p w14:paraId="2ADE3615">
            <w:pPr>
              <w:keepNext w:val="0"/>
              <w:keepLines w:val="0"/>
              <w:pageBreakBefore w:val="0"/>
              <w:widowControl w:val="0"/>
              <w:kinsoku w:val="0"/>
              <w:wordWrap/>
              <w:overflowPunct/>
              <w:topLinePunct w:val="0"/>
              <w:autoSpaceDE w:val="0"/>
              <w:autoSpaceDN w:val="0"/>
              <w:bidi w:val="0"/>
              <w:adjustRightInd w:val="0"/>
              <w:snapToGrid w:val="0"/>
              <w:spacing w:line="320" w:lineRule="exact"/>
              <w:ind w:left="113" w:right="108" w:firstLine="420" w:firstLineChars="200"/>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4B2A6D35">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1)评标价低的投标人优先；</w:t>
            </w:r>
          </w:p>
          <w:p w14:paraId="2286649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(2)技术</w:t>
            </w:r>
            <w:r>
              <w:rPr>
                <w:rFonts w:hint="eastAsia" w:ascii="宋体" w:hAnsi="宋体" w:eastAsia="宋体" w:cs="宋体"/>
                <w:color w:val="000000"/>
                <w:sz w:val="21"/>
                <w:szCs w:val="21"/>
                <w:highlight w:val="none"/>
                <w:lang w:eastAsia="zh-CN"/>
              </w:rPr>
              <w:t>部分</w:t>
            </w:r>
            <w:r>
              <w:rPr>
                <w:rFonts w:hint="eastAsia" w:ascii="宋体" w:hAnsi="宋体" w:eastAsia="宋体" w:cs="宋体"/>
                <w:color w:val="000000"/>
                <w:sz w:val="21"/>
                <w:szCs w:val="21"/>
                <w:highlight w:val="none"/>
              </w:rPr>
              <w:t>得分较高的投标人优先；</w:t>
            </w:r>
          </w:p>
          <w:p w14:paraId="08517A78">
            <w:pPr>
              <w:keepNext w:val="0"/>
              <w:keepLines w:val="0"/>
              <w:pageBreakBefore w:val="0"/>
              <w:widowControl w:val="0"/>
              <w:kinsoku w:val="0"/>
              <w:wordWrap/>
              <w:overflowPunct/>
              <w:topLinePunct w:val="0"/>
              <w:autoSpaceDE w:val="0"/>
              <w:autoSpaceDN w:val="0"/>
              <w:bidi w:val="0"/>
              <w:adjustRightInd w:val="0"/>
              <w:snapToGrid w:val="0"/>
              <w:spacing w:line="320" w:lineRule="exact"/>
              <w:ind w:right="108" w:firstLine="420" w:firstLineChars="200"/>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(3)满足资格审查条件附录2（业绩最低要求）要求的供货业绩累计</w:t>
            </w:r>
            <w:r>
              <w:rPr>
                <w:rFonts w:hint="eastAsia" w:ascii="宋体" w:hAnsi="宋体" w:eastAsia="宋体" w:cs="宋体"/>
                <w:color w:val="000000"/>
                <w:kern w:val="2"/>
                <w:sz w:val="21"/>
                <w:szCs w:val="21"/>
                <w:highlight w:val="none"/>
                <w:lang w:val="en-US" w:eastAsia="zh-CN" w:bidi="ar-SA"/>
              </w:rPr>
              <w:t>车辆数量</w:t>
            </w:r>
            <w:r>
              <w:rPr>
                <w:rFonts w:hint="eastAsia" w:ascii="宋体" w:hAnsi="宋体" w:eastAsia="宋体" w:cs="宋体"/>
                <w:color w:val="000000"/>
                <w:kern w:val="2"/>
                <w:sz w:val="21"/>
                <w:szCs w:val="21"/>
                <w:highlight w:val="none"/>
                <w:lang w:val="en-US" w:eastAsia="en-US" w:bidi="ar-SA"/>
              </w:rPr>
              <w:t>多的</w:t>
            </w:r>
            <w:r>
              <w:rPr>
                <w:rFonts w:hint="eastAsia" w:ascii="宋体" w:hAnsi="宋体" w:eastAsia="宋体" w:cs="宋体"/>
                <w:color w:val="000000"/>
                <w:kern w:val="2"/>
                <w:sz w:val="21"/>
                <w:szCs w:val="21"/>
                <w:highlight w:val="none"/>
                <w:lang w:val="en-US" w:eastAsia="zh-CN" w:bidi="ar-SA"/>
              </w:rPr>
              <w:t>投标人</w:t>
            </w:r>
            <w:r>
              <w:rPr>
                <w:rFonts w:hint="eastAsia" w:ascii="宋体" w:hAnsi="宋体" w:eastAsia="宋体" w:cs="宋体"/>
                <w:color w:val="000000"/>
                <w:kern w:val="2"/>
                <w:sz w:val="21"/>
                <w:szCs w:val="21"/>
                <w:highlight w:val="none"/>
                <w:lang w:val="en-US" w:eastAsia="en-US" w:bidi="ar-SA"/>
              </w:rPr>
              <w:t>优先。</w:t>
            </w:r>
          </w:p>
        </w:tc>
      </w:tr>
      <w:tr w14:paraId="2A88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restart"/>
            <w:tcBorders>
              <w:bottom w:val="nil"/>
            </w:tcBorders>
            <w:vAlign w:val="center"/>
          </w:tcPr>
          <w:p w14:paraId="14C96132">
            <w:pPr>
              <w:keepNext w:val="0"/>
              <w:keepLines w:val="0"/>
              <w:pageBreakBefore w:val="0"/>
              <w:widowControl w:val="0"/>
              <w:kinsoku w:val="0"/>
              <w:wordWrap/>
              <w:overflowPunct/>
              <w:topLinePunct w:val="0"/>
              <w:autoSpaceDE w:val="0"/>
              <w:autoSpaceDN w:val="0"/>
              <w:bidi w:val="0"/>
              <w:adjustRightInd w:val="0"/>
              <w:snapToGrid w:val="0"/>
              <w:spacing w:line="320" w:lineRule="exact"/>
              <w:ind w:left="186"/>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2.1.1</w:t>
            </w:r>
          </w:p>
        </w:tc>
        <w:tc>
          <w:tcPr>
            <w:tcW w:w="1279" w:type="dxa"/>
            <w:vMerge w:val="restart"/>
            <w:tcBorders>
              <w:bottom w:val="nil"/>
            </w:tcBorders>
            <w:vAlign w:val="center"/>
          </w:tcPr>
          <w:p w14:paraId="3A56A3FE">
            <w:pPr>
              <w:keepNext w:val="0"/>
              <w:keepLines w:val="0"/>
              <w:pageBreakBefore w:val="0"/>
              <w:widowControl w:val="0"/>
              <w:kinsoku w:val="0"/>
              <w:wordWrap/>
              <w:overflowPunct/>
              <w:topLinePunct w:val="0"/>
              <w:autoSpaceDE w:val="0"/>
              <w:autoSpaceDN w:val="0"/>
              <w:bidi w:val="0"/>
              <w:adjustRightInd w:val="0"/>
              <w:snapToGrid w:val="0"/>
              <w:spacing w:line="320" w:lineRule="exact"/>
              <w:ind w:left="345" w:right="119" w:hanging="219"/>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形式评审</w:t>
            </w:r>
            <w:r>
              <w:rPr>
                <w:rFonts w:hint="eastAsia" w:ascii="宋体" w:hAnsi="宋体" w:eastAsia="宋体" w:cs="宋体"/>
                <w:spacing w:val="-2"/>
                <w:kern w:val="2"/>
                <w:sz w:val="21"/>
                <w:szCs w:val="21"/>
                <w:highlight w:val="none"/>
                <w:lang w:val="en-US" w:eastAsia="en-US" w:bidi="ar-SA"/>
              </w:rPr>
              <w:t>标准</w:t>
            </w:r>
          </w:p>
        </w:tc>
        <w:tc>
          <w:tcPr>
            <w:tcW w:w="1551" w:type="dxa"/>
            <w:vAlign w:val="center"/>
          </w:tcPr>
          <w:p w14:paraId="49B61B6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投标人名称</w:t>
            </w:r>
          </w:p>
        </w:tc>
        <w:tc>
          <w:tcPr>
            <w:tcW w:w="6300" w:type="dxa"/>
            <w:vAlign w:val="top"/>
          </w:tcPr>
          <w:p w14:paraId="6526602A">
            <w:pPr>
              <w:keepNext w:val="0"/>
              <w:keepLines w:val="0"/>
              <w:pageBreakBefore w:val="0"/>
              <w:widowControl w:val="0"/>
              <w:kinsoku w:val="0"/>
              <w:wordWrap/>
              <w:overflowPunct/>
              <w:topLinePunct w:val="0"/>
              <w:autoSpaceDE w:val="0"/>
              <w:autoSpaceDN w:val="0"/>
              <w:bidi w:val="0"/>
              <w:adjustRightInd w:val="0"/>
              <w:snapToGrid w:val="0"/>
              <w:spacing w:line="320" w:lineRule="exact"/>
              <w:ind w:left="118"/>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与营业执照一致</w:t>
            </w:r>
          </w:p>
        </w:tc>
      </w:tr>
      <w:tr w14:paraId="39DC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jc w:val="center"/>
        </w:trPr>
        <w:tc>
          <w:tcPr>
            <w:tcW w:w="803" w:type="dxa"/>
            <w:vMerge w:val="continue"/>
            <w:tcBorders>
              <w:top w:val="nil"/>
              <w:bottom w:val="nil"/>
            </w:tcBorders>
            <w:vAlign w:val="center"/>
          </w:tcPr>
          <w:p w14:paraId="3DBA8673">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center"/>
          </w:tcPr>
          <w:p w14:paraId="552FE766">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vAlign w:val="center"/>
          </w:tcPr>
          <w:p w14:paraId="60B51784">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投标函签字盖章</w:t>
            </w:r>
          </w:p>
        </w:tc>
        <w:tc>
          <w:tcPr>
            <w:tcW w:w="6300" w:type="dxa"/>
            <w:vAlign w:val="top"/>
          </w:tcPr>
          <w:p w14:paraId="71CAF72D">
            <w:pPr>
              <w:keepNext w:val="0"/>
              <w:keepLines w:val="0"/>
              <w:pageBreakBefore w:val="0"/>
              <w:widowControl w:val="0"/>
              <w:kinsoku w:val="0"/>
              <w:wordWrap/>
              <w:overflowPunct/>
              <w:topLinePunct w:val="0"/>
              <w:autoSpaceDE w:val="0"/>
              <w:autoSpaceDN w:val="0"/>
              <w:bidi w:val="0"/>
              <w:adjustRightInd w:val="0"/>
              <w:snapToGrid w:val="0"/>
              <w:spacing w:line="320" w:lineRule="exact"/>
              <w:ind w:left="113" w:right="171" w:firstLine="208" w:firstLineChars="100"/>
              <w:jc w:val="both"/>
              <w:textAlignment w:val="baseline"/>
              <w:rPr>
                <w:rFonts w:hint="eastAsia" w:ascii="宋体" w:hAnsi="宋体" w:eastAsia="宋体" w:cs="宋体"/>
                <w:spacing w:val="-1"/>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“投标文件”中要求盖单位章和（或）法定代表人或其委托代理人签字的地方，投标人均应使用CA 数字证书加盖投标人的单位电子印章和（或）法定代表人或其委托代理人的个人电子印章或电子签名章，无需手签。</w:t>
            </w:r>
          </w:p>
          <w:p w14:paraId="6E954848">
            <w:pPr>
              <w:keepNext w:val="0"/>
              <w:keepLines w:val="0"/>
              <w:pageBreakBefore w:val="0"/>
              <w:widowControl w:val="0"/>
              <w:wordWrap/>
              <w:overflowPunct/>
              <w:topLinePunct w:val="0"/>
              <w:bidi w:val="0"/>
              <w:snapToGrid w:val="0"/>
              <w:spacing w:line="320" w:lineRule="exact"/>
              <w:ind w:firstLine="420"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如果投标文件由委托代理人签署，则投标人须提交授权委托书，授权委托书应符合第六章“投标文件格式”的要求，授权委托书只能授权给一名委托代理人。</w:t>
            </w:r>
          </w:p>
          <w:p w14:paraId="7EB5447D">
            <w:pPr>
              <w:keepNext w:val="0"/>
              <w:keepLines w:val="0"/>
              <w:pageBreakBefore w:val="0"/>
              <w:widowControl w:val="0"/>
              <w:kinsoku w:val="0"/>
              <w:wordWrap/>
              <w:overflowPunct/>
              <w:topLinePunct w:val="0"/>
              <w:autoSpaceDE w:val="0"/>
              <w:autoSpaceDN w:val="0"/>
              <w:bidi w:val="0"/>
              <w:adjustRightInd w:val="0"/>
              <w:snapToGrid w:val="0"/>
              <w:spacing w:line="320" w:lineRule="exact"/>
              <w:ind w:left="113" w:right="171" w:firstLine="420" w:firstLineChars="200"/>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如果投标文件由投标人的法定代表人亲自签署，则投标人须提交法定代表人身份证明，身份证明应符合第六章“投标文件格式”的要求。</w:t>
            </w:r>
          </w:p>
        </w:tc>
      </w:tr>
      <w:tr w14:paraId="7FBD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center"/>
          </w:tcPr>
          <w:p w14:paraId="2543EFE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center"/>
          </w:tcPr>
          <w:p w14:paraId="2C5FF22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vAlign w:val="center"/>
          </w:tcPr>
          <w:p w14:paraId="1E9873B8">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投标文件格式</w:t>
            </w:r>
          </w:p>
        </w:tc>
        <w:tc>
          <w:tcPr>
            <w:tcW w:w="6300" w:type="dxa"/>
            <w:vAlign w:val="top"/>
          </w:tcPr>
          <w:p w14:paraId="0AEEAEB9">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符合第六章“投标文件格式”的规定</w:t>
            </w:r>
          </w:p>
        </w:tc>
      </w:tr>
      <w:tr w14:paraId="3D297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center"/>
          </w:tcPr>
          <w:p w14:paraId="19FEAF7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center"/>
          </w:tcPr>
          <w:p w14:paraId="42DD0B1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vAlign w:val="center"/>
          </w:tcPr>
          <w:p w14:paraId="4DA6BF56">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spacing w:val="-2"/>
                <w:sz w:val="21"/>
                <w:szCs w:val="21"/>
                <w:highlight w:val="none"/>
              </w:rPr>
            </w:pPr>
            <w:r>
              <w:rPr>
                <w:rFonts w:hint="eastAsia" w:ascii="宋体" w:hAnsi="宋体" w:eastAsia="宋体" w:cs="宋体"/>
                <w:color w:val="000000"/>
                <w:kern w:val="2"/>
                <w:sz w:val="21"/>
                <w:szCs w:val="21"/>
                <w:highlight w:val="none"/>
              </w:rPr>
              <w:t>联合体投标人</w:t>
            </w:r>
          </w:p>
        </w:tc>
        <w:tc>
          <w:tcPr>
            <w:tcW w:w="6300" w:type="dxa"/>
            <w:vAlign w:val="center"/>
          </w:tcPr>
          <w:p w14:paraId="4D1D9026">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spacing w:val="-3"/>
                <w:sz w:val="21"/>
                <w:szCs w:val="21"/>
                <w:highlight w:val="none"/>
              </w:rPr>
            </w:pPr>
            <w:r>
              <w:rPr>
                <w:rFonts w:hint="eastAsia" w:ascii="宋体" w:hAnsi="宋体" w:eastAsia="宋体" w:cs="宋体"/>
                <w:color w:val="000000"/>
                <w:kern w:val="2"/>
                <w:sz w:val="21"/>
                <w:szCs w:val="21"/>
                <w:highlight w:val="none"/>
              </w:rPr>
              <w:t>未以联合体形式投标</w:t>
            </w:r>
          </w:p>
        </w:tc>
      </w:tr>
      <w:tr w14:paraId="0A31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03" w:type="dxa"/>
            <w:vMerge w:val="continue"/>
            <w:tcBorders>
              <w:top w:val="nil"/>
              <w:bottom w:val="nil"/>
            </w:tcBorders>
            <w:vAlign w:val="center"/>
          </w:tcPr>
          <w:p w14:paraId="597CA2A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center"/>
          </w:tcPr>
          <w:p w14:paraId="6EE9BA7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vAlign w:val="center"/>
          </w:tcPr>
          <w:p w14:paraId="72F2D18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备选投标方案</w:t>
            </w:r>
          </w:p>
        </w:tc>
        <w:tc>
          <w:tcPr>
            <w:tcW w:w="6300" w:type="dxa"/>
            <w:vAlign w:val="center"/>
          </w:tcPr>
          <w:p w14:paraId="46C1D874">
            <w:pPr>
              <w:keepNext w:val="0"/>
              <w:keepLines w:val="0"/>
              <w:pageBreakBefore w:val="0"/>
              <w:widowControl w:val="0"/>
              <w:kinsoku w:val="0"/>
              <w:wordWrap/>
              <w:overflowPunct/>
              <w:topLinePunct w:val="0"/>
              <w:autoSpaceDE w:val="0"/>
              <w:autoSpaceDN w:val="0"/>
              <w:bidi w:val="0"/>
              <w:adjustRightInd w:val="0"/>
              <w:snapToGrid w:val="0"/>
              <w:spacing w:line="320" w:lineRule="exact"/>
              <w:ind w:right="180"/>
              <w:jc w:val="left"/>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未提交备选投标方案</w:t>
            </w:r>
          </w:p>
        </w:tc>
      </w:tr>
      <w:tr w14:paraId="59E4A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03" w:type="dxa"/>
            <w:vMerge w:val="continue"/>
            <w:tcBorders>
              <w:top w:val="nil"/>
              <w:bottom w:val="single" w:color="auto" w:sz="4" w:space="0"/>
            </w:tcBorders>
            <w:vAlign w:val="center"/>
          </w:tcPr>
          <w:p w14:paraId="24435C5E">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single" w:color="auto" w:sz="4" w:space="0"/>
            </w:tcBorders>
            <w:vAlign w:val="center"/>
          </w:tcPr>
          <w:p w14:paraId="1B12AC9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tcBorders>
              <w:bottom w:val="single" w:color="auto" w:sz="4" w:space="0"/>
            </w:tcBorders>
            <w:vAlign w:val="center"/>
          </w:tcPr>
          <w:p w14:paraId="433E9F7E">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spacing w:val="-2"/>
                <w:sz w:val="21"/>
                <w:szCs w:val="21"/>
                <w:highlight w:val="none"/>
              </w:rPr>
            </w:pPr>
            <w:r>
              <w:rPr>
                <w:rFonts w:hint="eastAsia" w:ascii="宋体" w:hAnsi="宋体" w:eastAsia="宋体" w:cs="宋体"/>
                <w:color w:val="auto"/>
                <w:kern w:val="2"/>
                <w:sz w:val="21"/>
                <w:szCs w:val="21"/>
                <w:highlight w:val="none"/>
              </w:rPr>
              <w:t>分包</w:t>
            </w:r>
          </w:p>
        </w:tc>
        <w:tc>
          <w:tcPr>
            <w:tcW w:w="6300" w:type="dxa"/>
            <w:tcBorders>
              <w:bottom w:val="single" w:color="auto" w:sz="4" w:space="0"/>
            </w:tcBorders>
            <w:vAlign w:val="center"/>
          </w:tcPr>
          <w:p w14:paraId="4D9F08C0">
            <w:pPr>
              <w:keepNext w:val="0"/>
              <w:keepLines w:val="0"/>
              <w:pageBreakBefore w:val="0"/>
              <w:widowControl w:val="0"/>
              <w:kinsoku/>
              <w:wordWrap/>
              <w:overflowPunct/>
              <w:topLinePunct w:val="0"/>
              <w:autoSpaceDE w:val="0"/>
              <w:bidi w:val="0"/>
              <w:adjustRightInd/>
              <w:snapToGrid w:val="0"/>
              <w:spacing w:line="320" w:lineRule="exact"/>
              <w:ind w:left="21" w:leftChars="1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auto"/>
                <w:kern w:val="2"/>
                <w:sz w:val="21"/>
                <w:szCs w:val="21"/>
                <w:highlight w:val="none"/>
              </w:rPr>
              <w:t>投标人未对本项目提出分包计划</w:t>
            </w:r>
          </w:p>
        </w:tc>
      </w:tr>
      <w:tr w14:paraId="77D0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03" w:type="dxa"/>
            <w:vMerge w:val="continue"/>
            <w:tcBorders>
              <w:top w:val="nil"/>
              <w:bottom w:val="single" w:color="auto" w:sz="4" w:space="0"/>
            </w:tcBorders>
            <w:vAlign w:val="center"/>
          </w:tcPr>
          <w:p w14:paraId="6D8E16B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single" w:color="auto" w:sz="4" w:space="0"/>
            </w:tcBorders>
            <w:vAlign w:val="center"/>
          </w:tcPr>
          <w:p w14:paraId="55BD6E3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tcBorders>
              <w:bottom w:val="single" w:color="auto" w:sz="4" w:space="0"/>
            </w:tcBorders>
            <w:vAlign w:val="center"/>
          </w:tcPr>
          <w:p w14:paraId="36EDBF57">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w:t>
            </w:r>
          </w:p>
        </w:tc>
        <w:tc>
          <w:tcPr>
            <w:tcW w:w="6300" w:type="dxa"/>
            <w:tcBorders>
              <w:bottom w:val="single" w:color="auto" w:sz="4" w:space="0"/>
            </w:tcBorders>
            <w:vAlign w:val="center"/>
          </w:tcPr>
          <w:p w14:paraId="02B39A0E">
            <w:pPr>
              <w:keepNext w:val="0"/>
              <w:keepLines w:val="0"/>
              <w:pageBreakBefore w:val="0"/>
              <w:widowControl w:val="0"/>
              <w:kinsoku/>
              <w:wordWrap/>
              <w:overflowPunct/>
              <w:topLinePunct w:val="0"/>
              <w:autoSpaceDE w:val="0"/>
              <w:bidi w:val="0"/>
              <w:adjustRightInd/>
              <w:snapToGrid w:val="0"/>
              <w:spacing w:line="320" w:lineRule="exact"/>
              <w:ind w:left="21" w:leftChars="1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制造商与其经销商</w:t>
            </w:r>
            <w:r>
              <w:rPr>
                <w:rFonts w:hint="eastAsia" w:ascii="宋体" w:hAnsi="宋体" w:eastAsia="宋体" w:cs="宋体"/>
                <w:color w:val="auto"/>
                <w:kern w:val="2"/>
                <w:sz w:val="21"/>
                <w:szCs w:val="21"/>
                <w:highlight w:val="none"/>
                <w:lang w:val="en-US" w:eastAsia="zh-CN"/>
              </w:rPr>
              <w:t>未</w:t>
            </w:r>
            <w:r>
              <w:rPr>
                <w:rFonts w:hint="eastAsia" w:ascii="宋体" w:hAnsi="宋体" w:eastAsia="宋体" w:cs="宋体"/>
                <w:color w:val="auto"/>
                <w:kern w:val="2"/>
                <w:sz w:val="21"/>
                <w:szCs w:val="21"/>
                <w:highlight w:val="none"/>
              </w:rPr>
              <w:t>同时参加本项目的投标</w:t>
            </w:r>
          </w:p>
        </w:tc>
      </w:tr>
      <w:tr w14:paraId="23EE9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803" w:type="dxa"/>
            <w:vMerge w:val="continue"/>
            <w:tcBorders>
              <w:bottom w:val="single" w:color="auto" w:sz="4" w:space="0"/>
            </w:tcBorders>
            <w:vAlign w:val="center"/>
          </w:tcPr>
          <w:p w14:paraId="7378F92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bottom w:val="single" w:color="auto" w:sz="4" w:space="0"/>
            </w:tcBorders>
            <w:vAlign w:val="center"/>
          </w:tcPr>
          <w:p w14:paraId="6D238D68">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551" w:type="dxa"/>
            <w:tcBorders>
              <w:top w:val="single" w:color="auto" w:sz="4" w:space="0"/>
              <w:bottom w:val="single" w:color="auto" w:sz="4" w:space="0"/>
            </w:tcBorders>
            <w:vAlign w:val="center"/>
          </w:tcPr>
          <w:p w14:paraId="780C7E8B">
            <w:pPr>
              <w:keepNext w:val="0"/>
              <w:keepLines w:val="0"/>
              <w:pageBreakBefore w:val="0"/>
              <w:widowControl w:val="0"/>
              <w:wordWrap/>
              <w:overflowPunct/>
              <w:topLinePunct w:val="0"/>
              <w:bidi w:val="0"/>
              <w:snapToGrid w:val="0"/>
              <w:spacing w:line="300" w:lineRule="exact"/>
              <w:jc w:val="center"/>
              <w:rPr>
                <w:rFonts w:hint="default" w:ascii="宋体" w:hAnsi="宋体" w:eastAsia="宋体" w:cs="宋体"/>
                <w:color w:val="auto"/>
                <w:kern w:val="2"/>
                <w:sz w:val="21"/>
                <w:szCs w:val="21"/>
                <w:highlight w:val="none"/>
                <w:lang w:val="en-US" w:eastAsia="en-US" w:bidi="ar-SA"/>
              </w:rPr>
            </w:pPr>
            <w:r>
              <w:rPr>
                <w:rFonts w:hint="eastAsia" w:ascii="宋体" w:hAnsi="宋体" w:eastAsia="宋体" w:cs="Times New Roman"/>
                <w:kern w:val="0"/>
                <w:sz w:val="21"/>
                <w:szCs w:val="21"/>
                <w:highlight w:val="none"/>
                <w:lang w:val="en-US" w:eastAsia="zh-CN" w:bidi="ar-SA"/>
              </w:rPr>
              <w:t>异常投标情形</w:t>
            </w:r>
          </w:p>
        </w:tc>
        <w:tc>
          <w:tcPr>
            <w:tcW w:w="6300" w:type="dxa"/>
            <w:tcBorders>
              <w:top w:val="single" w:color="auto" w:sz="4" w:space="0"/>
            </w:tcBorders>
            <w:vAlign w:val="center"/>
          </w:tcPr>
          <w:p w14:paraId="4C10AAA1">
            <w:pPr>
              <w:keepNext w:val="0"/>
              <w:keepLines w:val="0"/>
              <w:pageBreakBefore w:val="0"/>
              <w:widowControl w:val="0"/>
              <w:numPr>
                <w:ilvl w:val="0"/>
                <w:numId w:val="2"/>
              </w:numPr>
              <w:tabs>
                <w:tab w:val="left" w:pos="3060"/>
              </w:tabs>
              <w:wordWrap/>
              <w:overflowPunct/>
              <w:topLinePunct w:val="0"/>
              <w:bidi w:val="0"/>
              <w:snapToGrid w:val="0"/>
              <w:spacing w:line="300" w:lineRule="exact"/>
              <w:rPr>
                <w:rFonts w:hint="eastAsia" w:ascii="宋体" w:hAnsi="宋体" w:eastAsia="宋体" w:cs="Times New Roman"/>
                <w:bCs/>
                <w:color w:val="000000"/>
                <w:sz w:val="21"/>
                <w:szCs w:val="21"/>
                <w:highlight w:val="none"/>
              </w:rPr>
            </w:pPr>
            <w:r>
              <w:rPr>
                <w:rFonts w:hint="eastAsia" w:ascii="宋体" w:hAnsi="宋体" w:eastAsia="宋体" w:cs="Times New Roman"/>
                <w:bCs/>
                <w:color w:val="000000"/>
                <w:sz w:val="21"/>
                <w:szCs w:val="21"/>
                <w:highlight w:val="none"/>
              </w:rPr>
              <w:t>投标人不存在投标人须知前附表4.4(1)、(3)项规定的情形。</w:t>
            </w:r>
          </w:p>
          <w:p w14:paraId="09AF4AD0">
            <w:pPr>
              <w:keepNext w:val="0"/>
              <w:keepLines w:val="0"/>
              <w:pageBreakBefore w:val="0"/>
              <w:widowControl w:val="0"/>
              <w:numPr>
                <w:ilvl w:val="0"/>
                <w:numId w:val="2"/>
              </w:numPr>
              <w:tabs>
                <w:tab w:val="left" w:pos="3060"/>
              </w:tabs>
              <w:wordWrap/>
              <w:overflowPunct/>
              <w:topLinePunct w:val="0"/>
              <w:bidi w:val="0"/>
              <w:snapToGrid w:val="0"/>
              <w:spacing w:line="300" w:lineRule="exact"/>
              <w:rPr>
                <w:rFonts w:hint="eastAsia" w:ascii="宋体" w:hAnsi="宋体" w:eastAsia="宋体" w:cs="宋体"/>
                <w:color w:val="auto"/>
                <w:kern w:val="2"/>
                <w:sz w:val="21"/>
                <w:szCs w:val="21"/>
                <w:highlight w:val="none"/>
              </w:rPr>
            </w:pPr>
            <w:r>
              <w:rPr>
                <w:rFonts w:hint="eastAsia" w:ascii="宋体" w:hAnsi="宋体" w:eastAsia="宋体" w:cs="Times New Roman"/>
                <w:bCs/>
                <w:color w:val="000000"/>
                <w:sz w:val="21"/>
                <w:szCs w:val="21"/>
                <w:highlight w:val="none"/>
              </w:rPr>
              <w:t>投标人不存在因投标人须知前附表4.4(2)项规定的情形被评标委员会认定为</w:t>
            </w:r>
            <w:r>
              <w:rPr>
                <w:rFonts w:hint="eastAsia" w:ascii="宋体" w:hAnsi="宋体" w:eastAsia="宋体" w:cs="宋体"/>
                <w:color w:val="000000"/>
                <w:sz w:val="21"/>
                <w:szCs w:val="21"/>
                <w:highlight w:val="none"/>
              </w:rPr>
              <w:t>投标文件异常一致或投标活动异常关联活动情形</w:t>
            </w:r>
            <w:r>
              <w:rPr>
                <w:rFonts w:hint="eastAsia" w:ascii="宋体" w:hAnsi="宋体" w:eastAsia="宋体" w:cs="宋体"/>
                <w:color w:val="000000"/>
                <w:sz w:val="21"/>
                <w:szCs w:val="21"/>
                <w:highlight w:val="none"/>
                <w:lang w:eastAsia="zh-CN"/>
              </w:rPr>
              <w:t>。</w:t>
            </w:r>
          </w:p>
        </w:tc>
      </w:tr>
      <w:tr w14:paraId="0E3D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03" w:type="dxa"/>
            <w:vMerge w:val="restart"/>
            <w:tcBorders>
              <w:top w:val="single" w:color="auto" w:sz="4" w:space="0"/>
              <w:bottom w:val="nil"/>
            </w:tcBorders>
            <w:vAlign w:val="center"/>
          </w:tcPr>
          <w:p w14:paraId="6981778E">
            <w:pPr>
              <w:keepNext w:val="0"/>
              <w:keepLines w:val="0"/>
              <w:pageBreakBefore w:val="0"/>
              <w:widowControl w:val="0"/>
              <w:kinsoku w:val="0"/>
              <w:wordWrap/>
              <w:overflowPunct/>
              <w:topLinePunct w:val="0"/>
              <w:autoSpaceDE w:val="0"/>
              <w:autoSpaceDN w:val="0"/>
              <w:bidi w:val="0"/>
              <w:adjustRightInd w:val="0"/>
              <w:snapToGrid w:val="0"/>
              <w:spacing w:line="320" w:lineRule="exact"/>
              <w:ind w:left="186"/>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2.1.2</w:t>
            </w:r>
          </w:p>
        </w:tc>
        <w:tc>
          <w:tcPr>
            <w:tcW w:w="1279" w:type="dxa"/>
            <w:vMerge w:val="restart"/>
            <w:tcBorders>
              <w:top w:val="single" w:color="auto" w:sz="4" w:space="0"/>
              <w:bottom w:val="nil"/>
            </w:tcBorders>
            <w:vAlign w:val="center"/>
          </w:tcPr>
          <w:p w14:paraId="1DFFDBBE">
            <w:pPr>
              <w:keepNext w:val="0"/>
              <w:keepLines w:val="0"/>
              <w:pageBreakBefore w:val="0"/>
              <w:widowControl w:val="0"/>
              <w:kinsoku w:val="0"/>
              <w:wordWrap/>
              <w:overflowPunct/>
              <w:topLinePunct w:val="0"/>
              <w:autoSpaceDE w:val="0"/>
              <w:autoSpaceDN w:val="0"/>
              <w:bidi w:val="0"/>
              <w:adjustRightInd w:val="0"/>
              <w:snapToGrid w:val="0"/>
              <w:spacing w:line="320" w:lineRule="exact"/>
              <w:ind w:left="345" w:right="119" w:hanging="212"/>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资格评审</w:t>
            </w:r>
            <w:r>
              <w:rPr>
                <w:rFonts w:hint="eastAsia" w:ascii="宋体" w:hAnsi="宋体" w:eastAsia="宋体" w:cs="宋体"/>
                <w:spacing w:val="-2"/>
                <w:kern w:val="2"/>
                <w:sz w:val="21"/>
                <w:szCs w:val="21"/>
                <w:highlight w:val="none"/>
                <w:lang w:val="en-US" w:eastAsia="en-US" w:bidi="ar-SA"/>
              </w:rPr>
              <w:t>标准</w:t>
            </w:r>
          </w:p>
        </w:tc>
        <w:tc>
          <w:tcPr>
            <w:tcW w:w="1551" w:type="dxa"/>
            <w:tcBorders>
              <w:top w:val="single" w:color="auto" w:sz="4" w:space="0"/>
            </w:tcBorders>
            <w:vAlign w:val="center"/>
          </w:tcPr>
          <w:p w14:paraId="6DC0523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营业执照</w:t>
            </w:r>
          </w:p>
        </w:tc>
        <w:tc>
          <w:tcPr>
            <w:tcW w:w="6300" w:type="dxa"/>
            <w:vAlign w:val="top"/>
          </w:tcPr>
          <w:p w14:paraId="302BB84B">
            <w:pPr>
              <w:keepNext w:val="0"/>
              <w:keepLines w:val="0"/>
              <w:pageBreakBefore w:val="0"/>
              <w:widowControl w:val="0"/>
              <w:kinsoku w:val="0"/>
              <w:wordWrap/>
              <w:overflowPunct/>
              <w:topLinePunct w:val="0"/>
              <w:autoSpaceDE w:val="0"/>
              <w:autoSpaceDN w:val="0"/>
              <w:bidi w:val="0"/>
              <w:adjustRightInd w:val="0"/>
              <w:snapToGrid w:val="0"/>
              <w:spacing w:line="320" w:lineRule="exact"/>
              <w:ind w:left="117" w:right="219" w:hanging="2"/>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5"/>
                <w:kern w:val="2"/>
                <w:sz w:val="21"/>
                <w:szCs w:val="21"/>
                <w:highlight w:val="none"/>
                <w:lang w:val="en-US" w:eastAsia="en-US" w:bidi="ar-SA"/>
              </w:rPr>
              <w:t>符合第二章“投标人须知”第3.5.1项规</w:t>
            </w:r>
            <w:r>
              <w:rPr>
                <w:rFonts w:hint="eastAsia" w:ascii="宋体" w:hAnsi="宋体" w:eastAsia="宋体" w:cs="宋体"/>
                <w:spacing w:val="-6"/>
                <w:kern w:val="2"/>
                <w:sz w:val="21"/>
                <w:szCs w:val="21"/>
                <w:highlight w:val="none"/>
                <w:lang w:val="en-US" w:eastAsia="en-US" w:bidi="ar-SA"/>
              </w:rPr>
              <w:t>定，</w:t>
            </w:r>
            <w:r>
              <w:rPr>
                <w:rFonts w:hint="eastAsia" w:ascii="宋体" w:hAnsi="宋体" w:eastAsia="宋体" w:cs="宋体"/>
                <w:spacing w:val="-1"/>
                <w:kern w:val="2"/>
                <w:sz w:val="21"/>
                <w:szCs w:val="21"/>
                <w:highlight w:val="none"/>
                <w:lang w:val="en-US" w:eastAsia="en-US" w:bidi="ar-SA"/>
              </w:rPr>
              <w:t>具备有效的营业执照</w:t>
            </w:r>
          </w:p>
        </w:tc>
      </w:tr>
      <w:tr w14:paraId="6877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center"/>
          </w:tcPr>
          <w:p w14:paraId="38BC568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0BD35481">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591EC70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资质要求</w:t>
            </w:r>
          </w:p>
        </w:tc>
        <w:tc>
          <w:tcPr>
            <w:tcW w:w="6300" w:type="dxa"/>
            <w:vAlign w:val="top"/>
          </w:tcPr>
          <w:p w14:paraId="796B5067">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符合第二章“投标人须知”第1.4.1项规定</w:t>
            </w:r>
          </w:p>
        </w:tc>
      </w:tr>
      <w:tr w14:paraId="4EC3E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center"/>
          </w:tcPr>
          <w:p w14:paraId="35B414AE">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42FAC71A">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2EF60B8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业绩要求</w:t>
            </w:r>
          </w:p>
        </w:tc>
        <w:tc>
          <w:tcPr>
            <w:tcW w:w="6300" w:type="dxa"/>
            <w:vAlign w:val="top"/>
          </w:tcPr>
          <w:p w14:paraId="597E4746">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符合第二章“投标人须知”第1.4.1项规定</w:t>
            </w:r>
          </w:p>
        </w:tc>
      </w:tr>
      <w:tr w14:paraId="4FFD1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03" w:type="dxa"/>
            <w:vMerge w:val="continue"/>
            <w:tcBorders>
              <w:top w:val="nil"/>
              <w:bottom w:val="nil"/>
            </w:tcBorders>
            <w:vAlign w:val="center"/>
          </w:tcPr>
          <w:p w14:paraId="5F7C4E6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08032F14">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5A2A411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信誉要求</w:t>
            </w:r>
          </w:p>
        </w:tc>
        <w:tc>
          <w:tcPr>
            <w:tcW w:w="6300" w:type="dxa"/>
            <w:vAlign w:val="top"/>
          </w:tcPr>
          <w:p w14:paraId="2FCA0E94">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符合第二章“投标人须知”第1.4.1项规定</w:t>
            </w:r>
          </w:p>
        </w:tc>
      </w:tr>
      <w:tr w14:paraId="0FA5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center"/>
          </w:tcPr>
          <w:p w14:paraId="19E00926">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3CC08BF8">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504C3A2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其他要求</w:t>
            </w:r>
          </w:p>
        </w:tc>
        <w:tc>
          <w:tcPr>
            <w:tcW w:w="6300" w:type="dxa"/>
            <w:vAlign w:val="top"/>
          </w:tcPr>
          <w:p w14:paraId="2CE9B2DC">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符合第二章“投标人须知”第1.4.1项规定</w:t>
            </w:r>
          </w:p>
        </w:tc>
      </w:tr>
      <w:tr w14:paraId="16FA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03" w:type="dxa"/>
            <w:vMerge w:val="continue"/>
            <w:tcBorders>
              <w:top w:val="nil"/>
            </w:tcBorders>
            <w:vAlign w:val="center"/>
          </w:tcPr>
          <w:p w14:paraId="062310C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1"/>
                <w:szCs w:val="21"/>
                <w:highlight w:val="none"/>
              </w:rPr>
            </w:pPr>
          </w:p>
        </w:tc>
        <w:tc>
          <w:tcPr>
            <w:tcW w:w="1279" w:type="dxa"/>
            <w:vMerge w:val="continue"/>
            <w:tcBorders>
              <w:top w:val="nil"/>
            </w:tcBorders>
            <w:vAlign w:val="top"/>
          </w:tcPr>
          <w:p w14:paraId="270506D6">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0450551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不存在禁止投标的情形</w:t>
            </w:r>
          </w:p>
        </w:tc>
        <w:tc>
          <w:tcPr>
            <w:tcW w:w="6300" w:type="dxa"/>
            <w:vAlign w:val="top"/>
          </w:tcPr>
          <w:p w14:paraId="38660B7E">
            <w:pPr>
              <w:keepNext w:val="0"/>
              <w:keepLines w:val="0"/>
              <w:pageBreakBefore w:val="0"/>
              <w:widowControl w:val="0"/>
              <w:kinsoku w:val="0"/>
              <w:wordWrap/>
              <w:overflowPunct/>
              <w:topLinePunct w:val="0"/>
              <w:autoSpaceDE w:val="0"/>
              <w:autoSpaceDN w:val="0"/>
              <w:bidi w:val="0"/>
              <w:adjustRightInd w:val="0"/>
              <w:snapToGrid w:val="0"/>
              <w:spacing w:line="320" w:lineRule="exact"/>
              <w:ind w:left="131" w:right="170" w:hanging="14"/>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不存在第二章“投标人须知”第1.4.3项规定的任何一种情形</w:t>
            </w:r>
          </w:p>
        </w:tc>
      </w:tr>
      <w:tr w14:paraId="7AE1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restart"/>
            <w:tcBorders>
              <w:bottom w:val="nil"/>
            </w:tcBorders>
            <w:vAlign w:val="center"/>
          </w:tcPr>
          <w:p w14:paraId="57131023">
            <w:pPr>
              <w:keepNext w:val="0"/>
              <w:keepLines w:val="0"/>
              <w:pageBreakBefore w:val="0"/>
              <w:widowControl w:val="0"/>
              <w:kinsoku w:val="0"/>
              <w:wordWrap/>
              <w:overflowPunct/>
              <w:topLinePunct w:val="0"/>
              <w:autoSpaceDE w:val="0"/>
              <w:autoSpaceDN w:val="0"/>
              <w:bidi w:val="0"/>
              <w:adjustRightInd w:val="0"/>
              <w:snapToGrid w:val="0"/>
              <w:spacing w:line="320" w:lineRule="exact"/>
              <w:ind w:left="186"/>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2.1.3</w:t>
            </w:r>
          </w:p>
        </w:tc>
        <w:tc>
          <w:tcPr>
            <w:tcW w:w="1279" w:type="dxa"/>
            <w:vMerge w:val="restart"/>
            <w:tcBorders>
              <w:bottom w:val="nil"/>
            </w:tcBorders>
            <w:vAlign w:val="center"/>
          </w:tcPr>
          <w:p w14:paraId="7EE9E183">
            <w:pPr>
              <w:keepNext w:val="0"/>
              <w:keepLines w:val="0"/>
              <w:pageBreakBefore w:val="0"/>
              <w:widowControl w:val="0"/>
              <w:kinsoku w:val="0"/>
              <w:wordWrap/>
              <w:overflowPunct/>
              <w:topLinePunct w:val="0"/>
              <w:autoSpaceDE w:val="0"/>
              <w:autoSpaceDN w:val="0"/>
              <w:bidi w:val="0"/>
              <w:adjustRightInd w:val="0"/>
              <w:snapToGrid w:val="0"/>
              <w:spacing w:line="320" w:lineRule="exact"/>
              <w:ind w:right="119"/>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5"/>
                <w:kern w:val="2"/>
                <w:sz w:val="21"/>
                <w:szCs w:val="21"/>
                <w:highlight w:val="none"/>
                <w:lang w:val="en-US" w:eastAsia="en-US" w:bidi="ar-SA"/>
              </w:rPr>
              <w:t>响应性评</w:t>
            </w:r>
            <w:r>
              <w:rPr>
                <w:rFonts w:hint="eastAsia" w:ascii="宋体" w:hAnsi="宋体" w:eastAsia="宋体" w:cs="宋体"/>
                <w:spacing w:val="-4"/>
                <w:kern w:val="2"/>
                <w:sz w:val="21"/>
                <w:szCs w:val="21"/>
                <w:highlight w:val="none"/>
                <w:lang w:val="en-US" w:eastAsia="en-US" w:bidi="ar-SA"/>
              </w:rPr>
              <w:t>审标准</w:t>
            </w:r>
          </w:p>
        </w:tc>
        <w:tc>
          <w:tcPr>
            <w:tcW w:w="1551" w:type="dxa"/>
            <w:vAlign w:val="top"/>
          </w:tcPr>
          <w:p w14:paraId="78D302D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投标报价</w:t>
            </w:r>
          </w:p>
        </w:tc>
        <w:tc>
          <w:tcPr>
            <w:tcW w:w="6300" w:type="dxa"/>
            <w:vAlign w:val="top"/>
          </w:tcPr>
          <w:p w14:paraId="39A7F44B">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符合第二章“投标人须知”第3.2款规定</w:t>
            </w:r>
          </w:p>
        </w:tc>
      </w:tr>
      <w:tr w14:paraId="0831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199C69EE">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16FD855D">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77EC1994">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投标内容</w:t>
            </w:r>
          </w:p>
        </w:tc>
        <w:tc>
          <w:tcPr>
            <w:tcW w:w="6300" w:type="dxa"/>
            <w:vAlign w:val="top"/>
          </w:tcPr>
          <w:p w14:paraId="33865808">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符合第二章“投标人须知”第1.3.1项规定</w:t>
            </w:r>
          </w:p>
        </w:tc>
      </w:tr>
      <w:tr w14:paraId="0F58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758F4634">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385965F7">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05AE807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交货期</w:t>
            </w:r>
          </w:p>
        </w:tc>
        <w:tc>
          <w:tcPr>
            <w:tcW w:w="6300" w:type="dxa"/>
            <w:vAlign w:val="top"/>
          </w:tcPr>
          <w:p w14:paraId="4E2BE22C">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符合第二章“投标人须知”第1.3.2项规定</w:t>
            </w:r>
          </w:p>
        </w:tc>
      </w:tr>
      <w:tr w14:paraId="4BEF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5947609F">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07BFE71B">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6A24349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交货地点</w:t>
            </w:r>
          </w:p>
        </w:tc>
        <w:tc>
          <w:tcPr>
            <w:tcW w:w="6300" w:type="dxa"/>
            <w:vAlign w:val="top"/>
          </w:tcPr>
          <w:p w14:paraId="759775BA">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符合第二章“投标人须知”第1.3.3项规定</w:t>
            </w:r>
          </w:p>
        </w:tc>
      </w:tr>
      <w:tr w14:paraId="45BD2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3F120310">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0807665B">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2C730648">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SA"/>
              </w:rPr>
              <w:t>质量要求</w:t>
            </w:r>
          </w:p>
        </w:tc>
        <w:tc>
          <w:tcPr>
            <w:tcW w:w="6300" w:type="dxa"/>
            <w:vAlign w:val="top"/>
          </w:tcPr>
          <w:p w14:paraId="3994DEC2">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符合第二章“投标人须知”第1.3.4项规定</w:t>
            </w:r>
          </w:p>
        </w:tc>
      </w:tr>
      <w:tr w14:paraId="54BB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23788479">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23FCFA5C">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75A7CAC9">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投标有效期</w:t>
            </w:r>
          </w:p>
        </w:tc>
        <w:tc>
          <w:tcPr>
            <w:tcW w:w="6300" w:type="dxa"/>
            <w:vAlign w:val="top"/>
          </w:tcPr>
          <w:p w14:paraId="3405E5C3">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符合第二章“投标人须知”第3.3.1项规定</w:t>
            </w:r>
          </w:p>
        </w:tc>
      </w:tr>
      <w:tr w14:paraId="483C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03" w:type="dxa"/>
            <w:vMerge w:val="continue"/>
            <w:tcBorders>
              <w:top w:val="nil"/>
              <w:bottom w:val="nil"/>
            </w:tcBorders>
            <w:vAlign w:val="top"/>
          </w:tcPr>
          <w:p w14:paraId="67F13870">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bottom w:val="nil"/>
            </w:tcBorders>
            <w:vAlign w:val="top"/>
          </w:tcPr>
          <w:p w14:paraId="4CE6896E">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vAlign w:val="top"/>
          </w:tcPr>
          <w:p w14:paraId="4EDEA0A8">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2"/>
                <w:kern w:val="2"/>
                <w:sz w:val="21"/>
                <w:szCs w:val="21"/>
                <w:highlight w:val="none"/>
                <w:lang w:val="en-US" w:eastAsia="en-US" w:bidi="ar-SA"/>
              </w:rPr>
              <w:t>投标保证金</w:t>
            </w:r>
          </w:p>
        </w:tc>
        <w:tc>
          <w:tcPr>
            <w:tcW w:w="6300" w:type="dxa"/>
            <w:vAlign w:val="top"/>
          </w:tcPr>
          <w:p w14:paraId="27E4A3C0">
            <w:pPr>
              <w:keepNext w:val="0"/>
              <w:keepLines w:val="0"/>
              <w:pageBreakBefore w:val="0"/>
              <w:widowControl w:val="0"/>
              <w:kinsoku w:val="0"/>
              <w:wordWrap/>
              <w:overflowPunct/>
              <w:topLinePunct w:val="0"/>
              <w:autoSpaceDE w:val="0"/>
              <w:autoSpaceDN w:val="0"/>
              <w:bidi w:val="0"/>
              <w:adjustRightInd w:val="0"/>
              <w:snapToGrid w:val="0"/>
              <w:spacing w:line="320" w:lineRule="exact"/>
              <w:ind w:left="115"/>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3"/>
                <w:kern w:val="2"/>
                <w:sz w:val="21"/>
                <w:szCs w:val="21"/>
                <w:highlight w:val="none"/>
                <w:lang w:val="en-US" w:eastAsia="en-US" w:bidi="ar-SA"/>
              </w:rPr>
              <w:t>符合第二章“投标人须知”第3.4.1项规定</w:t>
            </w:r>
          </w:p>
        </w:tc>
      </w:tr>
      <w:tr w14:paraId="7910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803" w:type="dxa"/>
            <w:vMerge w:val="continue"/>
            <w:tcBorders>
              <w:top w:val="nil"/>
            </w:tcBorders>
            <w:vAlign w:val="top"/>
          </w:tcPr>
          <w:p w14:paraId="022B6DEC">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tcBorders>
              <w:top w:val="nil"/>
            </w:tcBorders>
            <w:vAlign w:val="top"/>
          </w:tcPr>
          <w:p w14:paraId="0E648E1A">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tcBorders>
              <w:bottom w:val="single" w:color="auto" w:sz="4" w:space="0"/>
            </w:tcBorders>
            <w:vAlign w:val="center"/>
          </w:tcPr>
          <w:p w14:paraId="22D1F3B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1"/>
                <w:kern w:val="2"/>
                <w:sz w:val="21"/>
                <w:szCs w:val="21"/>
                <w:highlight w:val="none"/>
                <w:lang w:val="en-US" w:eastAsia="en-US" w:bidi="ar-SA"/>
              </w:rPr>
              <w:t>权利义务</w:t>
            </w:r>
          </w:p>
        </w:tc>
        <w:tc>
          <w:tcPr>
            <w:tcW w:w="6300" w:type="dxa"/>
            <w:tcBorders>
              <w:bottom w:val="single" w:color="auto" w:sz="4" w:space="0"/>
            </w:tcBorders>
            <w:vAlign w:val="center"/>
          </w:tcPr>
          <w:p w14:paraId="29B29040">
            <w:pPr>
              <w:keepNext w:val="0"/>
              <w:keepLines w:val="0"/>
              <w:pageBreakBefore w:val="0"/>
              <w:widowControl w:val="0"/>
              <w:kinsoku w:val="0"/>
              <w:wordWrap/>
              <w:overflowPunct/>
              <w:topLinePunct w:val="0"/>
              <w:autoSpaceDE w:val="0"/>
              <w:autoSpaceDN w:val="0"/>
              <w:bidi w:val="0"/>
              <w:adjustRightInd w:val="0"/>
              <w:snapToGrid w:val="0"/>
              <w:spacing w:line="320" w:lineRule="exact"/>
              <w:ind w:left="114" w:right="170"/>
              <w:jc w:val="both"/>
              <w:textAlignment w:val="baseline"/>
              <w:rPr>
                <w:rFonts w:hint="eastAsia" w:ascii="宋体" w:hAnsi="宋体" w:eastAsia="宋体" w:cs="宋体"/>
                <w:kern w:val="2"/>
                <w:sz w:val="21"/>
                <w:szCs w:val="21"/>
                <w:highlight w:val="none"/>
                <w:lang w:val="en-US" w:eastAsia="en-US" w:bidi="ar-SA"/>
              </w:rPr>
            </w:pPr>
            <w:r>
              <w:rPr>
                <w:rFonts w:hint="eastAsia" w:ascii="宋体" w:hAnsi="宋体" w:eastAsia="宋体" w:cs="宋体"/>
                <w:spacing w:val="-4"/>
                <w:kern w:val="2"/>
                <w:sz w:val="21"/>
                <w:szCs w:val="21"/>
                <w:highlight w:val="none"/>
                <w:lang w:val="en-US" w:eastAsia="en-US" w:bidi="ar-SA"/>
              </w:rPr>
              <w:t>符合第二章“投标人须知”第1.11.1项规定</w:t>
            </w:r>
          </w:p>
        </w:tc>
      </w:tr>
      <w:tr w14:paraId="2E93B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803" w:type="dxa"/>
            <w:vMerge w:val="continue"/>
            <w:vAlign w:val="top"/>
          </w:tcPr>
          <w:p w14:paraId="07F9C45A">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vAlign w:val="top"/>
          </w:tcPr>
          <w:p w14:paraId="05C3EF20">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tcBorders>
              <w:top w:val="single" w:color="auto" w:sz="4" w:space="0"/>
              <w:bottom w:val="single" w:color="auto" w:sz="4" w:space="0"/>
            </w:tcBorders>
            <w:vAlign w:val="center"/>
          </w:tcPr>
          <w:p w14:paraId="10B79144">
            <w:pPr>
              <w:keepNext w:val="0"/>
              <w:keepLines w:val="0"/>
              <w:pageBreakBefore w:val="0"/>
              <w:widowControl w:val="0"/>
              <w:wordWrap/>
              <w:overflowPunct/>
              <w:topLinePunct w:val="0"/>
              <w:bidi w:val="0"/>
              <w:spacing w:before="38" w:line="223" w:lineRule="auto"/>
              <w:ind w:right="135" w:rightChars="0"/>
              <w:jc w:val="center"/>
              <w:rPr>
                <w:rFonts w:hint="eastAsia" w:ascii="宋体" w:hAnsi="宋体" w:eastAsia="宋体" w:cs="宋体"/>
                <w:spacing w:val="-1"/>
                <w:kern w:val="2"/>
                <w:sz w:val="21"/>
                <w:szCs w:val="21"/>
                <w:highlight w:val="none"/>
                <w:lang w:val="en-US" w:eastAsia="en-US" w:bidi="ar-SA"/>
              </w:rPr>
            </w:pPr>
            <w:r>
              <w:rPr>
                <w:rFonts w:ascii="宋体" w:hAnsi="宋体" w:eastAsia="宋体" w:cs="宋体"/>
                <w:spacing w:val="-1"/>
                <w:kern w:val="2"/>
                <w:sz w:val="21"/>
                <w:szCs w:val="21"/>
                <w:highlight w:val="none"/>
                <w:lang w:val="en-US" w:eastAsia="en-US" w:bidi="ar-SA"/>
              </w:rPr>
              <w:t>投标设备及技术服务和</w:t>
            </w:r>
            <w:r>
              <w:rPr>
                <w:rFonts w:ascii="宋体" w:hAnsi="宋体" w:eastAsia="宋体" w:cs="宋体"/>
                <w:spacing w:val="-2"/>
                <w:kern w:val="2"/>
                <w:sz w:val="21"/>
                <w:szCs w:val="21"/>
                <w:highlight w:val="none"/>
                <w:lang w:val="en-US" w:eastAsia="en-US" w:bidi="ar-SA"/>
              </w:rPr>
              <w:t>质保期服务</w:t>
            </w:r>
          </w:p>
        </w:tc>
        <w:tc>
          <w:tcPr>
            <w:tcW w:w="6300" w:type="dxa"/>
            <w:tcBorders>
              <w:top w:val="single" w:color="auto" w:sz="4" w:space="0"/>
              <w:bottom w:val="single" w:color="auto" w:sz="4" w:space="0"/>
            </w:tcBorders>
            <w:vAlign w:val="center"/>
          </w:tcPr>
          <w:p w14:paraId="3F8C0F88">
            <w:pPr>
              <w:keepNext w:val="0"/>
              <w:keepLines w:val="0"/>
              <w:pageBreakBefore w:val="0"/>
              <w:widowControl w:val="0"/>
              <w:wordWrap/>
              <w:overflowPunct/>
              <w:topLinePunct w:val="0"/>
              <w:bidi w:val="0"/>
              <w:spacing w:before="38" w:line="223" w:lineRule="auto"/>
              <w:ind w:left="113" w:leftChars="0" w:right="170" w:rightChars="0" w:firstLine="2" w:firstLineChars="0"/>
              <w:jc w:val="left"/>
              <w:rPr>
                <w:rFonts w:hint="eastAsia" w:ascii="宋体" w:hAnsi="宋体" w:eastAsia="宋体" w:cs="宋体"/>
                <w:spacing w:val="-4"/>
                <w:kern w:val="2"/>
                <w:sz w:val="21"/>
                <w:szCs w:val="21"/>
                <w:highlight w:val="none"/>
                <w:lang w:val="en-US" w:eastAsia="en-US" w:bidi="ar-SA"/>
              </w:rPr>
            </w:pPr>
            <w:r>
              <w:rPr>
                <w:rFonts w:ascii="宋体" w:hAnsi="宋体" w:eastAsia="宋体" w:cs="宋体"/>
                <w:spacing w:val="-1"/>
                <w:kern w:val="2"/>
                <w:sz w:val="21"/>
                <w:szCs w:val="21"/>
                <w:highlight w:val="none"/>
                <w:lang w:val="en-US" w:eastAsia="en-US" w:bidi="ar-SA"/>
              </w:rPr>
              <w:t>符合第五章“供货要求”中的实质性要求和条</w:t>
            </w:r>
            <w:r>
              <w:rPr>
                <w:rFonts w:ascii="宋体" w:hAnsi="宋体" w:eastAsia="宋体" w:cs="宋体"/>
                <w:kern w:val="2"/>
                <w:sz w:val="21"/>
                <w:szCs w:val="21"/>
                <w:highlight w:val="none"/>
                <w:lang w:val="en-US" w:eastAsia="en-US" w:bidi="ar-SA"/>
              </w:rPr>
              <w:t>件</w:t>
            </w:r>
          </w:p>
        </w:tc>
      </w:tr>
      <w:tr w14:paraId="61388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03" w:type="dxa"/>
            <w:vMerge w:val="continue"/>
            <w:vAlign w:val="top"/>
          </w:tcPr>
          <w:p w14:paraId="7D148FB0">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vAlign w:val="top"/>
          </w:tcPr>
          <w:p w14:paraId="6741AC6F">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tcBorders>
              <w:top w:val="single" w:color="auto" w:sz="4" w:space="0"/>
              <w:bottom w:val="single" w:color="auto" w:sz="4" w:space="0"/>
            </w:tcBorders>
            <w:vAlign w:val="center"/>
          </w:tcPr>
          <w:p w14:paraId="2335942C">
            <w:pPr>
              <w:keepNext w:val="0"/>
              <w:keepLines w:val="0"/>
              <w:pageBreakBefore w:val="0"/>
              <w:widowControl w:val="0"/>
              <w:wordWrap/>
              <w:overflowPunct/>
              <w:topLinePunct w:val="0"/>
              <w:bidi w:val="0"/>
              <w:spacing w:before="34" w:line="206" w:lineRule="auto"/>
              <w:jc w:val="center"/>
              <w:rPr>
                <w:rFonts w:hint="eastAsia" w:ascii="宋体" w:hAnsi="宋体" w:eastAsia="宋体" w:cs="宋体"/>
                <w:spacing w:val="-1"/>
                <w:kern w:val="2"/>
                <w:sz w:val="21"/>
                <w:szCs w:val="21"/>
                <w:highlight w:val="none"/>
                <w:lang w:val="en-US" w:eastAsia="en-US" w:bidi="ar-SA"/>
              </w:rPr>
            </w:pPr>
            <w:r>
              <w:rPr>
                <w:rFonts w:ascii="宋体" w:hAnsi="宋体" w:eastAsia="宋体" w:cs="宋体"/>
                <w:spacing w:val="-2"/>
                <w:kern w:val="2"/>
                <w:sz w:val="21"/>
                <w:szCs w:val="21"/>
                <w:highlight w:val="none"/>
                <w:lang w:val="en-US" w:eastAsia="en-US" w:bidi="ar-SA"/>
              </w:rPr>
              <w:t>技术支持资料</w:t>
            </w:r>
          </w:p>
        </w:tc>
        <w:tc>
          <w:tcPr>
            <w:tcW w:w="6300" w:type="dxa"/>
            <w:tcBorders>
              <w:top w:val="single" w:color="auto" w:sz="4" w:space="0"/>
              <w:bottom w:val="single" w:color="auto" w:sz="4" w:space="0"/>
            </w:tcBorders>
            <w:vAlign w:val="center"/>
          </w:tcPr>
          <w:p w14:paraId="19550499">
            <w:pPr>
              <w:keepNext w:val="0"/>
              <w:keepLines w:val="0"/>
              <w:pageBreakBefore w:val="0"/>
              <w:widowControl w:val="0"/>
              <w:wordWrap/>
              <w:overflowPunct/>
              <w:topLinePunct w:val="0"/>
              <w:bidi w:val="0"/>
              <w:spacing w:before="34" w:line="206" w:lineRule="auto"/>
              <w:ind w:left="115" w:leftChars="0"/>
              <w:jc w:val="left"/>
              <w:rPr>
                <w:rFonts w:hint="eastAsia" w:ascii="宋体" w:hAnsi="宋体" w:eastAsia="宋体" w:cs="宋体"/>
                <w:spacing w:val="-4"/>
                <w:kern w:val="2"/>
                <w:sz w:val="21"/>
                <w:szCs w:val="21"/>
                <w:highlight w:val="none"/>
                <w:lang w:val="en-US" w:eastAsia="en-US" w:bidi="ar-SA"/>
              </w:rPr>
            </w:pPr>
            <w:r>
              <w:rPr>
                <w:rFonts w:ascii="宋体" w:hAnsi="宋体" w:eastAsia="宋体" w:cs="宋体"/>
                <w:spacing w:val="-4"/>
                <w:kern w:val="2"/>
                <w:sz w:val="21"/>
                <w:szCs w:val="21"/>
                <w:highlight w:val="none"/>
                <w:lang w:val="en-US" w:eastAsia="en-US" w:bidi="ar-SA"/>
              </w:rPr>
              <w:t>符合第二章“投标人须知”第1.11.3项规定</w:t>
            </w:r>
          </w:p>
        </w:tc>
      </w:tr>
      <w:tr w14:paraId="71D1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03" w:type="dxa"/>
            <w:vMerge w:val="continue"/>
            <w:vAlign w:val="top"/>
          </w:tcPr>
          <w:p w14:paraId="2A7572F4">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279" w:type="dxa"/>
            <w:vMerge w:val="continue"/>
            <w:vAlign w:val="top"/>
          </w:tcPr>
          <w:p w14:paraId="6C6AA126">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1"/>
                <w:szCs w:val="21"/>
                <w:highlight w:val="none"/>
              </w:rPr>
            </w:pPr>
          </w:p>
        </w:tc>
        <w:tc>
          <w:tcPr>
            <w:tcW w:w="1551" w:type="dxa"/>
            <w:tcBorders>
              <w:top w:val="single" w:color="auto" w:sz="4" w:space="0"/>
              <w:bottom w:val="single" w:color="auto" w:sz="4" w:space="0"/>
            </w:tcBorders>
            <w:vAlign w:val="center"/>
          </w:tcPr>
          <w:p w14:paraId="3494CFD5">
            <w:pPr>
              <w:keepNext w:val="0"/>
              <w:keepLines w:val="0"/>
              <w:pageBreakBefore w:val="0"/>
              <w:widowControl w:val="0"/>
              <w:wordWrap/>
              <w:overflowPunct/>
              <w:topLinePunct w:val="0"/>
              <w:bidi w:val="0"/>
              <w:snapToGrid w:val="0"/>
              <w:spacing w:line="300" w:lineRule="exact"/>
              <w:jc w:val="center"/>
              <w:rPr>
                <w:rFonts w:ascii="Calibri" w:hAnsi="Calibri" w:eastAsia="宋体" w:cs="Times New Roman"/>
                <w:spacing w:val="-2"/>
                <w:kern w:val="0"/>
                <w:sz w:val="21"/>
                <w:szCs w:val="21"/>
                <w:highlight w:val="none"/>
                <w:lang w:val="en-US" w:eastAsia="en-US" w:bidi="ar-SA"/>
              </w:rPr>
            </w:pPr>
            <w:r>
              <w:rPr>
                <w:rFonts w:hint="eastAsia" w:ascii="宋体" w:hAnsi="宋体" w:eastAsia="宋体" w:cs="Times New Roman"/>
                <w:kern w:val="0"/>
                <w:sz w:val="21"/>
                <w:szCs w:val="21"/>
                <w:highlight w:val="none"/>
                <w:lang w:val="en-US" w:eastAsia="zh-CN" w:bidi="ar-SA"/>
              </w:rPr>
              <w:t>异常低价</w:t>
            </w:r>
          </w:p>
        </w:tc>
        <w:tc>
          <w:tcPr>
            <w:tcW w:w="6300" w:type="dxa"/>
            <w:tcBorders>
              <w:top w:val="single" w:color="auto" w:sz="4" w:space="0"/>
              <w:bottom w:val="single" w:color="auto" w:sz="4" w:space="0"/>
            </w:tcBorders>
            <w:vAlign w:val="center"/>
          </w:tcPr>
          <w:p w14:paraId="21067527">
            <w:pPr>
              <w:keepNext w:val="0"/>
              <w:keepLines w:val="0"/>
              <w:pageBreakBefore w:val="0"/>
              <w:widowControl w:val="0"/>
              <w:tabs>
                <w:tab w:val="left" w:pos="3060"/>
              </w:tabs>
              <w:wordWrap/>
              <w:overflowPunct/>
              <w:topLinePunct w:val="0"/>
              <w:bidi w:val="0"/>
              <w:snapToGrid w:val="0"/>
              <w:spacing w:line="300" w:lineRule="exact"/>
              <w:rPr>
                <w:rFonts w:ascii="Times New Roman" w:hAnsi="Times New Roman" w:eastAsia="宋体" w:cs="Times New Roman"/>
                <w:spacing w:val="-4"/>
                <w:sz w:val="21"/>
                <w:szCs w:val="21"/>
                <w:highlight w:val="none"/>
              </w:rPr>
            </w:pPr>
            <w:r>
              <w:rPr>
                <w:rFonts w:hint="eastAsia" w:ascii="宋体" w:hAnsi="宋体" w:eastAsia="宋体" w:cs="Times New Roman"/>
                <w:bCs/>
                <w:color w:val="000000"/>
                <w:sz w:val="21"/>
                <w:szCs w:val="21"/>
                <w:highlight w:val="none"/>
                <w:lang w:eastAsia="zh-CN"/>
              </w:rPr>
              <w:t>投标人不存在因投标人须知前附表3.2.5（</w:t>
            </w:r>
            <w:r>
              <w:rPr>
                <w:rFonts w:hint="eastAsia" w:ascii="宋体" w:hAnsi="宋体" w:eastAsia="宋体" w:cs="Times New Roman"/>
                <w:bCs/>
                <w:color w:val="000000"/>
                <w:sz w:val="21"/>
                <w:szCs w:val="21"/>
                <w:highlight w:val="none"/>
                <w:lang w:val="en-US" w:eastAsia="zh-CN"/>
              </w:rPr>
              <w:t>3）</w:t>
            </w:r>
            <w:r>
              <w:rPr>
                <w:rFonts w:hint="eastAsia" w:ascii="宋体" w:hAnsi="宋体" w:eastAsia="宋体" w:cs="Times New Roman"/>
                <w:bCs/>
                <w:color w:val="000000"/>
                <w:sz w:val="21"/>
                <w:szCs w:val="21"/>
                <w:highlight w:val="none"/>
                <w:lang w:eastAsia="zh-CN"/>
              </w:rPr>
              <w:t>项规定被评标委员会认定为低于成本或影响履约的异常低价竞标的情形。</w:t>
            </w:r>
          </w:p>
        </w:tc>
      </w:tr>
      <w:tr w14:paraId="602C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9933" w:type="dxa"/>
            <w:gridSpan w:val="4"/>
            <w:vAlign w:val="top"/>
          </w:tcPr>
          <w:p w14:paraId="1EADB3FF">
            <w:pPr>
              <w:keepNext w:val="0"/>
              <w:keepLines w:val="0"/>
              <w:pageBreakBefore w:val="0"/>
              <w:widowControl w:val="0"/>
              <w:tabs>
                <w:tab w:val="left" w:pos="2221"/>
              </w:tabs>
              <w:kinsoku/>
              <w:wordWrap/>
              <w:overflowPunct/>
              <w:topLinePunct w:val="0"/>
              <w:autoSpaceDE w:val="0"/>
              <w:autoSpaceDN w:val="0"/>
              <w:bidi w:val="0"/>
              <w:adjustRightInd/>
              <w:snapToGrid w:val="0"/>
              <w:spacing w:line="320" w:lineRule="exact"/>
              <w:ind w:left="21" w:leftChars="10" w:right="-20" w:firstLine="203" w:firstLineChars="100"/>
              <w:jc w:val="left"/>
              <w:textAlignment w:val="auto"/>
              <w:rPr>
                <w:rFonts w:hint="eastAsia" w:ascii="宋体" w:hAnsi="宋体" w:eastAsia="宋体" w:cs="宋体"/>
                <w:b/>
                <w:bCs/>
                <w:color w:val="000000"/>
                <w:spacing w:val="-4"/>
                <w:sz w:val="21"/>
                <w:szCs w:val="21"/>
                <w:highlight w:val="none"/>
                <w:lang w:val="en-US" w:eastAsia="zh-CN"/>
              </w:rPr>
            </w:pPr>
            <w:r>
              <w:rPr>
                <w:rFonts w:hint="eastAsia" w:ascii="宋体" w:hAnsi="宋体" w:eastAsia="宋体" w:cs="宋体"/>
                <w:b/>
                <w:bCs/>
                <w:color w:val="000000"/>
                <w:spacing w:val="-4"/>
                <w:sz w:val="21"/>
                <w:szCs w:val="21"/>
                <w:highlight w:val="none"/>
              </w:rPr>
              <w:t>暗标部分评审标准</w:t>
            </w:r>
            <w:r>
              <w:rPr>
                <w:rFonts w:hint="eastAsia" w:ascii="宋体" w:hAnsi="宋体" w:eastAsia="宋体" w:cs="宋体"/>
                <w:b/>
                <w:bCs/>
                <w:color w:val="000000"/>
                <w:spacing w:val="-4"/>
                <w:sz w:val="21"/>
                <w:szCs w:val="21"/>
                <w:highlight w:val="none"/>
                <w:lang w:val="en-US" w:eastAsia="zh-CN"/>
              </w:rPr>
              <w:t>:</w:t>
            </w:r>
          </w:p>
          <w:p w14:paraId="392CCA79">
            <w:pPr>
              <w:keepNext w:val="0"/>
              <w:keepLines w:val="0"/>
              <w:pageBreakBefore w:val="0"/>
              <w:widowControl w:val="0"/>
              <w:tabs>
                <w:tab w:val="left" w:pos="3060"/>
              </w:tabs>
              <w:wordWrap/>
              <w:overflowPunct/>
              <w:topLinePunct w:val="0"/>
              <w:bidi w:val="0"/>
              <w:snapToGrid w:val="0"/>
              <w:spacing w:line="300" w:lineRule="exact"/>
              <w:ind w:firstLine="210" w:firstLineChars="100"/>
              <w:rPr>
                <w:rFonts w:hint="eastAsia" w:ascii="宋体" w:hAnsi="宋体" w:eastAsia="宋体" w:cs="Times New Roman"/>
                <w:bCs/>
                <w:color w:val="000000"/>
                <w:sz w:val="21"/>
                <w:szCs w:val="21"/>
                <w:highlight w:val="none"/>
                <w:lang w:eastAsia="zh-CN"/>
              </w:rPr>
            </w:pPr>
            <w:r>
              <w:rPr>
                <w:rFonts w:hint="eastAsia" w:ascii="Times New Roman" w:hAnsi="Times New Roman" w:eastAsia="宋体" w:cs="Times New Roman"/>
                <w:color w:val="000000"/>
                <w:szCs w:val="22"/>
                <w:highlight w:val="none"/>
                <w:lang w:val="en-US" w:eastAsia="zh-CN"/>
              </w:rPr>
              <w:t>(1)暗标部分编制符合招标文件第二章“投标人须知前附表”第10.3款的规定。</w:t>
            </w:r>
          </w:p>
        </w:tc>
      </w:tr>
    </w:tbl>
    <w:tbl>
      <w:tblPr>
        <w:tblStyle w:val="4"/>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0"/>
        <w:gridCol w:w="1263"/>
        <w:gridCol w:w="1800"/>
        <w:gridCol w:w="6072"/>
      </w:tblGrid>
      <w:tr w14:paraId="6BFC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jc w:val="center"/>
        </w:trPr>
        <w:tc>
          <w:tcPr>
            <w:tcW w:w="820" w:type="dxa"/>
          </w:tcPr>
          <w:p w14:paraId="2CC7B83E">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条款号</w:t>
            </w:r>
          </w:p>
        </w:tc>
        <w:tc>
          <w:tcPr>
            <w:tcW w:w="1263" w:type="dxa"/>
          </w:tcPr>
          <w:p w14:paraId="04C9E17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条款内容</w:t>
            </w:r>
          </w:p>
        </w:tc>
        <w:tc>
          <w:tcPr>
            <w:tcW w:w="7872" w:type="dxa"/>
            <w:gridSpan w:val="2"/>
          </w:tcPr>
          <w:p w14:paraId="019EFEE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编列内容</w:t>
            </w:r>
          </w:p>
        </w:tc>
      </w:tr>
      <w:tr w14:paraId="1F24E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820" w:type="dxa"/>
          </w:tcPr>
          <w:p w14:paraId="2816E5C2">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p>
          <w:p w14:paraId="1FBEC41D">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p>
          <w:p w14:paraId="53C97B67">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2.2.1</w:t>
            </w:r>
          </w:p>
        </w:tc>
        <w:tc>
          <w:tcPr>
            <w:tcW w:w="1263" w:type="dxa"/>
            <w:vAlign w:val="center"/>
          </w:tcPr>
          <w:p w14:paraId="1431B34B">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分值构成</w:t>
            </w:r>
          </w:p>
          <w:p w14:paraId="7DA1C6C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(总分 100 分)</w:t>
            </w:r>
          </w:p>
        </w:tc>
        <w:tc>
          <w:tcPr>
            <w:tcW w:w="7872" w:type="dxa"/>
            <w:gridSpan w:val="2"/>
          </w:tcPr>
          <w:p w14:paraId="5F55B66A">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b/>
                <w:color w:val="000000"/>
                <w:kern w:val="21"/>
                <w:sz w:val="21"/>
                <w:szCs w:val="21"/>
                <w:highlight w:val="none"/>
              </w:rPr>
              <w:t>第一个信封（</w:t>
            </w:r>
            <w:r>
              <w:rPr>
                <w:rFonts w:hint="eastAsia" w:ascii="宋体" w:hAnsi="宋体" w:eastAsia="宋体" w:cs="宋体"/>
                <w:b/>
                <w:color w:val="000000"/>
                <w:kern w:val="21"/>
                <w:sz w:val="21"/>
                <w:szCs w:val="21"/>
                <w:highlight w:val="none"/>
                <w:lang w:val="en-US" w:eastAsia="zh-CN"/>
              </w:rPr>
              <w:t>5</w:t>
            </w:r>
            <w:r>
              <w:rPr>
                <w:rFonts w:hint="eastAsia" w:ascii="宋体" w:hAnsi="宋体" w:eastAsia="宋体" w:cs="宋体"/>
                <w:b/>
                <w:color w:val="000000"/>
                <w:kern w:val="21"/>
                <w:sz w:val="21"/>
                <w:szCs w:val="21"/>
                <w:highlight w:val="none"/>
              </w:rPr>
              <w:t>0）：</w:t>
            </w:r>
          </w:p>
          <w:p w14:paraId="47208FFB">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color w:val="000000"/>
                <w:kern w:val="21"/>
                <w:sz w:val="21"/>
                <w:szCs w:val="21"/>
                <w:highlight w:val="none"/>
                <w:lang w:val="en-US" w:eastAsia="zh-CN"/>
              </w:rPr>
              <w:t>商务部分</w:t>
            </w:r>
            <w:r>
              <w:rPr>
                <w:rFonts w:hint="eastAsia" w:ascii="宋体" w:hAnsi="宋体" w:eastAsia="宋体" w:cs="宋体"/>
                <w:color w:val="000000"/>
                <w:kern w:val="21"/>
                <w:sz w:val="21"/>
                <w:szCs w:val="21"/>
                <w:highlight w:val="none"/>
              </w:rPr>
              <w:t>：</w:t>
            </w:r>
            <w:r>
              <w:rPr>
                <w:rFonts w:ascii="宋体" w:hAnsi="宋体" w:eastAsia="宋体" w:cs="宋体"/>
                <w:color w:val="000000"/>
                <w:kern w:val="21"/>
                <w:sz w:val="21"/>
                <w:szCs w:val="21"/>
                <w:highlight w:val="none"/>
                <w:u w:val="single"/>
              </w:rPr>
              <w:t xml:space="preserve"> </w:t>
            </w:r>
            <w:r>
              <w:rPr>
                <w:rFonts w:hint="default" w:ascii="宋体" w:hAnsi="宋体" w:eastAsia="宋体" w:cs="宋体"/>
                <w:color w:val="000000"/>
                <w:kern w:val="21"/>
                <w:sz w:val="21"/>
                <w:szCs w:val="21"/>
                <w:highlight w:val="none"/>
                <w:u w:val="single"/>
                <w:lang w:val="en-US" w:eastAsia="zh-CN"/>
              </w:rPr>
              <w:t>2</w:t>
            </w:r>
            <w:r>
              <w:rPr>
                <w:rFonts w:hint="eastAsia" w:ascii="宋体" w:hAnsi="宋体" w:eastAsia="宋体" w:cs="宋体"/>
                <w:color w:val="000000"/>
                <w:kern w:val="21"/>
                <w:sz w:val="21"/>
                <w:szCs w:val="21"/>
                <w:highlight w:val="none"/>
                <w:u w:val="single"/>
                <w:lang w:val="en-US" w:eastAsia="zh-CN"/>
              </w:rPr>
              <w:t>0</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rPr>
              <w:t>分</w:t>
            </w:r>
          </w:p>
          <w:p w14:paraId="70A9D2D2">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color w:val="000000"/>
                <w:kern w:val="21"/>
                <w:sz w:val="21"/>
                <w:szCs w:val="21"/>
                <w:highlight w:val="none"/>
                <w:lang w:val="en-US" w:eastAsia="zh-CN"/>
              </w:rPr>
              <w:t>技术部分</w:t>
            </w:r>
            <w:r>
              <w:rPr>
                <w:rFonts w:hint="eastAsia" w:ascii="宋体" w:hAnsi="宋体" w:eastAsia="宋体" w:cs="宋体"/>
                <w:color w:val="000000"/>
                <w:kern w:val="21"/>
                <w:sz w:val="21"/>
                <w:szCs w:val="21"/>
                <w:highlight w:val="none"/>
              </w:rPr>
              <w:t>：</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u w:val="single"/>
                <w:lang w:val="en-US" w:eastAsia="zh-CN"/>
              </w:rPr>
              <w:t>30</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rPr>
              <w:t>分</w:t>
            </w:r>
          </w:p>
          <w:p w14:paraId="151A22DC">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b/>
                <w:color w:val="000000"/>
                <w:kern w:val="21"/>
                <w:sz w:val="21"/>
                <w:szCs w:val="21"/>
                <w:highlight w:val="none"/>
              </w:rPr>
              <w:t>第二个信封（</w:t>
            </w:r>
            <w:r>
              <w:rPr>
                <w:rFonts w:hint="eastAsia" w:ascii="宋体" w:hAnsi="宋体" w:eastAsia="宋体" w:cs="宋体"/>
                <w:b/>
                <w:color w:val="000000"/>
                <w:kern w:val="21"/>
                <w:sz w:val="21"/>
                <w:szCs w:val="21"/>
                <w:highlight w:val="none"/>
                <w:lang w:val="en-US" w:eastAsia="zh-CN"/>
              </w:rPr>
              <w:t>5</w:t>
            </w:r>
            <w:r>
              <w:rPr>
                <w:rFonts w:ascii="宋体" w:hAnsi="宋体" w:eastAsia="宋体" w:cs="宋体"/>
                <w:b/>
                <w:color w:val="000000"/>
                <w:kern w:val="21"/>
                <w:sz w:val="21"/>
                <w:szCs w:val="21"/>
                <w:highlight w:val="none"/>
              </w:rPr>
              <w:t>0）：</w:t>
            </w:r>
          </w:p>
          <w:p w14:paraId="1D0D4612">
            <w:pPr>
              <w:keepNext w:val="0"/>
              <w:keepLines w:val="0"/>
              <w:pageBreakBefore w:val="0"/>
              <w:widowControl w:val="0"/>
              <w:tabs>
                <w:tab w:val="left" w:pos="2314"/>
              </w:tabs>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kern w:val="21"/>
                <w:sz w:val="21"/>
                <w:szCs w:val="21"/>
                <w:highlight w:val="none"/>
              </w:rPr>
              <w:t>评</w:t>
            </w:r>
            <w:r>
              <w:rPr>
                <w:rFonts w:hint="eastAsia" w:ascii="宋体" w:hAnsi="宋体" w:eastAsia="宋体" w:cs="宋体"/>
                <w:color w:val="000000"/>
                <w:kern w:val="21"/>
                <w:sz w:val="21"/>
                <w:szCs w:val="21"/>
                <w:highlight w:val="none"/>
                <w:lang w:eastAsia="en-US"/>
              </w:rPr>
              <w:t>标价：</w:t>
            </w:r>
            <w:r>
              <w:rPr>
                <w:rFonts w:ascii="宋体" w:hAnsi="宋体" w:eastAsia="宋体" w:cs="宋体"/>
                <w:color w:val="000000"/>
                <w:kern w:val="21"/>
                <w:sz w:val="21"/>
                <w:szCs w:val="21"/>
                <w:highlight w:val="none"/>
                <w:u w:val="single"/>
                <w:lang w:eastAsia="en-US"/>
              </w:rPr>
              <w:t xml:space="preserve">  </w:t>
            </w:r>
            <w:r>
              <w:rPr>
                <w:rFonts w:hint="eastAsia" w:ascii="宋体" w:hAnsi="宋体" w:eastAsia="宋体" w:cs="宋体"/>
                <w:color w:val="000000"/>
                <w:kern w:val="21"/>
                <w:sz w:val="21"/>
                <w:szCs w:val="21"/>
                <w:highlight w:val="none"/>
                <w:u w:val="single"/>
                <w:lang w:val="en-US" w:eastAsia="zh-CN"/>
              </w:rPr>
              <w:t>5</w:t>
            </w:r>
            <w:r>
              <w:rPr>
                <w:rFonts w:ascii="宋体" w:hAnsi="宋体" w:eastAsia="宋体" w:cs="宋体"/>
                <w:color w:val="000000"/>
                <w:kern w:val="21"/>
                <w:sz w:val="21"/>
                <w:szCs w:val="21"/>
                <w:highlight w:val="none"/>
                <w:u w:val="single"/>
              </w:rPr>
              <w:t>0</w:t>
            </w:r>
            <w:r>
              <w:rPr>
                <w:rFonts w:ascii="宋体" w:hAnsi="宋体" w:eastAsia="宋体" w:cs="宋体"/>
                <w:color w:val="000000"/>
                <w:kern w:val="21"/>
                <w:sz w:val="21"/>
                <w:szCs w:val="21"/>
                <w:highlight w:val="none"/>
                <w:u w:val="single"/>
                <w:lang w:eastAsia="en-US"/>
              </w:rPr>
              <w:t xml:space="preserve"> </w:t>
            </w:r>
            <w:r>
              <w:rPr>
                <w:rFonts w:hint="eastAsia" w:ascii="宋体" w:hAnsi="宋体" w:eastAsia="宋体" w:cs="宋体"/>
                <w:color w:val="000000"/>
                <w:kern w:val="21"/>
                <w:sz w:val="21"/>
                <w:szCs w:val="21"/>
                <w:highlight w:val="none"/>
                <w:lang w:eastAsia="en-US"/>
              </w:rPr>
              <w:t>分</w:t>
            </w:r>
          </w:p>
        </w:tc>
      </w:tr>
      <w:tr w14:paraId="25F6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0" w:hRule="atLeast"/>
          <w:jc w:val="center"/>
        </w:trPr>
        <w:tc>
          <w:tcPr>
            <w:tcW w:w="820" w:type="dxa"/>
            <w:vAlign w:val="center"/>
          </w:tcPr>
          <w:p w14:paraId="503160F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2.2.2</w:t>
            </w:r>
          </w:p>
        </w:tc>
        <w:tc>
          <w:tcPr>
            <w:tcW w:w="1263" w:type="dxa"/>
            <w:vAlign w:val="center"/>
          </w:tcPr>
          <w:p w14:paraId="1A011A10">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评标基准价计算方法</w:t>
            </w:r>
          </w:p>
        </w:tc>
        <w:tc>
          <w:tcPr>
            <w:tcW w:w="7872" w:type="dxa"/>
            <w:gridSpan w:val="2"/>
          </w:tcPr>
          <w:p w14:paraId="7F5C314A">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评标基准价的计算：</w:t>
            </w:r>
          </w:p>
          <w:p w14:paraId="7A0693F7">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hint="eastAsia" w:ascii="宋体" w:hAnsi="宋体" w:eastAsia="宋体" w:cs="宋体"/>
                <w:color w:val="000000"/>
                <w:szCs w:val="21"/>
                <w:highlight w:val="none"/>
              </w:rPr>
            </w:pPr>
            <w:r>
              <w:rPr>
                <w:rFonts w:hint="eastAsia" w:ascii="宋体" w:hAnsi="宋体" w:eastAsia="宋体" w:cs="宋体"/>
                <w:color w:val="000000"/>
                <w:szCs w:val="22"/>
                <w:highlight w:val="none"/>
              </w:rPr>
              <w:t>在开标现场，招标人将按照</w:t>
            </w:r>
            <w:r>
              <w:rPr>
                <w:rFonts w:hint="eastAsia" w:ascii="宋体" w:hAnsi="宋体" w:eastAsia="宋体" w:cs="宋体"/>
                <w:color w:val="000000"/>
                <w:szCs w:val="22"/>
                <w:highlight w:val="none"/>
                <w:lang w:val="en-US" w:eastAsia="zh-CN"/>
              </w:rPr>
              <w:t>招标文件规定</w:t>
            </w:r>
            <w:r>
              <w:rPr>
                <w:rFonts w:hint="eastAsia" w:ascii="宋体" w:hAnsi="宋体" w:eastAsia="宋体" w:cs="宋体"/>
                <w:color w:val="000000"/>
                <w:szCs w:val="22"/>
                <w:highlight w:val="none"/>
              </w:rPr>
              <w:t>的计算方法当场计算并宣布评标基准价</w:t>
            </w:r>
            <w:r>
              <w:rPr>
                <w:rFonts w:hint="eastAsia" w:ascii="宋体" w:hAnsi="宋体" w:eastAsia="宋体" w:cs="宋体"/>
                <w:color w:val="000000"/>
                <w:kern w:val="2"/>
                <w:sz w:val="21"/>
                <w:szCs w:val="21"/>
                <w:highlight w:val="none"/>
              </w:rPr>
              <w:t>。</w:t>
            </w:r>
          </w:p>
          <w:p w14:paraId="2883977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（1）评标价的确定：评标价＝投标函文字报价</w:t>
            </w:r>
          </w:p>
          <w:p w14:paraId="3CEC9C1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（2）评标价平均值的计算：</w:t>
            </w:r>
          </w:p>
          <w:p w14:paraId="4D028C5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1296CFAA">
            <w:pPr>
              <w:keepNext w:val="0"/>
              <w:keepLines w:val="0"/>
              <w:pageBreakBefore w:val="0"/>
              <w:widowControl w:val="0"/>
              <w:kinsoku/>
              <w:wordWrap/>
              <w:overflowPunct/>
              <w:topLinePunct w:val="0"/>
              <w:autoSpaceDE/>
              <w:autoSpaceDN/>
              <w:bidi w:val="0"/>
              <w:adjustRightInd/>
              <w:snapToGrid w:val="0"/>
              <w:spacing w:line="320" w:lineRule="exact"/>
              <w:ind w:right="113" w:firstLine="426" w:firstLineChars="203"/>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(3)评标基准价的确定：</w:t>
            </w:r>
          </w:p>
          <w:p w14:paraId="1C36808F">
            <w:pPr>
              <w:keepNext w:val="0"/>
              <w:keepLines w:val="0"/>
              <w:pageBreakBefore w:val="0"/>
              <w:widowControl w:val="0"/>
              <w:kinsoku/>
              <w:wordWrap/>
              <w:overflowPunct/>
              <w:topLinePunct w:val="0"/>
              <w:autoSpaceDE/>
              <w:autoSpaceDN/>
              <w:bidi w:val="0"/>
              <w:adjustRightInd/>
              <w:snapToGrid w:val="0"/>
              <w:spacing w:line="320" w:lineRule="exact"/>
              <w:ind w:right="113" w:firstLine="426" w:firstLineChars="203"/>
              <w:textAlignment w:val="auto"/>
              <w:rPr>
                <w:rFonts w:hint="eastAsia" w:ascii="宋体" w:hAnsi="宋体" w:eastAsia="宋体" w:cs="宋体"/>
                <w:color w:val="000000"/>
                <w:szCs w:val="21"/>
                <w:highlight w:val="none"/>
              </w:rPr>
            </w:pPr>
            <w:r>
              <w:rPr>
                <w:rFonts w:hint="eastAsia" w:ascii="宋体" w:hAnsi="宋体" w:eastAsia="宋体" w:cs="Times New Roman"/>
                <w:color w:val="000000"/>
                <w:sz w:val="21"/>
                <w:szCs w:val="21"/>
                <w:highlight w:val="none"/>
              </w:rPr>
              <w:t>评标价平均值直接作为评标基准价（评标基准价保留小数点后两位，小数点后第三位四舍五入）</w:t>
            </w:r>
            <w:r>
              <w:rPr>
                <w:rFonts w:hint="eastAsia" w:ascii="宋体" w:hAnsi="宋体" w:eastAsia="宋体" w:cs="宋体"/>
                <w:color w:val="000000"/>
                <w:szCs w:val="21"/>
                <w:highlight w:val="none"/>
              </w:rPr>
              <w:t>。</w:t>
            </w:r>
          </w:p>
          <w:p w14:paraId="74606F2D">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ascii="Times New Roman" w:hAnsi="Times New Roman" w:eastAsia="宋体" w:cs="Times New Roman"/>
                <w:color w:val="000000"/>
                <w:szCs w:val="22"/>
                <w:highlight w:val="none"/>
              </w:rPr>
            </w:pPr>
            <w:r>
              <w:rPr>
                <w:rFonts w:hint="eastAsia" w:ascii="宋体" w:hAnsi="宋体" w:eastAsia="宋体" w:cs="宋体"/>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color w:val="000000"/>
                <w:szCs w:val="22"/>
                <w:highlight w:val="none"/>
              </w:rPr>
              <w:t>。</w:t>
            </w:r>
          </w:p>
        </w:tc>
      </w:tr>
      <w:tr w14:paraId="7587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820" w:type="dxa"/>
          </w:tcPr>
          <w:p w14:paraId="7F3FBEF8">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rPr>
            </w:pPr>
          </w:p>
          <w:p w14:paraId="092DF318">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2.2.3</w:t>
            </w:r>
          </w:p>
        </w:tc>
        <w:tc>
          <w:tcPr>
            <w:tcW w:w="1263" w:type="dxa"/>
          </w:tcPr>
          <w:p w14:paraId="5F2D5FB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投标报价的偏差率计算公式</w:t>
            </w:r>
          </w:p>
        </w:tc>
        <w:tc>
          <w:tcPr>
            <w:tcW w:w="7872" w:type="dxa"/>
            <w:gridSpan w:val="2"/>
            <w:vAlign w:val="center"/>
          </w:tcPr>
          <w:p w14:paraId="137A46E3">
            <w:pPr>
              <w:keepNext w:val="0"/>
              <w:keepLines w:val="0"/>
              <w:pageBreakBefore w:val="0"/>
              <w:widowControl w:val="0"/>
              <w:kinsoku/>
              <w:wordWrap/>
              <w:overflowPunct/>
              <w:topLinePunct w:val="0"/>
              <w:bidi w:val="0"/>
              <w:adjustRightInd/>
              <w:snapToGrid/>
              <w:spacing w:line="320" w:lineRule="exact"/>
              <w:ind w:left="0" w:right="0" w:rightChars="0"/>
              <w:jc w:val="both"/>
              <w:textAlignment w:val="auto"/>
              <w:rPr>
                <w:rFonts w:hint="eastAsia" w:ascii="宋体" w:hAnsi="宋体" w:eastAsia="宋体" w:cs="宋体"/>
                <w:color w:val="000000"/>
                <w:sz w:val="21"/>
                <w:szCs w:val="21"/>
                <w:highlight w:val="none"/>
                <w:lang w:eastAsia="zh-CN"/>
              </w:rPr>
            </w:pPr>
            <w:r>
              <w:rPr>
                <w:rFonts w:hint="eastAsia" w:ascii="宋体" w:hAnsi="宋体" w:eastAsia="宋体" w:cs="Times New Roman"/>
                <w:color w:val="000000"/>
                <w:szCs w:val="22"/>
                <w:highlight w:val="none"/>
                <w:lang w:val="en-US" w:eastAsia="zh-CN"/>
              </w:rPr>
              <w:t>/</w:t>
            </w:r>
          </w:p>
        </w:tc>
      </w:tr>
      <w:tr w14:paraId="7C8E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820" w:type="dxa"/>
            <w:vAlign w:val="center"/>
          </w:tcPr>
          <w:p w14:paraId="26A851E0">
            <w:pPr>
              <w:keepNext w:val="0"/>
              <w:keepLines w:val="0"/>
              <w:pageBreakBefore w:val="0"/>
              <w:widowControl w:val="0"/>
              <w:kinsoku/>
              <w:wordWrap/>
              <w:overflowPunct/>
              <w:topLinePunct w:val="0"/>
              <w:bidi w:val="0"/>
              <w:adjustRightInd/>
              <w:snapToGrid/>
              <w:spacing w:line="320" w:lineRule="exact"/>
              <w:ind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snapToGrid w:val="0"/>
                <w:color w:val="000000"/>
                <w:kern w:val="0"/>
                <w:sz w:val="21"/>
                <w:szCs w:val="21"/>
                <w:highlight w:val="none"/>
              </w:rPr>
              <w:t>3.</w:t>
            </w:r>
            <w:r>
              <w:rPr>
                <w:rFonts w:hint="eastAsia" w:ascii="宋体" w:hAnsi="宋体" w:eastAsia="宋体" w:cs="宋体"/>
                <w:snapToGrid w:val="0"/>
                <w:color w:val="000000"/>
                <w:kern w:val="0"/>
                <w:sz w:val="21"/>
                <w:szCs w:val="21"/>
                <w:highlight w:val="none"/>
                <w:lang w:val="en-US" w:eastAsia="zh-CN"/>
              </w:rPr>
              <w:t>2.4</w:t>
            </w:r>
          </w:p>
        </w:tc>
        <w:tc>
          <w:tcPr>
            <w:tcW w:w="9135" w:type="dxa"/>
            <w:gridSpan w:val="3"/>
            <w:vAlign w:val="center"/>
          </w:tcPr>
          <w:p w14:paraId="2BB510F7">
            <w:pPr>
              <w:snapToGrid w:val="0"/>
              <w:spacing w:line="320" w:lineRule="exact"/>
              <w:jc w:val="both"/>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本款修改为：</w:t>
            </w:r>
          </w:p>
          <w:p w14:paraId="1B2A704A">
            <w:pPr>
              <w:keepNext w:val="0"/>
              <w:keepLines w:val="0"/>
              <w:pageBreakBefore w:val="0"/>
              <w:widowControl w:val="0"/>
              <w:kinsoku/>
              <w:wordWrap/>
              <w:overflowPunct/>
              <w:topLinePunct w:val="0"/>
              <w:bidi w:val="0"/>
              <w:adjustRightInd/>
              <w:snapToGrid/>
              <w:spacing w:line="320" w:lineRule="exact"/>
              <w:ind w:left="0" w:right="0" w:rightChars="0"/>
              <w:jc w:val="left"/>
              <w:textAlignment w:val="auto"/>
              <w:rPr>
                <w:rFonts w:hint="eastAsia" w:ascii="宋体" w:hAnsi="宋体" w:eastAsia="宋体" w:cs="Times New Roman"/>
                <w:color w:val="000000"/>
                <w:sz w:val="21"/>
                <w:szCs w:val="21"/>
                <w:highlight w:val="none"/>
              </w:rPr>
            </w:pPr>
            <w:r>
              <w:rPr>
                <w:rFonts w:hint="eastAsia" w:ascii="宋体" w:hAnsi="宋体" w:eastAsia="宋体" w:cs="Times New Roman"/>
                <w:sz w:val="21"/>
                <w:szCs w:val="21"/>
                <w:highlight w:val="none"/>
                <w:lang w:eastAsia="zh-CN"/>
              </w:rPr>
              <w:t>投标人存在投标人须知前</w:t>
            </w:r>
            <w:r>
              <w:rPr>
                <w:rFonts w:hint="eastAsia" w:ascii="宋体" w:hAnsi="宋体" w:eastAsia="宋体" w:cs="Times New Roman"/>
                <w:color w:val="000000"/>
                <w:sz w:val="21"/>
                <w:szCs w:val="21"/>
                <w:highlight w:val="none"/>
                <w:lang w:eastAsia="zh-CN"/>
              </w:rPr>
              <w:t>附表3.2.5（</w:t>
            </w: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eastAsia="zh-CN"/>
              </w:rPr>
              <w:t>项情形的，评标委员会应当</w:t>
            </w:r>
            <w:r>
              <w:rPr>
                <w:rFonts w:hint="eastAsia" w:ascii="宋体" w:hAnsi="宋体" w:eastAsia="宋体" w:cs="Times New Roman"/>
                <w:color w:val="000000"/>
                <w:sz w:val="21"/>
                <w:szCs w:val="21"/>
                <w:highlight w:val="none"/>
                <w:lang w:val="en-US" w:eastAsia="zh-CN"/>
              </w:rPr>
              <w:t>要求</w:t>
            </w:r>
            <w:r>
              <w:rPr>
                <w:rFonts w:hint="eastAsia" w:ascii="宋体" w:hAnsi="宋体" w:eastAsia="宋体" w:cs="Times New Roman"/>
                <w:color w:val="000000"/>
                <w:sz w:val="21"/>
                <w:szCs w:val="21"/>
                <w:highlight w:val="none"/>
                <w:lang w:eastAsia="zh-CN"/>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20DF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083" w:type="dxa"/>
            <w:gridSpan w:val="2"/>
            <w:vAlign w:val="center"/>
          </w:tcPr>
          <w:p w14:paraId="0140D4D7">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条款号</w:t>
            </w:r>
          </w:p>
        </w:tc>
        <w:tc>
          <w:tcPr>
            <w:tcW w:w="1800" w:type="dxa"/>
            <w:tcBorders>
              <w:right w:val="single" w:color="auto" w:sz="4" w:space="0"/>
            </w:tcBorders>
            <w:vAlign w:val="center"/>
          </w:tcPr>
          <w:p w14:paraId="63E94B0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评分因素（偏差率）</w:t>
            </w:r>
          </w:p>
        </w:tc>
        <w:tc>
          <w:tcPr>
            <w:tcW w:w="6072" w:type="dxa"/>
            <w:tcBorders>
              <w:left w:val="single" w:color="auto" w:sz="4" w:space="0"/>
            </w:tcBorders>
            <w:vAlign w:val="center"/>
          </w:tcPr>
          <w:p w14:paraId="1A2B32E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评分标准</w:t>
            </w:r>
          </w:p>
        </w:tc>
      </w:tr>
      <w:tr w14:paraId="24100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jc w:val="center"/>
        </w:trPr>
        <w:tc>
          <w:tcPr>
            <w:tcW w:w="820" w:type="dxa"/>
            <w:vAlign w:val="center"/>
          </w:tcPr>
          <w:p w14:paraId="2381FA9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285CD47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（1）</w:t>
            </w:r>
          </w:p>
        </w:tc>
        <w:tc>
          <w:tcPr>
            <w:tcW w:w="1263" w:type="dxa"/>
            <w:vAlign w:val="center"/>
          </w:tcPr>
          <w:p w14:paraId="18A85A4A">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商务部分</w:t>
            </w:r>
            <w:r>
              <w:rPr>
                <w:rFonts w:hint="eastAsia" w:ascii="宋体" w:hAnsi="宋体" w:eastAsia="宋体" w:cs="宋体"/>
                <w:color w:val="000000"/>
                <w:sz w:val="21"/>
                <w:szCs w:val="21"/>
                <w:highlight w:val="none"/>
                <w:lang w:eastAsia="en-US"/>
              </w:rPr>
              <w:t>评分标准</w:t>
            </w:r>
            <w:r>
              <w:rPr>
                <w:rFonts w:hint="default"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0分</w:t>
            </w:r>
          </w:p>
        </w:tc>
        <w:tc>
          <w:tcPr>
            <w:tcW w:w="1800" w:type="dxa"/>
            <w:tcBorders>
              <w:right w:val="single" w:color="auto" w:sz="4" w:space="0"/>
            </w:tcBorders>
            <w:vAlign w:val="center"/>
          </w:tcPr>
          <w:p w14:paraId="3C1ECAA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业绩</w:t>
            </w:r>
          </w:p>
          <w:p w14:paraId="5C16F9A5">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i/>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w:t>
            </w:r>
            <w:r>
              <w:rPr>
                <w:rFonts w:hint="default"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rPr>
              <w:t>分</w:t>
            </w:r>
            <w:r>
              <w:rPr>
                <w:rFonts w:hint="eastAsia" w:ascii="宋体" w:hAnsi="宋体" w:eastAsia="宋体" w:cs="宋体"/>
                <w:color w:val="000000"/>
                <w:kern w:val="2"/>
                <w:sz w:val="21"/>
                <w:szCs w:val="21"/>
                <w:highlight w:val="none"/>
                <w:lang w:eastAsia="zh-CN"/>
              </w:rPr>
              <w:t>）</w:t>
            </w:r>
          </w:p>
        </w:tc>
        <w:tc>
          <w:tcPr>
            <w:tcW w:w="6072" w:type="dxa"/>
            <w:tcBorders>
              <w:left w:val="single" w:color="auto" w:sz="4" w:space="0"/>
            </w:tcBorders>
            <w:vAlign w:val="center"/>
          </w:tcPr>
          <w:p w14:paraId="2DEF5342">
            <w:pPr>
              <w:keepNext w:val="0"/>
              <w:keepLines w:val="0"/>
              <w:pageBreakBefore w:val="0"/>
              <w:widowControl w:val="0"/>
              <w:kinsoku/>
              <w:wordWrap/>
              <w:overflowPunct w:val="0"/>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1"/>
                <w:sz w:val="21"/>
                <w:szCs w:val="21"/>
                <w:highlight w:val="none"/>
              </w:rPr>
            </w:pPr>
            <w:r>
              <w:rPr>
                <w:rFonts w:ascii="宋体" w:hAnsi="宋体" w:eastAsia="宋体" w:cs="宋体"/>
                <w:color w:val="000000"/>
                <w:kern w:val="21"/>
                <w:sz w:val="21"/>
                <w:szCs w:val="21"/>
                <w:highlight w:val="none"/>
              </w:rPr>
              <w:t>1</w:t>
            </w:r>
            <w:r>
              <w:rPr>
                <w:rFonts w:hint="eastAsia" w:ascii="宋体" w:hAnsi="宋体" w:eastAsia="宋体" w:cs="宋体"/>
                <w:color w:val="000000"/>
                <w:kern w:val="21"/>
                <w:sz w:val="21"/>
                <w:szCs w:val="21"/>
                <w:highlight w:val="none"/>
                <w:lang w:val="en-US" w:eastAsia="zh-CN"/>
              </w:rPr>
              <w:t>.</w:t>
            </w:r>
            <w:r>
              <w:rPr>
                <w:rFonts w:ascii="宋体" w:hAnsi="宋体" w:eastAsia="宋体" w:cs="宋体"/>
                <w:color w:val="000000"/>
                <w:kern w:val="21"/>
                <w:sz w:val="21"/>
                <w:szCs w:val="21"/>
                <w:highlight w:val="none"/>
              </w:rPr>
              <w:t>满足资格审查最低条件（业绩最低要求）的，得</w:t>
            </w:r>
            <w:r>
              <w:rPr>
                <w:rFonts w:hint="eastAsia" w:ascii="宋体" w:hAnsi="宋体" w:eastAsia="宋体" w:cs="宋体"/>
                <w:color w:val="000000"/>
                <w:kern w:val="21"/>
                <w:sz w:val="21"/>
                <w:szCs w:val="21"/>
                <w:highlight w:val="none"/>
                <w:lang w:val="en-US" w:eastAsia="zh-CN"/>
              </w:rPr>
              <w:t>12</w:t>
            </w:r>
            <w:r>
              <w:rPr>
                <w:rFonts w:hint="eastAsia" w:ascii="宋体" w:hAnsi="宋体" w:eastAsia="宋体" w:cs="宋体"/>
                <w:color w:val="000000"/>
                <w:kern w:val="21"/>
                <w:sz w:val="21"/>
                <w:szCs w:val="21"/>
                <w:highlight w:val="none"/>
              </w:rPr>
              <w:t>分；</w:t>
            </w:r>
          </w:p>
          <w:p w14:paraId="6DAC2153">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kern w:val="21"/>
                <w:sz w:val="21"/>
                <w:szCs w:val="21"/>
                <w:highlight w:val="none"/>
              </w:rPr>
            </w:pPr>
            <w:r>
              <w:rPr>
                <w:rFonts w:ascii="宋体" w:hAnsi="宋体" w:eastAsia="宋体" w:cs="宋体"/>
                <w:color w:val="000000"/>
                <w:kern w:val="21"/>
                <w:sz w:val="21"/>
                <w:szCs w:val="21"/>
                <w:highlight w:val="none"/>
              </w:rPr>
              <w:t>2</w:t>
            </w:r>
            <w:r>
              <w:rPr>
                <w:rFonts w:hint="eastAsia" w:ascii="宋体" w:hAnsi="宋体" w:eastAsia="宋体" w:cs="宋体"/>
                <w:color w:val="000000"/>
                <w:kern w:val="21"/>
                <w:sz w:val="21"/>
                <w:szCs w:val="21"/>
                <w:highlight w:val="none"/>
                <w:lang w:eastAsia="zh-CN"/>
              </w:rPr>
              <w:t>.</w:t>
            </w: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w:t>
            </w:r>
            <w:r>
              <w:rPr>
                <w:rFonts w:hint="eastAsia" w:ascii="Times New Roman" w:hAnsi="Times New Roman" w:eastAsia="宋体" w:cs="Times New Roman"/>
                <w:color w:val="000000"/>
                <w:sz w:val="21"/>
                <w:szCs w:val="22"/>
                <w:highlight w:val="none"/>
                <w:lang w:val="en-US" w:eastAsia="zh-CN"/>
              </w:rPr>
              <w:t>3</w:t>
            </w:r>
            <w:r>
              <w:rPr>
                <w:rFonts w:hint="eastAsia" w:ascii="Times New Roman" w:hAnsi="Times New Roman" w:eastAsia="宋体" w:cs="Times New Roman"/>
                <w:color w:val="000000"/>
                <w:sz w:val="21"/>
                <w:szCs w:val="22"/>
                <w:highlight w:val="none"/>
                <w:lang w:eastAsia="zh-CN"/>
              </w:rPr>
              <w:t>年</w:t>
            </w:r>
            <w:r>
              <w:rPr>
                <w:rFonts w:hint="eastAsia" w:ascii="Times New Roman" w:hAnsi="Times New Roman" w:eastAsia="宋体" w:cs="Times New Roman"/>
                <w:color w:val="000000"/>
                <w:sz w:val="21"/>
                <w:szCs w:val="22"/>
                <w:highlight w:val="none"/>
                <w:lang w:val="en-US" w:eastAsia="zh-CN"/>
              </w:rPr>
              <w:t>5月</w:t>
            </w:r>
            <w:r>
              <w:rPr>
                <w:rFonts w:hint="eastAsia" w:ascii="Times New Roman" w:hAnsi="Times New Roman" w:eastAsia="宋体" w:cs="Times New Roman"/>
                <w:color w:val="000000"/>
                <w:sz w:val="21"/>
                <w:szCs w:val="22"/>
                <w:highlight w:val="none"/>
                <w:lang w:eastAsia="zh-CN"/>
              </w:rPr>
              <w:t>1日至投标截止时间，以合同签订时间为准)，</w:t>
            </w:r>
            <w:r>
              <w:rPr>
                <w:rFonts w:hint="eastAsia" w:ascii="Times New Roman" w:hAnsi="Times New Roman" w:eastAsia="宋体" w:cs="Times New Roman"/>
                <w:color w:val="000000"/>
                <w:sz w:val="21"/>
                <w:szCs w:val="22"/>
                <w:highlight w:val="none"/>
                <w:lang w:val="en-US" w:eastAsia="zh-CN"/>
              </w:rPr>
              <w:t>每累计增加9辆所投品牌的皮卡车供货业绩加4分，</w:t>
            </w:r>
            <w:r>
              <w:rPr>
                <w:rFonts w:hint="eastAsia" w:ascii="宋体" w:hAnsi="宋体" w:eastAsia="宋体" w:cs="宋体"/>
                <w:color w:val="000000"/>
                <w:sz w:val="21"/>
                <w:szCs w:val="21"/>
                <w:highlight w:val="none"/>
                <w:lang w:eastAsia="zh-CN"/>
              </w:rPr>
              <w:t>本项</w:t>
            </w:r>
            <w:r>
              <w:rPr>
                <w:rFonts w:hint="eastAsia" w:ascii="宋体" w:hAnsi="宋体" w:eastAsia="宋体" w:cs="宋体"/>
                <w:color w:val="000000"/>
                <w:sz w:val="21"/>
                <w:szCs w:val="21"/>
                <w:highlight w:val="none"/>
              </w:rPr>
              <w:t>最多加</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r>
      <w:tr w14:paraId="4285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820" w:type="dxa"/>
            <w:vMerge w:val="restart"/>
            <w:vAlign w:val="center"/>
          </w:tcPr>
          <w:p w14:paraId="498654AD">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35BE5523">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w:t>
            </w:r>
          </w:p>
        </w:tc>
        <w:tc>
          <w:tcPr>
            <w:tcW w:w="1263" w:type="dxa"/>
            <w:vMerge w:val="restart"/>
            <w:vAlign w:val="center"/>
          </w:tcPr>
          <w:p w14:paraId="1BBF937D">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技术部分</w:t>
            </w:r>
            <w:r>
              <w:rPr>
                <w:rFonts w:hint="eastAsia" w:ascii="宋体" w:hAnsi="宋体" w:eastAsia="宋体" w:cs="宋体"/>
                <w:color w:val="000000"/>
                <w:sz w:val="21"/>
                <w:szCs w:val="21"/>
                <w:highlight w:val="none"/>
                <w:lang w:eastAsia="en-US"/>
              </w:rPr>
              <w:t>评分标准</w:t>
            </w:r>
            <w:r>
              <w:rPr>
                <w:rFonts w:hint="eastAsia" w:ascii="宋体" w:hAnsi="宋体" w:eastAsia="宋体" w:cs="宋体"/>
                <w:color w:val="000000"/>
                <w:sz w:val="21"/>
                <w:szCs w:val="21"/>
                <w:highlight w:val="none"/>
                <w:lang w:val="en-US" w:eastAsia="zh-CN"/>
              </w:rPr>
              <w:t>30分</w:t>
            </w:r>
          </w:p>
        </w:tc>
        <w:tc>
          <w:tcPr>
            <w:tcW w:w="1800" w:type="dxa"/>
            <w:tcBorders>
              <w:right w:val="single" w:color="auto" w:sz="4" w:space="0"/>
            </w:tcBorders>
            <w:vAlign w:val="center"/>
          </w:tcPr>
          <w:p w14:paraId="4D97BEE1">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0"/>
                <w:sz w:val="21"/>
                <w:szCs w:val="21"/>
                <w:highlight w:val="none"/>
                <w:lang w:val="en-US" w:eastAsia="en-US" w:bidi="ar-SA"/>
              </w:rPr>
            </w:pPr>
            <w:r>
              <w:rPr>
                <w:rFonts w:hint="eastAsia" w:ascii="宋体" w:hAnsi="宋体" w:eastAsia="宋体" w:cs="宋体"/>
                <w:color w:val="000000"/>
                <w:kern w:val="0"/>
                <w:sz w:val="21"/>
                <w:szCs w:val="21"/>
                <w:highlight w:val="none"/>
                <w:lang w:val="en-US" w:eastAsia="en-US" w:bidi="ar-SA"/>
              </w:rPr>
              <w:t>车辆主要配置及技术性能指标的响应程度评价</w:t>
            </w:r>
          </w:p>
          <w:p w14:paraId="48643D5A">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（15</w:t>
            </w:r>
            <w:r>
              <w:rPr>
                <w:rFonts w:hint="eastAsia" w:ascii="宋体" w:hAnsi="宋体" w:eastAsia="宋体" w:cs="宋体"/>
                <w:color w:val="000000"/>
                <w:kern w:val="2"/>
                <w:sz w:val="21"/>
                <w:szCs w:val="21"/>
                <w:highlight w:val="none"/>
                <w:lang w:val="en-US" w:eastAsia="en-US" w:bidi="ar-SA"/>
              </w:rPr>
              <w:t>分</w:t>
            </w:r>
            <w:r>
              <w:rPr>
                <w:rFonts w:hint="eastAsia" w:ascii="宋体" w:hAnsi="宋体" w:eastAsia="宋体" w:cs="宋体"/>
                <w:color w:val="000000"/>
                <w:kern w:val="2"/>
                <w:sz w:val="21"/>
                <w:szCs w:val="21"/>
                <w:highlight w:val="none"/>
                <w:lang w:val="en-US" w:eastAsia="zh-CN" w:bidi="ar-SA"/>
              </w:rPr>
              <w:t>）</w:t>
            </w:r>
          </w:p>
        </w:tc>
        <w:tc>
          <w:tcPr>
            <w:tcW w:w="6072" w:type="dxa"/>
            <w:tcBorders>
              <w:left w:val="single" w:color="auto" w:sz="4" w:space="0"/>
            </w:tcBorders>
            <w:vAlign w:val="top"/>
          </w:tcPr>
          <w:p w14:paraId="2D885F65">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pacing w:val="12"/>
                <w:sz w:val="21"/>
                <w:szCs w:val="21"/>
                <w:highlight w:val="none"/>
              </w:rPr>
              <w:t>车辆功能配置齐全、实用性强、动力强劲、外观、内饰、工艺好，主要零部件的性能参数高</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p w14:paraId="06518757">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pacing w:val="12"/>
                <w:sz w:val="21"/>
                <w:szCs w:val="21"/>
                <w:highlight w:val="none"/>
              </w:rPr>
              <w:t>车辆功能配置较齐全、实用性较强、动力较强、外观、内饰、工艺较好，主要零部件的性能参数较高</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9-12</w:t>
            </w:r>
            <w:r>
              <w:rPr>
                <w:rFonts w:hint="eastAsia" w:ascii="宋体" w:hAnsi="宋体" w:eastAsia="宋体" w:cs="宋体"/>
                <w:color w:val="000000"/>
                <w:sz w:val="21"/>
                <w:szCs w:val="21"/>
                <w:highlight w:val="none"/>
              </w:rPr>
              <w:t>分；</w:t>
            </w:r>
          </w:p>
          <w:p w14:paraId="4681EC08">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i/>
                <w:color w:val="000000"/>
                <w:kern w:val="21"/>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pacing w:val="12"/>
                <w:sz w:val="21"/>
                <w:szCs w:val="21"/>
                <w:highlight w:val="none"/>
              </w:rPr>
              <w:t>车辆功能配置一般、实用性一般、动力一般、外观、内饰、工艺一般，主要零部件的性能参数一般</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分。</w:t>
            </w:r>
          </w:p>
        </w:tc>
      </w:tr>
      <w:tr w14:paraId="17B9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atLeast"/>
          <w:jc w:val="center"/>
        </w:trPr>
        <w:tc>
          <w:tcPr>
            <w:tcW w:w="820" w:type="dxa"/>
            <w:vMerge w:val="continue"/>
            <w:tcBorders>
              <w:top w:val="nil"/>
            </w:tcBorders>
          </w:tcPr>
          <w:p w14:paraId="1423D1E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63" w:type="dxa"/>
            <w:vMerge w:val="continue"/>
            <w:tcBorders>
              <w:top w:val="nil"/>
            </w:tcBorders>
          </w:tcPr>
          <w:p w14:paraId="59E82EC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800" w:type="dxa"/>
            <w:vAlign w:val="center"/>
          </w:tcPr>
          <w:p w14:paraId="54A9FB35">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0"/>
                <w:sz w:val="21"/>
                <w:szCs w:val="21"/>
                <w:highlight w:val="none"/>
                <w:lang w:val="en-US" w:eastAsia="en-US" w:bidi="ar-SA"/>
              </w:rPr>
            </w:pPr>
            <w:r>
              <w:rPr>
                <w:rFonts w:hint="eastAsia" w:ascii="宋体" w:hAnsi="宋体" w:eastAsia="宋体" w:cs="宋体"/>
                <w:color w:val="000000"/>
                <w:kern w:val="0"/>
                <w:sz w:val="21"/>
                <w:szCs w:val="21"/>
                <w:highlight w:val="none"/>
                <w:lang w:val="en-US" w:eastAsia="en-US" w:bidi="ar-SA"/>
              </w:rPr>
              <w:t>交货期服务方案及服务能力评价</w:t>
            </w:r>
          </w:p>
          <w:p w14:paraId="36C68A0C">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en-US" w:bidi="ar-SA"/>
              </w:rPr>
              <w:t>分</w:t>
            </w:r>
            <w:r>
              <w:rPr>
                <w:rFonts w:hint="eastAsia" w:ascii="宋体" w:hAnsi="宋体" w:eastAsia="宋体" w:cs="宋体"/>
                <w:color w:val="000000"/>
                <w:kern w:val="2"/>
                <w:sz w:val="21"/>
                <w:szCs w:val="21"/>
                <w:highlight w:val="none"/>
                <w:lang w:val="en-US" w:eastAsia="zh-CN" w:bidi="ar-SA"/>
              </w:rPr>
              <w:t>）</w:t>
            </w:r>
          </w:p>
          <w:p w14:paraId="2E6562AF">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21"/>
                <w:sz w:val="21"/>
                <w:szCs w:val="21"/>
                <w:highlight w:val="none"/>
                <w:lang w:val="en-US" w:eastAsia="en-US" w:bidi="ar-SA"/>
              </w:rPr>
            </w:pPr>
            <w:r>
              <w:rPr>
                <w:rFonts w:hint="eastAsia" w:ascii="宋体" w:hAnsi="宋体" w:eastAsia="宋体" w:cs="宋体"/>
                <w:color w:val="000000"/>
                <w:kern w:val="2"/>
                <w:sz w:val="21"/>
                <w:szCs w:val="21"/>
                <w:highlight w:val="none"/>
                <w:lang w:val="en-US" w:eastAsia="zh-CN" w:bidi="ar-SA"/>
              </w:rPr>
              <w:t>（暗标）</w:t>
            </w:r>
          </w:p>
        </w:tc>
        <w:tc>
          <w:tcPr>
            <w:tcW w:w="6072" w:type="dxa"/>
            <w:vAlign w:val="top"/>
          </w:tcPr>
          <w:p w14:paraId="6FAE7DD6">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pacing w:val="12"/>
                <w:sz w:val="21"/>
                <w:szCs w:val="21"/>
                <w:highlight w:val="none"/>
              </w:rPr>
              <w:t>配送及时、安全可靠、有良好的相关配套增值服务方案</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p w14:paraId="0D9A0AB0">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pacing w:val="12"/>
                <w:sz w:val="21"/>
                <w:szCs w:val="21"/>
                <w:highlight w:val="none"/>
              </w:rPr>
              <w:t>配送较及时、较安全可靠、有较好的相关配套增值服务方案</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p w14:paraId="63B988A1">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kern w:val="21"/>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pacing w:val="12"/>
                <w:sz w:val="21"/>
                <w:szCs w:val="21"/>
                <w:highlight w:val="none"/>
              </w:rPr>
              <w:t>配送时效性一般、安全可靠性一般、相关配套增值服务方案一般</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r>
      <w:tr w14:paraId="75A6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jc w:val="center"/>
        </w:trPr>
        <w:tc>
          <w:tcPr>
            <w:tcW w:w="820" w:type="dxa"/>
            <w:vMerge w:val="continue"/>
            <w:tcBorders>
              <w:top w:val="nil"/>
            </w:tcBorders>
          </w:tcPr>
          <w:p w14:paraId="0D68C42F">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63" w:type="dxa"/>
            <w:vMerge w:val="continue"/>
            <w:tcBorders>
              <w:top w:val="nil"/>
            </w:tcBorders>
          </w:tcPr>
          <w:p w14:paraId="24CE6A8F">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800" w:type="dxa"/>
            <w:vAlign w:val="center"/>
          </w:tcPr>
          <w:p w14:paraId="498D1044">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0"/>
                <w:sz w:val="21"/>
                <w:szCs w:val="21"/>
                <w:highlight w:val="none"/>
                <w:lang w:val="en-US" w:eastAsia="en-US" w:bidi="ar-SA"/>
              </w:rPr>
            </w:pPr>
            <w:r>
              <w:rPr>
                <w:rFonts w:hint="eastAsia" w:ascii="宋体" w:hAnsi="宋体" w:eastAsia="宋体" w:cs="宋体"/>
                <w:color w:val="000000"/>
                <w:kern w:val="0"/>
                <w:sz w:val="21"/>
                <w:szCs w:val="21"/>
                <w:highlight w:val="none"/>
                <w:lang w:val="en-US" w:eastAsia="en-US" w:bidi="ar-SA"/>
              </w:rPr>
              <w:t>技术服务和质保期服务能力的评价</w:t>
            </w:r>
          </w:p>
          <w:p w14:paraId="1EBCC03A">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（10</w:t>
            </w:r>
            <w:r>
              <w:rPr>
                <w:rFonts w:hint="eastAsia" w:ascii="宋体" w:hAnsi="宋体" w:eastAsia="宋体" w:cs="宋体"/>
                <w:color w:val="000000"/>
                <w:kern w:val="2"/>
                <w:sz w:val="21"/>
                <w:szCs w:val="21"/>
                <w:highlight w:val="none"/>
                <w:lang w:val="en-US" w:eastAsia="en-US" w:bidi="ar-SA"/>
              </w:rPr>
              <w:t>分</w:t>
            </w:r>
            <w:r>
              <w:rPr>
                <w:rFonts w:hint="eastAsia" w:ascii="宋体" w:hAnsi="宋体" w:eastAsia="宋体" w:cs="宋体"/>
                <w:color w:val="000000"/>
                <w:kern w:val="2"/>
                <w:sz w:val="21"/>
                <w:szCs w:val="21"/>
                <w:highlight w:val="none"/>
                <w:lang w:val="en-US" w:eastAsia="zh-CN" w:bidi="ar-SA"/>
              </w:rPr>
              <w:t>）</w:t>
            </w:r>
          </w:p>
          <w:p w14:paraId="1FABBA6B">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kern w:val="0"/>
                <w:sz w:val="21"/>
                <w:szCs w:val="21"/>
                <w:highlight w:val="none"/>
                <w:lang w:val="en-US" w:eastAsia="en-US" w:bidi="ar-SA"/>
              </w:rPr>
            </w:pPr>
            <w:r>
              <w:rPr>
                <w:rFonts w:hint="eastAsia" w:ascii="宋体" w:hAnsi="宋体" w:eastAsia="宋体" w:cs="宋体"/>
                <w:color w:val="000000"/>
                <w:kern w:val="2"/>
                <w:sz w:val="21"/>
                <w:szCs w:val="21"/>
                <w:highlight w:val="none"/>
                <w:lang w:val="en-US" w:eastAsia="zh-CN" w:bidi="ar-SA"/>
              </w:rPr>
              <w:t>（暗标）</w:t>
            </w:r>
          </w:p>
        </w:tc>
        <w:tc>
          <w:tcPr>
            <w:tcW w:w="6072" w:type="dxa"/>
            <w:vAlign w:val="center"/>
          </w:tcPr>
          <w:p w14:paraId="44B4B30D">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技术服务能力、维保能力强，优惠政策好、有良好的保养检测等售后服务，得</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lang w:val="zh-CN"/>
              </w:rPr>
              <w:t>分；</w:t>
            </w:r>
          </w:p>
          <w:p w14:paraId="324B8076">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2"/>
                <w:sz w:val="21"/>
                <w:szCs w:val="21"/>
                <w:highlight w:val="none"/>
                <w:lang w:val="en-US" w:eastAsia="zh-CN"/>
              </w:rPr>
              <w:t>2.</w:t>
            </w:r>
            <w:r>
              <w:rPr>
                <w:rFonts w:hint="eastAsia" w:ascii="宋体" w:hAnsi="宋体" w:eastAsia="宋体" w:cs="宋体"/>
                <w:color w:val="000000"/>
                <w:spacing w:val="12"/>
                <w:sz w:val="21"/>
                <w:szCs w:val="21"/>
                <w:highlight w:val="none"/>
              </w:rPr>
              <w:t>技术服务能力、维保能力较强，优惠政策较好、有较好的保养检测等售后服务</w:t>
            </w:r>
            <w:r>
              <w:rPr>
                <w:rFonts w:hint="eastAsia" w:ascii="宋体" w:hAnsi="宋体" w:eastAsia="宋体" w:cs="宋体"/>
                <w:color w:val="000000"/>
                <w:sz w:val="21"/>
                <w:szCs w:val="21"/>
                <w:highlight w:val="none"/>
                <w:lang w:val="zh-CN"/>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val="zh-CN"/>
              </w:rPr>
              <w:t>分；</w:t>
            </w:r>
          </w:p>
          <w:p w14:paraId="20D6E773">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kern w:val="21"/>
                <w:sz w:val="21"/>
                <w:szCs w:val="21"/>
                <w:highlight w:val="none"/>
                <w:lang w:eastAsia="zh-CN"/>
              </w:rPr>
            </w:pPr>
            <w:r>
              <w:rPr>
                <w:rFonts w:hint="eastAsia" w:ascii="宋体" w:hAnsi="宋体" w:eastAsia="宋体" w:cs="宋体"/>
                <w:color w:val="000000"/>
                <w:spacing w:val="12"/>
                <w:sz w:val="21"/>
                <w:szCs w:val="21"/>
                <w:highlight w:val="none"/>
                <w:lang w:val="en-US" w:eastAsia="zh-CN"/>
              </w:rPr>
              <w:t>3.</w:t>
            </w:r>
            <w:r>
              <w:rPr>
                <w:rFonts w:hint="eastAsia" w:ascii="宋体" w:hAnsi="宋体" w:eastAsia="宋体" w:cs="宋体"/>
                <w:color w:val="000000"/>
                <w:spacing w:val="12"/>
                <w:sz w:val="21"/>
                <w:szCs w:val="21"/>
                <w:highlight w:val="none"/>
              </w:rPr>
              <w:t>技术服务能力、维保能力一般，优惠政策一般、保养检测等售后服务一般</w:t>
            </w:r>
            <w:r>
              <w:rPr>
                <w:rFonts w:hint="eastAsia" w:ascii="宋体" w:hAnsi="宋体" w:eastAsia="宋体" w:cs="宋体"/>
                <w:color w:val="000000"/>
                <w:sz w:val="21"/>
                <w:szCs w:val="21"/>
                <w:highlight w:val="none"/>
                <w:lang w:val="zh-CN"/>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val="zh-CN"/>
              </w:rPr>
              <w:t>分；</w:t>
            </w:r>
          </w:p>
        </w:tc>
      </w:tr>
      <w:tr w14:paraId="4126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jc w:val="center"/>
        </w:trPr>
        <w:tc>
          <w:tcPr>
            <w:tcW w:w="820" w:type="dxa"/>
            <w:vAlign w:val="center"/>
          </w:tcPr>
          <w:p w14:paraId="4516264C">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64F18988">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en-US"/>
              </w:rPr>
              <w:t>）</w:t>
            </w:r>
          </w:p>
        </w:tc>
        <w:tc>
          <w:tcPr>
            <w:tcW w:w="1263" w:type="dxa"/>
            <w:vAlign w:val="center"/>
          </w:tcPr>
          <w:p w14:paraId="4415566C">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eastAsia="en-US"/>
              </w:rPr>
              <w:t>标价</w:t>
            </w:r>
          </w:p>
          <w:p w14:paraId="385D2303">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评分标准</w:t>
            </w:r>
          </w:p>
          <w:p w14:paraId="49A7A2A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50分</w:t>
            </w:r>
          </w:p>
        </w:tc>
        <w:tc>
          <w:tcPr>
            <w:tcW w:w="1800" w:type="dxa"/>
            <w:vAlign w:val="center"/>
          </w:tcPr>
          <w:p w14:paraId="29812BDF">
            <w:pPr>
              <w:autoSpaceDE w:val="0"/>
              <w:autoSpaceDN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0</w:t>
            </w:r>
            <w:r>
              <w:rPr>
                <w:rFonts w:hint="eastAsia" w:ascii="宋体" w:hAnsi="宋体" w:eastAsia="宋体" w:cs="宋体"/>
                <w:color w:val="000000"/>
                <w:szCs w:val="21"/>
                <w:highlight w:val="none"/>
                <w:lang w:val="zh-CN"/>
              </w:rPr>
              <w:t>分</w:t>
            </w:r>
          </w:p>
        </w:tc>
        <w:tc>
          <w:tcPr>
            <w:tcW w:w="6072" w:type="dxa"/>
            <w:tcBorders>
              <w:top w:val="single" w:color="auto" w:sz="4" w:space="0"/>
              <w:bottom w:val="single" w:color="auto" w:sz="4" w:space="0"/>
            </w:tcBorders>
            <w:vAlign w:val="center"/>
          </w:tcPr>
          <w:p w14:paraId="1D83F9E3">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评标价得分计算公式示例：</w:t>
            </w:r>
          </w:p>
          <w:p w14:paraId="1D990770">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（1）如果投标人的评标价＞评标基准价，则评标价得分=F-</w:t>
            </w:r>
            <w:r>
              <w:rPr>
                <w:rFonts w:hint="eastAsia" w:ascii="宋体" w:hAnsi="宋体" w:eastAsia="宋体" w:cs="宋体"/>
                <w:color w:val="000000"/>
                <w:szCs w:val="21"/>
                <w:highlight w:val="none"/>
                <w:lang w:val="en-US" w:eastAsia="zh-CN"/>
              </w:rPr>
              <w:t>偏差率</w:t>
            </w:r>
            <w:r>
              <w:rPr>
                <w:rFonts w:hint="eastAsia" w:ascii="宋体" w:hAnsi="宋体" w:eastAsia="宋体" w:cs="宋体"/>
                <w:color w:val="000000"/>
                <w:szCs w:val="21"/>
                <w:highlight w:val="none"/>
              </w:rPr>
              <w:t>×100×E1；</w:t>
            </w:r>
          </w:p>
          <w:p w14:paraId="0034BD40">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（2）如果投标人的评标价≤评标基准价，则评标价得分=F+</w:t>
            </w:r>
            <w:r>
              <w:rPr>
                <w:rFonts w:hint="eastAsia" w:ascii="宋体" w:hAnsi="宋体" w:eastAsia="宋体" w:cs="宋体"/>
                <w:color w:val="000000"/>
                <w:szCs w:val="21"/>
                <w:highlight w:val="none"/>
                <w:lang w:val="en-US" w:eastAsia="zh-CN"/>
              </w:rPr>
              <w:t>偏差率</w:t>
            </w:r>
            <w:r>
              <w:rPr>
                <w:rFonts w:hint="eastAsia" w:ascii="宋体" w:hAnsi="宋体" w:eastAsia="宋体" w:cs="宋体"/>
                <w:color w:val="000000"/>
                <w:szCs w:val="21"/>
                <w:highlight w:val="none"/>
              </w:rPr>
              <w:t>×100×E2。</w:t>
            </w:r>
          </w:p>
          <w:p w14:paraId="2D16C8DC">
            <w:pPr>
              <w:snapToGrid w:val="0"/>
              <w:spacing w:line="32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其中，F=</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0；E1=0.</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；E2=0.</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；评标价最低得分为0分。</w:t>
            </w:r>
          </w:p>
          <w:p w14:paraId="64E50AE7">
            <w:pPr>
              <w:autoSpaceDE w:val="0"/>
              <w:autoSpaceDN w:val="0"/>
              <w:adjustRightInd w:val="0"/>
              <w:snapToGrid w:val="0"/>
              <w:spacing w:line="320" w:lineRule="exact"/>
              <w:rPr>
                <w:rFonts w:hint="eastAsia" w:ascii="宋体" w:hAnsi="宋体" w:eastAsia="宋体" w:cs="宋体"/>
                <w:color w:val="000000"/>
                <w:spacing w:val="-4"/>
                <w:kern w:val="21"/>
                <w:sz w:val="21"/>
                <w:szCs w:val="21"/>
                <w:highlight w:val="none"/>
              </w:rPr>
            </w:pPr>
            <w:r>
              <w:rPr>
                <w:rFonts w:hint="eastAsia" w:ascii="宋体" w:hAnsi="宋体" w:eastAsia="宋体" w:cs="宋体"/>
                <w:color w:val="000000"/>
                <w:szCs w:val="21"/>
                <w:highlight w:val="none"/>
              </w:rPr>
              <w:t>评标价得分保留两位小数，第三位四舍五入。</w:t>
            </w:r>
          </w:p>
        </w:tc>
      </w:tr>
      <w:tr w14:paraId="3AB2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2" w:hRule="atLeast"/>
          <w:jc w:val="center"/>
        </w:trPr>
        <w:tc>
          <w:tcPr>
            <w:tcW w:w="9955" w:type="dxa"/>
            <w:gridSpan w:val="4"/>
            <w:vAlign w:val="center"/>
          </w:tcPr>
          <w:p w14:paraId="55D95A4E">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增加：</w:t>
            </w:r>
          </w:p>
          <w:p w14:paraId="1F12178B">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一、信息查询，</w:t>
            </w:r>
            <w:r>
              <w:rPr>
                <w:rFonts w:hint="eastAsia" w:ascii="宋体" w:hAnsi="宋体" w:eastAsia="宋体" w:cs="宋体"/>
                <w:color w:val="000000"/>
                <w:kern w:val="2"/>
                <w:sz w:val="21"/>
                <w:szCs w:val="21"/>
                <w:highlight w:val="none"/>
                <w:lang w:val="en-US" w:eastAsia="zh-CN" w:bidi="ar-SA"/>
              </w:rPr>
              <w:t>在评标过程中，评标委员会应对以下信息进行查询：</w:t>
            </w:r>
          </w:p>
          <w:p w14:paraId="082C335C">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投标人信用情况网页截图内容与在“国家企业信用信息公示系统”中严重违法失信名单（黑名单）信息（不含分公司）或在“信用中国”网站</w:t>
            </w:r>
            <w:r>
              <w:rPr>
                <w:rFonts w:hint="eastAsia" w:ascii="宋体" w:hAnsi="宋体" w:eastAsia="宋体" w:cs="宋体"/>
                <w:color w:val="000000"/>
                <w:sz w:val="21"/>
                <w:szCs w:val="21"/>
                <w:highlight w:val="none"/>
                <w:lang w:val="en-US" w:eastAsia="zh-CN"/>
              </w:rPr>
              <w:t>中</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经营（活动）异常名录</w:t>
            </w:r>
            <w:r>
              <w:rPr>
                <w:rFonts w:hint="eastAsia" w:ascii="宋体" w:hAnsi="宋体" w:eastAsia="宋体" w:cs="宋体"/>
                <w:color w:val="000000"/>
                <w:sz w:val="21"/>
                <w:szCs w:val="21"/>
                <w:highlight w:val="none"/>
              </w:rPr>
              <w:t>、重大税收违法失信主体、</w:t>
            </w:r>
            <w:r>
              <w:rPr>
                <w:rFonts w:hint="eastAsia" w:ascii="宋体" w:hAnsi="宋体" w:eastAsia="宋体" w:cs="宋体"/>
                <w:color w:val="000000"/>
                <w:sz w:val="21"/>
                <w:szCs w:val="21"/>
                <w:highlight w:val="none"/>
                <w:lang w:eastAsia="zh-CN"/>
              </w:rPr>
              <w:t>政府采购严重违法失信行为记录名单和安全生产严重失信主体名单</w:t>
            </w:r>
            <w:r>
              <w:rPr>
                <w:rFonts w:hint="eastAsia" w:ascii="宋体" w:hAnsi="宋体" w:eastAsia="宋体" w:cs="宋体"/>
                <w:color w:val="000000"/>
                <w:sz w:val="21"/>
                <w:szCs w:val="21"/>
                <w:highlight w:val="none"/>
              </w:rPr>
              <w:t>（均不含分公司）</w:t>
            </w:r>
            <w:r>
              <w:rPr>
                <w:rFonts w:hint="eastAsia" w:ascii="宋体" w:hAnsi="宋体" w:eastAsia="宋体" w:cs="宋体"/>
                <w:color w:val="000000"/>
                <w:sz w:val="21"/>
                <w:szCs w:val="21"/>
                <w:highlight w:val="none"/>
                <w:lang w:val="en-US" w:eastAsia="zh-CN"/>
              </w:rPr>
              <w:t>或在“</w:t>
            </w:r>
            <w:r>
              <w:rPr>
                <w:rFonts w:hint="eastAsia" w:ascii="宋体" w:hAnsi="宋体" w:eastAsia="宋体" w:cs="Times New Roman"/>
                <w:sz w:val="21"/>
                <w:szCs w:val="21"/>
                <w:highlight w:val="none"/>
                <w:lang w:eastAsia="zh-CN"/>
              </w:rPr>
              <w:t>中国执行信息公开网”中失信被执行人（不含分公司）</w:t>
            </w:r>
            <w:r>
              <w:rPr>
                <w:rFonts w:hint="eastAsia" w:ascii="宋体" w:hAnsi="宋体" w:eastAsia="宋体" w:cs="宋体"/>
                <w:color w:val="000000"/>
                <w:sz w:val="21"/>
                <w:szCs w:val="21"/>
                <w:highlight w:val="none"/>
              </w:rPr>
              <w:t>的复核结果一致。</w:t>
            </w:r>
          </w:p>
          <w:p w14:paraId="059A86E5">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如投标人未提供相关网页截图或所附截图与复核结果不一致导致不能满足资格评审要求的，评标委员会应否决其投标。</w:t>
            </w:r>
          </w:p>
          <w:p w14:paraId="74866B9E">
            <w:pPr>
              <w:keepNext w:val="0"/>
              <w:keepLines w:val="0"/>
              <w:pageBreakBefore w:val="0"/>
              <w:numPr>
                <w:ilvl w:val="0"/>
                <w:numId w:val="0"/>
              </w:numPr>
              <w:kinsoku/>
              <w:wordWrap/>
              <w:overflowPunct/>
              <w:topLinePunct w:val="0"/>
              <w:autoSpaceDE/>
              <w:autoSpaceDN/>
              <w:bidi w:val="0"/>
              <w:adjustRightInd/>
              <w:snapToGrid/>
              <w:spacing w:line="320" w:lineRule="exact"/>
              <w:ind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4BF9E9CC">
            <w:pPr>
              <w:widowControl w:val="0"/>
              <w:numPr>
                <w:ilvl w:val="0"/>
                <w:numId w:val="3"/>
              </w:numPr>
              <w:ind w:left="10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en-US" w:bidi="ar-SA"/>
              </w:rPr>
              <w:t>投标人其他异常投标情形</w:t>
            </w:r>
            <w:r>
              <w:rPr>
                <w:rFonts w:hint="eastAsia" w:ascii="宋体" w:hAnsi="宋体" w:eastAsia="宋体" w:cs="宋体"/>
                <w:color w:val="000000"/>
                <w:kern w:val="0"/>
                <w:sz w:val="21"/>
                <w:szCs w:val="21"/>
                <w:highlight w:val="none"/>
                <w:lang w:val="en-US" w:eastAsia="zh-CN" w:bidi="ar-SA"/>
              </w:rPr>
              <w:t>：</w:t>
            </w:r>
          </w:p>
          <w:p w14:paraId="53D6641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1.投标人不存在投标人须知前附表4.4（1）、（3）情形。</w:t>
            </w:r>
          </w:p>
          <w:p w14:paraId="3F6E853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Times New Roman" w:hAnsi="Times New Roman" w:eastAsia="宋体" w:cs="Times New Roman"/>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2.投标人存在投标人须知前附表4.4（2）情形的，评标委员会应当要求投标人作出解释说明。评标委员会经核查确认属于投标文件异常一致或投标活动异常关联活动情形的，应否决其投标。</w:t>
            </w:r>
          </w:p>
        </w:tc>
      </w:tr>
    </w:tbl>
    <w:p w14:paraId="7B63B716">
      <w:pPr>
        <w:adjustRightInd w:val="0"/>
        <w:spacing w:line="288" w:lineRule="auto"/>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注：1.评委打分保留一位小数，各评分因素得分应以评标委员会各成员的打分平均值确定，保留两位小数，第三位四舍五入。</w:t>
      </w:r>
    </w:p>
    <w:p w14:paraId="33636710">
      <w:pPr>
        <w:wordWrap w:val="0"/>
        <w:snapToGrid w:val="0"/>
        <w:spacing w:line="360" w:lineRule="auto"/>
        <w:ind w:firstLine="420" w:firstLineChars="200"/>
        <w:rPr>
          <w:rFonts w:ascii="宋体" w:hAnsi="宋体" w:eastAsia="宋体" w:cs="宋体"/>
          <w:color w:val="000000"/>
          <w:spacing w:val="1"/>
          <w:szCs w:val="21"/>
          <w:highlight w:val="none"/>
        </w:rPr>
      </w:pPr>
      <w:r>
        <w:rPr>
          <w:rFonts w:hint="eastAsia" w:ascii="宋体" w:hAnsi="宋体" w:eastAsia="宋体" w:cs="宋体"/>
          <w:color w:val="000000"/>
          <w:szCs w:val="21"/>
          <w:highlight w:val="none"/>
        </w:rPr>
        <w:t>2.技术部分评分因素细分项缺项则该项得0分。</w:t>
      </w:r>
    </w:p>
    <w:p w14:paraId="6495A5EB"/>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8CC7">
    <w:pPr>
      <w:autoSpaceDE w:val="0"/>
      <w:autoSpaceDN w:val="0"/>
      <w:adjustRightInd w:val="0"/>
      <w:spacing w:line="200" w:lineRule="exact"/>
      <w:jc w:val="left"/>
      <w:rPr>
        <w:rFonts w:ascii="Times New Roman" w:hAnsi="Times New Roman" w:eastAsia="宋体" w:cs="Times New Roman"/>
        <w:kern w:val="0"/>
        <w:sz w:val="20"/>
        <w:szCs w:val="20"/>
      </w:rPr>
    </w:pPr>
    <w:r>
      <w:rPr>
        <w:rFonts w:ascii="Times New Roman" w:hAnsi="Times New Roman" w:eastAsia="宋体" w:cs="Times New Roman"/>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C22A3">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evS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1Hr0nCAQAAjgMAAA4AAAAAAAAAAQAgAAAAHgEAAGRycy9lMm9Eb2MueG1sUEsF&#10;BgAAAAAGAAYAWQEAAFIFAAAAAA==&#10;">
              <v:fill on="f" focussize="0,0"/>
              <v:stroke on="f"/>
              <v:imagedata o:title=""/>
              <o:lock v:ext="edit" aspectratio="f"/>
              <v:textbox inset="0mm,0mm,0mm,0mm" style="mso-fit-shape-to-text:t;">
                <w:txbxContent>
                  <w:p w14:paraId="587C22A3">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C304">
    <w:pPr>
      <w:spacing w:line="222" w:lineRule="auto"/>
      <w:jc w:val="center"/>
      <w:rPr>
        <w:rFonts w:ascii="仿宋" w:hAnsi="仿宋" w:eastAsia="宋体" w:cs="仿宋"/>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qV8vXAAAADAEAAA8A&#10;AAAAAAAAAQAgAAAAIgAAAGRycy9kb3ducmV2LnhtbFBLAQIUABQAAAAIAIdO4kBj2zyYGAIAAIkE&#10;AAAOAAAAAAAAAAEAIAAAACYBAABkcnMvZTJvRG9jLnhtbFBLBQYAAAAABgAGAFkBAACwBQAAAAA=&#10;" path="m0,0l9127,0,9127,14,0,14,0,0xe">
              <v:fill on="t" focussize="0,0"/>
              <v:stroke on="f"/>
              <v:imagedata o:title=""/>
              <o:lock v:ext="edit" aspectratio="f"/>
            </v:shape>
          </w:pict>
        </mc:Fallback>
      </mc:AlternateContent>
    </w:r>
    <w:r>
      <w:rPr>
        <w:rFonts w:hint="eastAsia" w:ascii="Times New Roman" w:hAnsi="Times New Roman" w:eastAsia="宋体" w:cs="Times New Roman"/>
        <w:sz w:val="18"/>
        <w:szCs w:val="18"/>
        <w:lang w:eastAsia="zh-CN"/>
      </w:rPr>
      <w:t>河北燕驰汽车服务有限公司租赁用皮卡车采购项目</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33AEB"/>
    <w:multiLevelType w:val="singleLevel"/>
    <w:tmpl w:val="17733AEB"/>
    <w:lvl w:ilvl="0" w:tentative="0">
      <w:start w:val="2"/>
      <w:numFmt w:val="chineseCounting"/>
      <w:suff w:val="nothing"/>
      <w:lvlText w:val="%1、"/>
      <w:lvlJc w:val="left"/>
      <w:rPr>
        <w:rFonts w:hint="eastAsia"/>
      </w:rPr>
    </w:lvl>
  </w:abstractNum>
  <w:abstractNum w:abstractNumId="1">
    <w:nsid w:val="3F013C16"/>
    <w:multiLevelType w:val="singleLevel"/>
    <w:tmpl w:val="3F013C16"/>
    <w:lvl w:ilvl="0" w:tentative="0">
      <w:start w:val="1"/>
      <w:numFmt w:val="decimal"/>
      <w:suff w:val="nothing"/>
      <w:lvlText w:val="（%1）"/>
      <w:lvlJc w:val="left"/>
    </w:lvl>
  </w:abstractNum>
  <w:abstractNum w:abstractNumId="2">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B7828"/>
    <w:rsid w:val="2F8266AE"/>
    <w:rsid w:val="3E18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4885</Words>
  <Characters>5467</Characters>
  <Lines>0</Lines>
  <Paragraphs>0</Paragraphs>
  <TotalTime>0</TotalTime>
  <ScaleCrop>false</ScaleCrop>
  <LinksUpToDate>false</LinksUpToDate>
  <CharactersWithSpaces>5535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2026-05-18T09:42:09Z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