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1F929">
      <w:pPr>
        <w:rPr>
          <w:rFonts w:hint="eastAsia" w:ascii="宋体" w:hAnsi="宋体" w:cs="宋体"/>
          <w:b/>
          <w:color w:val="auto"/>
          <w:sz w:val="28"/>
          <w:szCs w:val="28"/>
          <w:highlight w:val="none"/>
        </w:rPr>
      </w:pPr>
      <w:bookmarkStart w:id="19" w:name="_GoBack"/>
      <w:bookmarkEnd w:id="19"/>
      <w:r>
        <w:rPr>
          <w:rFonts w:hint="eastAsia" w:ascii="宋体" w:hAnsi="宋体" w:cs="宋体"/>
          <w:b/>
          <w:color w:val="auto"/>
          <w:sz w:val="28"/>
          <w:szCs w:val="28"/>
          <w:highlight w:val="none"/>
        </w:rPr>
        <w:t>附件1：资格审查条件</w:t>
      </w:r>
    </w:p>
    <w:p w14:paraId="19639AD3">
      <w:pPr>
        <w:pStyle w:val="16"/>
        <w:rPr>
          <w:rFonts w:hint="eastAsia"/>
          <w:color w:val="auto"/>
          <w:highlight w:val="none"/>
        </w:rPr>
      </w:pPr>
    </w:p>
    <w:p w14:paraId="54EFB1F6">
      <w:pPr>
        <w:adjustRightInd w:val="0"/>
        <w:snapToGrid w:val="0"/>
        <w:spacing w:line="360" w:lineRule="auto"/>
        <w:jc w:val="center"/>
        <w:rPr>
          <w:rFonts w:ascii="宋体" w:hAnsi="宋体"/>
          <w:b/>
          <w:bCs/>
          <w:snapToGrid w:val="0"/>
          <w:color w:val="auto"/>
          <w:kern w:val="0"/>
          <w:sz w:val="24"/>
          <w:szCs w:val="24"/>
          <w:highlight w:val="none"/>
        </w:rPr>
      </w:pPr>
    </w:p>
    <w:p w14:paraId="27962F0B">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附录1  资格审查条件（资质最低要求）</w:t>
      </w:r>
    </w:p>
    <w:tbl>
      <w:tblPr>
        <w:tblStyle w:val="12"/>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357"/>
        <w:gridCol w:w="7165"/>
      </w:tblGrid>
      <w:tr w14:paraId="7BCB8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1465" w:type="dxa"/>
            <w:tcBorders>
              <w:top w:val="single" w:color="000000" w:sz="2" w:space="0"/>
              <w:left w:val="single" w:color="auto" w:sz="4" w:space="0"/>
              <w:bottom w:val="single" w:color="000000" w:sz="4" w:space="0"/>
              <w:right w:val="single" w:color="000000" w:sz="2" w:space="0"/>
            </w:tcBorders>
            <w:noWrap w:val="0"/>
            <w:vAlign w:val="center"/>
          </w:tcPr>
          <w:p w14:paraId="4E6D284E">
            <w:pPr>
              <w:adjustRightInd w:val="0"/>
              <w:snapToGrid w:val="0"/>
              <w:spacing w:line="240" w:lineRule="auto"/>
              <w:jc w:val="center"/>
              <w:textAlignment w:val="baseline"/>
              <w:rPr>
                <w:rStyle w:val="17"/>
                <w:rFonts w:hint="eastAsia" w:ascii="宋体" w:hAnsi="宋体" w:eastAsia="宋体"/>
                <w:b w:val="0"/>
                <w:bCs w:val="0"/>
                <w:snapToGrid w:val="0"/>
                <w:color w:val="auto"/>
                <w:kern w:val="0"/>
                <w:sz w:val="24"/>
                <w:szCs w:val="24"/>
                <w:highlight w:val="none"/>
                <w:lang w:eastAsia="zh-CN"/>
              </w:rPr>
            </w:pPr>
            <w:r>
              <w:rPr>
                <w:rFonts w:hint="eastAsia" w:ascii="宋体" w:hAnsi="宋体" w:cs="宋体"/>
                <w:b w:val="0"/>
                <w:bCs w:val="0"/>
                <w:color w:val="auto"/>
                <w:sz w:val="24"/>
                <w:szCs w:val="24"/>
                <w:highlight w:val="none"/>
                <w:lang w:val="en-US" w:eastAsia="zh-CN"/>
              </w:rPr>
              <w:t>标段号</w:t>
            </w:r>
          </w:p>
        </w:tc>
        <w:tc>
          <w:tcPr>
            <w:tcW w:w="7936" w:type="dxa"/>
            <w:tcBorders>
              <w:top w:val="single" w:color="000000" w:sz="2" w:space="0"/>
              <w:left w:val="single" w:color="auto" w:sz="4" w:space="0"/>
              <w:bottom w:val="single" w:color="000000" w:sz="4" w:space="0"/>
              <w:right w:val="single" w:color="000000" w:sz="2" w:space="0"/>
            </w:tcBorders>
            <w:noWrap w:val="0"/>
            <w:vAlign w:val="center"/>
          </w:tcPr>
          <w:p w14:paraId="71D46251">
            <w:pPr>
              <w:adjustRightInd w:val="0"/>
              <w:snapToGrid w:val="0"/>
              <w:spacing w:line="240" w:lineRule="auto"/>
              <w:jc w:val="center"/>
              <w:textAlignment w:val="baseline"/>
              <w:rPr>
                <w:rStyle w:val="17"/>
                <w:rFonts w:ascii="宋体" w:hAnsi="宋体"/>
                <w:b w:val="0"/>
                <w:bCs w:val="0"/>
                <w:snapToGrid w:val="0"/>
                <w:color w:val="auto"/>
                <w:kern w:val="0"/>
                <w:sz w:val="24"/>
                <w:szCs w:val="24"/>
                <w:highlight w:val="none"/>
              </w:rPr>
            </w:pPr>
            <w:r>
              <w:rPr>
                <w:rStyle w:val="17"/>
                <w:rFonts w:ascii="宋体" w:hAnsi="宋体"/>
                <w:b w:val="0"/>
                <w:bCs w:val="0"/>
                <w:snapToGrid w:val="0"/>
                <w:color w:val="auto"/>
                <w:kern w:val="0"/>
                <w:sz w:val="24"/>
                <w:szCs w:val="24"/>
                <w:highlight w:val="none"/>
              </w:rPr>
              <w:t>资质要求</w:t>
            </w:r>
          </w:p>
        </w:tc>
      </w:tr>
      <w:tr w14:paraId="64BBF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24" w:hRule="atLeast"/>
          <w:jc w:val="center"/>
        </w:trPr>
        <w:tc>
          <w:tcPr>
            <w:tcW w:w="1465" w:type="dxa"/>
            <w:tcBorders>
              <w:top w:val="single" w:color="000000" w:sz="2" w:space="0"/>
              <w:left w:val="single" w:color="auto" w:sz="4" w:space="0"/>
              <w:bottom w:val="single" w:color="000000" w:sz="2" w:space="0"/>
              <w:right w:val="single" w:color="000000" w:sz="2" w:space="0"/>
            </w:tcBorders>
            <w:noWrap w:val="0"/>
            <w:vAlign w:val="center"/>
          </w:tcPr>
          <w:p w14:paraId="14199E37">
            <w:pPr>
              <w:pStyle w:val="19"/>
              <w:adjustRightInd w:val="0"/>
              <w:snapToGrid w:val="0"/>
              <w:spacing w:line="240" w:lineRule="auto"/>
              <w:jc w:val="center"/>
              <w:rPr>
                <w:rStyle w:val="17"/>
                <w:rFonts w:hint="eastAsia"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一标段</w:t>
            </w:r>
          </w:p>
          <w:p w14:paraId="1CD92AB9">
            <w:pPr>
              <w:pStyle w:val="19"/>
              <w:adjustRightInd w:val="0"/>
              <w:snapToGrid w:val="0"/>
              <w:spacing w:line="240" w:lineRule="auto"/>
              <w:jc w:val="center"/>
              <w:rPr>
                <w:rStyle w:val="17"/>
                <w:rFonts w:hint="eastAsia"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二标段</w:t>
            </w:r>
          </w:p>
          <w:p w14:paraId="790290E6">
            <w:pPr>
              <w:pStyle w:val="19"/>
              <w:adjustRightInd w:val="0"/>
              <w:snapToGrid w:val="0"/>
              <w:spacing w:line="240" w:lineRule="auto"/>
              <w:jc w:val="center"/>
              <w:rPr>
                <w:rStyle w:val="17"/>
                <w:rFonts w:hint="eastAsia"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三标段</w:t>
            </w:r>
          </w:p>
          <w:p w14:paraId="24F2C272">
            <w:pPr>
              <w:pStyle w:val="19"/>
              <w:adjustRightInd w:val="0"/>
              <w:snapToGrid w:val="0"/>
              <w:spacing w:line="240" w:lineRule="auto"/>
              <w:jc w:val="center"/>
              <w:rPr>
                <w:rStyle w:val="17"/>
                <w:rFonts w:hint="eastAsia"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五标段</w:t>
            </w:r>
          </w:p>
          <w:p w14:paraId="5B203B91">
            <w:pPr>
              <w:pStyle w:val="19"/>
              <w:adjustRightInd w:val="0"/>
              <w:snapToGrid w:val="0"/>
              <w:spacing w:line="240" w:lineRule="auto"/>
              <w:jc w:val="center"/>
              <w:rPr>
                <w:rStyle w:val="17"/>
                <w:rFonts w:hint="eastAsia"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六标段</w:t>
            </w:r>
          </w:p>
          <w:p w14:paraId="43048103">
            <w:pPr>
              <w:pStyle w:val="19"/>
              <w:adjustRightInd w:val="0"/>
              <w:snapToGrid w:val="0"/>
              <w:spacing w:line="240" w:lineRule="auto"/>
              <w:jc w:val="center"/>
              <w:rPr>
                <w:rStyle w:val="17"/>
                <w:rFonts w:hint="eastAsia" w:hAnsi="宋体" w:eastAsia="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七标段</w:t>
            </w:r>
          </w:p>
        </w:tc>
        <w:tc>
          <w:tcPr>
            <w:tcW w:w="7936" w:type="dxa"/>
            <w:tcBorders>
              <w:top w:val="single" w:color="000000" w:sz="2" w:space="0"/>
              <w:left w:val="single" w:color="auto" w:sz="4" w:space="0"/>
              <w:bottom w:val="single" w:color="000000" w:sz="2" w:space="0"/>
              <w:right w:val="single" w:color="000000" w:sz="2" w:space="0"/>
            </w:tcBorders>
            <w:noWrap w:val="0"/>
            <w:vAlign w:val="center"/>
          </w:tcPr>
          <w:p w14:paraId="5DD0B503">
            <w:pPr>
              <w:pStyle w:val="19"/>
              <w:adjustRightInd w:val="0"/>
              <w:snapToGrid w:val="0"/>
              <w:spacing w:line="240" w:lineRule="auto"/>
              <w:jc w:val="both"/>
              <w:rPr>
                <w:rStyle w:val="17"/>
                <w:rFonts w:hint="eastAsia" w:hAnsi="宋体"/>
                <w:bCs w:val="0"/>
                <w:snapToGrid w:val="0"/>
                <w:color w:val="auto"/>
                <w:sz w:val="24"/>
                <w:szCs w:val="24"/>
                <w:highlight w:val="none"/>
              </w:rPr>
            </w:pPr>
            <w:r>
              <w:rPr>
                <w:rFonts w:hint="eastAsia" w:hAnsi="宋体"/>
                <w:color w:val="auto"/>
                <w:sz w:val="24"/>
                <w:szCs w:val="24"/>
                <w:highlight w:val="none"/>
              </w:rPr>
              <w:t>中华人民共和国境内的法人或其他组织，持有有效的营业执照</w:t>
            </w:r>
            <w:r>
              <w:rPr>
                <w:rFonts w:hint="eastAsia" w:hAnsi="宋体"/>
                <w:color w:val="auto"/>
                <w:sz w:val="24"/>
                <w:szCs w:val="24"/>
                <w:highlight w:val="none"/>
                <w:lang w:val="en-US" w:eastAsia="zh-CN"/>
              </w:rPr>
              <w:t>的设备制造商</w:t>
            </w:r>
            <w:r>
              <w:rPr>
                <w:rFonts w:hint="eastAsia" w:hAnsi="宋体"/>
                <w:color w:val="auto"/>
                <w:sz w:val="24"/>
                <w:szCs w:val="24"/>
                <w:highlight w:val="none"/>
              </w:rPr>
              <w:t>。</w:t>
            </w:r>
          </w:p>
        </w:tc>
      </w:tr>
      <w:tr w14:paraId="32C00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24" w:hRule="atLeast"/>
          <w:jc w:val="center"/>
        </w:trPr>
        <w:tc>
          <w:tcPr>
            <w:tcW w:w="1465" w:type="dxa"/>
            <w:tcBorders>
              <w:top w:val="single" w:color="000000" w:sz="2" w:space="0"/>
              <w:left w:val="single" w:color="auto" w:sz="4" w:space="0"/>
              <w:bottom w:val="single" w:color="000000" w:sz="2" w:space="0"/>
              <w:right w:val="single" w:color="000000" w:sz="2" w:space="0"/>
            </w:tcBorders>
            <w:noWrap w:val="0"/>
            <w:vAlign w:val="center"/>
          </w:tcPr>
          <w:p w14:paraId="499FE688">
            <w:pPr>
              <w:pStyle w:val="19"/>
              <w:adjustRightInd w:val="0"/>
              <w:snapToGrid w:val="0"/>
              <w:spacing w:line="240" w:lineRule="auto"/>
              <w:jc w:val="center"/>
              <w:rPr>
                <w:rStyle w:val="17"/>
                <w:rFonts w:hint="default"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四标段</w:t>
            </w:r>
          </w:p>
        </w:tc>
        <w:tc>
          <w:tcPr>
            <w:tcW w:w="7936" w:type="dxa"/>
            <w:tcBorders>
              <w:top w:val="single" w:color="000000" w:sz="2" w:space="0"/>
              <w:left w:val="single" w:color="auto" w:sz="4" w:space="0"/>
              <w:bottom w:val="single" w:color="000000" w:sz="2" w:space="0"/>
              <w:right w:val="single" w:color="000000" w:sz="2" w:space="0"/>
            </w:tcBorders>
            <w:noWrap w:val="0"/>
            <w:vAlign w:val="center"/>
          </w:tcPr>
          <w:p w14:paraId="7E4AE318">
            <w:pPr>
              <w:adjustRightInd w:val="0"/>
              <w:snapToGrid w:val="0"/>
              <w:spacing w:line="240" w:lineRule="auto"/>
              <w:jc w:val="both"/>
              <w:rPr>
                <w:rStyle w:val="17"/>
                <w:rFonts w:hint="default" w:hAnsi="宋体"/>
                <w:bCs w:val="0"/>
                <w:snapToGrid w:val="0"/>
                <w:color w:val="0000FF"/>
                <w:sz w:val="24"/>
                <w:szCs w:val="24"/>
                <w:highlight w:val="none"/>
                <w:lang w:val="en-US" w:eastAsia="zh-CN"/>
              </w:rPr>
            </w:pPr>
            <w:r>
              <w:rPr>
                <w:rStyle w:val="17"/>
                <w:rFonts w:hint="eastAsia" w:hAnsi="宋体"/>
                <w:bCs w:val="0"/>
                <w:snapToGrid w:val="0"/>
                <w:color w:val="auto"/>
                <w:sz w:val="24"/>
                <w:szCs w:val="24"/>
                <w:highlight w:val="none"/>
                <w:lang w:val="en-US" w:eastAsia="zh-CN"/>
              </w:rPr>
              <w:t>制造商：投标人应是中华人民共和国境内的法人或其他组织，持有有效的营业执照。</w:t>
            </w:r>
          </w:p>
          <w:p w14:paraId="4C64F4AB">
            <w:pPr>
              <w:pStyle w:val="19"/>
              <w:adjustRightInd w:val="0"/>
              <w:snapToGrid w:val="0"/>
              <w:spacing w:line="240" w:lineRule="auto"/>
              <w:jc w:val="both"/>
              <w:rPr>
                <w:rFonts w:hint="eastAsia" w:hAnsi="宋体"/>
                <w:color w:val="auto"/>
                <w:sz w:val="24"/>
                <w:szCs w:val="24"/>
                <w:highlight w:val="none"/>
              </w:rPr>
            </w:pPr>
            <w:r>
              <w:rPr>
                <w:rStyle w:val="17"/>
                <w:rFonts w:hint="eastAsia" w:hAnsi="宋体"/>
                <w:bCs w:val="0"/>
                <w:snapToGrid w:val="0"/>
                <w:color w:val="auto"/>
                <w:sz w:val="24"/>
                <w:szCs w:val="24"/>
                <w:highlight w:val="none"/>
                <w:lang w:val="en-US" w:eastAsia="zh-CN"/>
              </w:rPr>
              <w:t>代理商：投标人应是中华人民共和国境内的法人或其他组织，持有有效的营业执照；具有制造商出具的针对本招标项目所投设备的唯一授权书，且该制造商满足前述关于“制造商”的要求。</w:t>
            </w:r>
          </w:p>
        </w:tc>
      </w:tr>
    </w:tbl>
    <w:p w14:paraId="33C79E4A">
      <w:pPr>
        <w:pStyle w:val="6"/>
        <w:spacing w:line="240" w:lineRule="auto"/>
        <w:ind w:left="0" w:leftChars="0" w:firstLine="0" w:firstLineChars="0"/>
        <w:jc w:val="center"/>
        <w:rPr>
          <w:rFonts w:hint="eastAsia"/>
          <w:color w:val="auto"/>
          <w:sz w:val="24"/>
          <w:szCs w:val="24"/>
          <w:highlight w:val="none"/>
        </w:rPr>
      </w:pPr>
    </w:p>
    <w:p w14:paraId="440DCFD6">
      <w:pPr>
        <w:spacing w:line="240" w:lineRule="auto"/>
        <w:jc w:val="center"/>
        <w:rPr>
          <w:rFonts w:ascii="宋体" w:hAnsi="宋体"/>
          <w:b/>
          <w:bCs/>
          <w:snapToGrid w:val="0"/>
          <w:color w:val="auto"/>
          <w:kern w:val="0"/>
          <w:sz w:val="24"/>
          <w:szCs w:val="24"/>
          <w:highlight w:val="none"/>
        </w:rPr>
      </w:pPr>
    </w:p>
    <w:p w14:paraId="2312B167">
      <w:pPr>
        <w:spacing w:line="240" w:lineRule="auto"/>
        <w:jc w:val="center"/>
        <w:rPr>
          <w:rFonts w:ascii="宋体" w:hAnsi="宋体"/>
          <w:b/>
          <w:bCs/>
          <w:snapToGrid w:val="0"/>
          <w:color w:val="auto"/>
          <w:kern w:val="0"/>
          <w:sz w:val="24"/>
          <w:szCs w:val="24"/>
          <w:highlight w:val="none"/>
        </w:rPr>
      </w:pPr>
    </w:p>
    <w:p w14:paraId="01050738">
      <w:pPr>
        <w:spacing w:line="240" w:lineRule="auto"/>
        <w:jc w:val="center"/>
        <w:rPr>
          <w:rFonts w:hint="eastAsia" w:ascii="宋体" w:hAnsi="宋体"/>
          <w:color w:val="auto"/>
          <w:sz w:val="24"/>
          <w:szCs w:val="24"/>
          <w:highlight w:val="none"/>
        </w:rPr>
      </w:pPr>
      <w:r>
        <w:rPr>
          <w:rFonts w:ascii="宋体" w:hAnsi="宋体"/>
          <w:b/>
          <w:bCs/>
          <w:snapToGrid w:val="0"/>
          <w:color w:val="auto"/>
          <w:kern w:val="0"/>
          <w:sz w:val="24"/>
          <w:szCs w:val="24"/>
          <w:highlight w:val="none"/>
        </w:rPr>
        <w:t>附录2  资格审查条件（业绩最低要求）</w:t>
      </w:r>
    </w:p>
    <w:tbl>
      <w:tblPr>
        <w:tblStyle w:val="12"/>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917"/>
        <w:gridCol w:w="7605"/>
      </w:tblGrid>
      <w:tr w14:paraId="7E7A7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38" w:type="pct"/>
            <w:tcBorders>
              <w:top w:val="single" w:color="000000" w:sz="2" w:space="0"/>
              <w:left w:val="single" w:color="auto" w:sz="4" w:space="0"/>
              <w:bottom w:val="single" w:color="000000" w:sz="4" w:space="0"/>
              <w:right w:val="single" w:color="000000" w:sz="2" w:space="0"/>
            </w:tcBorders>
            <w:noWrap w:val="0"/>
            <w:vAlign w:val="center"/>
          </w:tcPr>
          <w:p w14:paraId="5692F734">
            <w:pPr>
              <w:adjustRightInd w:val="0"/>
              <w:snapToGrid w:val="0"/>
              <w:spacing w:line="240" w:lineRule="auto"/>
              <w:jc w:val="center"/>
              <w:textAlignment w:val="baseline"/>
              <w:rPr>
                <w:rStyle w:val="17"/>
                <w:rFonts w:ascii="宋体" w:hAnsi="宋体"/>
                <w:snapToGrid w:val="0"/>
                <w:color w:val="auto"/>
                <w:kern w:val="0"/>
                <w:sz w:val="24"/>
                <w:szCs w:val="24"/>
                <w:highlight w:val="none"/>
              </w:rPr>
            </w:pPr>
            <w:r>
              <w:rPr>
                <w:rFonts w:hint="eastAsia" w:ascii="宋体" w:hAnsi="宋体" w:cs="宋体"/>
                <w:b w:val="0"/>
                <w:bCs w:val="0"/>
                <w:color w:val="auto"/>
                <w:sz w:val="24"/>
                <w:szCs w:val="24"/>
                <w:highlight w:val="none"/>
                <w:lang w:val="en-US" w:eastAsia="zh-CN"/>
              </w:rPr>
              <w:t>标段号</w:t>
            </w:r>
          </w:p>
        </w:tc>
        <w:tc>
          <w:tcPr>
            <w:tcW w:w="4461" w:type="pct"/>
            <w:tcBorders>
              <w:top w:val="single" w:color="000000" w:sz="2" w:space="0"/>
              <w:left w:val="single" w:color="auto" w:sz="4" w:space="0"/>
              <w:bottom w:val="single" w:color="000000" w:sz="4" w:space="0"/>
              <w:right w:val="single" w:color="000000" w:sz="2" w:space="0"/>
            </w:tcBorders>
            <w:noWrap w:val="0"/>
            <w:vAlign w:val="center"/>
          </w:tcPr>
          <w:p w14:paraId="43266013">
            <w:pPr>
              <w:adjustRightInd w:val="0"/>
              <w:snapToGrid w:val="0"/>
              <w:spacing w:line="240" w:lineRule="auto"/>
              <w:jc w:val="center"/>
              <w:textAlignment w:val="baseline"/>
              <w:rPr>
                <w:rStyle w:val="17"/>
                <w:rFonts w:ascii="宋体" w:hAnsi="宋体"/>
                <w:snapToGrid w:val="0"/>
                <w:color w:val="auto"/>
                <w:kern w:val="0"/>
                <w:sz w:val="24"/>
                <w:szCs w:val="24"/>
                <w:highlight w:val="none"/>
              </w:rPr>
            </w:pPr>
            <w:r>
              <w:rPr>
                <w:rStyle w:val="17"/>
                <w:rFonts w:ascii="宋体" w:hAnsi="宋体"/>
                <w:snapToGrid w:val="0"/>
                <w:color w:val="auto"/>
                <w:kern w:val="0"/>
                <w:sz w:val="24"/>
                <w:szCs w:val="24"/>
                <w:highlight w:val="none"/>
              </w:rPr>
              <w:t>业绩要求</w:t>
            </w:r>
          </w:p>
        </w:tc>
      </w:tr>
      <w:tr w14:paraId="2951E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0" w:hRule="atLeast"/>
          <w:jc w:val="center"/>
        </w:trPr>
        <w:tc>
          <w:tcPr>
            <w:tcW w:w="538" w:type="pct"/>
            <w:tcBorders>
              <w:top w:val="single" w:color="000000" w:sz="2" w:space="0"/>
              <w:left w:val="single" w:color="auto" w:sz="4" w:space="0"/>
              <w:bottom w:val="single" w:color="000000" w:sz="2" w:space="0"/>
              <w:right w:val="single" w:color="000000" w:sz="2" w:space="0"/>
            </w:tcBorders>
            <w:noWrap w:val="0"/>
            <w:vAlign w:val="center"/>
          </w:tcPr>
          <w:p w14:paraId="67EDDE6A">
            <w:pPr>
              <w:adjustRightInd w:val="0"/>
              <w:snapToGrid w:val="0"/>
              <w:spacing w:line="240" w:lineRule="auto"/>
              <w:jc w:val="both"/>
              <w:rPr>
                <w:rStyle w:val="17"/>
                <w:rFonts w:hint="default" w:hAnsi="宋体" w:eastAsia="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一标段</w:t>
            </w:r>
          </w:p>
        </w:tc>
        <w:tc>
          <w:tcPr>
            <w:tcW w:w="8046" w:type="dxa"/>
            <w:tcBorders>
              <w:top w:val="single" w:color="000000" w:sz="2" w:space="0"/>
              <w:left w:val="single" w:color="auto" w:sz="4" w:space="0"/>
              <w:bottom w:val="single" w:color="000000" w:sz="2" w:space="0"/>
              <w:right w:val="single" w:color="000000" w:sz="2" w:space="0"/>
            </w:tcBorders>
            <w:noWrap w:val="0"/>
            <w:vAlign w:val="center"/>
          </w:tcPr>
          <w:p w14:paraId="06EF778A">
            <w:pPr>
              <w:adjustRightInd w:val="0"/>
              <w:snapToGrid w:val="0"/>
              <w:spacing w:line="240" w:lineRule="auto"/>
              <w:jc w:val="both"/>
              <w:rPr>
                <w:rStyle w:val="17"/>
                <w:rFonts w:hint="eastAsia"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近3年内（2023年5月1日至投标截止时间，以合同签订时间为准），完成过一项所投品牌的可变信息标志供货业绩。</w:t>
            </w:r>
          </w:p>
        </w:tc>
      </w:tr>
      <w:tr w14:paraId="53576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0" w:hRule="atLeast"/>
          <w:jc w:val="center"/>
        </w:trPr>
        <w:tc>
          <w:tcPr>
            <w:tcW w:w="538" w:type="pct"/>
            <w:tcBorders>
              <w:top w:val="single" w:color="000000" w:sz="2" w:space="0"/>
              <w:left w:val="single" w:color="auto" w:sz="4" w:space="0"/>
              <w:bottom w:val="single" w:color="000000" w:sz="2" w:space="0"/>
              <w:right w:val="single" w:color="000000" w:sz="2" w:space="0"/>
            </w:tcBorders>
            <w:noWrap w:val="0"/>
            <w:vAlign w:val="center"/>
          </w:tcPr>
          <w:p w14:paraId="14732B93">
            <w:pPr>
              <w:adjustRightInd w:val="0"/>
              <w:snapToGrid w:val="0"/>
              <w:spacing w:line="240" w:lineRule="auto"/>
              <w:jc w:val="both"/>
              <w:rPr>
                <w:rStyle w:val="17"/>
                <w:rFonts w:hint="default"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二标段</w:t>
            </w:r>
          </w:p>
        </w:tc>
        <w:tc>
          <w:tcPr>
            <w:tcW w:w="8046" w:type="dxa"/>
            <w:tcBorders>
              <w:top w:val="single" w:color="000000" w:sz="2" w:space="0"/>
              <w:left w:val="single" w:color="auto" w:sz="4" w:space="0"/>
              <w:bottom w:val="single" w:color="000000" w:sz="2" w:space="0"/>
              <w:right w:val="single" w:color="000000" w:sz="2" w:space="0"/>
            </w:tcBorders>
            <w:noWrap w:val="0"/>
            <w:vAlign w:val="center"/>
          </w:tcPr>
          <w:p w14:paraId="413ED703">
            <w:pPr>
              <w:adjustRightInd w:val="0"/>
              <w:snapToGrid w:val="0"/>
              <w:spacing w:line="240" w:lineRule="auto"/>
              <w:jc w:val="both"/>
              <w:rPr>
                <w:rStyle w:val="17"/>
                <w:rFonts w:hint="eastAsia"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近3年内（2023年5月1日至投标截止时间，以合同签订时间为准），完成过一项所投品牌的升、降压设备供货业绩。</w:t>
            </w:r>
          </w:p>
        </w:tc>
      </w:tr>
      <w:tr w14:paraId="0F888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0" w:hRule="atLeast"/>
          <w:jc w:val="center"/>
        </w:trPr>
        <w:tc>
          <w:tcPr>
            <w:tcW w:w="538" w:type="pct"/>
            <w:tcBorders>
              <w:top w:val="single" w:color="000000" w:sz="2" w:space="0"/>
              <w:left w:val="single" w:color="auto" w:sz="4" w:space="0"/>
              <w:bottom w:val="single" w:color="000000" w:sz="2" w:space="0"/>
              <w:right w:val="single" w:color="000000" w:sz="2" w:space="0"/>
            </w:tcBorders>
            <w:noWrap w:val="0"/>
            <w:vAlign w:val="center"/>
          </w:tcPr>
          <w:p w14:paraId="0341A7B5">
            <w:pPr>
              <w:adjustRightInd w:val="0"/>
              <w:snapToGrid w:val="0"/>
              <w:spacing w:line="240" w:lineRule="auto"/>
              <w:jc w:val="both"/>
              <w:rPr>
                <w:rStyle w:val="17"/>
                <w:rFonts w:hint="default"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三标段</w:t>
            </w:r>
          </w:p>
        </w:tc>
        <w:tc>
          <w:tcPr>
            <w:tcW w:w="8046" w:type="dxa"/>
            <w:tcBorders>
              <w:top w:val="single" w:color="000000" w:sz="2" w:space="0"/>
              <w:left w:val="single" w:color="auto" w:sz="4" w:space="0"/>
              <w:bottom w:val="single" w:color="000000" w:sz="2" w:space="0"/>
              <w:right w:val="single" w:color="000000" w:sz="2" w:space="0"/>
            </w:tcBorders>
            <w:noWrap w:val="0"/>
            <w:vAlign w:val="center"/>
          </w:tcPr>
          <w:p w14:paraId="38CBDAD1">
            <w:pPr>
              <w:adjustRightInd w:val="0"/>
              <w:snapToGrid w:val="0"/>
              <w:spacing w:line="240" w:lineRule="auto"/>
              <w:jc w:val="both"/>
              <w:rPr>
                <w:rStyle w:val="17"/>
                <w:rFonts w:hint="eastAsia"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近3年内（2023年5月1日至投标截止时间，以合同签订时间为准），完成一项所投品牌的北斗基站设备供货业绩。</w:t>
            </w:r>
          </w:p>
        </w:tc>
      </w:tr>
      <w:tr w14:paraId="12B3C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0" w:hRule="atLeast"/>
          <w:jc w:val="center"/>
        </w:trPr>
        <w:tc>
          <w:tcPr>
            <w:tcW w:w="538" w:type="pct"/>
            <w:tcBorders>
              <w:top w:val="single" w:color="000000" w:sz="2" w:space="0"/>
              <w:left w:val="single" w:color="auto" w:sz="4" w:space="0"/>
              <w:bottom w:val="single" w:color="000000" w:sz="2" w:space="0"/>
              <w:right w:val="single" w:color="000000" w:sz="2" w:space="0"/>
            </w:tcBorders>
            <w:noWrap w:val="0"/>
            <w:vAlign w:val="center"/>
          </w:tcPr>
          <w:p w14:paraId="34357469">
            <w:pPr>
              <w:adjustRightInd w:val="0"/>
              <w:snapToGrid w:val="0"/>
              <w:spacing w:line="240" w:lineRule="auto"/>
              <w:jc w:val="both"/>
              <w:rPr>
                <w:rStyle w:val="17"/>
                <w:rFonts w:hint="default"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四标段</w:t>
            </w:r>
          </w:p>
        </w:tc>
        <w:tc>
          <w:tcPr>
            <w:tcW w:w="8046" w:type="dxa"/>
            <w:tcBorders>
              <w:top w:val="single" w:color="000000" w:sz="2" w:space="0"/>
              <w:left w:val="single" w:color="auto" w:sz="4" w:space="0"/>
              <w:bottom w:val="single" w:color="000000" w:sz="2" w:space="0"/>
              <w:right w:val="single" w:color="000000" w:sz="2" w:space="0"/>
            </w:tcBorders>
            <w:noWrap w:val="0"/>
            <w:vAlign w:val="center"/>
          </w:tcPr>
          <w:p w14:paraId="3E66884E">
            <w:pPr>
              <w:adjustRightInd w:val="0"/>
              <w:snapToGrid w:val="0"/>
              <w:spacing w:line="240" w:lineRule="auto"/>
              <w:jc w:val="both"/>
              <w:rPr>
                <w:rStyle w:val="17"/>
                <w:rFonts w:hint="eastAsia"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近3年内（2023年5月1日至投标截止时间，以合同签订时间为准），完成过一项所投品牌的电机智能传感器供货业绩。</w:t>
            </w:r>
          </w:p>
        </w:tc>
      </w:tr>
      <w:tr w14:paraId="2DC61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0" w:hRule="atLeast"/>
          <w:jc w:val="center"/>
        </w:trPr>
        <w:tc>
          <w:tcPr>
            <w:tcW w:w="538" w:type="pct"/>
            <w:tcBorders>
              <w:top w:val="single" w:color="000000" w:sz="2" w:space="0"/>
              <w:left w:val="single" w:color="auto" w:sz="4" w:space="0"/>
              <w:bottom w:val="single" w:color="000000" w:sz="2" w:space="0"/>
              <w:right w:val="single" w:color="000000" w:sz="2" w:space="0"/>
            </w:tcBorders>
            <w:noWrap w:val="0"/>
            <w:vAlign w:val="center"/>
          </w:tcPr>
          <w:p w14:paraId="1CB0338E">
            <w:pPr>
              <w:adjustRightInd w:val="0"/>
              <w:snapToGrid w:val="0"/>
              <w:spacing w:line="240" w:lineRule="auto"/>
              <w:jc w:val="both"/>
              <w:rPr>
                <w:rStyle w:val="17"/>
                <w:rFonts w:hint="default"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五标段</w:t>
            </w:r>
          </w:p>
        </w:tc>
        <w:tc>
          <w:tcPr>
            <w:tcW w:w="8046" w:type="dxa"/>
            <w:tcBorders>
              <w:top w:val="single" w:color="000000" w:sz="2" w:space="0"/>
              <w:left w:val="single" w:color="auto" w:sz="4" w:space="0"/>
              <w:bottom w:val="single" w:color="000000" w:sz="2" w:space="0"/>
              <w:right w:val="single" w:color="000000" w:sz="2" w:space="0"/>
            </w:tcBorders>
            <w:noWrap w:val="0"/>
            <w:vAlign w:val="center"/>
          </w:tcPr>
          <w:p w14:paraId="2BB6FC4F">
            <w:pPr>
              <w:adjustRightInd w:val="0"/>
              <w:snapToGrid w:val="0"/>
              <w:spacing w:line="240" w:lineRule="auto"/>
              <w:jc w:val="both"/>
              <w:rPr>
                <w:rStyle w:val="17"/>
                <w:rFonts w:hint="eastAsia"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近3年内（2023年5月1日至投标截止时间，以合同签订时间为准），完成过一项所投品牌的抓拍摄像机供货业绩。</w:t>
            </w:r>
          </w:p>
        </w:tc>
      </w:tr>
      <w:tr w14:paraId="4CE04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0" w:hRule="atLeast"/>
          <w:jc w:val="center"/>
        </w:trPr>
        <w:tc>
          <w:tcPr>
            <w:tcW w:w="538" w:type="pct"/>
            <w:tcBorders>
              <w:top w:val="single" w:color="000000" w:sz="2" w:space="0"/>
              <w:left w:val="single" w:color="auto" w:sz="4" w:space="0"/>
              <w:bottom w:val="single" w:color="000000" w:sz="2" w:space="0"/>
              <w:right w:val="single" w:color="000000" w:sz="2" w:space="0"/>
            </w:tcBorders>
            <w:noWrap w:val="0"/>
            <w:vAlign w:val="center"/>
          </w:tcPr>
          <w:p w14:paraId="26C8DA36">
            <w:pPr>
              <w:adjustRightInd w:val="0"/>
              <w:snapToGrid w:val="0"/>
              <w:spacing w:line="240" w:lineRule="auto"/>
              <w:jc w:val="both"/>
              <w:rPr>
                <w:rStyle w:val="17"/>
                <w:rFonts w:hint="default"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六标段</w:t>
            </w:r>
          </w:p>
        </w:tc>
        <w:tc>
          <w:tcPr>
            <w:tcW w:w="8046" w:type="dxa"/>
            <w:tcBorders>
              <w:top w:val="single" w:color="000000" w:sz="2" w:space="0"/>
              <w:left w:val="single" w:color="auto" w:sz="4" w:space="0"/>
              <w:bottom w:val="single" w:color="000000" w:sz="2" w:space="0"/>
              <w:right w:val="single" w:color="000000" w:sz="2" w:space="0"/>
            </w:tcBorders>
            <w:noWrap w:val="0"/>
            <w:vAlign w:val="center"/>
          </w:tcPr>
          <w:p w14:paraId="61752EAC">
            <w:pPr>
              <w:adjustRightInd w:val="0"/>
              <w:snapToGrid w:val="0"/>
              <w:spacing w:line="240" w:lineRule="auto"/>
              <w:jc w:val="both"/>
              <w:rPr>
                <w:rStyle w:val="17"/>
                <w:rFonts w:hint="eastAsia"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近3年内（2023年5月1日至投标截止时间，以合同签订时间为准），完成过一项所投品牌的称重系统设备供货业绩。</w:t>
            </w:r>
          </w:p>
        </w:tc>
      </w:tr>
      <w:tr w14:paraId="26603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0" w:hRule="atLeast"/>
          <w:jc w:val="center"/>
        </w:trPr>
        <w:tc>
          <w:tcPr>
            <w:tcW w:w="538" w:type="pct"/>
            <w:tcBorders>
              <w:top w:val="single" w:color="000000" w:sz="2" w:space="0"/>
              <w:left w:val="single" w:color="auto" w:sz="4" w:space="0"/>
              <w:bottom w:val="single" w:color="000000" w:sz="2" w:space="0"/>
              <w:right w:val="single" w:color="000000" w:sz="2" w:space="0"/>
            </w:tcBorders>
            <w:noWrap w:val="0"/>
            <w:vAlign w:val="center"/>
          </w:tcPr>
          <w:p w14:paraId="68B95CAC">
            <w:pPr>
              <w:adjustRightInd w:val="0"/>
              <w:snapToGrid w:val="0"/>
              <w:spacing w:line="240" w:lineRule="auto"/>
              <w:jc w:val="both"/>
              <w:rPr>
                <w:rStyle w:val="17"/>
                <w:rFonts w:hint="default"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七标段</w:t>
            </w:r>
          </w:p>
        </w:tc>
        <w:tc>
          <w:tcPr>
            <w:tcW w:w="8046" w:type="dxa"/>
            <w:tcBorders>
              <w:top w:val="single" w:color="000000" w:sz="2" w:space="0"/>
              <w:left w:val="single" w:color="auto" w:sz="4" w:space="0"/>
              <w:bottom w:val="single" w:color="000000" w:sz="2" w:space="0"/>
              <w:right w:val="single" w:color="000000" w:sz="2" w:space="0"/>
            </w:tcBorders>
            <w:noWrap w:val="0"/>
            <w:vAlign w:val="center"/>
          </w:tcPr>
          <w:p w14:paraId="2281E91E">
            <w:pPr>
              <w:adjustRightInd w:val="0"/>
              <w:snapToGrid w:val="0"/>
              <w:spacing w:line="240" w:lineRule="auto"/>
              <w:jc w:val="both"/>
              <w:rPr>
                <w:rStyle w:val="17"/>
                <w:rFonts w:hint="eastAsia"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近3年内（2023年5月1日至投标截止时间，以合同签订时间为准），完成过一项所投品牌的路线诱导装置设备供货业绩。</w:t>
            </w:r>
          </w:p>
        </w:tc>
      </w:tr>
    </w:tbl>
    <w:p w14:paraId="3F0A4072">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注：</w:t>
      </w:r>
      <w:r>
        <w:rPr>
          <w:rFonts w:hint="eastAsia" w:ascii="宋体" w:hAnsi="宋体" w:cs="宋体"/>
          <w:b/>
          <w:bCs/>
          <w:kern w:val="0"/>
          <w:sz w:val="24"/>
          <w:szCs w:val="24"/>
          <w:highlight w:val="none"/>
          <w:lang w:val="en-US" w:eastAsia="zh-CN" w:bidi="ar"/>
        </w:rPr>
        <w:t>（1）四标段</w:t>
      </w:r>
      <w:r>
        <w:rPr>
          <w:rFonts w:hint="eastAsia" w:ascii="宋体" w:hAnsi="宋体" w:eastAsia="宋体" w:cs="宋体"/>
          <w:b/>
          <w:bCs/>
          <w:kern w:val="0"/>
          <w:sz w:val="24"/>
          <w:szCs w:val="24"/>
          <w:highlight w:val="none"/>
          <w:lang w:val="en-US" w:eastAsia="zh-CN" w:bidi="ar"/>
        </w:rPr>
        <w:t>代理商和制造商的业绩不可互用</w:t>
      </w:r>
      <w:r>
        <w:rPr>
          <w:rFonts w:hint="eastAsia" w:ascii="宋体" w:hAnsi="宋体" w:cs="宋体"/>
          <w:b/>
          <w:bCs/>
          <w:kern w:val="0"/>
          <w:sz w:val="24"/>
          <w:szCs w:val="24"/>
          <w:highlight w:val="none"/>
          <w:lang w:val="en-US" w:eastAsia="zh-CN" w:bidi="ar"/>
        </w:rPr>
        <w:t>。</w:t>
      </w:r>
    </w:p>
    <w:p w14:paraId="77EBE237">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Times New Roman"/>
          <w:b/>
          <w:bCs/>
          <w:kern w:val="0"/>
          <w:sz w:val="24"/>
          <w:szCs w:val="24"/>
          <w:highlight w:val="none"/>
        </w:rPr>
      </w:pPr>
      <w:r>
        <w:rPr>
          <w:rFonts w:hint="eastAsia" w:ascii="宋体" w:hAnsi="宋体" w:cs="宋体"/>
          <w:b/>
          <w:bCs/>
          <w:kern w:val="0"/>
          <w:sz w:val="24"/>
          <w:szCs w:val="24"/>
          <w:highlight w:val="none"/>
          <w:lang w:val="en-US" w:eastAsia="zh-CN" w:bidi="ar"/>
        </w:rPr>
        <w:t>（2）所有标段</w:t>
      </w:r>
      <w:r>
        <w:rPr>
          <w:rFonts w:hint="eastAsia" w:ascii="宋体" w:hAnsi="宋体" w:eastAsia="宋体" w:cs="宋体"/>
          <w:b/>
          <w:bCs/>
          <w:kern w:val="0"/>
          <w:sz w:val="24"/>
          <w:szCs w:val="24"/>
          <w:highlight w:val="none"/>
          <w:lang w:val="en-US" w:eastAsia="zh-CN" w:bidi="ar"/>
        </w:rPr>
        <w:t>业绩不包含制造商和代理商签订的合同</w:t>
      </w:r>
      <w:r>
        <w:rPr>
          <w:rFonts w:hint="eastAsia" w:ascii="宋体" w:hAnsi="宋体" w:cs="宋体"/>
          <w:b/>
          <w:bCs/>
          <w:kern w:val="0"/>
          <w:sz w:val="24"/>
          <w:szCs w:val="24"/>
          <w:highlight w:val="none"/>
          <w:lang w:val="en-US" w:eastAsia="zh-CN" w:bidi="ar"/>
        </w:rPr>
        <w:t>。</w:t>
      </w:r>
    </w:p>
    <w:p w14:paraId="5A98957C">
      <w:pPr>
        <w:adjustRightInd w:val="0"/>
        <w:snapToGrid w:val="0"/>
        <w:spacing w:line="360" w:lineRule="auto"/>
        <w:jc w:val="center"/>
        <w:rPr>
          <w:rFonts w:ascii="宋体" w:hAnsi="宋体"/>
          <w:b/>
          <w:bCs/>
          <w:snapToGrid w:val="0"/>
          <w:color w:val="auto"/>
          <w:kern w:val="0"/>
          <w:sz w:val="24"/>
          <w:szCs w:val="24"/>
          <w:highlight w:val="none"/>
        </w:rPr>
      </w:pPr>
    </w:p>
    <w:p w14:paraId="5758ADE0">
      <w:pPr>
        <w:adjustRightInd w:val="0"/>
        <w:snapToGrid w:val="0"/>
        <w:spacing w:line="360" w:lineRule="auto"/>
        <w:jc w:val="center"/>
        <w:rPr>
          <w:rFonts w:ascii="宋体" w:hAnsi="宋体"/>
          <w:b/>
          <w:bCs/>
          <w:snapToGrid w:val="0"/>
          <w:color w:val="auto"/>
          <w:kern w:val="0"/>
          <w:sz w:val="24"/>
          <w:szCs w:val="24"/>
          <w:highlight w:val="none"/>
        </w:rPr>
      </w:pPr>
    </w:p>
    <w:p w14:paraId="62E5D905">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附录3  资格审查条件（信誉最低要求）</w:t>
      </w:r>
    </w:p>
    <w:tbl>
      <w:tblPr>
        <w:tblStyle w:val="12"/>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14:paraId="5EC5F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541" w:type="dxa"/>
            <w:tcBorders>
              <w:top w:val="single" w:color="000000" w:sz="2" w:space="0"/>
              <w:left w:val="single" w:color="auto" w:sz="4" w:space="0"/>
              <w:bottom w:val="single" w:color="000000" w:sz="4" w:space="0"/>
              <w:right w:val="single" w:color="000000" w:sz="2" w:space="0"/>
            </w:tcBorders>
            <w:noWrap w:val="0"/>
            <w:vAlign w:val="center"/>
          </w:tcPr>
          <w:p w14:paraId="24C35864">
            <w:pPr>
              <w:adjustRightInd w:val="0"/>
              <w:snapToGrid w:val="0"/>
              <w:spacing w:line="240" w:lineRule="auto"/>
              <w:jc w:val="center"/>
              <w:textAlignment w:val="baseline"/>
              <w:rPr>
                <w:rStyle w:val="17"/>
                <w:rFonts w:ascii="宋体" w:hAnsi="宋体"/>
                <w:snapToGrid w:val="0"/>
                <w:color w:val="auto"/>
                <w:kern w:val="0"/>
                <w:sz w:val="24"/>
                <w:szCs w:val="24"/>
                <w:highlight w:val="none"/>
              </w:rPr>
            </w:pPr>
            <w:r>
              <w:rPr>
                <w:rStyle w:val="17"/>
                <w:rFonts w:ascii="宋体" w:hAnsi="宋体"/>
                <w:snapToGrid w:val="0"/>
                <w:color w:val="auto"/>
                <w:kern w:val="0"/>
                <w:sz w:val="24"/>
                <w:szCs w:val="24"/>
                <w:highlight w:val="none"/>
              </w:rPr>
              <w:t>信誉要求</w:t>
            </w:r>
          </w:p>
        </w:tc>
      </w:tr>
      <w:tr w14:paraId="00426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jc w:val="center"/>
        </w:trPr>
        <w:tc>
          <w:tcPr>
            <w:tcW w:w="7541" w:type="dxa"/>
            <w:tcBorders>
              <w:top w:val="single" w:color="000000" w:sz="2" w:space="0"/>
              <w:left w:val="single" w:color="auto" w:sz="4" w:space="0"/>
              <w:right w:val="single" w:color="000000" w:sz="2" w:space="0"/>
            </w:tcBorders>
            <w:noWrap w:val="0"/>
            <w:vAlign w:val="center"/>
          </w:tcPr>
          <w:p w14:paraId="31E71AB0">
            <w:pPr>
              <w:pStyle w:val="15"/>
              <w:spacing w:line="240" w:lineRule="auto"/>
              <w:ind w:firstLineChars="200"/>
              <w:rPr>
                <w:rStyle w:val="17"/>
                <w:rFonts w:ascii="宋体" w:hAnsi="宋体"/>
                <w:snapToGrid w:val="0"/>
                <w:color w:val="auto"/>
                <w:sz w:val="24"/>
                <w:szCs w:val="24"/>
                <w:highlight w:val="none"/>
                <w:lang w:bidi="ar"/>
              </w:rPr>
            </w:pPr>
            <w:r>
              <w:rPr>
                <w:rFonts w:hint="eastAsia" w:ascii="宋体" w:hAnsi="宋体"/>
                <w:snapToGrid w:val="0"/>
                <w:color w:val="auto"/>
                <w:sz w:val="24"/>
                <w:szCs w:val="24"/>
                <w:highlight w:val="none"/>
                <w:lang w:bidi="ar"/>
              </w:rPr>
              <w:t>投标人在近1年内（202</w:t>
            </w:r>
            <w:r>
              <w:rPr>
                <w:rFonts w:hint="eastAsia" w:ascii="宋体" w:hAnsi="宋体"/>
                <w:snapToGrid w:val="0"/>
                <w:color w:val="auto"/>
                <w:sz w:val="24"/>
                <w:szCs w:val="24"/>
                <w:highlight w:val="none"/>
                <w:lang w:val="en-US" w:eastAsia="zh-CN" w:bidi="ar"/>
              </w:rPr>
              <w:t>5</w:t>
            </w:r>
            <w:r>
              <w:rPr>
                <w:rFonts w:hint="eastAsia" w:ascii="宋体" w:hAnsi="宋体"/>
                <w:snapToGrid w:val="0"/>
                <w:color w:val="auto"/>
                <w:sz w:val="24"/>
                <w:szCs w:val="24"/>
                <w:highlight w:val="none"/>
                <w:lang w:bidi="ar"/>
              </w:rPr>
              <w:t>年</w:t>
            </w:r>
            <w:r>
              <w:rPr>
                <w:rFonts w:hint="eastAsia" w:ascii="宋体" w:hAnsi="宋体"/>
                <w:snapToGrid w:val="0"/>
                <w:color w:val="auto"/>
                <w:sz w:val="24"/>
                <w:szCs w:val="24"/>
                <w:highlight w:val="none"/>
                <w:lang w:val="en-US" w:eastAsia="zh-CN" w:bidi="ar"/>
              </w:rPr>
              <w:t>5</w:t>
            </w:r>
            <w:r>
              <w:rPr>
                <w:rFonts w:hint="eastAsia" w:ascii="宋体" w:hAnsi="宋体"/>
                <w:snapToGrid w:val="0"/>
                <w:color w:val="auto"/>
                <w:sz w:val="24"/>
                <w:szCs w:val="24"/>
                <w:highlight w:val="none"/>
                <w:lang w:bidi="ar"/>
              </w:rPr>
              <w:t>月1日至今）不曾在</w:t>
            </w:r>
            <w:r>
              <w:rPr>
                <w:rFonts w:hint="eastAsia" w:ascii="宋体" w:hAnsi="宋体"/>
                <w:snapToGrid w:val="0"/>
                <w:color w:val="auto"/>
                <w:sz w:val="24"/>
                <w:szCs w:val="24"/>
                <w:highlight w:val="none"/>
                <w:lang w:val="en-US" w:eastAsia="zh-CN" w:bidi="ar"/>
              </w:rPr>
              <w:t>高速公路机电</w:t>
            </w:r>
            <w:r>
              <w:rPr>
                <w:rFonts w:hint="eastAsia" w:ascii="宋体" w:hAnsi="宋体"/>
                <w:snapToGrid w:val="0"/>
                <w:color w:val="auto"/>
                <w:sz w:val="24"/>
                <w:szCs w:val="24"/>
                <w:highlight w:val="none"/>
                <w:lang w:bidi="ar"/>
              </w:rPr>
              <w:t>设备供货合同中违约而被驱逐或因投标人自身的原因而使</w:t>
            </w:r>
            <w:r>
              <w:rPr>
                <w:rFonts w:hint="eastAsia" w:ascii="宋体" w:hAnsi="宋体"/>
                <w:snapToGrid w:val="0"/>
                <w:color w:val="auto"/>
                <w:sz w:val="24"/>
                <w:szCs w:val="24"/>
                <w:highlight w:val="none"/>
                <w:lang w:val="en-US" w:eastAsia="zh-CN" w:bidi="ar"/>
              </w:rPr>
              <w:t>高速公路机电</w:t>
            </w:r>
            <w:r>
              <w:rPr>
                <w:rFonts w:hint="eastAsia" w:ascii="宋体" w:hAnsi="宋体"/>
                <w:snapToGrid w:val="0"/>
                <w:color w:val="auto"/>
                <w:sz w:val="24"/>
                <w:szCs w:val="24"/>
                <w:highlight w:val="none"/>
                <w:lang w:bidi="ar"/>
              </w:rPr>
              <w:t>设备供货合同被解除。</w:t>
            </w:r>
          </w:p>
        </w:tc>
      </w:tr>
    </w:tbl>
    <w:p w14:paraId="6A03DBA2">
      <w:pPr>
        <w:jc w:val="center"/>
        <w:rPr>
          <w:rFonts w:hint="eastAsia" w:ascii="黑体" w:hAnsi="黑体" w:eastAsia="黑体" w:cs="黑体"/>
          <w:bCs/>
          <w:sz w:val="24"/>
        </w:rPr>
      </w:pPr>
    </w:p>
    <w:p w14:paraId="12833400">
      <w:pPr>
        <w:jc w:val="center"/>
        <w:rPr>
          <w:rFonts w:hint="eastAsia" w:ascii="黑体" w:hAnsi="黑体" w:eastAsia="黑体" w:cs="黑体"/>
          <w:bCs/>
          <w:sz w:val="24"/>
          <w:highlight w:val="yellow"/>
        </w:rPr>
      </w:pPr>
    </w:p>
    <w:p w14:paraId="14473B31">
      <w:pPr>
        <w:jc w:val="center"/>
        <w:rPr>
          <w:rFonts w:hint="eastAsia" w:ascii="黑体" w:hAnsi="黑体" w:eastAsia="黑体" w:cs="黑体"/>
          <w:bCs/>
          <w:sz w:val="24"/>
          <w:highlight w:val="none"/>
          <w:lang w:eastAsia="zh-CN"/>
        </w:rPr>
      </w:pPr>
      <w:r>
        <w:rPr>
          <w:rFonts w:hint="eastAsia" w:ascii="黑体" w:hAnsi="黑体" w:eastAsia="黑体" w:cs="黑体"/>
          <w:bCs/>
          <w:sz w:val="24"/>
          <w:highlight w:val="none"/>
        </w:rPr>
        <w:t>附录</w:t>
      </w:r>
      <w:r>
        <w:rPr>
          <w:rFonts w:hint="eastAsia" w:ascii="黑体" w:hAnsi="黑体" w:eastAsia="黑体" w:cs="黑体"/>
          <w:bCs/>
          <w:sz w:val="24"/>
          <w:highlight w:val="none"/>
          <w:lang w:val="en-US" w:eastAsia="zh-CN"/>
        </w:rPr>
        <w:t>4</w:t>
      </w:r>
      <w:r>
        <w:rPr>
          <w:rFonts w:hint="eastAsia" w:ascii="黑体" w:hAnsi="黑体" w:eastAsia="黑体" w:cs="黑体"/>
          <w:bCs/>
          <w:sz w:val="24"/>
          <w:highlight w:val="none"/>
        </w:rPr>
        <w:t>　资格审查条件（财务最低要求）</w:t>
      </w:r>
      <w:r>
        <w:rPr>
          <w:rFonts w:hint="eastAsia" w:ascii="黑体" w:hAnsi="黑体" w:eastAsia="黑体" w:cs="黑体"/>
          <w:bCs/>
          <w:sz w:val="24"/>
          <w:highlight w:val="none"/>
          <w:lang w:eastAsia="zh-CN"/>
        </w:rPr>
        <w:t>）</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F4C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000" w:type="pct"/>
            <w:noWrap w:val="0"/>
            <w:vAlign w:val="center"/>
          </w:tcPr>
          <w:p w14:paraId="6774AB59">
            <w:pPr>
              <w:jc w:val="center"/>
              <w:rPr>
                <w:rFonts w:ascii="宋体" w:hAnsi="宋体"/>
              </w:rPr>
            </w:pPr>
            <w:r>
              <w:rPr>
                <w:rFonts w:hint="eastAsia" w:ascii="宋体" w:hAnsi="宋体"/>
              </w:rPr>
              <w:t>财务要求</w:t>
            </w:r>
          </w:p>
        </w:tc>
      </w:tr>
      <w:tr w14:paraId="7B2D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noWrap w:val="0"/>
            <w:vAlign w:val="center"/>
          </w:tcPr>
          <w:p w14:paraId="1D4091B4">
            <w:pPr>
              <w:pStyle w:val="15"/>
              <w:spacing w:line="240" w:lineRule="auto"/>
              <w:ind w:firstLineChars="200"/>
              <w:rPr>
                <w:rFonts w:hint="eastAsia" w:ascii="宋体" w:hAnsi="宋体" w:eastAsia="宋体"/>
                <w:szCs w:val="21"/>
                <w:lang w:val="en-US" w:eastAsia="zh-CN"/>
              </w:rPr>
            </w:pPr>
            <w:r>
              <w:rPr>
                <w:rFonts w:hint="eastAsia" w:ascii="宋体" w:hAnsi="宋体"/>
                <w:snapToGrid w:val="0"/>
                <w:color w:val="auto"/>
                <w:sz w:val="24"/>
                <w:szCs w:val="24"/>
                <w:highlight w:val="none"/>
                <w:lang w:bidi="ar"/>
              </w:rPr>
              <w:t>为本</w:t>
            </w:r>
            <w:r>
              <w:rPr>
                <w:rFonts w:hint="eastAsia" w:ascii="宋体" w:hAnsi="宋体"/>
                <w:snapToGrid w:val="0"/>
                <w:color w:val="auto"/>
                <w:sz w:val="24"/>
                <w:szCs w:val="24"/>
                <w:highlight w:val="none"/>
                <w:lang w:val="en-US" w:eastAsia="zh-CN" w:bidi="ar"/>
              </w:rPr>
              <w:t>项目</w:t>
            </w:r>
            <w:r>
              <w:rPr>
                <w:rFonts w:hint="eastAsia" w:ascii="宋体" w:hAnsi="宋体"/>
                <w:snapToGrid w:val="0"/>
                <w:color w:val="auto"/>
                <w:sz w:val="24"/>
                <w:szCs w:val="24"/>
                <w:highlight w:val="none"/>
                <w:lang w:bidi="ar"/>
              </w:rPr>
              <w:t>所提供的营运资金(以经会计事务所</w:t>
            </w:r>
            <w:r>
              <w:rPr>
                <w:rFonts w:hint="eastAsia" w:ascii="宋体" w:hAnsi="宋体"/>
                <w:snapToGrid w:val="0"/>
                <w:color w:val="auto"/>
                <w:sz w:val="24"/>
                <w:szCs w:val="24"/>
                <w:highlight w:val="none"/>
                <w:lang w:val="en-US" w:eastAsia="zh-CN" w:bidi="ar"/>
              </w:rPr>
              <w:t>出具的2025年度</w:t>
            </w:r>
            <w:r>
              <w:rPr>
                <w:rFonts w:hint="eastAsia" w:ascii="宋体" w:hAnsi="宋体"/>
                <w:snapToGrid w:val="0"/>
                <w:color w:val="auto"/>
                <w:sz w:val="24"/>
                <w:szCs w:val="24"/>
                <w:highlight w:val="none"/>
                <w:lang w:bidi="ar"/>
              </w:rPr>
              <w:t>财务报表中：营运资金＝流动资产－流动负债，以年末数计算)以及为本项目而专门开具的银行信贷证明总和不得低于一标段</w:t>
            </w:r>
            <w:r>
              <w:rPr>
                <w:rFonts w:hint="eastAsia" w:ascii="宋体" w:hAnsi="宋体"/>
                <w:snapToGrid w:val="0"/>
                <w:color w:val="auto"/>
                <w:sz w:val="24"/>
                <w:szCs w:val="24"/>
                <w:highlight w:val="none"/>
                <w:lang w:val="en-US" w:eastAsia="zh-CN" w:bidi="ar"/>
              </w:rPr>
              <w:t xml:space="preserve"> 240 </w:t>
            </w:r>
            <w:r>
              <w:rPr>
                <w:rFonts w:hint="eastAsia" w:ascii="宋体" w:hAnsi="宋体"/>
                <w:snapToGrid w:val="0"/>
                <w:color w:val="auto"/>
                <w:sz w:val="24"/>
                <w:szCs w:val="24"/>
                <w:highlight w:val="none"/>
                <w:lang w:bidi="ar"/>
              </w:rPr>
              <w:t>万元、二标段</w:t>
            </w:r>
            <w:r>
              <w:rPr>
                <w:rFonts w:hint="eastAsia" w:ascii="宋体" w:hAnsi="宋体"/>
                <w:snapToGrid w:val="0"/>
                <w:color w:val="auto"/>
                <w:sz w:val="24"/>
                <w:szCs w:val="24"/>
                <w:highlight w:val="none"/>
                <w:lang w:val="en-US" w:eastAsia="zh-CN" w:bidi="ar"/>
              </w:rPr>
              <w:t xml:space="preserve"> 60 </w:t>
            </w:r>
            <w:r>
              <w:rPr>
                <w:rFonts w:hint="eastAsia" w:ascii="宋体" w:hAnsi="宋体"/>
                <w:snapToGrid w:val="0"/>
                <w:color w:val="auto"/>
                <w:sz w:val="24"/>
                <w:szCs w:val="24"/>
                <w:highlight w:val="none"/>
                <w:lang w:bidi="ar"/>
              </w:rPr>
              <w:t>万元、三标段</w:t>
            </w:r>
            <w:r>
              <w:rPr>
                <w:rFonts w:hint="eastAsia" w:ascii="宋体" w:hAnsi="宋体"/>
                <w:snapToGrid w:val="0"/>
                <w:color w:val="auto"/>
                <w:sz w:val="24"/>
                <w:szCs w:val="24"/>
                <w:highlight w:val="none"/>
                <w:lang w:val="en-US" w:eastAsia="zh-CN" w:bidi="ar"/>
              </w:rPr>
              <w:t xml:space="preserve"> 2300 </w:t>
            </w:r>
            <w:r>
              <w:rPr>
                <w:rFonts w:hint="eastAsia" w:ascii="宋体" w:hAnsi="宋体"/>
                <w:snapToGrid w:val="0"/>
                <w:color w:val="auto"/>
                <w:sz w:val="24"/>
                <w:szCs w:val="24"/>
                <w:highlight w:val="none"/>
                <w:lang w:bidi="ar"/>
              </w:rPr>
              <w:t>万元、四标段</w:t>
            </w:r>
            <w:r>
              <w:rPr>
                <w:rFonts w:hint="eastAsia" w:ascii="宋体" w:hAnsi="宋体"/>
                <w:snapToGrid w:val="0"/>
                <w:color w:val="auto"/>
                <w:sz w:val="24"/>
                <w:szCs w:val="24"/>
                <w:highlight w:val="none"/>
                <w:lang w:val="en-US" w:eastAsia="zh-CN" w:bidi="ar"/>
              </w:rPr>
              <w:t xml:space="preserve"> 740 </w:t>
            </w:r>
            <w:r>
              <w:rPr>
                <w:rFonts w:hint="eastAsia" w:ascii="宋体" w:hAnsi="宋体"/>
                <w:snapToGrid w:val="0"/>
                <w:color w:val="auto"/>
                <w:sz w:val="24"/>
                <w:szCs w:val="24"/>
                <w:highlight w:val="none"/>
                <w:lang w:bidi="ar"/>
              </w:rPr>
              <w:t>万元</w:t>
            </w:r>
            <w:r>
              <w:rPr>
                <w:rFonts w:hint="eastAsia" w:ascii="宋体" w:hAnsi="宋体"/>
                <w:snapToGrid w:val="0"/>
                <w:color w:val="auto"/>
                <w:sz w:val="24"/>
                <w:szCs w:val="24"/>
                <w:highlight w:val="none"/>
                <w:lang w:eastAsia="zh-CN" w:bidi="ar"/>
              </w:rPr>
              <w:t>、五标段</w:t>
            </w:r>
            <w:r>
              <w:rPr>
                <w:rFonts w:hint="eastAsia" w:ascii="宋体" w:hAnsi="宋体"/>
                <w:snapToGrid w:val="0"/>
                <w:color w:val="auto"/>
                <w:sz w:val="24"/>
                <w:szCs w:val="24"/>
                <w:highlight w:val="none"/>
                <w:lang w:val="en-US" w:eastAsia="zh-CN" w:bidi="ar"/>
              </w:rPr>
              <w:t>250</w:t>
            </w:r>
            <w:r>
              <w:rPr>
                <w:rFonts w:hint="eastAsia" w:ascii="宋体" w:hAnsi="宋体"/>
                <w:snapToGrid w:val="0"/>
                <w:color w:val="auto"/>
                <w:sz w:val="24"/>
                <w:szCs w:val="24"/>
                <w:highlight w:val="none"/>
                <w:lang w:bidi="ar"/>
              </w:rPr>
              <w:t>万元</w:t>
            </w:r>
            <w:r>
              <w:rPr>
                <w:rFonts w:hint="eastAsia" w:ascii="宋体" w:hAnsi="宋体"/>
                <w:snapToGrid w:val="0"/>
                <w:color w:val="auto"/>
                <w:sz w:val="24"/>
                <w:szCs w:val="24"/>
                <w:highlight w:val="none"/>
                <w:lang w:eastAsia="zh-CN" w:bidi="ar"/>
              </w:rPr>
              <w:t>、</w:t>
            </w:r>
            <w:r>
              <w:rPr>
                <w:rFonts w:hint="eastAsia" w:ascii="宋体" w:hAnsi="宋体"/>
                <w:snapToGrid w:val="0"/>
                <w:color w:val="auto"/>
                <w:sz w:val="24"/>
                <w:szCs w:val="24"/>
                <w:highlight w:val="none"/>
                <w:lang w:val="en-US" w:eastAsia="zh-CN" w:bidi="ar"/>
              </w:rPr>
              <w:t>六标段630万元、七标段 500 万元。</w:t>
            </w:r>
          </w:p>
        </w:tc>
      </w:tr>
    </w:tbl>
    <w:p w14:paraId="2F215673">
      <w:pPr>
        <w:widowControl/>
        <w:jc w:val="left"/>
        <w:rPr>
          <w:rFonts w:ascii="宋体" w:hAnsi="宋体"/>
          <w:b/>
          <w:sz w:val="24"/>
        </w:rPr>
      </w:pPr>
    </w:p>
    <w:p w14:paraId="04B13BA1">
      <w:pPr>
        <w:pStyle w:val="7"/>
        <w:rPr>
          <w:rFonts w:hint="eastAsia"/>
        </w:rPr>
      </w:pPr>
    </w:p>
    <w:p w14:paraId="0D5E5E6D">
      <w:pPr>
        <w:pStyle w:val="4"/>
        <w:spacing w:before="120" w:line="360" w:lineRule="auto"/>
        <w:rPr>
          <w:rFonts w:hint="eastAsia" w:ascii="宋体" w:hAnsi="宋体" w:eastAsia="宋体"/>
          <w:snapToGrid w:val="0"/>
          <w:color w:val="auto"/>
          <w:kern w:val="0"/>
          <w:sz w:val="28"/>
          <w:szCs w:val="28"/>
          <w:highlight w:val="none"/>
          <w:lang w:eastAsia="zh-CN"/>
        </w:rPr>
      </w:pPr>
      <w:r>
        <w:rPr>
          <w:rFonts w:ascii="宋体" w:hAnsi="宋体"/>
          <w:color w:val="auto"/>
          <w:w w:val="99"/>
          <w:sz w:val="28"/>
          <w:szCs w:val="28"/>
          <w:highlight w:val="none"/>
        </w:rPr>
        <w:br w:type="page"/>
      </w:r>
      <w:bookmarkStart w:id="0" w:name="_Toc136511007"/>
      <w:bookmarkStart w:id="1" w:name="_Toc147943860"/>
      <w:bookmarkStart w:id="2" w:name="_Toc10475"/>
      <w:bookmarkStart w:id="3" w:name="_Toc16918"/>
      <w:r>
        <w:rPr>
          <w:rFonts w:ascii="宋体" w:hAnsi="宋体"/>
          <w:snapToGrid w:val="0"/>
          <w:color w:val="auto"/>
          <w:kern w:val="0"/>
          <w:sz w:val="28"/>
          <w:szCs w:val="28"/>
          <w:highlight w:val="none"/>
        </w:rPr>
        <w:t>附件2：</w:t>
      </w:r>
      <w:bookmarkEnd w:id="0"/>
      <w:bookmarkEnd w:id="1"/>
      <w:r>
        <w:rPr>
          <w:rFonts w:hint="eastAsia" w:ascii="宋体" w:hAnsi="宋体"/>
          <w:snapToGrid w:val="0"/>
          <w:color w:val="auto"/>
          <w:kern w:val="0"/>
          <w:sz w:val="28"/>
          <w:szCs w:val="28"/>
          <w:highlight w:val="none"/>
        </w:rPr>
        <w:t>评标办法</w:t>
      </w:r>
      <w:bookmarkEnd w:id="2"/>
      <w:bookmarkEnd w:id="3"/>
    </w:p>
    <w:p w14:paraId="6EFE227B">
      <w:pPr>
        <w:adjustRightInd w:val="0"/>
        <w:snapToGrid w:val="0"/>
        <w:spacing w:line="360" w:lineRule="auto"/>
        <w:jc w:val="center"/>
        <w:textAlignment w:val="baseline"/>
        <w:rPr>
          <w:rFonts w:ascii="宋体" w:hAnsi="宋体"/>
          <w:b/>
          <w:bCs/>
          <w:snapToGrid w:val="0"/>
          <w:color w:val="auto"/>
          <w:kern w:val="0"/>
          <w:sz w:val="24"/>
          <w:highlight w:val="none"/>
        </w:rPr>
      </w:pPr>
      <w:bookmarkStart w:id="4" w:name="_Toc134792409"/>
      <w:bookmarkStart w:id="5" w:name="_Toc134890444"/>
      <w:bookmarkStart w:id="6" w:name="_Toc134792341"/>
      <w:bookmarkStart w:id="7" w:name="_Toc531949857"/>
      <w:bookmarkStart w:id="8" w:name="_Toc134890522"/>
      <w:bookmarkStart w:id="9" w:name="_Toc450319202"/>
      <w:bookmarkStart w:id="10" w:name="_Toc509660966"/>
      <w:bookmarkStart w:id="11" w:name="_Toc459307890"/>
      <w:bookmarkStart w:id="12" w:name="_Toc509659998"/>
      <w:bookmarkStart w:id="13" w:name="_Toc502992691"/>
      <w:bookmarkStart w:id="14" w:name="_Toc134792892"/>
      <w:bookmarkStart w:id="15" w:name="_Toc444088432"/>
      <w:bookmarkStart w:id="16" w:name="_Toc445382083"/>
      <w:bookmarkStart w:id="17" w:name="_Toc444271617"/>
      <w:bookmarkStart w:id="18" w:name="_Toc445222503"/>
      <w:r>
        <w:rPr>
          <w:rFonts w:ascii="宋体" w:hAnsi="宋体"/>
          <w:b/>
          <w:bCs/>
          <w:snapToGrid w:val="0"/>
          <w:color w:val="auto"/>
          <w:kern w:val="0"/>
          <w:sz w:val="24"/>
          <w:highlight w:val="none"/>
        </w:rPr>
        <w:t>评标办法（技术评分最低标价法）</w:t>
      </w:r>
      <w:bookmarkEnd w:id="4"/>
      <w:bookmarkEnd w:id="5"/>
      <w:bookmarkEnd w:id="6"/>
      <w:bookmarkEnd w:id="7"/>
      <w:bookmarkEnd w:id="8"/>
      <w:bookmarkEnd w:id="9"/>
      <w:bookmarkEnd w:id="10"/>
      <w:bookmarkEnd w:id="11"/>
      <w:bookmarkEnd w:id="12"/>
      <w:bookmarkEnd w:id="13"/>
      <w:bookmarkEnd w:id="14"/>
    </w:p>
    <w:bookmarkEnd w:id="15"/>
    <w:bookmarkEnd w:id="16"/>
    <w:bookmarkEnd w:id="17"/>
    <w:bookmarkEnd w:id="18"/>
    <w:p w14:paraId="65C47028">
      <w:pPr>
        <w:adjustRightInd w:val="0"/>
        <w:snapToGrid w:val="0"/>
        <w:spacing w:line="360" w:lineRule="auto"/>
        <w:jc w:val="center"/>
        <w:textAlignment w:val="baseline"/>
        <w:rPr>
          <w:rFonts w:ascii="宋体" w:hAnsi="宋体"/>
          <w:b/>
          <w:bCs/>
          <w:snapToGrid w:val="0"/>
          <w:color w:val="auto"/>
          <w:kern w:val="0"/>
          <w:sz w:val="24"/>
          <w:highlight w:val="none"/>
        </w:rPr>
      </w:pPr>
      <w:r>
        <w:rPr>
          <w:rFonts w:hint="eastAsia" w:ascii="宋体" w:hAnsi="宋体"/>
          <w:b/>
          <w:bCs/>
          <w:snapToGrid w:val="0"/>
          <w:color w:val="auto"/>
          <w:kern w:val="0"/>
          <w:sz w:val="24"/>
          <w:highlight w:val="none"/>
        </w:rPr>
        <w:t>评标办法</w:t>
      </w:r>
      <w:r>
        <w:rPr>
          <w:rFonts w:ascii="宋体" w:hAnsi="宋体"/>
          <w:b/>
          <w:bCs/>
          <w:snapToGrid w:val="0"/>
          <w:color w:val="auto"/>
          <w:kern w:val="0"/>
          <w:sz w:val="24"/>
          <w:highlight w:val="none"/>
        </w:rPr>
        <w:t>前附表</w:t>
      </w:r>
    </w:p>
    <w:tbl>
      <w:tblPr>
        <w:tblStyle w:val="12"/>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19D7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14:paraId="0C63BD4F">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197" w:type="dxa"/>
            <w:noWrap w:val="0"/>
            <w:vAlign w:val="center"/>
          </w:tcPr>
          <w:p w14:paraId="61F2D9D2">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评审因素与标准</w:t>
            </w:r>
          </w:p>
        </w:tc>
      </w:tr>
      <w:tr w14:paraId="6E62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noWrap w:val="0"/>
            <w:vAlign w:val="center"/>
          </w:tcPr>
          <w:p w14:paraId="4A66E8DE">
            <w:pPr>
              <w:snapToGrid w:val="0"/>
              <w:spacing w:line="24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w:t>
            </w:r>
          </w:p>
        </w:tc>
        <w:tc>
          <w:tcPr>
            <w:tcW w:w="1317" w:type="dxa"/>
            <w:noWrap w:val="0"/>
            <w:vAlign w:val="center"/>
          </w:tcPr>
          <w:p w14:paraId="2E75C0C1">
            <w:pPr>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评标办法</w:t>
            </w:r>
          </w:p>
        </w:tc>
        <w:tc>
          <w:tcPr>
            <w:tcW w:w="7197" w:type="dxa"/>
            <w:noWrap w:val="0"/>
            <w:vAlign w:val="center"/>
          </w:tcPr>
          <w:p w14:paraId="31563677">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本次评标采用技术评分最低标价法，双信封形式。</w:t>
            </w:r>
          </w:p>
          <w:p w14:paraId="171D386A">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评标委员会对满足招标文件实质性要求的投标文件第一个信封，按照本章第2.2款规定的评分标准进行打分，并按</w:t>
            </w:r>
            <w:r>
              <w:rPr>
                <w:rFonts w:hint="eastAsia" w:ascii="宋体" w:hAnsi="宋体" w:cs="宋体"/>
                <w:color w:val="auto"/>
                <w:sz w:val="24"/>
                <w:szCs w:val="24"/>
                <w:highlight w:val="none"/>
                <w:lang w:val="en-US" w:eastAsia="zh-CN"/>
              </w:rPr>
              <w:t>综合</w:t>
            </w:r>
            <w:r>
              <w:rPr>
                <w:rFonts w:hint="eastAsia" w:ascii="宋体" w:hAnsi="宋体" w:eastAsia="宋体" w:cs="宋体"/>
                <w:color w:val="auto"/>
                <w:sz w:val="24"/>
                <w:szCs w:val="24"/>
                <w:highlight w:val="none"/>
              </w:rPr>
              <w:t>得分由高到低顺序确定</w:t>
            </w:r>
            <w:r>
              <w:rPr>
                <w:rFonts w:hint="eastAsia" w:ascii="宋体" w:hAnsi="宋体" w:eastAsia="宋体" w:cs="宋体"/>
                <w:color w:val="auto"/>
                <w:sz w:val="24"/>
                <w:szCs w:val="24"/>
                <w:highlight w:val="none"/>
                <w:lang w:eastAsia="zh-CN"/>
              </w:rPr>
              <w:t>前</w:t>
            </w:r>
            <w:r>
              <w:rPr>
                <w:rFonts w:hint="eastAsia" w:ascii="宋体" w:hAnsi="宋体" w:eastAsia="宋体" w:cs="宋体"/>
                <w:color w:val="auto"/>
                <w:sz w:val="24"/>
                <w:szCs w:val="24"/>
                <w:highlight w:val="none"/>
              </w:rPr>
              <w:t>3名投标人进入第二个信封评审。若</w:t>
            </w:r>
            <w:r>
              <w:rPr>
                <w:rFonts w:hint="eastAsia" w:ascii="宋体" w:hAnsi="宋体" w:cs="宋体"/>
                <w:color w:val="auto"/>
                <w:sz w:val="24"/>
                <w:szCs w:val="24"/>
                <w:highlight w:val="none"/>
                <w:lang w:val="en-US" w:eastAsia="zh-CN"/>
              </w:rPr>
              <w:t>综合</w:t>
            </w:r>
            <w:r>
              <w:rPr>
                <w:rFonts w:hint="eastAsia" w:ascii="宋体" w:hAnsi="宋体" w:eastAsia="宋体" w:cs="宋体"/>
                <w:color w:val="auto"/>
                <w:sz w:val="24"/>
                <w:szCs w:val="24"/>
                <w:highlight w:val="none"/>
              </w:rPr>
              <w:t>得分相同，以技术</w:t>
            </w:r>
            <w:r>
              <w:rPr>
                <w:rFonts w:hint="eastAsia" w:ascii="宋体" w:hAnsi="宋体" w:eastAsia="宋体" w:cs="宋体"/>
                <w:color w:val="auto"/>
                <w:sz w:val="24"/>
                <w:szCs w:val="24"/>
                <w:highlight w:val="none"/>
                <w:lang w:val="en-US" w:eastAsia="zh-CN"/>
              </w:rPr>
              <w:t>暗标</w:t>
            </w:r>
            <w:r>
              <w:rPr>
                <w:rFonts w:hint="eastAsia" w:ascii="宋体" w:hAnsi="宋体" w:eastAsia="宋体" w:cs="宋体"/>
                <w:color w:val="auto"/>
                <w:sz w:val="24"/>
                <w:szCs w:val="24"/>
                <w:highlight w:val="none"/>
              </w:rPr>
              <w:t>得分高的投标人优先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技术暗标得分也相同的，以</w:t>
            </w:r>
            <w:r>
              <w:rPr>
                <w:rFonts w:hint="eastAsia" w:ascii="宋体" w:hAnsi="宋体" w:eastAsia="宋体" w:cs="宋体"/>
                <w:color w:val="auto"/>
                <w:sz w:val="24"/>
                <w:szCs w:val="24"/>
                <w:highlight w:val="none"/>
              </w:rPr>
              <w:t>满足资格审查</w:t>
            </w:r>
            <w:r>
              <w:rPr>
                <w:rFonts w:hint="eastAsia" w:ascii="宋体" w:hAnsi="宋体" w:eastAsia="宋体" w:cs="宋体"/>
                <w:color w:val="auto"/>
                <w:sz w:val="24"/>
                <w:szCs w:val="24"/>
                <w:highlight w:val="none"/>
                <w:lang w:eastAsia="zh-CN"/>
              </w:rPr>
              <w:t>条件（</w:t>
            </w:r>
            <w:r>
              <w:rPr>
                <w:rFonts w:hint="eastAsia" w:ascii="宋体" w:hAnsi="宋体" w:eastAsia="宋体" w:cs="宋体"/>
                <w:color w:val="auto"/>
                <w:sz w:val="24"/>
                <w:szCs w:val="24"/>
                <w:highlight w:val="none"/>
              </w:rPr>
              <w:t>业绩最低要求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累计</w:t>
            </w:r>
            <w:r>
              <w:rPr>
                <w:rFonts w:hint="eastAsia" w:ascii="宋体" w:hAnsi="宋体" w:eastAsia="宋体" w:cs="宋体"/>
                <w:color w:val="auto"/>
                <w:sz w:val="24"/>
                <w:szCs w:val="24"/>
                <w:highlight w:val="none"/>
                <w:lang w:val="en-US" w:eastAsia="zh-CN"/>
              </w:rPr>
              <w:t>合同金额高的</w:t>
            </w:r>
            <w:r>
              <w:rPr>
                <w:rFonts w:hint="eastAsia" w:ascii="宋体" w:hAnsi="宋体" w:eastAsia="宋体" w:cs="宋体"/>
                <w:color w:val="auto"/>
                <w:sz w:val="24"/>
                <w:szCs w:val="24"/>
                <w:highlight w:val="none"/>
              </w:rPr>
              <w:t>投标人优先。未通过第一信封评审</w:t>
            </w:r>
            <w:r>
              <w:rPr>
                <w:rFonts w:hint="eastAsia" w:ascii="宋体" w:hAnsi="宋体" w:eastAsia="宋体" w:cs="宋体"/>
                <w:color w:val="auto"/>
                <w:sz w:val="24"/>
                <w:szCs w:val="24"/>
                <w:highlight w:val="none"/>
                <w:lang w:val="en-US" w:eastAsia="zh-CN"/>
              </w:rPr>
              <w:t>或</w:t>
            </w:r>
            <w:r>
              <w:rPr>
                <w:rFonts w:hint="eastAsia" w:ascii="宋体" w:hAnsi="宋体" w:cs="宋体"/>
                <w:color w:val="auto"/>
                <w:sz w:val="24"/>
                <w:szCs w:val="24"/>
                <w:highlight w:val="none"/>
                <w:lang w:val="en-US" w:eastAsia="zh-CN"/>
              </w:rPr>
              <w:t>综合得分</w:t>
            </w:r>
            <w:r>
              <w:rPr>
                <w:rFonts w:hint="eastAsia" w:ascii="宋体" w:hAnsi="宋体" w:eastAsia="宋体" w:cs="宋体"/>
                <w:color w:val="auto"/>
                <w:sz w:val="24"/>
                <w:szCs w:val="24"/>
                <w:highlight w:val="none"/>
              </w:rPr>
              <w:t>未进入前3名的投标人，其第二信封不予开封。</w:t>
            </w:r>
          </w:p>
          <w:p w14:paraId="00B60BB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评标委员会按评标价由低到高的顺序，向招标人推荐1-3名中标候选人。</w:t>
            </w:r>
          </w:p>
          <w:p w14:paraId="2E95DF54">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评标价相等时，评标委员会依次按照以下优先顺序推荐中标候选人：</w:t>
            </w:r>
          </w:p>
          <w:p w14:paraId="39260CB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（1）第一个信封技术得分较高的优先；</w:t>
            </w:r>
          </w:p>
          <w:p w14:paraId="3AF304AC">
            <w:pPr>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（2）满足资格审查</w:t>
            </w:r>
            <w:r>
              <w:rPr>
                <w:rFonts w:hint="eastAsia" w:ascii="宋体" w:hAnsi="宋体" w:eastAsia="宋体" w:cs="宋体"/>
                <w:color w:val="auto"/>
                <w:sz w:val="24"/>
                <w:szCs w:val="24"/>
                <w:highlight w:val="none"/>
                <w:lang w:eastAsia="zh-CN"/>
              </w:rPr>
              <w:t>条件（</w:t>
            </w:r>
            <w:r>
              <w:rPr>
                <w:rFonts w:hint="eastAsia" w:ascii="宋体" w:hAnsi="宋体" w:eastAsia="宋体" w:cs="宋体"/>
                <w:color w:val="auto"/>
                <w:sz w:val="24"/>
                <w:szCs w:val="24"/>
                <w:highlight w:val="none"/>
              </w:rPr>
              <w:t>业绩最低要求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累计</w:t>
            </w:r>
            <w:r>
              <w:rPr>
                <w:rFonts w:hint="eastAsia" w:ascii="宋体" w:hAnsi="宋体" w:eastAsia="宋体" w:cs="宋体"/>
                <w:color w:val="auto"/>
                <w:sz w:val="24"/>
                <w:szCs w:val="24"/>
                <w:highlight w:val="none"/>
                <w:lang w:val="en-US" w:eastAsia="zh-CN"/>
              </w:rPr>
              <w:t>合同金额高</w:t>
            </w:r>
            <w:r>
              <w:rPr>
                <w:rFonts w:hint="eastAsia" w:ascii="宋体" w:hAnsi="宋体" w:eastAsia="宋体" w:cs="宋体"/>
                <w:color w:val="auto"/>
                <w:sz w:val="24"/>
                <w:szCs w:val="24"/>
                <w:highlight w:val="none"/>
              </w:rPr>
              <w:t>的投标人优先；</w:t>
            </w:r>
          </w:p>
        </w:tc>
      </w:tr>
      <w:tr w14:paraId="0F98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14:paraId="0129EE1D">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p w14:paraId="6736A365">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317" w:type="dxa"/>
            <w:noWrap w:val="0"/>
            <w:vAlign w:val="center"/>
          </w:tcPr>
          <w:p w14:paraId="3321A62A">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形式评审与响应性评审标准</w:t>
            </w:r>
          </w:p>
        </w:tc>
        <w:tc>
          <w:tcPr>
            <w:tcW w:w="7197" w:type="dxa"/>
            <w:noWrap w:val="0"/>
            <w:vAlign w:val="center"/>
          </w:tcPr>
          <w:p w14:paraId="06847FDC">
            <w:pPr>
              <w:snapToGrid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第一个信封（商务文件）评审标准：</w:t>
            </w:r>
          </w:p>
          <w:p w14:paraId="5CCE8DC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14:paraId="356ACE5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a.投标函按照招标文件规定填报了招标人名称、项目名称</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标段号、</w:t>
            </w:r>
            <w:r>
              <w:rPr>
                <w:rFonts w:hint="eastAsia" w:ascii="宋体" w:hAnsi="宋体" w:eastAsia="宋体" w:cs="宋体"/>
                <w:color w:val="auto"/>
                <w:sz w:val="24"/>
                <w:szCs w:val="24"/>
                <w:highlight w:val="none"/>
              </w:rPr>
              <w:t>补遗书编号（如有）、交货地点、交货期</w:t>
            </w:r>
            <w:r>
              <w:rPr>
                <w:rFonts w:hint="eastAsia" w:ascii="宋体" w:hAnsi="宋体" w:cs="宋体"/>
                <w:color w:val="auto"/>
                <w:sz w:val="24"/>
                <w:szCs w:val="24"/>
                <w:highlight w:val="none"/>
                <w:lang w:val="en-US" w:eastAsia="zh-CN"/>
              </w:rPr>
              <w:t>和质量标准</w:t>
            </w:r>
            <w:r>
              <w:rPr>
                <w:rFonts w:hint="eastAsia" w:ascii="宋体" w:hAnsi="宋体" w:eastAsia="宋体" w:cs="宋体"/>
                <w:color w:val="auto"/>
                <w:sz w:val="24"/>
                <w:szCs w:val="24"/>
                <w:highlight w:val="none"/>
              </w:rPr>
              <w:t>；</w:t>
            </w:r>
          </w:p>
          <w:p w14:paraId="39AEEC9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b.投标文件组成齐全完整，内容均按规定填写；</w:t>
            </w:r>
          </w:p>
          <w:p w14:paraId="2C62133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（2）投标文件上法定代表人或其委托代理人的签字、投标人的单位章盖章齐全，符合招标文件规定：</w:t>
            </w:r>
          </w:p>
          <w:p w14:paraId="4525D23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（3）投标人按照招标文件的规定提供了投标保证金，满足投标人须知3.4.1规定。</w:t>
            </w:r>
          </w:p>
          <w:p w14:paraId="3F75936D">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（4）投标人法定代表人授权委托代理人签署投标文件的，须提交授权委托书，授权委托书的签字盖章符合招标文件规定。</w:t>
            </w:r>
          </w:p>
          <w:p w14:paraId="67E1651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（5）投标人法定代表人亲自签署投标文件的，提供了法定代表人身份证明,法定代表人身份证明的签字盖章符合招标文件规定。</w:t>
            </w:r>
          </w:p>
          <w:p w14:paraId="1EE7DAEE">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（6）投标人未以联合体形式投标。</w:t>
            </w:r>
          </w:p>
          <w:p w14:paraId="432BFD58">
            <w:pPr>
              <w:snapToGrid w:val="0"/>
              <w:spacing w:line="240" w:lineRule="auto"/>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（7）投标人未对本项目进行分包。</w:t>
            </w:r>
          </w:p>
          <w:p w14:paraId="1D0501B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（8）同一投标人未</w:t>
            </w:r>
            <w:r>
              <w:rPr>
                <w:rFonts w:hint="eastAsia" w:ascii="宋体" w:hAnsi="宋体" w:cs="宋体"/>
                <w:color w:val="auto"/>
                <w:sz w:val="24"/>
                <w:szCs w:val="24"/>
                <w:highlight w:val="none"/>
                <w:lang w:val="en-US" w:eastAsia="zh-CN"/>
              </w:rPr>
              <w:t>对同一标段</w:t>
            </w:r>
            <w:r>
              <w:rPr>
                <w:rFonts w:hint="eastAsia" w:ascii="宋体" w:hAnsi="宋体" w:eastAsia="宋体" w:cs="宋体"/>
                <w:color w:val="auto"/>
                <w:sz w:val="24"/>
                <w:szCs w:val="24"/>
                <w:highlight w:val="none"/>
              </w:rPr>
              <w:t>提交两个以上不同的投标文件。</w:t>
            </w:r>
          </w:p>
          <w:p w14:paraId="6AF6FD7D">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（9）投标文件中未出现有关投标报价的内容。</w:t>
            </w:r>
          </w:p>
          <w:p w14:paraId="154A37D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（10）投标文件载明的招标项目完成期限未超过招标文件规定的时限。</w:t>
            </w:r>
          </w:p>
          <w:p w14:paraId="5E31544C">
            <w:pPr>
              <w:snapToGrid w:val="0"/>
              <w:spacing w:line="24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（11）投标人递交的投标文件与所投标段一致。</w:t>
            </w:r>
          </w:p>
          <w:p w14:paraId="3F16ACC6">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）投标文件对招标文件的实质性要求和条件作出响应。</w:t>
            </w:r>
          </w:p>
          <w:p w14:paraId="66F4C219">
            <w:pPr>
              <w:snapToGrid w:val="0"/>
              <w:spacing w:line="240" w:lineRule="auto"/>
              <w:rPr>
                <w:rFonts w:hint="eastAsia" w:ascii="宋体" w:hAnsi="宋体" w:eastAsia="宋体" w:cs="宋体"/>
                <w:strike w:val="0"/>
                <w:dstrike w:val="0"/>
                <w:color w:val="auto"/>
                <w:sz w:val="24"/>
                <w:szCs w:val="24"/>
                <w:highlight w:val="none"/>
                <w:lang w:eastAsia="zh-CN"/>
              </w:rPr>
            </w:pPr>
            <w:r>
              <w:rPr>
                <w:rFonts w:hint="eastAsia" w:ascii="宋体" w:hAnsi="宋体" w:eastAsia="宋体" w:cs="宋体"/>
                <w:strike w:val="0"/>
                <w:dstrike w:val="0"/>
                <w:color w:val="auto"/>
                <w:sz w:val="24"/>
                <w:szCs w:val="24"/>
                <w:highlight w:val="none"/>
              </w:rPr>
              <w:t>（1</w:t>
            </w:r>
            <w:r>
              <w:rPr>
                <w:rFonts w:hint="eastAsia" w:ascii="宋体" w:hAnsi="宋体" w:cs="宋体"/>
                <w:strike w:val="0"/>
                <w:dstrike w:val="0"/>
                <w:color w:val="auto"/>
                <w:sz w:val="24"/>
                <w:szCs w:val="24"/>
                <w:highlight w:val="none"/>
                <w:lang w:val="en-US" w:eastAsia="zh-CN"/>
              </w:rPr>
              <w:t>3</w:t>
            </w:r>
            <w:r>
              <w:rPr>
                <w:rFonts w:hint="eastAsia" w:ascii="宋体" w:hAnsi="宋体" w:eastAsia="宋体" w:cs="宋体"/>
                <w:strike w:val="0"/>
                <w:dstrike w:val="0"/>
                <w:color w:val="auto"/>
                <w:sz w:val="24"/>
                <w:szCs w:val="24"/>
                <w:highlight w:val="none"/>
              </w:rPr>
              <w:t>）投标文件中投标设备的主要技术指标满足招标文件（</w:t>
            </w:r>
            <w:r>
              <w:rPr>
                <w:rFonts w:hint="eastAsia" w:ascii="宋体" w:hAnsi="宋体" w:cs="宋体"/>
                <w:strike w:val="0"/>
                <w:dstrike w:val="0"/>
                <w:color w:val="auto"/>
                <w:sz w:val="24"/>
                <w:szCs w:val="24"/>
                <w:highlight w:val="none"/>
                <w:lang w:val="en-US" w:eastAsia="zh-CN"/>
              </w:rPr>
              <w:t>供货要求中</w:t>
            </w:r>
            <w:r>
              <w:rPr>
                <w:rFonts w:hint="eastAsia" w:ascii="宋体" w:hAnsi="宋体" w:eastAsia="宋体" w:cs="宋体"/>
                <w:strike w:val="0"/>
                <w:dstrike w:val="0"/>
                <w:color w:val="auto"/>
                <w:sz w:val="24"/>
                <w:szCs w:val="24"/>
                <w:highlight w:val="none"/>
              </w:rPr>
              <w:t>带</w:t>
            </w:r>
            <w:r>
              <w:rPr>
                <w:rFonts w:hint="eastAsia" w:cs="宋体"/>
                <w:strike w:val="0"/>
                <w:dstrike w:val="0"/>
                <w:color w:val="auto"/>
                <w:sz w:val="24"/>
                <w:szCs w:val="24"/>
                <w:highlight w:val="none"/>
                <w:lang w:val="en-US" w:eastAsia="zh-CN"/>
              </w:rPr>
              <w:t>★</w:t>
            </w:r>
            <w:r>
              <w:rPr>
                <w:rFonts w:hint="eastAsia" w:ascii="宋体" w:hAnsi="宋体" w:eastAsia="宋体" w:cs="宋体"/>
                <w:strike w:val="0"/>
                <w:dstrike w:val="0"/>
                <w:color w:val="auto"/>
                <w:sz w:val="24"/>
                <w:szCs w:val="24"/>
                <w:highlight w:val="none"/>
              </w:rPr>
              <w:t>的条款）的要求</w:t>
            </w:r>
            <w:r>
              <w:rPr>
                <w:rFonts w:hint="eastAsia" w:ascii="宋体" w:hAnsi="宋体" w:cs="宋体"/>
                <w:strike w:val="0"/>
                <w:dstrike w:val="0"/>
                <w:color w:val="auto"/>
                <w:sz w:val="24"/>
                <w:szCs w:val="24"/>
                <w:highlight w:val="none"/>
                <w:lang w:eastAsia="zh-CN"/>
              </w:rPr>
              <w:t>，</w:t>
            </w:r>
            <w:r>
              <w:rPr>
                <w:rFonts w:hint="eastAsia" w:ascii="宋体" w:hAnsi="宋体" w:cs="宋体"/>
                <w:strike w:val="0"/>
                <w:dstrike w:val="0"/>
                <w:color w:val="auto"/>
                <w:sz w:val="24"/>
                <w:szCs w:val="24"/>
                <w:highlight w:val="none"/>
                <w:lang w:val="en-US" w:eastAsia="zh-CN"/>
              </w:rPr>
              <w:t>并按照招标文件1.11.3款规定列举相关材料</w:t>
            </w:r>
            <w:r>
              <w:rPr>
                <w:rFonts w:hint="eastAsia" w:ascii="宋体" w:hAnsi="宋体" w:eastAsia="宋体" w:cs="宋体"/>
                <w:strike w:val="0"/>
                <w:dstrike w:val="0"/>
                <w:color w:val="auto"/>
                <w:sz w:val="24"/>
                <w:szCs w:val="24"/>
                <w:highlight w:val="none"/>
              </w:rPr>
              <w:t>。</w:t>
            </w:r>
          </w:p>
          <w:p w14:paraId="4E1E1D5C">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（1</w:t>
            </w:r>
            <w:r>
              <w:rPr>
                <w:rFonts w:hint="eastAsia" w:ascii="宋体" w:hAnsi="宋体" w:cs="宋体"/>
                <w:strike w:val="0"/>
                <w:dstrike w:val="0"/>
                <w:color w:val="auto"/>
                <w:sz w:val="24"/>
                <w:szCs w:val="24"/>
                <w:highlight w:val="none"/>
                <w:lang w:val="en-US" w:eastAsia="zh-CN"/>
              </w:rPr>
              <w:t>4</w:t>
            </w:r>
            <w:r>
              <w:rPr>
                <w:rFonts w:hint="eastAsia" w:ascii="宋体" w:hAnsi="宋体" w:eastAsia="宋体" w:cs="宋体"/>
                <w:strike w:val="0"/>
                <w:dstrike w:val="0"/>
                <w:color w:val="auto"/>
                <w:sz w:val="24"/>
                <w:szCs w:val="24"/>
                <w:highlight w:val="none"/>
              </w:rPr>
              <w:t>）权利义务符合招标文件规定：</w:t>
            </w:r>
          </w:p>
          <w:p w14:paraId="69F48319">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a．投标人应接受招标文件规定的风险划分原则，未提出新的风险划分办法；</w:t>
            </w:r>
          </w:p>
          <w:p w14:paraId="1ACEAD40">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b．投标人未增加发包人的责任范围，或减少投标人义务；</w:t>
            </w:r>
          </w:p>
          <w:p w14:paraId="1D58A522">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c．投标人未提出不同的验收、计量、支付办法；</w:t>
            </w:r>
          </w:p>
          <w:p w14:paraId="2DEFB7CD">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d．投标人对合同纠纷、事故处理办法未提出异议；</w:t>
            </w:r>
          </w:p>
          <w:p w14:paraId="63A19FA3">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e．投标人在投标活动中无欺诈行为；</w:t>
            </w:r>
          </w:p>
          <w:p w14:paraId="16BF593C">
            <w:pPr>
              <w:snapToGrid w:val="0"/>
              <w:spacing w:line="320" w:lineRule="exact"/>
              <w:jc w:val="left"/>
              <w:textAlignment w:val="baseline"/>
              <w:rPr>
                <w:rFonts w:hint="eastAsia" w:ascii="宋体" w:hAnsi="宋体" w:cs="宋体"/>
                <w:strike w:val="0"/>
                <w:dstrike w:val="0"/>
                <w:color w:val="auto"/>
                <w:kern w:val="0"/>
                <w:szCs w:val="21"/>
                <w:highlight w:val="none"/>
              </w:rPr>
            </w:pPr>
            <w:r>
              <w:rPr>
                <w:rFonts w:hint="eastAsia" w:ascii="宋体" w:hAnsi="宋体" w:eastAsia="宋体" w:cs="宋体"/>
                <w:strike w:val="0"/>
                <w:dstrike w:val="0"/>
                <w:color w:val="auto"/>
                <w:sz w:val="24"/>
                <w:szCs w:val="24"/>
                <w:highlight w:val="none"/>
              </w:rPr>
              <w:t>f．投标人未对合同条款有重要保留</w:t>
            </w:r>
            <w:r>
              <w:rPr>
                <w:rFonts w:hint="eastAsia" w:ascii="宋体" w:hAnsi="宋体" w:cs="宋体"/>
                <w:strike w:val="0"/>
                <w:dstrike w:val="0"/>
                <w:color w:val="auto"/>
                <w:sz w:val="24"/>
                <w:szCs w:val="24"/>
                <w:highlight w:val="none"/>
                <w:lang w:eastAsia="zh-CN"/>
              </w:rPr>
              <w:t>。</w:t>
            </w:r>
            <w:r>
              <w:rPr>
                <w:rFonts w:hint="eastAsia" w:ascii="宋体" w:hAnsi="宋体" w:cs="宋体"/>
                <w:strike w:val="0"/>
                <w:dstrike w:val="0"/>
                <w:color w:val="auto"/>
                <w:kern w:val="0"/>
                <w:szCs w:val="21"/>
                <w:highlight w:val="none"/>
              </w:rPr>
              <w:t xml:space="preserve"> </w:t>
            </w:r>
          </w:p>
          <w:p w14:paraId="3477C4BA">
            <w:pPr>
              <w:snapToGrid w:val="0"/>
              <w:spacing w:line="240" w:lineRule="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w:t>
            </w:r>
            <w:r>
              <w:rPr>
                <w:rFonts w:hint="eastAsia" w:ascii="宋体" w:hAnsi="宋体" w:cs="宋体"/>
                <w:strike w:val="0"/>
                <w:dstrike w:val="0"/>
                <w:color w:val="auto"/>
                <w:sz w:val="24"/>
                <w:szCs w:val="24"/>
                <w:highlight w:val="none"/>
                <w:lang w:val="en-US" w:eastAsia="zh-CN"/>
              </w:rPr>
              <w:t>15</w:t>
            </w:r>
            <w:r>
              <w:rPr>
                <w:rFonts w:hint="eastAsia" w:ascii="宋体" w:hAnsi="宋体" w:eastAsia="宋体" w:cs="宋体"/>
                <w:strike w:val="0"/>
                <w:dstrike w:val="0"/>
                <w:color w:val="auto"/>
                <w:sz w:val="24"/>
                <w:szCs w:val="24"/>
                <w:highlight w:val="none"/>
                <w:lang w:val="en-US" w:eastAsia="zh-CN"/>
              </w:rPr>
              <w:t>）投标人不存在投标人须知前附表4.4(1)、(3)项规定的情形。</w:t>
            </w:r>
          </w:p>
          <w:p w14:paraId="070EDB7E">
            <w:pPr>
              <w:snapToGrid w:val="0"/>
              <w:spacing w:line="240" w:lineRule="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（1</w:t>
            </w:r>
            <w:r>
              <w:rPr>
                <w:rFonts w:hint="eastAsia" w:ascii="宋体" w:hAnsi="宋体" w:cs="宋体"/>
                <w:strike w:val="0"/>
                <w:dstrike w:val="0"/>
                <w:color w:val="auto"/>
                <w:sz w:val="24"/>
                <w:szCs w:val="24"/>
                <w:highlight w:val="none"/>
                <w:lang w:val="en-US" w:eastAsia="zh-CN"/>
              </w:rPr>
              <w:t>6</w:t>
            </w:r>
            <w:r>
              <w:rPr>
                <w:rFonts w:hint="eastAsia" w:ascii="宋体" w:hAnsi="宋体" w:eastAsia="宋体" w:cs="宋体"/>
                <w:strike w:val="0"/>
                <w:dstrike w:val="0"/>
                <w:color w:val="auto"/>
                <w:sz w:val="24"/>
                <w:szCs w:val="24"/>
                <w:highlight w:val="none"/>
                <w:lang w:val="en-US" w:eastAsia="zh-CN"/>
              </w:rPr>
              <w:t>）投标人不存在因投标人须知前附表4.4(2)项规定的情形被评标委员会认定为其他异常投标情形。</w:t>
            </w:r>
          </w:p>
          <w:p w14:paraId="0199018F">
            <w:pPr>
              <w:snapToGrid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第一个信封（技术文件）评审标准： </w:t>
            </w:r>
          </w:p>
          <w:p w14:paraId="2C7BB2F6">
            <w:pPr>
              <w:widowControl/>
              <w:jc w:val="left"/>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none"/>
                <w:lang w:val="en-US" w:eastAsia="zh-CN"/>
              </w:rPr>
              <w:t>技术建议书（暗标）编制符合招标文件第二章“投标人须知”第 10.</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款的规定。</w:t>
            </w:r>
          </w:p>
          <w:p w14:paraId="14518285">
            <w:pPr>
              <w:snapToGrid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第二个信封（报价文件）评审标准：</w:t>
            </w:r>
          </w:p>
          <w:p w14:paraId="01BCDAA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14:paraId="454962E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a.投标函按照招标文件规定填报了招标人名称、项目名称</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标段号、</w:t>
            </w:r>
            <w:r>
              <w:rPr>
                <w:rFonts w:hint="eastAsia" w:ascii="宋体" w:hAnsi="宋体" w:eastAsia="宋体" w:cs="宋体"/>
                <w:color w:val="auto"/>
                <w:sz w:val="24"/>
                <w:szCs w:val="24"/>
                <w:highlight w:val="none"/>
              </w:rPr>
              <w:t>补遗书编号（如有）、投标价（包括大写金额和小写金额）；</w:t>
            </w:r>
          </w:p>
          <w:p w14:paraId="545C670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b.投标文件组成齐全完整，内容均按规定填写。</w:t>
            </w:r>
          </w:p>
          <w:p w14:paraId="0679942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（2）投标文件上法定代表人或委托代理人的签字、投标人的单位章盖章齐全，符合招标文件规定。</w:t>
            </w:r>
          </w:p>
          <w:p w14:paraId="09517EB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（3）投标报价未超过招标文件设定</w:t>
            </w:r>
            <w:r>
              <w:rPr>
                <w:rFonts w:hint="eastAsia" w:ascii="宋体" w:hAnsi="宋体" w:cs="宋体"/>
                <w:color w:val="auto"/>
                <w:sz w:val="24"/>
                <w:szCs w:val="24"/>
                <w:highlight w:val="none"/>
                <w:lang w:val="en-US" w:eastAsia="zh-CN"/>
              </w:rPr>
              <w:t>的所投标段</w:t>
            </w:r>
            <w:r>
              <w:rPr>
                <w:rFonts w:hint="eastAsia" w:ascii="宋体" w:hAnsi="宋体" w:eastAsia="宋体" w:cs="宋体"/>
                <w:color w:val="auto"/>
                <w:sz w:val="24"/>
                <w:szCs w:val="24"/>
                <w:highlight w:val="none"/>
              </w:rPr>
              <w:t>的最高</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限价。</w:t>
            </w:r>
          </w:p>
          <w:p w14:paraId="4C36118B">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（4）投标报价的大写金额能够确定具体数值。</w:t>
            </w:r>
          </w:p>
          <w:p w14:paraId="7E47AA30">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（5）同一投标人未提交两个</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以上不同的投标报价。</w:t>
            </w:r>
          </w:p>
          <w:p w14:paraId="11EFB639">
            <w:pPr>
              <w:snapToGrid w:val="0"/>
              <w:spacing w:line="320" w:lineRule="exact"/>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strike w:val="0"/>
                <w:dstrike w:val="0"/>
                <w:color w:val="auto"/>
                <w:sz w:val="24"/>
                <w:szCs w:val="24"/>
                <w:highlight w:val="none"/>
                <w:lang w:val="en-US" w:eastAsia="zh-CN"/>
              </w:rPr>
              <w:t>分项报价表</w:t>
            </w:r>
            <w:r>
              <w:rPr>
                <w:rFonts w:hint="eastAsia" w:ascii="宋体" w:hAnsi="宋体" w:eastAsia="宋体" w:cs="宋体"/>
                <w:color w:val="auto"/>
                <w:sz w:val="24"/>
                <w:szCs w:val="24"/>
                <w:highlight w:val="none"/>
              </w:rPr>
              <w:t>中</w:t>
            </w:r>
            <w:r>
              <w:rPr>
                <w:rFonts w:hint="eastAsia" w:ascii="宋体" w:hAnsi="宋体" w:cs="宋体"/>
                <w:color w:val="auto"/>
                <w:sz w:val="24"/>
                <w:szCs w:val="24"/>
                <w:highlight w:val="none"/>
                <w:lang w:val="en-US" w:eastAsia="zh-CN"/>
              </w:rPr>
              <w:t>合计</w:t>
            </w:r>
            <w:r>
              <w:rPr>
                <w:rFonts w:hint="eastAsia" w:ascii="宋体" w:hAnsi="宋体" w:eastAsia="宋体" w:cs="宋体"/>
                <w:color w:val="auto"/>
                <w:sz w:val="24"/>
                <w:szCs w:val="24"/>
                <w:highlight w:val="none"/>
              </w:rPr>
              <w:t>金额与投标函大写金额一致。</w:t>
            </w:r>
          </w:p>
          <w:p w14:paraId="5FF85642">
            <w:pPr>
              <w:snapToGrid w:val="0"/>
              <w:spacing w:line="24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（7）投标人递交的投标文件与所投标段一致。</w:t>
            </w:r>
          </w:p>
          <w:p w14:paraId="51A744E8">
            <w:pPr>
              <w:snapToGrid w:val="0"/>
              <w:spacing w:line="320" w:lineRule="exact"/>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)投标人不存在因投标人须知前附表3.2.5项规定被评标委员会认定为低于成本或</w:t>
            </w:r>
            <w:r>
              <w:rPr>
                <w:rFonts w:hint="eastAsia" w:ascii="宋体" w:hAnsi="宋体" w:eastAsia="宋体" w:cs="宋体"/>
                <w:color w:val="auto"/>
                <w:sz w:val="24"/>
                <w:szCs w:val="24"/>
                <w:highlight w:val="none"/>
                <w:lang w:val="en-US" w:eastAsia="zh-CN"/>
              </w:rPr>
              <w:t>影</w:t>
            </w:r>
            <w:r>
              <w:rPr>
                <w:rFonts w:hint="eastAsia" w:ascii="宋体" w:hAnsi="宋体" w:eastAsia="宋体" w:cs="宋体"/>
                <w:color w:val="auto"/>
                <w:sz w:val="24"/>
                <w:szCs w:val="24"/>
                <w:highlight w:val="none"/>
                <w:lang w:eastAsia="zh-CN"/>
              </w:rPr>
              <w:t>响履约的异常低价</w:t>
            </w:r>
            <w:r>
              <w:rPr>
                <w:rFonts w:hint="eastAsia" w:ascii="宋体" w:hAnsi="宋体" w:eastAsia="宋体" w:cs="宋体"/>
                <w:color w:val="auto"/>
                <w:sz w:val="24"/>
                <w:szCs w:val="24"/>
                <w:highlight w:val="none"/>
                <w:lang w:val="en-US" w:eastAsia="zh-CN"/>
              </w:rPr>
              <w:t>竞</w:t>
            </w:r>
            <w:r>
              <w:rPr>
                <w:rFonts w:hint="eastAsia" w:ascii="宋体" w:hAnsi="宋体" w:eastAsia="宋体" w:cs="宋体"/>
                <w:color w:val="auto"/>
                <w:sz w:val="24"/>
                <w:szCs w:val="24"/>
                <w:highlight w:val="none"/>
                <w:lang w:eastAsia="zh-CN"/>
              </w:rPr>
              <w:t>标的情形。</w:t>
            </w:r>
          </w:p>
          <w:p w14:paraId="225D93C6">
            <w:pPr>
              <w:snapToGrid w:val="0"/>
              <w:spacing w:line="320" w:lineRule="exact"/>
              <w:jc w:val="left"/>
              <w:textAlignment w:val="baseline"/>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w:t>
            </w:r>
            <w:r>
              <w:rPr>
                <w:rFonts w:hint="eastAsia" w:ascii="宋体" w:hAnsi="宋体" w:cs="宋体"/>
                <w:strike w:val="0"/>
                <w:dstrike w:val="0"/>
                <w:color w:val="auto"/>
                <w:sz w:val="24"/>
                <w:szCs w:val="24"/>
                <w:highlight w:val="none"/>
                <w:lang w:val="en-US" w:eastAsia="zh-CN"/>
              </w:rPr>
              <w:t>9</w:t>
            </w:r>
            <w:r>
              <w:rPr>
                <w:rFonts w:hint="eastAsia" w:ascii="宋体" w:hAnsi="宋体" w:eastAsia="宋体" w:cs="宋体"/>
                <w:strike w:val="0"/>
                <w:dstrike w:val="0"/>
                <w:color w:val="auto"/>
                <w:sz w:val="24"/>
                <w:szCs w:val="24"/>
                <w:highlight w:val="none"/>
                <w:lang w:val="en-US" w:eastAsia="zh-CN"/>
              </w:rPr>
              <w:t>）投标人不存在投标人须知前附表4.4(1)、(3)项规定的情形。</w:t>
            </w:r>
          </w:p>
          <w:p w14:paraId="67F73E12">
            <w:pPr>
              <w:snapToGrid w:val="0"/>
              <w:spacing w:line="320" w:lineRule="exact"/>
              <w:jc w:val="left"/>
              <w:textAlignment w:val="baseline"/>
              <w:rPr>
                <w:rFonts w:hint="default" w:eastAsia="宋体"/>
                <w:color w:val="auto"/>
                <w:highlight w:val="none"/>
                <w:lang w:val="en-US" w:eastAsia="zh-CN"/>
              </w:rPr>
            </w:pPr>
            <w:r>
              <w:rPr>
                <w:rFonts w:hint="eastAsia" w:ascii="宋体" w:hAnsi="宋体" w:eastAsia="宋体" w:cs="宋体"/>
                <w:strike w:val="0"/>
                <w:dstrike w:val="0"/>
                <w:color w:val="auto"/>
                <w:sz w:val="24"/>
                <w:szCs w:val="24"/>
                <w:highlight w:val="none"/>
                <w:lang w:val="en-US" w:eastAsia="zh-CN"/>
              </w:rPr>
              <w:t>（</w:t>
            </w:r>
            <w:r>
              <w:rPr>
                <w:rFonts w:hint="eastAsia" w:ascii="宋体" w:hAnsi="宋体" w:cs="宋体"/>
                <w:strike w:val="0"/>
                <w:dstrike w:val="0"/>
                <w:color w:val="auto"/>
                <w:sz w:val="24"/>
                <w:szCs w:val="24"/>
                <w:highlight w:val="none"/>
                <w:lang w:val="en-US" w:eastAsia="zh-CN"/>
              </w:rPr>
              <w:t>10</w:t>
            </w:r>
            <w:r>
              <w:rPr>
                <w:rFonts w:hint="eastAsia" w:ascii="宋体" w:hAnsi="宋体" w:eastAsia="宋体" w:cs="宋体"/>
                <w:strike w:val="0"/>
                <w:dstrike w:val="0"/>
                <w:color w:val="auto"/>
                <w:sz w:val="24"/>
                <w:szCs w:val="24"/>
                <w:highlight w:val="none"/>
                <w:lang w:val="en-US" w:eastAsia="zh-CN"/>
              </w:rPr>
              <w:t>）投标人不存在因投标人须知前附表4.4(2)项规定的情形被评标委员会认定为其他异常投标情形。</w:t>
            </w:r>
          </w:p>
        </w:tc>
      </w:tr>
      <w:tr w14:paraId="340C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33" w:hRule="atLeast"/>
          <w:jc w:val="center"/>
        </w:trPr>
        <w:tc>
          <w:tcPr>
            <w:tcW w:w="1143" w:type="dxa"/>
            <w:noWrap w:val="0"/>
            <w:vAlign w:val="center"/>
          </w:tcPr>
          <w:p w14:paraId="3B6DD918">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317" w:type="dxa"/>
            <w:noWrap w:val="0"/>
            <w:vAlign w:val="center"/>
          </w:tcPr>
          <w:p w14:paraId="6499C93D">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7197" w:type="dxa"/>
            <w:noWrap w:val="0"/>
            <w:vAlign w:val="center"/>
          </w:tcPr>
          <w:p w14:paraId="1E2C76B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（1）投标人具备有效的企业营业执照和基本账户开户许可证（或基本存款账户信息）；</w:t>
            </w:r>
          </w:p>
          <w:p w14:paraId="1A0EC93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（2）投标人的资质符合招标文件规定；</w:t>
            </w:r>
          </w:p>
          <w:p w14:paraId="4817BA7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（3）投标人的类似项目业绩符合招标文件规定；</w:t>
            </w:r>
          </w:p>
          <w:p w14:paraId="68A351FC">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（4）投标人的信誉符合招标文件规定；</w:t>
            </w:r>
          </w:p>
          <w:p w14:paraId="54A55D91">
            <w:pPr>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（5）投标人的</w:t>
            </w:r>
            <w:r>
              <w:rPr>
                <w:rFonts w:hint="eastAsia" w:ascii="宋体" w:hAnsi="宋体" w:eastAsia="宋体" w:cs="宋体"/>
                <w:color w:val="auto"/>
                <w:sz w:val="24"/>
                <w:szCs w:val="24"/>
                <w:highlight w:val="none"/>
                <w:lang w:val="en-US" w:eastAsia="zh-CN"/>
              </w:rPr>
              <w:t>财务</w:t>
            </w:r>
            <w:r>
              <w:rPr>
                <w:rFonts w:hint="eastAsia" w:ascii="宋体" w:hAnsi="宋体" w:eastAsia="宋体" w:cs="宋体"/>
                <w:color w:val="auto"/>
                <w:sz w:val="24"/>
                <w:szCs w:val="24"/>
                <w:highlight w:val="none"/>
              </w:rPr>
              <w:t>符合招标文件规定</w:t>
            </w:r>
            <w:r>
              <w:rPr>
                <w:rFonts w:hint="eastAsia" w:ascii="宋体" w:hAnsi="宋体" w:eastAsia="宋体" w:cs="宋体"/>
                <w:color w:val="auto"/>
                <w:sz w:val="24"/>
                <w:szCs w:val="24"/>
                <w:highlight w:val="none"/>
                <w:lang w:eastAsia="zh-CN"/>
              </w:rPr>
              <w:t>；</w:t>
            </w:r>
          </w:p>
          <w:p w14:paraId="206B7BC4">
            <w:pPr>
              <w:snapToGrid w:val="0"/>
              <w:spacing w:line="24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投标人不存在第二章“投标人须知”第1.4.3项规定的任何一种情形。</w:t>
            </w:r>
          </w:p>
        </w:tc>
      </w:tr>
      <w:tr w14:paraId="38B3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14:paraId="3498532C">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317" w:type="dxa"/>
            <w:noWrap w:val="0"/>
            <w:vAlign w:val="center"/>
          </w:tcPr>
          <w:p w14:paraId="10491459">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7197" w:type="dxa"/>
            <w:noWrap w:val="0"/>
            <w:vAlign w:val="center"/>
          </w:tcPr>
          <w:p w14:paraId="78BA597B">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7D3D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14:paraId="2210E139">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317" w:type="dxa"/>
            <w:noWrap w:val="0"/>
            <w:vAlign w:val="center"/>
          </w:tcPr>
          <w:p w14:paraId="425FDF3D">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第一个信封</w:t>
            </w:r>
            <w:r>
              <w:rPr>
                <w:rFonts w:hint="eastAsia" w:ascii="宋体" w:hAnsi="宋体" w:eastAsia="宋体" w:cs="宋体"/>
                <w:color w:val="auto"/>
                <w:sz w:val="24"/>
                <w:szCs w:val="24"/>
                <w:highlight w:val="none"/>
              </w:rPr>
              <w:t>分值构成</w:t>
            </w:r>
          </w:p>
          <w:p w14:paraId="12304A17">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7197" w:type="dxa"/>
            <w:noWrap w:val="0"/>
            <w:vAlign w:val="center"/>
          </w:tcPr>
          <w:p w14:paraId="2E954D56">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p w14:paraId="1CA7B4DA">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0分</w:t>
            </w:r>
          </w:p>
          <w:p w14:paraId="107BEC00">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其他评分因素：0分</w:t>
            </w:r>
          </w:p>
        </w:tc>
      </w:tr>
      <w:tr w14:paraId="4828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6D73A480">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1317" w:type="dxa"/>
            <w:noWrap w:val="0"/>
            <w:vAlign w:val="center"/>
          </w:tcPr>
          <w:p w14:paraId="23B8A5DE">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第二个信封详细评审标准</w:t>
            </w:r>
          </w:p>
        </w:tc>
        <w:tc>
          <w:tcPr>
            <w:tcW w:w="7197" w:type="dxa"/>
            <w:noWrap w:val="0"/>
            <w:vAlign w:val="center"/>
          </w:tcPr>
          <w:p w14:paraId="31C6DA41">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评标价计算公式：</w:t>
            </w:r>
          </w:p>
          <w:p w14:paraId="07407BF6">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评标价=投标函文字报价。</w:t>
            </w:r>
          </w:p>
        </w:tc>
      </w:tr>
      <w:tr w14:paraId="05E6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35631033">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w:t>
            </w:r>
          </w:p>
        </w:tc>
        <w:tc>
          <w:tcPr>
            <w:tcW w:w="1317" w:type="dxa"/>
            <w:noWrap w:val="0"/>
            <w:vAlign w:val="center"/>
          </w:tcPr>
          <w:p w14:paraId="46F11C7A">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通过第一个信封详细评审的投标人数量</w:t>
            </w:r>
          </w:p>
        </w:tc>
        <w:tc>
          <w:tcPr>
            <w:tcW w:w="7197" w:type="dxa"/>
            <w:noWrap w:val="0"/>
            <w:vAlign w:val="center"/>
          </w:tcPr>
          <w:p w14:paraId="642717A1">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按照投标人的</w:t>
            </w:r>
            <w:r>
              <w:rPr>
                <w:rFonts w:hint="eastAsia" w:ascii="宋体" w:hAnsi="宋体" w:eastAsia="宋体" w:cs="宋体"/>
                <w:color w:val="auto"/>
                <w:sz w:val="24"/>
                <w:szCs w:val="24"/>
                <w:highlight w:val="none"/>
                <w:lang w:val="en-US" w:eastAsia="zh-CN"/>
              </w:rPr>
              <w:t>综合</w:t>
            </w:r>
            <w:r>
              <w:rPr>
                <w:rFonts w:hint="eastAsia" w:ascii="宋体" w:hAnsi="宋体" w:eastAsia="宋体" w:cs="宋体"/>
                <w:color w:val="auto"/>
                <w:sz w:val="24"/>
                <w:szCs w:val="24"/>
                <w:highlight w:val="none"/>
              </w:rPr>
              <w:t>得分由高到低排序，选择前3名</w:t>
            </w:r>
            <w:r>
              <w:rPr>
                <w:rFonts w:hint="eastAsia" w:ascii="宋体" w:hAnsi="宋体" w:cs="宋体"/>
                <w:color w:val="auto"/>
                <w:sz w:val="24"/>
                <w:szCs w:val="24"/>
                <w:highlight w:val="none"/>
                <w:lang w:val="en-US" w:eastAsia="zh-CN"/>
              </w:rPr>
              <w:t>进入第二信封</w:t>
            </w:r>
            <w:r>
              <w:rPr>
                <w:rFonts w:hint="eastAsia" w:ascii="宋体" w:hAnsi="宋体" w:eastAsia="宋体" w:cs="宋体"/>
                <w:color w:val="auto"/>
                <w:sz w:val="24"/>
                <w:szCs w:val="24"/>
                <w:highlight w:val="none"/>
              </w:rPr>
              <w:t>评审</w:t>
            </w:r>
          </w:p>
        </w:tc>
      </w:tr>
      <w:tr w14:paraId="06CD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2460" w:type="dxa"/>
            <w:gridSpan w:val="2"/>
            <w:noWrap w:val="0"/>
            <w:vAlign w:val="center"/>
          </w:tcPr>
          <w:p w14:paraId="6A1F8F5B">
            <w:pPr>
              <w:snapToGrid w:val="0"/>
              <w:spacing w:line="240" w:lineRule="auto"/>
              <w:jc w:val="center"/>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lang w:val="en-US" w:eastAsia="zh-CN"/>
              </w:rPr>
              <w:t>3.5.3</w:t>
            </w:r>
          </w:p>
        </w:tc>
        <w:tc>
          <w:tcPr>
            <w:tcW w:w="7197" w:type="dxa"/>
            <w:noWrap w:val="0"/>
            <w:vAlign w:val="center"/>
          </w:tcPr>
          <w:p w14:paraId="0297F68F">
            <w:pPr>
              <w:snapToGrid w:val="0"/>
              <w:spacing w:line="240" w:lineRule="auto"/>
              <w:rPr>
                <w:rFonts w:hint="eastAsia"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本款修改为：</w:t>
            </w:r>
          </w:p>
          <w:p w14:paraId="1351EAF6">
            <w:pPr>
              <w:snapToGrid w:val="0"/>
              <w:spacing w:line="240" w:lineRule="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u w:val="none"/>
              </w:rPr>
              <w:t xml:space="preserve"> 投标人存在须知前附表3.2.5项情形的</w:t>
            </w:r>
            <w:r>
              <w:rPr>
                <w:rFonts w:hint="eastAsia" w:ascii="宋体" w:hAnsi="宋体" w:eastAsia="宋体" w:cs="宋体"/>
                <w:strike w:val="0"/>
                <w:dstrike w:val="0"/>
                <w:color w:val="auto"/>
                <w:sz w:val="24"/>
                <w:szCs w:val="24"/>
                <w:highlight w:val="none"/>
                <w:u w:val="none"/>
                <w:lang w:eastAsia="zh-CN"/>
              </w:rPr>
              <w:t>，</w:t>
            </w:r>
            <w:r>
              <w:rPr>
                <w:rFonts w:hint="eastAsia" w:ascii="宋体" w:hAnsi="宋体" w:eastAsia="宋体" w:cs="宋体"/>
                <w:strike w:val="0"/>
                <w:dstrike w:val="0"/>
                <w:color w:val="auto"/>
                <w:sz w:val="24"/>
                <w:szCs w:val="24"/>
                <w:highlight w:val="none"/>
                <w:u w:val="none"/>
                <w:lang w:val="en-US" w:eastAsia="zh-CN"/>
              </w:rPr>
              <w:t>评标委员会</w:t>
            </w:r>
            <w:r>
              <w:rPr>
                <w:rFonts w:hint="eastAsia" w:ascii="宋体" w:hAnsi="宋体" w:eastAsia="宋体" w:cs="宋体"/>
                <w:strike w:val="0"/>
                <w:dstrike w:val="0"/>
                <w:color w:val="auto"/>
                <w:sz w:val="24"/>
                <w:szCs w:val="24"/>
                <w:highlight w:val="none"/>
                <w:u w:val="none"/>
              </w:rPr>
              <w:t>应当要求该投标人作出书面说明并提供相应的证明材料</w:t>
            </w:r>
            <w:r>
              <w:rPr>
                <w:rFonts w:hint="eastAsia" w:ascii="宋体" w:hAnsi="宋体" w:eastAsia="宋体" w:cs="宋体"/>
                <w:strike w:val="0"/>
                <w:dstrike w:val="0"/>
                <w:color w:val="auto"/>
                <w:sz w:val="24"/>
                <w:szCs w:val="24"/>
                <w:highlight w:val="none"/>
                <w:u w:val="none"/>
                <w:lang w:val="en-US" w:eastAsia="zh-CN"/>
              </w:rPr>
              <w:t>。</w:t>
            </w:r>
            <w:r>
              <w:rPr>
                <w:rFonts w:hint="eastAsia" w:ascii="宋体" w:hAnsi="宋体" w:eastAsia="宋体" w:cs="宋体"/>
                <w:strike w:val="0"/>
                <w:dstrike w:val="0"/>
                <w:color w:val="auto"/>
                <w:sz w:val="24"/>
                <w:szCs w:val="24"/>
                <w:highlight w:val="none"/>
                <w:u w:val="none"/>
              </w:rPr>
              <w:t>投标人不能合理说明或者不能提供相应证明材料的，评标委员会应当认定该投标人以低于成本或影响履约的异常低价竞标，否决其投标。</w:t>
            </w:r>
          </w:p>
        </w:tc>
      </w:tr>
      <w:tr w14:paraId="7F1E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16E3EBAF">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1317" w:type="dxa"/>
            <w:noWrap w:val="0"/>
            <w:vAlign w:val="center"/>
          </w:tcPr>
          <w:p w14:paraId="061A5BAB">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信息查询</w:t>
            </w:r>
          </w:p>
        </w:tc>
        <w:tc>
          <w:tcPr>
            <w:tcW w:w="7197" w:type="dxa"/>
            <w:noWrap w:val="0"/>
            <w:vAlign w:val="center"/>
          </w:tcPr>
          <w:p w14:paraId="3C828FC2">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修改为：</w:t>
            </w:r>
          </w:p>
          <w:p w14:paraId="4854F9D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在评标过程中，评标委员会应对以下信息进行查询：</w:t>
            </w:r>
          </w:p>
          <w:p w14:paraId="70CB323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（1）投标人信用情况网页截图内容与在</w:t>
            </w:r>
            <w:r>
              <w:rPr>
                <w:rFonts w:hint="eastAsia" w:ascii="宋体" w:hAnsi="宋体" w:eastAsia="宋体" w:cs="宋体"/>
                <w:snapToGrid w:val="0"/>
                <w:color w:val="auto"/>
                <w:sz w:val="24"/>
                <w:szCs w:val="24"/>
                <w:highlight w:val="none"/>
                <w:lang w:bidi="ar"/>
              </w:rPr>
              <w:t>国家企业信用信息公示系统（http://www.gsxt.gov.cn/）中</w:t>
            </w:r>
            <w:r>
              <w:rPr>
                <w:rFonts w:hint="eastAsia" w:ascii="宋体" w:hAnsi="宋体" w:cs="宋体"/>
                <w:snapToGrid w:val="0"/>
                <w:color w:val="auto"/>
                <w:sz w:val="24"/>
                <w:szCs w:val="24"/>
                <w:highlight w:val="none"/>
                <w:lang w:val="en-US" w:eastAsia="zh-CN" w:bidi="ar"/>
              </w:rPr>
              <w:t>未</w:t>
            </w:r>
            <w:r>
              <w:rPr>
                <w:rFonts w:hint="eastAsia" w:ascii="宋体" w:hAnsi="宋体" w:eastAsia="宋体" w:cs="宋体"/>
                <w:snapToGrid w:val="0"/>
                <w:color w:val="auto"/>
                <w:sz w:val="24"/>
                <w:szCs w:val="24"/>
                <w:highlight w:val="none"/>
                <w:lang w:bidi="ar"/>
              </w:rPr>
              <w:t>被</w:t>
            </w:r>
            <w:r>
              <w:rPr>
                <w:rFonts w:hint="eastAsia" w:ascii="宋体" w:hAnsi="宋体" w:eastAsia="宋体" w:cs="宋体"/>
                <w:snapToGrid w:val="0"/>
                <w:color w:val="auto"/>
                <w:sz w:val="24"/>
                <w:szCs w:val="24"/>
                <w:highlight w:val="none"/>
                <w:lang w:eastAsia="zh-CN" w:bidi="ar"/>
              </w:rPr>
              <w:t>列入严重违法失信名单（黑名单）信息</w:t>
            </w:r>
            <w:r>
              <w:rPr>
                <w:rFonts w:hint="eastAsia" w:ascii="宋体" w:hAnsi="宋体" w:eastAsia="宋体" w:cs="宋体"/>
                <w:snapToGrid w:val="0"/>
                <w:color w:val="auto"/>
                <w:sz w:val="24"/>
                <w:szCs w:val="24"/>
                <w:highlight w:val="none"/>
                <w:lang w:bidi="ar"/>
              </w:rPr>
              <w:t>（不含分公司）、在“信用中国”网站（http://www.creditchina.gov.cn/）中</w:t>
            </w:r>
            <w:r>
              <w:rPr>
                <w:rFonts w:hint="eastAsia" w:ascii="宋体" w:hAnsi="宋体" w:cs="宋体"/>
                <w:snapToGrid w:val="0"/>
                <w:color w:val="auto"/>
                <w:sz w:val="24"/>
                <w:szCs w:val="24"/>
                <w:highlight w:val="none"/>
                <w:lang w:val="en-US" w:eastAsia="zh-CN" w:bidi="ar"/>
              </w:rPr>
              <w:t>未</w:t>
            </w:r>
            <w:r>
              <w:rPr>
                <w:rFonts w:hint="eastAsia" w:ascii="宋体" w:hAnsi="宋体" w:eastAsia="宋体" w:cs="宋体"/>
                <w:snapToGrid w:val="0"/>
                <w:color w:val="auto"/>
                <w:sz w:val="24"/>
                <w:szCs w:val="24"/>
                <w:highlight w:val="none"/>
                <w:lang w:bidi="ar"/>
              </w:rPr>
              <w:t>被列入</w:t>
            </w:r>
            <w:r>
              <w:rPr>
                <w:rFonts w:hint="eastAsia" w:ascii="宋体" w:hAnsi="宋体" w:eastAsia="宋体" w:cs="宋体"/>
                <w:snapToGrid w:val="0"/>
                <w:color w:val="auto"/>
                <w:sz w:val="24"/>
                <w:szCs w:val="24"/>
                <w:highlight w:val="none"/>
                <w:lang w:eastAsia="zh-CN" w:bidi="ar"/>
              </w:rPr>
              <w:t>经营（活动）异常名录</w:t>
            </w:r>
            <w:r>
              <w:rPr>
                <w:rFonts w:hint="eastAsia" w:ascii="宋体" w:hAnsi="宋体" w:eastAsia="宋体" w:cs="宋体"/>
                <w:snapToGrid w:val="0"/>
                <w:color w:val="auto"/>
                <w:sz w:val="24"/>
                <w:szCs w:val="24"/>
                <w:highlight w:val="none"/>
                <w:lang w:bidi="ar"/>
              </w:rPr>
              <w:t>、重大税收违法失信主体</w:t>
            </w:r>
            <w:r>
              <w:rPr>
                <w:rFonts w:hint="eastAsia" w:ascii="宋体" w:hAnsi="宋体" w:cs="宋体"/>
                <w:snapToGrid w:val="0"/>
                <w:color w:val="auto"/>
                <w:sz w:val="24"/>
                <w:szCs w:val="24"/>
                <w:highlight w:val="none"/>
                <w:lang w:eastAsia="zh-CN" w:bidi="ar"/>
              </w:rPr>
              <w:t>、</w:t>
            </w:r>
            <w:r>
              <w:rPr>
                <w:rFonts w:hint="eastAsia" w:ascii="宋体" w:hAnsi="宋体" w:eastAsia="宋体" w:cs="宋体"/>
                <w:snapToGrid w:val="0"/>
                <w:color w:val="auto"/>
                <w:sz w:val="24"/>
                <w:szCs w:val="24"/>
                <w:highlight w:val="none"/>
                <w:lang w:bidi="ar"/>
              </w:rPr>
              <w:t>政府采购严重违法失信行为记录名单（均不含分公司）</w:t>
            </w:r>
            <w:r>
              <w:rPr>
                <w:rFonts w:hint="eastAsia" w:ascii="宋体" w:hAnsi="宋体" w:cs="宋体"/>
                <w:snapToGrid w:val="0"/>
                <w:color w:val="auto"/>
                <w:sz w:val="24"/>
                <w:szCs w:val="24"/>
                <w:highlight w:val="none"/>
                <w:lang w:eastAsia="zh-CN" w:bidi="ar"/>
              </w:rPr>
              <w:t>、</w:t>
            </w:r>
            <w:r>
              <w:rPr>
                <w:rFonts w:hint="eastAsia" w:ascii="宋体" w:hAnsi="宋体" w:eastAsia="宋体" w:cs="宋体"/>
                <w:snapToGrid w:val="0"/>
                <w:color w:val="auto"/>
                <w:sz w:val="24"/>
                <w:szCs w:val="24"/>
                <w:highlight w:val="none"/>
                <w:lang w:bidi="ar"/>
              </w:rPr>
              <w:t>在中国执行信息公开网（zxgk.court.gov.cn）中</w:t>
            </w:r>
            <w:r>
              <w:rPr>
                <w:rFonts w:hint="eastAsia" w:ascii="宋体" w:hAnsi="宋体" w:cs="宋体"/>
                <w:snapToGrid w:val="0"/>
                <w:color w:val="auto"/>
                <w:sz w:val="24"/>
                <w:szCs w:val="24"/>
                <w:highlight w:val="none"/>
                <w:lang w:val="en-US" w:eastAsia="zh-CN" w:bidi="ar"/>
              </w:rPr>
              <w:t>未</w:t>
            </w:r>
            <w:r>
              <w:rPr>
                <w:rFonts w:hint="eastAsia" w:ascii="宋体" w:hAnsi="宋体" w:eastAsia="宋体" w:cs="宋体"/>
                <w:snapToGrid w:val="0"/>
                <w:color w:val="auto"/>
                <w:sz w:val="24"/>
                <w:szCs w:val="24"/>
                <w:highlight w:val="none"/>
                <w:lang w:bidi="ar"/>
              </w:rPr>
              <w:t>被列入失信被执行人（不含分公司）</w:t>
            </w:r>
            <w:r>
              <w:rPr>
                <w:rFonts w:hint="eastAsia" w:ascii="宋体" w:hAnsi="宋体" w:eastAsia="宋体" w:cs="宋体"/>
                <w:color w:val="auto"/>
                <w:sz w:val="24"/>
                <w:szCs w:val="24"/>
                <w:highlight w:val="none"/>
              </w:rPr>
              <w:t>）的复核结果一致。如投标人未提供相关网页截图或所附截图与复核结果不一致导致不能满足资格评审要求的，评标委员会应否决其投标。</w:t>
            </w:r>
          </w:p>
          <w:p w14:paraId="2C4D60A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投标人应保证本款所附的全部截图的真实性。</w:t>
            </w:r>
            <w:r>
              <w:rPr>
                <w:rFonts w:hint="eastAsia" w:ascii="宋体" w:hAnsi="宋体" w:eastAsia="宋体" w:cs="宋体"/>
                <w:color w:val="auto"/>
                <w:sz w:val="24"/>
                <w:szCs w:val="24"/>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14:paraId="1DB3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648660B7">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3.6.3</w:t>
            </w:r>
          </w:p>
        </w:tc>
        <w:tc>
          <w:tcPr>
            <w:tcW w:w="1317" w:type="dxa"/>
            <w:noWrap w:val="0"/>
            <w:vAlign w:val="center"/>
          </w:tcPr>
          <w:p w14:paraId="5D87B5DA">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投标人其他异常投标情形</w:t>
            </w:r>
          </w:p>
        </w:tc>
        <w:tc>
          <w:tcPr>
            <w:tcW w:w="7197" w:type="dxa"/>
            <w:noWrap w:val="0"/>
            <w:vAlign w:val="center"/>
          </w:tcPr>
          <w:p w14:paraId="41548228">
            <w:pPr>
              <w:snapToGrid w:val="0"/>
              <w:spacing w:line="240" w:lineRule="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（1）投标人不存在投标人须知前附表4.4(1)、(3)项规定的情形。</w:t>
            </w:r>
          </w:p>
          <w:p w14:paraId="02EB1634">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lang w:val="en-US" w:eastAsia="zh-CN"/>
              </w:rPr>
              <w:t>(2)投标人不存在因投标人须知前附表4.4(2)项规定的情形评标委员会</w:t>
            </w:r>
            <w:r>
              <w:rPr>
                <w:rFonts w:hint="eastAsia" w:ascii="宋体" w:hAnsi="宋体" w:eastAsia="宋体" w:cs="宋体"/>
                <w:strike w:val="0"/>
                <w:dstrike w:val="0"/>
                <w:color w:val="auto"/>
                <w:sz w:val="24"/>
                <w:szCs w:val="24"/>
                <w:highlight w:val="none"/>
              </w:rPr>
              <w:t>应当要求该投标人作出书面说明并提供相应的证明材料</w:t>
            </w:r>
            <w:r>
              <w:rPr>
                <w:rFonts w:hint="eastAsia" w:ascii="宋体" w:hAnsi="宋体" w:eastAsia="宋体" w:cs="宋体"/>
                <w:strike w:val="0"/>
                <w:dstrike w:val="0"/>
                <w:color w:val="auto"/>
                <w:sz w:val="24"/>
                <w:szCs w:val="24"/>
                <w:highlight w:val="none"/>
                <w:lang w:val="en-US" w:eastAsia="zh-CN"/>
              </w:rPr>
              <w:t>。</w:t>
            </w:r>
            <w:r>
              <w:rPr>
                <w:rFonts w:hint="eastAsia" w:ascii="宋体" w:hAnsi="宋体" w:eastAsia="宋体" w:cs="宋体"/>
                <w:strike w:val="0"/>
                <w:dstrike w:val="0"/>
                <w:color w:val="auto"/>
                <w:sz w:val="24"/>
                <w:szCs w:val="24"/>
                <w:highlight w:val="none"/>
              </w:rPr>
              <w:t>投标人不能合理说明或者不能提供相应证明材料的，评标委员会应当认定该投标人</w:t>
            </w:r>
            <w:r>
              <w:rPr>
                <w:rFonts w:hint="eastAsia" w:ascii="宋体" w:hAnsi="宋体" w:eastAsia="宋体" w:cs="宋体"/>
                <w:strike w:val="0"/>
                <w:dstrike w:val="0"/>
                <w:color w:val="auto"/>
                <w:sz w:val="24"/>
                <w:szCs w:val="24"/>
                <w:highlight w:val="none"/>
                <w:lang w:eastAsia="zh-CN"/>
              </w:rPr>
              <w:t>的</w:t>
            </w:r>
            <w:r>
              <w:rPr>
                <w:rFonts w:hint="eastAsia" w:ascii="宋体" w:hAnsi="宋体" w:eastAsia="宋体" w:cs="宋体"/>
                <w:strike w:val="0"/>
                <w:dstrike w:val="0"/>
                <w:color w:val="auto"/>
                <w:sz w:val="24"/>
                <w:szCs w:val="24"/>
                <w:highlight w:val="none"/>
                <w:lang w:val="en-US" w:eastAsia="zh-CN"/>
              </w:rPr>
              <w:t>投标文件异常一致或投标活动异常关联情形。</w:t>
            </w:r>
          </w:p>
        </w:tc>
      </w:tr>
    </w:tbl>
    <w:p w14:paraId="196F5469">
      <w:pPr>
        <w:adjustRightInd w:val="0"/>
        <w:snapToGrid w:val="0"/>
        <w:spacing w:line="360" w:lineRule="auto"/>
        <w:textAlignment w:val="baseline"/>
        <w:rPr>
          <w:rFonts w:ascii="宋体" w:hAnsi="宋体"/>
          <w:b/>
          <w:bCs/>
          <w:snapToGrid w:val="0"/>
          <w:color w:val="auto"/>
          <w:kern w:val="0"/>
          <w:sz w:val="28"/>
          <w:szCs w:val="24"/>
          <w:highlight w:val="none"/>
        </w:rPr>
      </w:pPr>
      <w:r>
        <w:rPr>
          <w:rFonts w:hint="eastAsia" w:ascii="宋体" w:hAnsi="宋体"/>
          <w:b/>
          <w:bCs/>
          <w:snapToGrid w:val="0"/>
          <w:color w:val="auto"/>
          <w:kern w:val="0"/>
          <w:sz w:val="28"/>
          <w:szCs w:val="24"/>
          <w:highlight w:val="none"/>
        </w:rPr>
        <w:br w:type="page"/>
      </w:r>
      <w:r>
        <w:rPr>
          <w:rFonts w:hint="eastAsia" w:ascii="宋体" w:hAnsi="宋体"/>
          <w:b/>
          <w:bCs/>
          <w:snapToGrid w:val="0"/>
          <w:color w:val="auto"/>
          <w:kern w:val="0"/>
          <w:sz w:val="28"/>
          <w:szCs w:val="24"/>
          <w:highlight w:val="none"/>
        </w:rPr>
        <w:t>评分标准</w:t>
      </w:r>
    </w:p>
    <w:tbl>
      <w:tblPr>
        <w:tblStyle w:val="12"/>
        <w:tblpPr w:leftFromText="180" w:rightFromText="180" w:vertAnchor="text" w:tblpXSpec="center" w:tblpY="1"/>
        <w:tblOverlap w:val="never"/>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86"/>
        <w:gridCol w:w="2216"/>
        <w:gridCol w:w="894"/>
        <w:gridCol w:w="4119"/>
      </w:tblGrid>
      <w:tr w14:paraId="0CCE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59" w:type="dxa"/>
            <w:noWrap w:val="0"/>
            <w:vAlign w:val="center"/>
          </w:tcPr>
          <w:p w14:paraId="06DD6880">
            <w:pPr>
              <w:pStyle w:val="9"/>
              <w:jc w:val="center"/>
              <w:textAlignment w:val="baseline"/>
              <w:rPr>
                <w:rFonts w:hint="eastAsia" w:hAnsi="宋体" w:cs="宋体"/>
                <w:color w:val="auto"/>
                <w:kern w:val="0"/>
                <w:sz w:val="24"/>
                <w:szCs w:val="24"/>
                <w:highlight w:val="none"/>
              </w:rPr>
            </w:pPr>
            <w:r>
              <w:rPr>
                <w:rFonts w:hint="eastAsia" w:hAnsi="宋体" w:cs="宋体"/>
                <w:color w:val="auto"/>
                <w:sz w:val="24"/>
                <w:szCs w:val="24"/>
                <w:highlight w:val="none"/>
              </w:rPr>
              <w:t>条款号</w:t>
            </w:r>
          </w:p>
        </w:tc>
        <w:tc>
          <w:tcPr>
            <w:tcW w:w="1186" w:type="dxa"/>
            <w:noWrap w:val="0"/>
            <w:vAlign w:val="center"/>
          </w:tcPr>
          <w:p w14:paraId="67B67F27">
            <w:pPr>
              <w:pStyle w:val="9"/>
              <w:jc w:val="center"/>
              <w:textAlignment w:val="baseline"/>
              <w:rPr>
                <w:rFonts w:hAnsi="宋体" w:cs="宋体"/>
                <w:color w:val="auto"/>
                <w:sz w:val="24"/>
                <w:szCs w:val="24"/>
                <w:highlight w:val="none"/>
              </w:rPr>
            </w:pPr>
            <w:r>
              <w:rPr>
                <w:rFonts w:hint="eastAsia" w:hAnsi="宋体" w:cs="宋体"/>
                <w:color w:val="auto"/>
                <w:sz w:val="24"/>
                <w:szCs w:val="24"/>
                <w:highlight w:val="none"/>
              </w:rPr>
              <w:t>评分</w:t>
            </w:r>
          </w:p>
          <w:p w14:paraId="5C4F5707">
            <w:pPr>
              <w:pStyle w:val="9"/>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因素</w:t>
            </w:r>
          </w:p>
        </w:tc>
        <w:tc>
          <w:tcPr>
            <w:tcW w:w="2216" w:type="dxa"/>
            <w:noWrap w:val="0"/>
            <w:vAlign w:val="center"/>
          </w:tcPr>
          <w:p w14:paraId="3A651958">
            <w:pPr>
              <w:adjustRightInd w:val="0"/>
              <w:snapToGrid w:val="0"/>
              <w:jc w:val="center"/>
              <w:rPr>
                <w:rFonts w:ascii="宋体" w:hAnsi="宋体" w:cs="宋体"/>
                <w:color w:val="auto"/>
                <w:sz w:val="24"/>
                <w:szCs w:val="24"/>
                <w:highlight w:val="none"/>
                <w:u w:val="single"/>
              </w:rPr>
            </w:pPr>
            <w:r>
              <w:rPr>
                <w:rFonts w:hint="eastAsia" w:ascii="宋体" w:hAnsi="宋体" w:cs="宋体"/>
                <w:color w:val="auto"/>
                <w:sz w:val="24"/>
                <w:szCs w:val="24"/>
                <w:highlight w:val="none"/>
              </w:rPr>
              <w:t>评分因素</w:t>
            </w:r>
          </w:p>
        </w:tc>
        <w:tc>
          <w:tcPr>
            <w:tcW w:w="894" w:type="dxa"/>
            <w:noWrap w:val="0"/>
            <w:vAlign w:val="center"/>
          </w:tcPr>
          <w:p w14:paraId="450C3D25">
            <w:pPr>
              <w:jc w:val="center"/>
              <w:rPr>
                <w:rFonts w:ascii="宋体" w:hAnsi="宋体" w:cs="宋体"/>
                <w:color w:val="auto"/>
                <w:sz w:val="24"/>
                <w:szCs w:val="24"/>
                <w:highlight w:val="none"/>
              </w:rPr>
            </w:pPr>
            <w:r>
              <w:rPr>
                <w:rFonts w:ascii="宋体" w:hAnsi="宋体" w:cs="宋体"/>
                <w:color w:val="auto"/>
                <w:spacing w:val="-3"/>
                <w:sz w:val="24"/>
                <w:szCs w:val="24"/>
                <w:highlight w:val="none"/>
              </w:rPr>
              <w:t>分</w:t>
            </w:r>
            <w:r>
              <w:rPr>
                <w:rFonts w:ascii="宋体" w:hAnsi="宋体" w:cs="宋体"/>
                <w:color w:val="auto"/>
                <w:spacing w:val="-2"/>
                <w:sz w:val="24"/>
                <w:szCs w:val="24"/>
                <w:highlight w:val="none"/>
              </w:rPr>
              <w:t>值</w:t>
            </w:r>
          </w:p>
        </w:tc>
        <w:tc>
          <w:tcPr>
            <w:tcW w:w="4119" w:type="dxa"/>
            <w:noWrap w:val="0"/>
            <w:vAlign w:val="center"/>
          </w:tcPr>
          <w:p w14:paraId="165B730C">
            <w:pPr>
              <w:jc w:val="center"/>
              <w:rPr>
                <w:rFonts w:ascii="宋体" w:hAnsi="宋体" w:cs="宋体"/>
                <w:color w:val="auto"/>
                <w:spacing w:val="-3"/>
                <w:sz w:val="24"/>
                <w:szCs w:val="24"/>
                <w:highlight w:val="none"/>
              </w:rPr>
            </w:pPr>
            <w:r>
              <w:rPr>
                <w:rFonts w:ascii="宋体" w:hAnsi="宋体" w:cs="宋体"/>
                <w:color w:val="auto"/>
                <w:spacing w:val="-1"/>
                <w:sz w:val="24"/>
                <w:szCs w:val="24"/>
                <w:highlight w:val="none"/>
              </w:rPr>
              <w:t>评分</w:t>
            </w:r>
            <w:r>
              <w:rPr>
                <w:rFonts w:ascii="宋体" w:hAnsi="宋体" w:cs="宋体"/>
                <w:color w:val="auto"/>
                <w:sz w:val="24"/>
                <w:szCs w:val="24"/>
                <w:highlight w:val="none"/>
              </w:rPr>
              <w:t>标准</w:t>
            </w:r>
          </w:p>
        </w:tc>
      </w:tr>
      <w:tr w14:paraId="1B60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9" w:type="dxa"/>
            <w:vMerge w:val="restart"/>
            <w:noWrap w:val="0"/>
            <w:vAlign w:val="center"/>
          </w:tcPr>
          <w:p w14:paraId="71E4AC21">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03D6649E">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1186" w:type="dxa"/>
            <w:vMerge w:val="restart"/>
            <w:noWrap w:val="0"/>
            <w:vAlign w:val="center"/>
          </w:tcPr>
          <w:p w14:paraId="3D5AB274">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商务部分</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0</w:t>
            </w:r>
            <w:r>
              <w:rPr>
                <w:rFonts w:hint="eastAsia" w:ascii="宋体" w:hAnsi="宋体" w:cs="宋体"/>
                <w:color w:val="auto"/>
                <w:sz w:val="24"/>
                <w:szCs w:val="24"/>
                <w:highlight w:val="none"/>
              </w:rPr>
              <w:t>分）</w:t>
            </w:r>
          </w:p>
        </w:tc>
        <w:tc>
          <w:tcPr>
            <w:tcW w:w="2216" w:type="dxa"/>
            <w:vMerge w:val="restart"/>
            <w:noWrap w:val="0"/>
            <w:vAlign w:val="center"/>
          </w:tcPr>
          <w:p w14:paraId="40FB507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894" w:type="dxa"/>
            <w:vMerge w:val="restart"/>
            <w:noWrap w:val="0"/>
            <w:vAlign w:val="center"/>
          </w:tcPr>
          <w:p w14:paraId="67A67C42">
            <w:pPr>
              <w:jc w:val="center"/>
              <w:rPr>
                <w:rFonts w:ascii="宋体" w:hAnsi="宋体" w:cs="宋体"/>
                <w:color w:val="auto"/>
                <w:sz w:val="24"/>
                <w:szCs w:val="24"/>
                <w:highlight w:val="none"/>
              </w:rPr>
            </w:pPr>
            <w:r>
              <w:rPr>
                <w:rFonts w:hint="eastAsia" w:ascii="宋体" w:hAnsi="宋体" w:cs="宋体"/>
                <w:color w:val="auto"/>
                <w:kern w:val="0"/>
                <w:sz w:val="24"/>
                <w:szCs w:val="24"/>
                <w:highlight w:val="none"/>
              </w:rPr>
              <w:t>30分</w:t>
            </w:r>
          </w:p>
        </w:tc>
        <w:tc>
          <w:tcPr>
            <w:tcW w:w="4119" w:type="dxa"/>
            <w:noWrap w:val="0"/>
            <w:vAlign w:val="center"/>
          </w:tcPr>
          <w:p w14:paraId="1D44307F">
            <w:pPr>
              <w:ind w:right="113"/>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满足资格审查条件(业绩最低要求)得18分；</w:t>
            </w:r>
          </w:p>
        </w:tc>
      </w:tr>
      <w:tr w14:paraId="43D3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959" w:type="dxa"/>
            <w:vMerge w:val="continue"/>
            <w:noWrap w:val="0"/>
            <w:vAlign w:val="center"/>
          </w:tcPr>
          <w:p w14:paraId="3131CA5D">
            <w:pPr>
              <w:jc w:val="center"/>
              <w:rPr>
                <w:rFonts w:hint="eastAsia" w:ascii="宋体" w:hAnsi="宋体" w:cs="宋体"/>
                <w:color w:val="auto"/>
                <w:kern w:val="0"/>
                <w:sz w:val="24"/>
                <w:szCs w:val="24"/>
                <w:highlight w:val="none"/>
              </w:rPr>
            </w:pPr>
          </w:p>
        </w:tc>
        <w:tc>
          <w:tcPr>
            <w:tcW w:w="1186" w:type="dxa"/>
            <w:vMerge w:val="continue"/>
            <w:noWrap w:val="0"/>
            <w:vAlign w:val="center"/>
          </w:tcPr>
          <w:p w14:paraId="67D40068">
            <w:pPr>
              <w:jc w:val="center"/>
              <w:rPr>
                <w:rFonts w:hint="eastAsia" w:ascii="宋体" w:hAnsi="宋体" w:cs="宋体"/>
                <w:color w:val="auto"/>
                <w:kern w:val="0"/>
                <w:sz w:val="24"/>
                <w:szCs w:val="24"/>
                <w:highlight w:val="none"/>
              </w:rPr>
            </w:pPr>
          </w:p>
        </w:tc>
        <w:tc>
          <w:tcPr>
            <w:tcW w:w="2216" w:type="dxa"/>
            <w:vMerge w:val="continue"/>
            <w:noWrap w:val="0"/>
            <w:vAlign w:val="center"/>
          </w:tcPr>
          <w:p w14:paraId="6CC326B1">
            <w:pPr>
              <w:adjustRightInd w:val="0"/>
              <w:snapToGrid w:val="0"/>
              <w:jc w:val="center"/>
              <w:rPr>
                <w:rFonts w:hint="eastAsia" w:ascii="宋体" w:hAnsi="宋体" w:eastAsia="宋体" w:cs="宋体"/>
                <w:color w:val="auto"/>
                <w:sz w:val="24"/>
                <w:szCs w:val="24"/>
                <w:highlight w:val="none"/>
              </w:rPr>
            </w:pPr>
          </w:p>
        </w:tc>
        <w:tc>
          <w:tcPr>
            <w:tcW w:w="894" w:type="dxa"/>
            <w:vMerge w:val="continue"/>
            <w:noWrap w:val="0"/>
            <w:vAlign w:val="center"/>
          </w:tcPr>
          <w:p w14:paraId="7A735E45">
            <w:pPr>
              <w:jc w:val="center"/>
              <w:rPr>
                <w:rFonts w:hint="eastAsia" w:ascii="宋体" w:hAnsi="宋体" w:cs="宋体"/>
                <w:color w:val="auto"/>
                <w:kern w:val="0"/>
                <w:sz w:val="24"/>
                <w:szCs w:val="24"/>
                <w:highlight w:val="none"/>
              </w:rPr>
            </w:pPr>
          </w:p>
        </w:tc>
        <w:tc>
          <w:tcPr>
            <w:tcW w:w="4119" w:type="dxa"/>
            <w:noWrap w:val="0"/>
            <w:vAlign w:val="center"/>
          </w:tcPr>
          <w:p w14:paraId="17C3116F">
            <w:pPr>
              <w:snapToGrid w:val="0"/>
              <w:spacing w:line="32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一标段：在满足资格审查条件的基础上，近3年内(2023年5月1日至投标截止时间，以合同签订时间为准)，每增加1项合同金额不少于400万元的所投品牌可变信息标志供货业绩的加6分，最多加12分</w:t>
            </w:r>
          </w:p>
        </w:tc>
      </w:tr>
      <w:tr w14:paraId="4050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exact"/>
          <w:jc w:val="center"/>
        </w:trPr>
        <w:tc>
          <w:tcPr>
            <w:tcW w:w="959" w:type="dxa"/>
            <w:vMerge w:val="continue"/>
            <w:noWrap w:val="0"/>
            <w:vAlign w:val="center"/>
          </w:tcPr>
          <w:p w14:paraId="1ACC4866">
            <w:pPr>
              <w:snapToGrid w:val="0"/>
              <w:spacing w:line="320" w:lineRule="exact"/>
            </w:pPr>
          </w:p>
        </w:tc>
        <w:tc>
          <w:tcPr>
            <w:tcW w:w="1186" w:type="dxa"/>
            <w:vMerge w:val="continue"/>
            <w:noWrap w:val="0"/>
            <w:vAlign w:val="center"/>
          </w:tcPr>
          <w:p w14:paraId="08C04942">
            <w:pPr>
              <w:snapToGrid w:val="0"/>
              <w:spacing w:line="320" w:lineRule="exact"/>
            </w:pPr>
          </w:p>
        </w:tc>
        <w:tc>
          <w:tcPr>
            <w:tcW w:w="2216" w:type="dxa"/>
            <w:vMerge w:val="continue"/>
            <w:noWrap w:val="0"/>
            <w:vAlign w:val="center"/>
          </w:tcPr>
          <w:p w14:paraId="2C7BBB9F">
            <w:pPr>
              <w:snapToGrid w:val="0"/>
              <w:spacing w:line="320" w:lineRule="exact"/>
            </w:pPr>
          </w:p>
        </w:tc>
        <w:tc>
          <w:tcPr>
            <w:tcW w:w="894" w:type="dxa"/>
            <w:vMerge w:val="continue"/>
            <w:noWrap w:val="0"/>
            <w:vAlign w:val="center"/>
          </w:tcPr>
          <w:p w14:paraId="374CB410">
            <w:pPr>
              <w:snapToGrid w:val="0"/>
              <w:spacing w:line="320" w:lineRule="exact"/>
            </w:pPr>
          </w:p>
        </w:tc>
        <w:tc>
          <w:tcPr>
            <w:tcW w:w="4119" w:type="dxa"/>
            <w:noWrap w:val="0"/>
            <w:vAlign w:val="center"/>
          </w:tcPr>
          <w:p w14:paraId="7B483AE6">
            <w:pPr>
              <w:snapToGrid w:val="0"/>
              <w:spacing w:line="32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二标段：在满足资格审查条件的基础上，近3年内(2023年5月1日至投标截止时间，以合同签订时间为准)，每增加1项合同金额不少于60万元的所投品牌升、降压设备供货业绩的加6分，最多加12分。</w:t>
            </w:r>
          </w:p>
        </w:tc>
      </w:tr>
      <w:tr w14:paraId="7200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959" w:type="dxa"/>
            <w:vMerge w:val="continue"/>
            <w:noWrap w:val="0"/>
            <w:vAlign w:val="center"/>
          </w:tcPr>
          <w:p w14:paraId="3508E6FD">
            <w:pPr>
              <w:snapToGrid w:val="0"/>
              <w:spacing w:line="320" w:lineRule="exact"/>
              <w:rPr>
                <w:rFonts w:hint="eastAsia" w:ascii="宋体" w:hAnsi="宋体" w:cs="宋体"/>
                <w:color w:val="auto"/>
                <w:sz w:val="24"/>
                <w:szCs w:val="24"/>
                <w:highlight w:val="none"/>
              </w:rPr>
            </w:pPr>
          </w:p>
        </w:tc>
        <w:tc>
          <w:tcPr>
            <w:tcW w:w="1186" w:type="dxa"/>
            <w:vMerge w:val="continue"/>
            <w:noWrap w:val="0"/>
            <w:vAlign w:val="center"/>
          </w:tcPr>
          <w:p w14:paraId="704EF6BA">
            <w:pPr>
              <w:snapToGrid w:val="0"/>
              <w:spacing w:line="320" w:lineRule="exact"/>
              <w:rPr>
                <w:rFonts w:hint="eastAsia" w:ascii="宋体" w:hAnsi="宋体" w:cs="宋体"/>
                <w:color w:val="auto"/>
                <w:sz w:val="24"/>
                <w:szCs w:val="24"/>
                <w:highlight w:val="none"/>
              </w:rPr>
            </w:pPr>
          </w:p>
        </w:tc>
        <w:tc>
          <w:tcPr>
            <w:tcW w:w="2216" w:type="dxa"/>
            <w:vMerge w:val="continue"/>
            <w:noWrap w:val="0"/>
            <w:vAlign w:val="center"/>
          </w:tcPr>
          <w:p w14:paraId="3D66F0C8">
            <w:pPr>
              <w:snapToGrid w:val="0"/>
              <w:spacing w:line="320" w:lineRule="exact"/>
              <w:rPr>
                <w:rFonts w:hint="eastAsia" w:ascii="宋体" w:hAnsi="宋体" w:cs="宋体"/>
                <w:color w:val="auto"/>
                <w:sz w:val="24"/>
                <w:szCs w:val="24"/>
                <w:highlight w:val="none"/>
              </w:rPr>
            </w:pPr>
          </w:p>
        </w:tc>
        <w:tc>
          <w:tcPr>
            <w:tcW w:w="894" w:type="dxa"/>
            <w:vMerge w:val="continue"/>
            <w:noWrap w:val="0"/>
            <w:vAlign w:val="center"/>
          </w:tcPr>
          <w:p w14:paraId="6E105D9E">
            <w:pPr>
              <w:snapToGrid w:val="0"/>
              <w:spacing w:line="320" w:lineRule="exact"/>
              <w:rPr>
                <w:rFonts w:hint="eastAsia" w:ascii="宋体" w:hAnsi="宋体" w:cs="宋体"/>
                <w:color w:val="auto"/>
                <w:sz w:val="24"/>
                <w:szCs w:val="24"/>
                <w:highlight w:val="none"/>
              </w:rPr>
            </w:pPr>
          </w:p>
        </w:tc>
        <w:tc>
          <w:tcPr>
            <w:tcW w:w="4119" w:type="dxa"/>
            <w:noWrap w:val="0"/>
            <w:vAlign w:val="center"/>
          </w:tcPr>
          <w:p w14:paraId="78963176">
            <w:pPr>
              <w:snapToGrid w:val="0"/>
              <w:spacing w:line="32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三标段：在满足资格审查条件的基础上，近3年内(2023年5月1日至投标截止时间，以合同签订时间为准)，每增加1项合同金额不少于1900万的所投品牌北斗基站设备供货业绩的加6分，最多加12分。</w:t>
            </w:r>
          </w:p>
        </w:tc>
      </w:tr>
      <w:tr w14:paraId="2960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959" w:type="dxa"/>
            <w:vMerge w:val="continue"/>
            <w:noWrap w:val="0"/>
            <w:vAlign w:val="center"/>
          </w:tcPr>
          <w:p w14:paraId="7B3DD3DD">
            <w:pPr>
              <w:snapToGrid w:val="0"/>
              <w:spacing w:line="320" w:lineRule="exact"/>
              <w:rPr>
                <w:rFonts w:hint="eastAsia" w:ascii="宋体" w:hAnsi="宋体" w:cs="宋体"/>
                <w:color w:val="auto"/>
                <w:sz w:val="24"/>
                <w:szCs w:val="24"/>
                <w:highlight w:val="none"/>
              </w:rPr>
            </w:pPr>
          </w:p>
        </w:tc>
        <w:tc>
          <w:tcPr>
            <w:tcW w:w="1186" w:type="dxa"/>
            <w:vMerge w:val="continue"/>
            <w:noWrap w:val="0"/>
            <w:vAlign w:val="center"/>
          </w:tcPr>
          <w:p w14:paraId="636DA07C">
            <w:pPr>
              <w:snapToGrid w:val="0"/>
              <w:spacing w:line="320" w:lineRule="exact"/>
              <w:rPr>
                <w:rFonts w:hint="eastAsia" w:ascii="宋体" w:hAnsi="宋体" w:cs="宋体"/>
                <w:color w:val="auto"/>
                <w:sz w:val="24"/>
                <w:szCs w:val="24"/>
                <w:highlight w:val="none"/>
              </w:rPr>
            </w:pPr>
          </w:p>
        </w:tc>
        <w:tc>
          <w:tcPr>
            <w:tcW w:w="2216" w:type="dxa"/>
            <w:vMerge w:val="continue"/>
            <w:noWrap w:val="0"/>
            <w:vAlign w:val="center"/>
          </w:tcPr>
          <w:p w14:paraId="4B0156EE">
            <w:pPr>
              <w:snapToGrid w:val="0"/>
              <w:spacing w:line="320" w:lineRule="exact"/>
              <w:rPr>
                <w:rFonts w:hint="eastAsia" w:ascii="宋体" w:hAnsi="宋体" w:cs="宋体"/>
                <w:color w:val="auto"/>
                <w:sz w:val="24"/>
                <w:szCs w:val="24"/>
                <w:highlight w:val="none"/>
              </w:rPr>
            </w:pPr>
          </w:p>
        </w:tc>
        <w:tc>
          <w:tcPr>
            <w:tcW w:w="894" w:type="dxa"/>
            <w:vMerge w:val="continue"/>
            <w:noWrap w:val="0"/>
            <w:vAlign w:val="center"/>
          </w:tcPr>
          <w:p w14:paraId="28059973">
            <w:pPr>
              <w:snapToGrid w:val="0"/>
              <w:spacing w:line="320" w:lineRule="exact"/>
              <w:rPr>
                <w:rFonts w:hint="eastAsia" w:ascii="宋体" w:hAnsi="宋体" w:cs="宋体"/>
                <w:color w:val="auto"/>
                <w:sz w:val="24"/>
                <w:szCs w:val="24"/>
                <w:highlight w:val="none"/>
              </w:rPr>
            </w:pPr>
          </w:p>
        </w:tc>
        <w:tc>
          <w:tcPr>
            <w:tcW w:w="4119" w:type="dxa"/>
            <w:noWrap w:val="0"/>
            <w:vAlign w:val="center"/>
          </w:tcPr>
          <w:p w14:paraId="24FEFE9D">
            <w:pPr>
              <w:snapToGrid w:val="0"/>
              <w:spacing w:line="32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四标段：在满足资格审查条件的基础上，近3年内(2023年5月1日至投标截止时间，以合同签订时间为准)，每增加1项合同金额不少于400万元的所投品牌电机智能传感器设备供货业绩的加6分，最多加12分。</w:t>
            </w:r>
          </w:p>
        </w:tc>
      </w:tr>
      <w:tr w14:paraId="399D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959" w:type="dxa"/>
            <w:vMerge w:val="continue"/>
            <w:noWrap w:val="0"/>
            <w:vAlign w:val="center"/>
          </w:tcPr>
          <w:p w14:paraId="2AF0F8FA">
            <w:pPr>
              <w:snapToGrid w:val="0"/>
              <w:spacing w:line="320" w:lineRule="exact"/>
              <w:rPr>
                <w:rFonts w:hint="eastAsia" w:ascii="宋体" w:hAnsi="宋体" w:cs="宋体"/>
                <w:color w:val="auto"/>
                <w:sz w:val="24"/>
                <w:szCs w:val="24"/>
                <w:highlight w:val="none"/>
              </w:rPr>
            </w:pPr>
          </w:p>
        </w:tc>
        <w:tc>
          <w:tcPr>
            <w:tcW w:w="1186" w:type="dxa"/>
            <w:vMerge w:val="continue"/>
            <w:noWrap w:val="0"/>
            <w:vAlign w:val="center"/>
          </w:tcPr>
          <w:p w14:paraId="51582877">
            <w:pPr>
              <w:snapToGrid w:val="0"/>
              <w:spacing w:line="320" w:lineRule="exact"/>
              <w:rPr>
                <w:rFonts w:hint="eastAsia" w:ascii="宋体" w:hAnsi="宋体" w:cs="宋体"/>
                <w:color w:val="auto"/>
                <w:sz w:val="24"/>
                <w:szCs w:val="24"/>
                <w:highlight w:val="none"/>
              </w:rPr>
            </w:pPr>
          </w:p>
        </w:tc>
        <w:tc>
          <w:tcPr>
            <w:tcW w:w="2216" w:type="dxa"/>
            <w:vMerge w:val="continue"/>
            <w:noWrap w:val="0"/>
            <w:vAlign w:val="center"/>
          </w:tcPr>
          <w:p w14:paraId="2192BECB">
            <w:pPr>
              <w:snapToGrid w:val="0"/>
              <w:spacing w:line="320" w:lineRule="exact"/>
              <w:rPr>
                <w:rFonts w:hint="eastAsia" w:ascii="宋体" w:hAnsi="宋体" w:cs="宋体"/>
                <w:color w:val="auto"/>
                <w:sz w:val="24"/>
                <w:szCs w:val="24"/>
                <w:highlight w:val="none"/>
              </w:rPr>
            </w:pPr>
          </w:p>
        </w:tc>
        <w:tc>
          <w:tcPr>
            <w:tcW w:w="894" w:type="dxa"/>
            <w:vMerge w:val="continue"/>
            <w:noWrap w:val="0"/>
            <w:vAlign w:val="center"/>
          </w:tcPr>
          <w:p w14:paraId="1D2AA155">
            <w:pPr>
              <w:snapToGrid w:val="0"/>
              <w:spacing w:line="320" w:lineRule="exact"/>
              <w:rPr>
                <w:rFonts w:hint="eastAsia" w:ascii="宋体" w:hAnsi="宋体" w:cs="宋体"/>
                <w:color w:val="auto"/>
                <w:sz w:val="24"/>
                <w:szCs w:val="24"/>
                <w:highlight w:val="none"/>
              </w:rPr>
            </w:pPr>
          </w:p>
        </w:tc>
        <w:tc>
          <w:tcPr>
            <w:tcW w:w="4119" w:type="dxa"/>
            <w:noWrap w:val="0"/>
            <w:vAlign w:val="center"/>
          </w:tcPr>
          <w:p w14:paraId="684491AB">
            <w:pPr>
              <w:snapToGrid w:val="0"/>
              <w:spacing w:line="32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五标段：在满足资格审查条件的基础上，近3年内(2023年5月1日至投标截止时间，以合同签订时间为准)，每增加1项合同金额不少于200万元的所投品牌抓拍摄像机机设备供货业绩的加6分，最多加12分</w:t>
            </w:r>
            <w:r>
              <w:rPr>
                <w:rFonts w:hint="eastAsia" w:ascii="宋体" w:hAnsi="宋体" w:cs="宋体"/>
                <w:color w:val="auto"/>
                <w:sz w:val="24"/>
                <w:szCs w:val="24"/>
                <w:highlight w:val="none"/>
              </w:rPr>
              <w:t>。</w:t>
            </w:r>
          </w:p>
        </w:tc>
      </w:tr>
      <w:tr w14:paraId="1EA7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959" w:type="dxa"/>
            <w:vMerge w:val="continue"/>
            <w:noWrap w:val="0"/>
            <w:vAlign w:val="center"/>
          </w:tcPr>
          <w:p w14:paraId="61798468">
            <w:pPr>
              <w:snapToGrid w:val="0"/>
              <w:spacing w:line="320" w:lineRule="exact"/>
              <w:rPr>
                <w:rFonts w:hint="eastAsia" w:ascii="宋体" w:hAnsi="宋体" w:cs="宋体"/>
                <w:color w:val="auto"/>
                <w:sz w:val="24"/>
                <w:szCs w:val="24"/>
                <w:highlight w:val="none"/>
              </w:rPr>
            </w:pPr>
          </w:p>
        </w:tc>
        <w:tc>
          <w:tcPr>
            <w:tcW w:w="1186" w:type="dxa"/>
            <w:vMerge w:val="continue"/>
            <w:noWrap w:val="0"/>
            <w:vAlign w:val="center"/>
          </w:tcPr>
          <w:p w14:paraId="66FDF265">
            <w:pPr>
              <w:snapToGrid w:val="0"/>
              <w:spacing w:line="320" w:lineRule="exact"/>
              <w:rPr>
                <w:rFonts w:hint="eastAsia" w:ascii="宋体" w:hAnsi="宋体" w:cs="宋体"/>
                <w:color w:val="auto"/>
                <w:sz w:val="24"/>
                <w:szCs w:val="24"/>
                <w:highlight w:val="none"/>
              </w:rPr>
            </w:pPr>
          </w:p>
        </w:tc>
        <w:tc>
          <w:tcPr>
            <w:tcW w:w="2216" w:type="dxa"/>
            <w:vMerge w:val="continue"/>
            <w:noWrap w:val="0"/>
            <w:vAlign w:val="center"/>
          </w:tcPr>
          <w:p w14:paraId="7964BC7E">
            <w:pPr>
              <w:snapToGrid w:val="0"/>
              <w:spacing w:line="320" w:lineRule="exact"/>
              <w:rPr>
                <w:rFonts w:hint="eastAsia" w:ascii="宋体" w:hAnsi="宋体" w:cs="宋体"/>
                <w:color w:val="auto"/>
                <w:sz w:val="24"/>
                <w:szCs w:val="24"/>
                <w:highlight w:val="none"/>
              </w:rPr>
            </w:pPr>
          </w:p>
        </w:tc>
        <w:tc>
          <w:tcPr>
            <w:tcW w:w="894" w:type="dxa"/>
            <w:vMerge w:val="continue"/>
            <w:noWrap w:val="0"/>
            <w:vAlign w:val="center"/>
          </w:tcPr>
          <w:p w14:paraId="6160F39E">
            <w:pPr>
              <w:snapToGrid w:val="0"/>
              <w:spacing w:line="320" w:lineRule="exact"/>
              <w:rPr>
                <w:rFonts w:hint="eastAsia" w:ascii="宋体" w:hAnsi="宋体" w:cs="宋体"/>
                <w:color w:val="auto"/>
                <w:sz w:val="24"/>
                <w:szCs w:val="24"/>
                <w:highlight w:val="none"/>
              </w:rPr>
            </w:pPr>
          </w:p>
        </w:tc>
        <w:tc>
          <w:tcPr>
            <w:tcW w:w="4119" w:type="dxa"/>
            <w:noWrap w:val="0"/>
            <w:vAlign w:val="center"/>
          </w:tcPr>
          <w:p w14:paraId="6942437C">
            <w:pPr>
              <w:snapToGrid w:val="0"/>
              <w:spacing w:line="32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六标段：在满足资格审查条件的基础上，近3年内(2023年5月1日至投标截止时间，以合同签订时间为准)，每增加1项合同金额不少于1900万元的所投品牌称重系统设备供货业绩的加6分，最多加12分</w:t>
            </w:r>
            <w:r>
              <w:rPr>
                <w:rFonts w:hint="eastAsia" w:ascii="宋体" w:hAnsi="宋体" w:cs="宋体"/>
                <w:color w:val="auto"/>
                <w:sz w:val="24"/>
                <w:szCs w:val="24"/>
                <w:highlight w:val="none"/>
              </w:rPr>
              <w:t>。</w:t>
            </w:r>
          </w:p>
        </w:tc>
      </w:tr>
      <w:tr w14:paraId="48AD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959" w:type="dxa"/>
            <w:vMerge w:val="continue"/>
            <w:noWrap w:val="0"/>
            <w:vAlign w:val="center"/>
          </w:tcPr>
          <w:p w14:paraId="5E975A4C">
            <w:pPr>
              <w:snapToGrid w:val="0"/>
              <w:spacing w:line="320" w:lineRule="exact"/>
              <w:rPr>
                <w:rFonts w:hint="eastAsia" w:ascii="宋体" w:hAnsi="宋体" w:cs="宋体"/>
                <w:color w:val="auto"/>
                <w:sz w:val="24"/>
                <w:szCs w:val="24"/>
                <w:highlight w:val="none"/>
              </w:rPr>
            </w:pPr>
          </w:p>
        </w:tc>
        <w:tc>
          <w:tcPr>
            <w:tcW w:w="1186" w:type="dxa"/>
            <w:vMerge w:val="continue"/>
            <w:noWrap w:val="0"/>
            <w:vAlign w:val="center"/>
          </w:tcPr>
          <w:p w14:paraId="503FA8D9">
            <w:pPr>
              <w:snapToGrid w:val="0"/>
              <w:spacing w:line="320" w:lineRule="exact"/>
              <w:rPr>
                <w:rFonts w:hint="eastAsia" w:ascii="宋体" w:hAnsi="宋体" w:cs="宋体"/>
                <w:color w:val="auto"/>
                <w:sz w:val="24"/>
                <w:szCs w:val="24"/>
                <w:highlight w:val="none"/>
              </w:rPr>
            </w:pPr>
          </w:p>
        </w:tc>
        <w:tc>
          <w:tcPr>
            <w:tcW w:w="2216" w:type="dxa"/>
            <w:vMerge w:val="continue"/>
            <w:noWrap w:val="0"/>
            <w:vAlign w:val="center"/>
          </w:tcPr>
          <w:p w14:paraId="4977A8E0">
            <w:pPr>
              <w:snapToGrid w:val="0"/>
              <w:spacing w:line="320" w:lineRule="exact"/>
              <w:rPr>
                <w:rFonts w:hint="eastAsia" w:ascii="宋体" w:hAnsi="宋体" w:cs="宋体"/>
                <w:color w:val="auto"/>
                <w:sz w:val="24"/>
                <w:szCs w:val="24"/>
                <w:highlight w:val="none"/>
              </w:rPr>
            </w:pPr>
          </w:p>
        </w:tc>
        <w:tc>
          <w:tcPr>
            <w:tcW w:w="894" w:type="dxa"/>
            <w:vMerge w:val="continue"/>
            <w:noWrap w:val="0"/>
            <w:vAlign w:val="center"/>
          </w:tcPr>
          <w:p w14:paraId="049E6892">
            <w:pPr>
              <w:snapToGrid w:val="0"/>
              <w:spacing w:line="320" w:lineRule="exact"/>
              <w:rPr>
                <w:rFonts w:hint="eastAsia" w:ascii="宋体" w:hAnsi="宋体" w:cs="宋体"/>
                <w:color w:val="auto"/>
                <w:sz w:val="24"/>
                <w:szCs w:val="24"/>
                <w:highlight w:val="none"/>
              </w:rPr>
            </w:pPr>
          </w:p>
        </w:tc>
        <w:tc>
          <w:tcPr>
            <w:tcW w:w="4119" w:type="dxa"/>
            <w:noWrap w:val="0"/>
            <w:vAlign w:val="center"/>
          </w:tcPr>
          <w:p w14:paraId="229D7561">
            <w:pPr>
              <w:snapToGrid w:val="0"/>
              <w:spacing w:line="32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七标段：在满足资格审查条件的基础上，近3年内(2023年5月1日至投标截止时间，以合同签订时间为准)，每增加1项合同金额不少于300万元的所投品牌路线诱导装置设备供货业绩的加6分，最多加12分。</w:t>
            </w:r>
          </w:p>
        </w:tc>
      </w:tr>
      <w:tr w14:paraId="7A0E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959" w:type="dxa"/>
            <w:vMerge w:val="restart"/>
            <w:noWrap w:val="0"/>
            <w:vAlign w:val="center"/>
          </w:tcPr>
          <w:p w14:paraId="7C347ED2">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15B052F1">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(2)</w:t>
            </w:r>
          </w:p>
        </w:tc>
        <w:tc>
          <w:tcPr>
            <w:tcW w:w="1186" w:type="dxa"/>
            <w:vMerge w:val="restart"/>
            <w:noWrap w:val="0"/>
            <w:vAlign w:val="center"/>
          </w:tcPr>
          <w:p w14:paraId="24CD4470">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技术部分</w:t>
            </w:r>
          </w:p>
          <w:p w14:paraId="2F735311">
            <w:pPr>
              <w:pStyle w:val="7"/>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7</w:t>
            </w:r>
            <w:r>
              <w:rPr>
                <w:color w:val="auto"/>
                <w:highlight w:val="none"/>
                <w:lang w:eastAsia="zh-CN"/>
              </w:rPr>
              <w:t>0</w:t>
            </w:r>
            <w:r>
              <w:rPr>
                <w:rFonts w:hint="eastAsia"/>
                <w:color w:val="auto"/>
                <w:highlight w:val="none"/>
                <w:lang w:eastAsia="zh-CN"/>
              </w:rPr>
              <w:t>分）</w:t>
            </w:r>
          </w:p>
        </w:tc>
        <w:tc>
          <w:tcPr>
            <w:tcW w:w="2216" w:type="dxa"/>
            <w:vMerge w:val="restart"/>
            <w:noWrap w:val="0"/>
            <w:vAlign w:val="center"/>
          </w:tcPr>
          <w:p w14:paraId="191B6578">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投标设备整体评价</w:t>
            </w:r>
          </w:p>
        </w:tc>
        <w:tc>
          <w:tcPr>
            <w:tcW w:w="894" w:type="dxa"/>
            <w:vMerge w:val="restart"/>
            <w:noWrap w:val="0"/>
            <w:vAlign w:val="center"/>
          </w:tcPr>
          <w:p w14:paraId="75D63C5F">
            <w:pPr>
              <w:jc w:val="center"/>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2</w:t>
            </w:r>
            <w:r>
              <w:rPr>
                <w:rFonts w:ascii="宋体" w:hAnsi="宋体" w:cs="宋体"/>
                <w:color w:val="auto"/>
                <w:kern w:val="0"/>
                <w:sz w:val="24"/>
                <w:szCs w:val="24"/>
                <w:highlight w:val="none"/>
              </w:rPr>
              <w:t>0</w:t>
            </w:r>
            <w:r>
              <w:rPr>
                <w:rFonts w:hint="eastAsia" w:ascii="宋体" w:hAnsi="宋体" w:cs="宋体"/>
                <w:color w:val="auto"/>
                <w:kern w:val="0"/>
                <w:sz w:val="24"/>
                <w:szCs w:val="24"/>
                <w:highlight w:val="none"/>
              </w:rPr>
              <w:t>分</w:t>
            </w:r>
          </w:p>
        </w:tc>
        <w:tc>
          <w:tcPr>
            <w:tcW w:w="4119" w:type="dxa"/>
            <w:noWrap w:val="0"/>
            <w:vAlign w:val="center"/>
          </w:tcPr>
          <w:p w14:paraId="2490800A">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1.设备整体性能优越、功能齐全、完善，自动化水平高，完全满足招标文件要求，得</w:t>
            </w:r>
            <w:r>
              <w:rPr>
                <w:rFonts w:hint="eastAsia" w:ascii="宋体" w:hAnsi="宋体" w:cs="宋体"/>
                <w:color w:val="auto"/>
                <w:sz w:val="24"/>
                <w:szCs w:val="24"/>
                <w:highlight w:val="none"/>
                <w:lang w:val="en-US" w:eastAsia="zh-CN"/>
              </w:rPr>
              <w:t>16-20</w:t>
            </w:r>
            <w:r>
              <w:rPr>
                <w:rFonts w:hint="eastAsia" w:ascii="宋体" w:hAnsi="宋体" w:eastAsia="宋体" w:cs="宋体"/>
                <w:color w:val="auto"/>
                <w:sz w:val="24"/>
                <w:szCs w:val="24"/>
                <w:highlight w:val="none"/>
              </w:rPr>
              <w:t>分；</w:t>
            </w:r>
          </w:p>
          <w:p w14:paraId="468C9DC1">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2.设备整体性能较高、功能较齐全、较完善，自动化水平较高，满足招标文件要求，得</w:t>
            </w:r>
            <w:r>
              <w:rPr>
                <w:rFonts w:hint="eastAsia" w:ascii="宋体" w:hAnsi="宋体" w:cs="宋体"/>
                <w:color w:val="auto"/>
                <w:sz w:val="24"/>
                <w:szCs w:val="24"/>
                <w:highlight w:val="none"/>
                <w:lang w:val="en-US" w:eastAsia="zh-CN"/>
              </w:rPr>
              <w:t>12-16</w:t>
            </w:r>
            <w:r>
              <w:rPr>
                <w:rFonts w:hint="eastAsia" w:ascii="宋体" w:hAnsi="宋体" w:eastAsia="宋体" w:cs="宋体"/>
                <w:color w:val="auto"/>
                <w:sz w:val="24"/>
                <w:szCs w:val="24"/>
                <w:highlight w:val="none"/>
              </w:rPr>
              <w:t>分；</w:t>
            </w:r>
          </w:p>
          <w:p w14:paraId="76CB4AD5">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3.设备整体性能一般，功能一般，自动化水平一般，基本满足招标文件要求，得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r>
      <w:tr w14:paraId="3B2D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959" w:type="dxa"/>
            <w:vMerge w:val="continue"/>
            <w:noWrap w:val="0"/>
            <w:vAlign w:val="center"/>
          </w:tcPr>
          <w:p w14:paraId="550FC127">
            <w:pPr>
              <w:jc w:val="center"/>
              <w:rPr>
                <w:rFonts w:hint="eastAsia" w:ascii="宋体" w:hAnsi="宋体" w:cs="宋体"/>
                <w:color w:val="auto"/>
                <w:kern w:val="0"/>
                <w:sz w:val="24"/>
                <w:szCs w:val="24"/>
                <w:highlight w:val="none"/>
              </w:rPr>
            </w:pPr>
          </w:p>
        </w:tc>
        <w:tc>
          <w:tcPr>
            <w:tcW w:w="1186" w:type="dxa"/>
            <w:vMerge w:val="continue"/>
            <w:noWrap w:val="0"/>
            <w:vAlign w:val="center"/>
          </w:tcPr>
          <w:p w14:paraId="144041B6">
            <w:pPr>
              <w:jc w:val="center"/>
              <w:rPr>
                <w:rFonts w:hint="eastAsia" w:ascii="宋体" w:hAnsi="宋体" w:cs="宋体"/>
                <w:color w:val="auto"/>
                <w:kern w:val="0"/>
                <w:sz w:val="24"/>
                <w:szCs w:val="24"/>
                <w:highlight w:val="none"/>
              </w:rPr>
            </w:pPr>
          </w:p>
        </w:tc>
        <w:tc>
          <w:tcPr>
            <w:tcW w:w="2216" w:type="dxa"/>
            <w:vMerge w:val="restart"/>
            <w:noWrap w:val="0"/>
            <w:vAlign w:val="center"/>
          </w:tcPr>
          <w:p w14:paraId="43A8647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投标设备技术性能指标响应程度</w:t>
            </w:r>
          </w:p>
        </w:tc>
        <w:tc>
          <w:tcPr>
            <w:tcW w:w="894" w:type="dxa"/>
            <w:vMerge w:val="restart"/>
            <w:noWrap w:val="0"/>
            <w:vAlign w:val="center"/>
          </w:tcPr>
          <w:p w14:paraId="2E25541C">
            <w:pPr>
              <w:jc w:val="center"/>
              <w:rPr>
                <w:rFonts w:hint="eastAsia" w:ascii="宋体" w:hAnsi="宋体" w:cs="宋体"/>
                <w:color w:val="auto"/>
                <w:kern w:val="0"/>
                <w:sz w:val="24"/>
                <w:szCs w:val="24"/>
                <w:highlight w:val="none"/>
                <w:u w:val="single"/>
              </w:rPr>
            </w:pPr>
            <w:r>
              <w:rPr>
                <w:rFonts w:ascii="宋体" w:hAnsi="宋体" w:cs="宋体"/>
                <w:color w:val="auto"/>
                <w:kern w:val="0"/>
                <w:sz w:val="24"/>
                <w:szCs w:val="24"/>
                <w:highlight w:val="none"/>
              </w:rPr>
              <w:t>20</w:t>
            </w:r>
            <w:r>
              <w:rPr>
                <w:rFonts w:hint="eastAsia" w:ascii="宋体" w:hAnsi="宋体" w:cs="宋体"/>
                <w:color w:val="auto"/>
                <w:kern w:val="0"/>
                <w:sz w:val="24"/>
                <w:szCs w:val="24"/>
                <w:highlight w:val="none"/>
              </w:rPr>
              <w:t>分</w:t>
            </w:r>
          </w:p>
        </w:tc>
        <w:tc>
          <w:tcPr>
            <w:tcW w:w="4119" w:type="dxa"/>
            <w:noWrap w:val="0"/>
            <w:vAlign w:val="top"/>
          </w:tcPr>
          <w:p w14:paraId="00F040F7">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1.投标产品选型合理，主要组成部件的技术性能参数及功能参数指标高，实用性强、产品设计科学合理、质量可靠，得</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p w14:paraId="68CCC702">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2.投标产品选型较合理，主要组成部件的技术性能参数及功能参数指标较高，实用性较强、产品设计较合理、质量较可靠，得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分；</w:t>
            </w:r>
          </w:p>
          <w:p w14:paraId="4546223F">
            <w:pPr>
              <w:ind w:right="11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3.投标产品选型一般，主要组成部件的技术性能参数及功能参数指标一般，实用性一般、产品设计一般、质量一般，得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r>
      <w:tr w14:paraId="2789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1" w:hRule="atLeast"/>
          <w:jc w:val="center"/>
        </w:trPr>
        <w:tc>
          <w:tcPr>
            <w:tcW w:w="959" w:type="dxa"/>
            <w:vMerge w:val="continue"/>
            <w:noWrap w:val="0"/>
            <w:vAlign w:val="center"/>
          </w:tcPr>
          <w:p w14:paraId="789CF3C4">
            <w:pPr>
              <w:jc w:val="center"/>
              <w:rPr>
                <w:rFonts w:hint="eastAsia" w:ascii="宋体" w:hAnsi="宋体" w:cs="宋体"/>
                <w:color w:val="auto"/>
                <w:kern w:val="0"/>
                <w:sz w:val="24"/>
                <w:szCs w:val="24"/>
                <w:highlight w:val="none"/>
              </w:rPr>
            </w:pPr>
          </w:p>
        </w:tc>
        <w:tc>
          <w:tcPr>
            <w:tcW w:w="1186" w:type="dxa"/>
            <w:vMerge w:val="continue"/>
            <w:noWrap w:val="0"/>
            <w:vAlign w:val="center"/>
          </w:tcPr>
          <w:p w14:paraId="4BA45C7D">
            <w:pPr>
              <w:jc w:val="center"/>
              <w:rPr>
                <w:rFonts w:hint="eastAsia" w:ascii="宋体" w:hAnsi="宋体" w:cs="宋体"/>
                <w:color w:val="auto"/>
                <w:kern w:val="0"/>
                <w:sz w:val="24"/>
                <w:szCs w:val="24"/>
                <w:highlight w:val="none"/>
              </w:rPr>
            </w:pPr>
          </w:p>
        </w:tc>
        <w:tc>
          <w:tcPr>
            <w:tcW w:w="2216" w:type="dxa"/>
            <w:vMerge w:val="restart"/>
            <w:noWrap w:val="0"/>
            <w:vAlign w:val="center"/>
          </w:tcPr>
          <w:p w14:paraId="09840C4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供货能力及进度保障（暗标）</w:t>
            </w:r>
          </w:p>
        </w:tc>
        <w:tc>
          <w:tcPr>
            <w:tcW w:w="894" w:type="dxa"/>
            <w:vMerge w:val="restart"/>
            <w:noWrap w:val="0"/>
            <w:vAlign w:val="center"/>
          </w:tcPr>
          <w:p w14:paraId="0018FC0E">
            <w:pPr>
              <w:ind w:right="113"/>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tc>
        <w:tc>
          <w:tcPr>
            <w:tcW w:w="4119" w:type="dxa"/>
            <w:noWrap w:val="0"/>
            <w:vAlign w:val="top"/>
          </w:tcPr>
          <w:p w14:paraId="158BD368">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1.投标人提供的供货方案切实可行、供货能力强、交货进度有保障、能够保质保量的完成供货，针对供货过程中的特殊情况有预案，得16-20分；</w:t>
            </w:r>
          </w:p>
          <w:p w14:paraId="613FC940">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2.投标人提供的供货方案可行、供货能力较强、交货进度满足招标文件要求，得12-16分；</w:t>
            </w:r>
          </w:p>
          <w:p w14:paraId="730BA81E">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3.投标人提供的供货方案一般、供货能力一般、交货进度基本满足招标文件要求，得12分。</w:t>
            </w:r>
          </w:p>
        </w:tc>
      </w:tr>
      <w:tr w14:paraId="6057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959" w:type="dxa"/>
            <w:vMerge w:val="continue"/>
            <w:noWrap w:val="0"/>
            <w:vAlign w:val="center"/>
          </w:tcPr>
          <w:p w14:paraId="16AF6A0F">
            <w:pPr>
              <w:jc w:val="center"/>
              <w:rPr>
                <w:rFonts w:hint="eastAsia" w:ascii="宋体" w:hAnsi="宋体" w:cs="宋体"/>
                <w:color w:val="auto"/>
                <w:kern w:val="0"/>
                <w:sz w:val="24"/>
                <w:szCs w:val="24"/>
                <w:highlight w:val="none"/>
              </w:rPr>
            </w:pPr>
          </w:p>
        </w:tc>
        <w:tc>
          <w:tcPr>
            <w:tcW w:w="1186" w:type="dxa"/>
            <w:vMerge w:val="continue"/>
            <w:noWrap w:val="0"/>
            <w:vAlign w:val="center"/>
          </w:tcPr>
          <w:p w14:paraId="25905584">
            <w:pPr>
              <w:jc w:val="center"/>
              <w:rPr>
                <w:rFonts w:hint="eastAsia" w:ascii="宋体" w:hAnsi="宋体" w:cs="宋体"/>
                <w:color w:val="auto"/>
                <w:kern w:val="0"/>
                <w:sz w:val="24"/>
                <w:szCs w:val="24"/>
                <w:highlight w:val="none"/>
              </w:rPr>
            </w:pPr>
          </w:p>
        </w:tc>
        <w:tc>
          <w:tcPr>
            <w:tcW w:w="2216" w:type="dxa"/>
            <w:noWrap w:val="0"/>
            <w:vAlign w:val="center"/>
          </w:tcPr>
          <w:p w14:paraId="1939BE8A">
            <w:pPr>
              <w:pStyle w:val="20"/>
              <w:snapToGrid w:val="0"/>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技术服务及质保期服务</w:t>
            </w:r>
          </w:p>
          <w:p w14:paraId="2EDC6CC7">
            <w:pPr>
              <w:pStyle w:val="20"/>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（暗标）</w:t>
            </w:r>
          </w:p>
        </w:tc>
        <w:tc>
          <w:tcPr>
            <w:tcW w:w="894" w:type="dxa"/>
            <w:noWrap w:val="0"/>
            <w:vAlign w:val="center"/>
          </w:tcPr>
          <w:p w14:paraId="7F2EA7E9">
            <w:pPr>
              <w:ind w:right="11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4119" w:type="dxa"/>
            <w:noWrap w:val="0"/>
            <w:vAlign w:val="center"/>
          </w:tcPr>
          <w:p w14:paraId="6B62CA0B">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服务方案切实可行，针对性强，</w:t>
            </w:r>
            <w:r>
              <w:rPr>
                <w:rFonts w:hint="eastAsia" w:ascii="宋体" w:hAnsi="宋体" w:eastAsia="宋体" w:cs="宋体"/>
                <w:color w:val="auto"/>
                <w:sz w:val="24"/>
                <w:szCs w:val="24"/>
                <w:highlight w:val="none"/>
              </w:rPr>
              <w:t>服务体系完善</w:t>
            </w:r>
            <w:r>
              <w:rPr>
                <w:rFonts w:hint="eastAsia" w:ascii="宋体" w:hAnsi="宋体" w:eastAsia="宋体" w:cs="宋体"/>
                <w:color w:val="auto"/>
                <w:sz w:val="24"/>
                <w:szCs w:val="24"/>
                <w:highlight w:val="none"/>
                <w:lang w:val="zh-CN"/>
              </w:rPr>
              <w:t>，得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分；</w:t>
            </w:r>
          </w:p>
          <w:p w14:paraId="7A90BDA0">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服务方案较切实可行，针对性较强，</w:t>
            </w:r>
            <w:r>
              <w:rPr>
                <w:rFonts w:hint="eastAsia" w:ascii="宋体" w:hAnsi="宋体" w:eastAsia="宋体" w:cs="宋体"/>
                <w:color w:val="auto"/>
                <w:sz w:val="24"/>
                <w:szCs w:val="24"/>
                <w:highlight w:val="none"/>
              </w:rPr>
              <w:t>服务体系较完善</w:t>
            </w:r>
            <w:r>
              <w:rPr>
                <w:rFonts w:hint="eastAsia" w:ascii="宋体" w:hAnsi="宋体" w:eastAsia="宋体" w:cs="宋体"/>
                <w:color w:val="auto"/>
                <w:sz w:val="24"/>
                <w:szCs w:val="24"/>
                <w:highlight w:val="none"/>
                <w:lang w:val="zh-CN"/>
              </w:rPr>
              <w:t>，得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zh-CN"/>
              </w:rPr>
              <w:t>分；</w:t>
            </w:r>
          </w:p>
          <w:p w14:paraId="3644ACBF">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服务方案基本可行，</w:t>
            </w:r>
            <w:r>
              <w:rPr>
                <w:rFonts w:hint="eastAsia" w:ascii="宋体" w:hAnsi="宋体" w:eastAsia="宋体" w:cs="宋体"/>
                <w:color w:val="auto"/>
                <w:sz w:val="24"/>
                <w:szCs w:val="24"/>
                <w:highlight w:val="none"/>
              </w:rPr>
              <w:t>服务体系基本完善</w:t>
            </w:r>
            <w:r>
              <w:rPr>
                <w:rFonts w:hint="eastAsia" w:ascii="宋体" w:hAnsi="宋体" w:eastAsia="宋体" w:cs="宋体"/>
                <w:color w:val="auto"/>
                <w:sz w:val="24"/>
                <w:szCs w:val="24"/>
                <w:highlight w:val="none"/>
                <w:lang w:val="zh-CN"/>
              </w:rPr>
              <w:t>，得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分；</w:t>
            </w:r>
          </w:p>
        </w:tc>
      </w:tr>
      <w:tr w14:paraId="0807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59" w:type="dxa"/>
            <w:tcBorders>
              <w:bottom w:val="single" w:color="auto" w:sz="4" w:space="0"/>
            </w:tcBorders>
            <w:noWrap w:val="0"/>
            <w:vAlign w:val="center"/>
          </w:tcPr>
          <w:p w14:paraId="6CACC853">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65DCA605">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1186" w:type="dxa"/>
            <w:tcBorders>
              <w:bottom w:val="single" w:color="auto" w:sz="4" w:space="0"/>
            </w:tcBorders>
            <w:noWrap w:val="0"/>
            <w:vAlign w:val="center"/>
          </w:tcPr>
          <w:p w14:paraId="50E61056">
            <w:pPr>
              <w:ind w:left="144" w:hanging="144" w:hangingChars="6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其他</w:t>
            </w:r>
            <w:r>
              <w:rPr>
                <w:rFonts w:hint="eastAsia" w:ascii="宋体" w:hAnsi="宋体" w:cs="宋体"/>
                <w:color w:val="auto"/>
                <w:kern w:val="0"/>
                <w:sz w:val="24"/>
                <w:szCs w:val="24"/>
                <w:highlight w:val="none"/>
                <w:lang w:val="en-US" w:eastAsia="zh-CN"/>
              </w:rPr>
              <w:t>评分</w:t>
            </w:r>
            <w:r>
              <w:rPr>
                <w:rFonts w:hint="eastAsia" w:ascii="宋体" w:hAnsi="宋体" w:cs="宋体"/>
                <w:color w:val="auto"/>
                <w:kern w:val="0"/>
                <w:sz w:val="24"/>
                <w:szCs w:val="24"/>
                <w:highlight w:val="none"/>
              </w:rPr>
              <w:t>因素</w:t>
            </w:r>
          </w:p>
        </w:tc>
        <w:tc>
          <w:tcPr>
            <w:tcW w:w="7229" w:type="dxa"/>
            <w:gridSpan w:val="3"/>
            <w:tcBorders>
              <w:bottom w:val="single" w:color="auto" w:sz="4" w:space="0"/>
            </w:tcBorders>
            <w:noWrap w:val="0"/>
            <w:vAlign w:val="center"/>
          </w:tcPr>
          <w:p w14:paraId="720F304D">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无</w:t>
            </w:r>
          </w:p>
        </w:tc>
      </w:tr>
    </w:tbl>
    <w:p w14:paraId="4BFBD247">
      <w:pPr>
        <w:pStyle w:val="9"/>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注：</w:t>
      </w:r>
    </w:p>
    <w:p w14:paraId="46ED200A">
      <w:pPr>
        <w:pStyle w:val="9"/>
        <w:adjustRightInd w:val="0"/>
        <w:snapToGrid w:val="0"/>
        <w:spacing w:line="360" w:lineRule="auto"/>
        <w:jc w:val="left"/>
        <w:textAlignment w:val="baseline"/>
        <w:rPr>
          <w:rFonts w:hint="eastAsia" w:hAnsi="宋体" w:eastAsia="宋体"/>
          <w:snapToGrid w:val="0"/>
          <w:color w:val="auto"/>
          <w:kern w:val="0"/>
          <w:sz w:val="24"/>
          <w:szCs w:val="24"/>
          <w:highlight w:val="yellow"/>
          <w:lang w:eastAsia="zh-CN"/>
        </w:rPr>
      </w:pPr>
      <w:r>
        <w:rPr>
          <w:rFonts w:hAnsi="宋体"/>
          <w:snapToGrid w:val="0"/>
          <w:color w:val="auto"/>
          <w:kern w:val="0"/>
          <w:sz w:val="24"/>
          <w:szCs w:val="24"/>
          <w:highlight w:val="none"/>
        </w:rPr>
        <w:t>1、评委打分保留1位小数</w:t>
      </w:r>
      <w:r>
        <w:rPr>
          <w:rFonts w:hint="eastAsia" w:hAnsi="宋体"/>
          <w:snapToGrid w:val="0"/>
          <w:color w:val="auto"/>
          <w:kern w:val="0"/>
          <w:sz w:val="24"/>
          <w:szCs w:val="24"/>
          <w:highlight w:val="none"/>
        </w:rPr>
        <w:t>，各评分因素得分应以评标委员会各成员的打分平均值确定，保留两位小数，第三位四舍五入。</w:t>
      </w:r>
    </w:p>
    <w:p w14:paraId="3DF6A1FF">
      <w:pPr>
        <w:pStyle w:val="9"/>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2、</w:t>
      </w:r>
      <w:r>
        <w:rPr>
          <w:rFonts w:hint="eastAsia" w:hAnsi="宋体"/>
          <w:snapToGrid w:val="0"/>
          <w:color w:val="auto"/>
          <w:kern w:val="0"/>
          <w:sz w:val="24"/>
          <w:szCs w:val="24"/>
          <w:highlight w:val="none"/>
        </w:rPr>
        <w:t>第2.2.</w:t>
      </w:r>
      <w:r>
        <w:rPr>
          <w:rFonts w:hint="eastAsia" w:hAnsi="宋体"/>
          <w:snapToGrid w:val="0"/>
          <w:color w:val="auto"/>
          <w:kern w:val="0"/>
          <w:sz w:val="24"/>
          <w:szCs w:val="24"/>
          <w:highlight w:val="none"/>
          <w:lang w:val="en-US" w:eastAsia="zh-CN"/>
        </w:rPr>
        <w:t>1</w:t>
      </w:r>
      <w:r>
        <w:rPr>
          <w:rFonts w:hint="eastAsia" w:hAnsi="宋体"/>
          <w:snapToGrid w:val="0"/>
          <w:color w:val="auto"/>
          <w:kern w:val="0"/>
          <w:sz w:val="24"/>
          <w:szCs w:val="24"/>
          <w:highlight w:val="none"/>
        </w:rPr>
        <w:t>（</w:t>
      </w:r>
      <w:r>
        <w:rPr>
          <w:rFonts w:hint="eastAsia" w:hAnsi="宋体"/>
          <w:snapToGrid w:val="0"/>
          <w:color w:val="auto"/>
          <w:kern w:val="0"/>
          <w:sz w:val="24"/>
          <w:szCs w:val="24"/>
          <w:highlight w:val="none"/>
          <w:lang w:val="en-US" w:eastAsia="zh-CN"/>
        </w:rPr>
        <w:t>2</w:t>
      </w:r>
      <w:r>
        <w:rPr>
          <w:rFonts w:hint="eastAsia" w:hAnsi="宋体"/>
          <w:snapToGrid w:val="0"/>
          <w:color w:val="auto"/>
          <w:kern w:val="0"/>
          <w:sz w:val="24"/>
          <w:szCs w:val="24"/>
          <w:highlight w:val="none"/>
        </w:rPr>
        <w:t>）项评标委员会成员对某一项评分因素的评分低于权重分值 60%的，应在评标报告中作出说明。评审</w:t>
      </w:r>
      <w:r>
        <w:rPr>
          <w:rFonts w:hint="eastAsia" w:hAnsi="宋体"/>
          <w:snapToGrid w:val="0"/>
          <w:color w:val="auto"/>
          <w:kern w:val="0"/>
          <w:sz w:val="24"/>
          <w:szCs w:val="24"/>
          <w:highlight w:val="none"/>
          <w:lang w:val="en-US" w:eastAsia="zh-CN"/>
        </w:rPr>
        <w:t>因素细分项</w:t>
      </w:r>
      <w:r>
        <w:rPr>
          <w:rFonts w:hint="eastAsia" w:hAnsi="宋体"/>
          <w:snapToGrid w:val="0"/>
          <w:color w:val="auto"/>
          <w:kern w:val="0"/>
          <w:sz w:val="24"/>
          <w:szCs w:val="24"/>
          <w:highlight w:val="none"/>
        </w:rPr>
        <w:t>缺项则该项得0分。</w:t>
      </w:r>
    </w:p>
    <w:p w14:paraId="612620E6">
      <w:pPr>
        <w:rPr>
          <w:rFonts w:hint="eastAsia" w:ascii="宋体" w:hAnsi="宋体"/>
          <w:b/>
          <w:bCs/>
          <w:snapToGrid w:val="0"/>
          <w:color w:val="auto"/>
          <w:kern w:val="0"/>
          <w:sz w:val="24"/>
          <w:highlight w:val="none"/>
          <w:lang w:val="en-US" w:eastAsia="zh-CN"/>
        </w:rPr>
      </w:pPr>
      <w:r>
        <w:rPr>
          <w:rFonts w:hint="eastAsia" w:ascii="宋体" w:hAnsi="宋体"/>
          <w:b/>
          <w:bCs/>
          <w:snapToGrid w:val="0"/>
          <w:color w:val="auto"/>
          <w:kern w:val="0"/>
          <w:sz w:val="24"/>
          <w:highlight w:val="none"/>
          <w:lang w:val="en-US" w:eastAsia="zh-CN"/>
        </w:rPr>
        <w:br w:type="page"/>
      </w:r>
    </w:p>
    <w:p w14:paraId="5BC17DD1">
      <w:pPr>
        <w:pStyle w:val="3"/>
        <w:adjustRightInd w:val="0"/>
        <w:snapToGrid w:val="0"/>
        <w:spacing w:before="0" w:after="0"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、标段划分</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3522"/>
        <w:gridCol w:w="1897"/>
        <w:gridCol w:w="1882"/>
      </w:tblGrid>
      <w:tr w14:paraId="28D3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Pr>
          <w:p w14:paraId="41714C07">
            <w:pPr>
              <w:pStyle w:val="3"/>
              <w:adjustRightInd w:val="0"/>
              <w:snapToGrid w:val="0"/>
              <w:spacing w:before="0" w:after="0" w:line="360" w:lineRule="auto"/>
              <w:jc w:val="center"/>
              <w:rPr>
                <w:rFonts w:hint="default" w:ascii="宋体" w:hAnsi="宋体"/>
                <w:b/>
                <w:bCs/>
                <w:snapToGrid w:val="0"/>
                <w:color w:val="auto"/>
                <w:kern w:val="0"/>
                <w:sz w:val="24"/>
                <w:highlight w:val="none"/>
                <w:vertAlign w:val="baseline"/>
                <w:lang w:val="en-US" w:eastAsia="zh-CN"/>
              </w:rPr>
            </w:pPr>
            <w:r>
              <w:rPr>
                <w:rFonts w:hint="eastAsia" w:ascii="宋体" w:hAnsi="宋体"/>
                <w:b/>
                <w:bCs/>
                <w:snapToGrid w:val="0"/>
                <w:color w:val="auto"/>
                <w:kern w:val="0"/>
                <w:sz w:val="24"/>
                <w:highlight w:val="none"/>
                <w:vertAlign w:val="baseline"/>
                <w:lang w:val="en-US" w:eastAsia="zh-CN"/>
              </w:rPr>
              <w:t>标段</w:t>
            </w:r>
          </w:p>
        </w:tc>
        <w:tc>
          <w:tcPr>
            <w:tcW w:w="3757" w:type="dxa"/>
          </w:tcPr>
          <w:p w14:paraId="2B28E626">
            <w:pPr>
              <w:pStyle w:val="3"/>
              <w:adjustRightInd w:val="0"/>
              <w:snapToGrid w:val="0"/>
              <w:spacing w:before="0" w:after="0" w:line="360" w:lineRule="auto"/>
              <w:jc w:val="center"/>
              <w:rPr>
                <w:rFonts w:hint="default" w:ascii="宋体" w:hAnsi="宋体"/>
                <w:b/>
                <w:bCs/>
                <w:snapToGrid w:val="0"/>
                <w:color w:val="auto"/>
                <w:kern w:val="0"/>
                <w:sz w:val="24"/>
                <w:highlight w:val="none"/>
                <w:vertAlign w:val="baseline"/>
                <w:lang w:val="en-US" w:eastAsia="zh-CN"/>
              </w:rPr>
            </w:pPr>
            <w:r>
              <w:rPr>
                <w:rFonts w:hint="eastAsia" w:ascii="宋体" w:hAnsi="宋体"/>
                <w:b/>
                <w:bCs/>
                <w:snapToGrid w:val="0"/>
                <w:color w:val="auto"/>
                <w:kern w:val="0"/>
                <w:sz w:val="24"/>
                <w:highlight w:val="none"/>
                <w:vertAlign w:val="baseline"/>
                <w:lang w:val="en-US" w:eastAsia="zh-CN"/>
              </w:rPr>
              <w:t>主要内容</w:t>
            </w:r>
          </w:p>
        </w:tc>
        <w:tc>
          <w:tcPr>
            <w:tcW w:w="1986" w:type="dxa"/>
          </w:tcPr>
          <w:p w14:paraId="3A0E569F">
            <w:pPr>
              <w:pStyle w:val="3"/>
              <w:adjustRightInd w:val="0"/>
              <w:snapToGrid w:val="0"/>
              <w:spacing w:before="0" w:after="0" w:line="360" w:lineRule="auto"/>
              <w:jc w:val="center"/>
              <w:rPr>
                <w:rFonts w:hint="default" w:ascii="宋体" w:hAnsi="宋体"/>
                <w:b/>
                <w:bCs/>
                <w:snapToGrid w:val="0"/>
                <w:color w:val="auto"/>
                <w:kern w:val="0"/>
                <w:sz w:val="24"/>
                <w:highlight w:val="none"/>
                <w:vertAlign w:val="baseline"/>
                <w:lang w:val="en-US" w:eastAsia="zh-CN"/>
              </w:rPr>
            </w:pPr>
            <w:r>
              <w:rPr>
                <w:rFonts w:hint="eastAsia" w:ascii="宋体" w:hAnsi="宋体"/>
                <w:b/>
                <w:bCs/>
                <w:snapToGrid w:val="0"/>
                <w:color w:val="auto"/>
                <w:kern w:val="0"/>
                <w:sz w:val="24"/>
                <w:highlight w:val="none"/>
                <w:vertAlign w:val="baseline"/>
                <w:lang w:val="en-US" w:eastAsia="zh-CN"/>
              </w:rPr>
              <w:t>设备名称</w:t>
            </w:r>
          </w:p>
        </w:tc>
        <w:tc>
          <w:tcPr>
            <w:tcW w:w="1986" w:type="dxa"/>
          </w:tcPr>
          <w:p w14:paraId="6D899B5F">
            <w:pPr>
              <w:pStyle w:val="3"/>
              <w:adjustRightInd w:val="0"/>
              <w:snapToGrid w:val="0"/>
              <w:spacing w:before="0" w:after="0" w:line="360" w:lineRule="auto"/>
              <w:jc w:val="center"/>
              <w:rPr>
                <w:rFonts w:hint="default" w:ascii="宋体" w:hAnsi="宋体"/>
                <w:b/>
                <w:bCs/>
                <w:strike/>
                <w:dstrike w:val="0"/>
                <w:snapToGrid w:val="0"/>
                <w:color w:val="auto"/>
                <w:kern w:val="0"/>
                <w:sz w:val="24"/>
                <w:highlight w:val="none"/>
                <w:vertAlign w:val="baseline"/>
                <w:lang w:val="en-US" w:eastAsia="zh-CN"/>
              </w:rPr>
            </w:pPr>
            <w:r>
              <w:rPr>
                <w:rFonts w:hint="eastAsia" w:ascii="宋体" w:hAnsi="宋体"/>
                <w:b/>
                <w:bCs/>
                <w:snapToGrid w:val="0"/>
                <w:color w:val="auto"/>
                <w:kern w:val="0"/>
                <w:sz w:val="24"/>
                <w:highlight w:val="none"/>
                <w:vertAlign w:val="baseline"/>
                <w:lang w:val="en-US" w:eastAsia="zh-CN"/>
              </w:rPr>
              <w:t>数量</w:t>
            </w:r>
          </w:p>
        </w:tc>
      </w:tr>
      <w:tr w14:paraId="3C90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85" w:type="dxa"/>
            <w:vMerge w:val="restart"/>
          </w:tcPr>
          <w:p w14:paraId="7B0EE750">
            <w:pPr>
              <w:pStyle w:val="3"/>
              <w:adjustRightInd w:val="0"/>
              <w:snapToGrid w:val="0"/>
              <w:spacing w:before="0" w:after="0" w:line="360" w:lineRule="auto"/>
              <w:jc w:val="center"/>
              <w:rPr>
                <w:rFonts w:hint="default" w:ascii="宋体" w:hAnsi="宋体" w:eastAsia="宋体" w:cs="Times New Roman"/>
                <w:b/>
                <w:bCs/>
                <w:snapToGrid w:val="0"/>
                <w:color w:val="auto"/>
                <w:kern w:val="0"/>
                <w:sz w:val="24"/>
                <w:highlight w:val="none"/>
                <w:vertAlign w:val="baseline"/>
                <w:lang w:val="en-US" w:eastAsia="zh-CN"/>
              </w:rPr>
            </w:pPr>
            <w:r>
              <w:rPr>
                <w:rFonts w:hint="eastAsia" w:ascii="宋体" w:hAnsi="宋体" w:eastAsia="宋体" w:cs="Times New Roman"/>
                <w:b/>
                <w:bCs/>
                <w:snapToGrid w:val="0"/>
                <w:color w:val="auto"/>
                <w:kern w:val="0"/>
                <w:sz w:val="24"/>
                <w:highlight w:val="none"/>
                <w:vertAlign w:val="baseline"/>
                <w:lang w:val="en-US" w:eastAsia="zh-CN"/>
              </w:rPr>
              <w:t>一标段</w:t>
            </w:r>
          </w:p>
        </w:tc>
        <w:tc>
          <w:tcPr>
            <w:tcW w:w="3757" w:type="dxa"/>
            <w:vMerge w:val="restart"/>
          </w:tcPr>
          <w:p w14:paraId="1CD7B01E">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r>
              <w:rPr>
                <w:rFonts w:hint="eastAsia" w:ascii="宋体" w:hAnsi="宋体" w:eastAsia="宋体" w:cs="Times New Roman"/>
                <w:b/>
                <w:bCs/>
                <w:snapToGrid w:val="0"/>
                <w:color w:val="auto"/>
                <w:kern w:val="0"/>
                <w:sz w:val="24"/>
                <w:highlight w:val="none"/>
                <w:vertAlign w:val="baseline"/>
                <w:lang w:val="en-US" w:eastAsia="zh-CN"/>
              </w:rPr>
              <w:t>道路可变信息标志</w:t>
            </w:r>
          </w:p>
        </w:tc>
        <w:tc>
          <w:tcPr>
            <w:tcW w:w="1986" w:type="dxa"/>
          </w:tcPr>
          <w:p w14:paraId="5E0992C6">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告知组合屏</w:t>
            </w:r>
          </w:p>
        </w:tc>
        <w:tc>
          <w:tcPr>
            <w:tcW w:w="1986" w:type="dxa"/>
          </w:tcPr>
          <w:p w14:paraId="6E84F883">
            <w:pPr>
              <w:adjustRightInd w:val="0"/>
              <w:snapToGrid w:val="0"/>
              <w:spacing w:before="0" w:after="0" w:line="36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6套</w:t>
            </w:r>
          </w:p>
        </w:tc>
      </w:tr>
      <w:tr w14:paraId="29B3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85" w:type="dxa"/>
            <w:vMerge w:val="continue"/>
          </w:tcPr>
          <w:p w14:paraId="4DDD73A2">
            <w:pPr>
              <w:pStyle w:val="3"/>
              <w:adjustRightInd w:val="0"/>
              <w:snapToGrid w:val="0"/>
              <w:spacing w:before="0" w:after="0" w:line="360" w:lineRule="auto"/>
              <w:jc w:val="center"/>
            </w:pPr>
          </w:p>
        </w:tc>
        <w:tc>
          <w:tcPr>
            <w:tcW w:w="3757" w:type="dxa"/>
            <w:vMerge w:val="continue"/>
          </w:tcPr>
          <w:p w14:paraId="66AEF184">
            <w:pPr>
              <w:pStyle w:val="3"/>
              <w:adjustRightInd w:val="0"/>
              <w:snapToGrid w:val="0"/>
              <w:spacing w:before="0" w:after="0" w:line="360" w:lineRule="auto"/>
              <w:jc w:val="center"/>
            </w:pPr>
          </w:p>
        </w:tc>
        <w:tc>
          <w:tcPr>
            <w:tcW w:w="1986" w:type="dxa"/>
          </w:tcPr>
          <w:p w14:paraId="0A3E3A47">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门架式可变信息标志</w:t>
            </w:r>
          </w:p>
        </w:tc>
        <w:tc>
          <w:tcPr>
            <w:tcW w:w="1986" w:type="dxa"/>
          </w:tcPr>
          <w:p w14:paraId="4349AE6A">
            <w:pPr>
              <w:adjustRightInd w:val="0"/>
              <w:snapToGrid w:val="0"/>
              <w:spacing w:before="0" w:after="0" w:line="36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20套</w:t>
            </w:r>
          </w:p>
        </w:tc>
      </w:tr>
      <w:tr w14:paraId="7E6E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85" w:type="dxa"/>
            <w:vMerge w:val="continue"/>
          </w:tcPr>
          <w:p w14:paraId="64B14996">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6C46F502">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37CC5361">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可变限速标志</w:t>
            </w:r>
          </w:p>
        </w:tc>
        <w:tc>
          <w:tcPr>
            <w:tcW w:w="1986" w:type="dxa"/>
          </w:tcPr>
          <w:p w14:paraId="7506783B">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42套</w:t>
            </w:r>
          </w:p>
        </w:tc>
      </w:tr>
      <w:tr w14:paraId="3DB4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85" w:type="dxa"/>
            <w:vMerge w:val="continue"/>
          </w:tcPr>
          <w:p w14:paraId="50A3E94C">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3087412A">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5905A67D">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悬臂式可变信息标志</w:t>
            </w:r>
          </w:p>
        </w:tc>
        <w:tc>
          <w:tcPr>
            <w:tcW w:w="1986" w:type="dxa"/>
          </w:tcPr>
          <w:p w14:paraId="5CA43670">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cs="Times New Roman"/>
                <w:lang w:val="en-US" w:eastAsia="zh-CN"/>
              </w:rPr>
              <w:t>4</w:t>
            </w:r>
            <w:r>
              <w:rPr>
                <w:rFonts w:hint="eastAsia" w:ascii="Times New Roman" w:hAnsi="Times New Roman" w:eastAsia="宋体" w:cs="Times New Roman"/>
              </w:rPr>
              <w:t>套</w:t>
            </w:r>
          </w:p>
        </w:tc>
      </w:tr>
      <w:tr w14:paraId="300C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85" w:type="dxa"/>
            <w:vMerge w:val="continue"/>
          </w:tcPr>
          <w:p w14:paraId="49BB3851">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325D532A">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06479472">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可变限速限距屏</w:t>
            </w:r>
          </w:p>
        </w:tc>
        <w:tc>
          <w:tcPr>
            <w:tcW w:w="1986" w:type="dxa"/>
          </w:tcPr>
          <w:p w14:paraId="5CED5FD5">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cs="Times New Roman"/>
                <w:lang w:val="en-US" w:eastAsia="zh-CN"/>
              </w:rPr>
              <w:t>6</w:t>
            </w:r>
            <w:r>
              <w:rPr>
                <w:rFonts w:hint="eastAsia" w:ascii="Times New Roman" w:hAnsi="Times New Roman" w:eastAsia="宋体" w:cs="Times New Roman"/>
              </w:rPr>
              <w:t>套</w:t>
            </w:r>
          </w:p>
        </w:tc>
      </w:tr>
      <w:tr w14:paraId="329E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85" w:type="dxa"/>
            <w:vMerge w:val="continue"/>
          </w:tcPr>
          <w:p w14:paraId="3821F87A">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27B47298">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15A66CC8">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门架式车道指示灯</w:t>
            </w:r>
          </w:p>
        </w:tc>
        <w:tc>
          <w:tcPr>
            <w:tcW w:w="1986" w:type="dxa"/>
          </w:tcPr>
          <w:p w14:paraId="4DBD4007">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cs="Times New Roman"/>
                <w:lang w:val="en-US" w:eastAsia="zh-CN"/>
              </w:rPr>
              <w:t>42</w:t>
            </w:r>
            <w:r>
              <w:rPr>
                <w:rFonts w:hint="eastAsia" w:ascii="Times New Roman" w:hAnsi="Times New Roman" w:eastAsia="宋体" w:cs="Times New Roman"/>
              </w:rPr>
              <w:t>套</w:t>
            </w:r>
          </w:p>
        </w:tc>
      </w:tr>
      <w:tr w14:paraId="0D7A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85" w:type="dxa"/>
            <w:vMerge w:val="continue"/>
          </w:tcPr>
          <w:p w14:paraId="700AFA98">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6B4EAD08">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6539EE44">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单柱式可变信息标志</w:t>
            </w:r>
          </w:p>
        </w:tc>
        <w:tc>
          <w:tcPr>
            <w:tcW w:w="1986" w:type="dxa"/>
          </w:tcPr>
          <w:p w14:paraId="1D37BB05">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cs="Times New Roman"/>
                <w:lang w:val="en-US" w:eastAsia="zh-CN"/>
              </w:rPr>
              <w:t>6</w:t>
            </w:r>
            <w:r>
              <w:rPr>
                <w:rFonts w:hint="eastAsia" w:ascii="Times New Roman" w:hAnsi="Times New Roman" w:eastAsia="宋体" w:cs="Times New Roman"/>
              </w:rPr>
              <w:t>套</w:t>
            </w:r>
          </w:p>
        </w:tc>
      </w:tr>
      <w:tr w14:paraId="14F8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85" w:type="dxa"/>
            <w:vMerge w:val="continue"/>
          </w:tcPr>
          <w:p w14:paraId="2C665976">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7C1B6F81">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2D7E1793">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可变信息标志加密服务器</w:t>
            </w:r>
          </w:p>
        </w:tc>
        <w:tc>
          <w:tcPr>
            <w:tcW w:w="1986" w:type="dxa"/>
          </w:tcPr>
          <w:p w14:paraId="6269311A">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cs="Times New Roman"/>
                <w:lang w:val="en-US" w:eastAsia="zh-CN"/>
              </w:rPr>
              <w:t>1</w:t>
            </w:r>
            <w:r>
              <w:rPr>
                <w:rFonts w:hint="eastAsia" w:ascii="Times New Roman" w:hAnsi="Times New Roman" w:eastAsia="宋体" w:cs="Times New Roman"/>
              </w:rPr>
              <w:t>套</w:t>
            </w:r>
          </w:p>
        </w:tc>
      </w:tr>
      <w:tr w14:paraId="20E8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285" w:type="dxa"/>
            <w:vMerge w:val="restart"/>
          </w:tcPr>
          <w:p w14:paraId="4B3D3D8D">
            <w:pPr>
              <w:pStyle w:val="3"/>
              <w:adjustRightInd w:val="0"/>
              <w:snapToGrid w:val="0"/>
              <w:spacing w:before="0" w:after="0" w:line="360" w:lineRule="auto"/>
              <w:jc w:val="center"/>
              <w:rPr>
                <w:rFonts w:hint="default" w:ascii="宋体" w:hAnsi="宋体" w:eastAsia="宋体" w:cs="Times New Roman"/>
                <w:b/>
                <w:bCs/>
                <w:snapToGrid w:val="0"/>
                <w:color w:val="auto"/>
                <w:kern w:val="0"/>
                <w:sz w:val="24"/>
                <w:highlight w:val="none"/>
                <w:vertAlign w:val="baseline"/>
                <w:lang w:val="en-US" w:eastAsia="zh-CN"/>
              </w:rPr>
            </w:pPr>
            <w:r>
              <w:rPr>
                <w:rFonts w:hint="eastAsia" w:ascii="宋体" w:hAnsi="宋体" w:eastAsia="宋体" w:cs="Times New Roman"/>
                <w:b/>
                <w:bCs/>
                <w:snapToGrid w:val="0"/>
                <w:color w:val="auto"/>
                <w:kern w:val="0"/>
                <w:sz w:val="24"/>
                <w:highlight w:val="none"/>
                <w:vertAlign w:val="baseline"/>
                <w:lang w:val="en-US" w:eastAsia="zh-CN"/>
              </w:rPr>
              <w:t>二标段</w:t>
            </w:r>
          </w:p>
        </w:tc>
        <w:tc>
          <w:tcPr>
            <w:tcW w:w="3757" w:type="dxa"/>
            <w:vMerge w:val="restart"/>
          </w:tcPr>
          <w:p w14:paraId="3E1A23FA">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r>
              <w:rPr>
                <w:rFonts w:hint="eastAsia" w:ascii="宋体" w:hAnsi="宋体" w:eastAsia="宋体" w:cs="Times New Roman"/>
                <w:b/>
                <w:bCs/>
                <w:snapToGrid w:val="0"/>
                <w:color w:val="auto"/>
                <w:kern w:val="0"/>
                <w:sz w:val="24"/>
                <w:highlight w:val="none"/>
                <w:vertAlign w:val="baseline"/>
                <w:lang w:val="en-US" w:eastAsia="zh-CN"/>
              </w:rPr>
              <w:t>升、降压设备</w:t>
            </w:r>
          </w:p>
        </w:tc>
        <w:tc>
          <w:tcPr>
            <w:tcW w:w="1986" w:type="dxa"/>
          </w:tcPr>
          <w:p w14:paraId="151D175E">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电源发生器</w:t>
            </w:r>
          </w:p>
        </w:tc>
        <w:tc>
          <w:tcPr>
            <w:tcW w:w="1986" w:type="dxa"/>
          </w:tcPr>
          <w:p w14:paraId="576426FC">
            <w:pPr>
              <w:adjustRightInd w:val="0"/>
              <w:snapToGrid w:val="0"/>
              <w:spacing w:before="0" w:after="0" w:line="36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5套</w:t>
            </w:r>
          </w:p>
        </w:tc>
      </w:tr>
      <w:tr w14:paraId="216D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285" w:type="dxa"/>
            <w:vMerge w:val="continue"/>
          </w:tcPr>
          <w:p w14:paraId="6FE3F1C7">
            <w:pPr>
              <w:pStyle w:val="3"/>
              <w:adjustRightInd w:val="0"/>
              <w:snapToGrid w:val="0"/>
              <w:spacing w:before="0" w:after="0" w:line="360" w:lineRule="auto"/>
              <w:jc w:val="both"/>
            </w:pPr>
          </w:p>
        </w:tc>
        <w:tc>
          <w:tcPr>
            <w:tcW w:w="3757" w:type="dxa"/>
            <w:vMerge w:val="continue"/>
          </w:tcPr>
          <w:p w14:paraId="64B7AB3D">
            <w:pPr>
              <w:pStyle w:val="3"/>
              <w:adjustRightInd w:val="0"/>
              <w:snapToGrid w:val="0"/>
              <w:spacing w:before="0" w:after="0" w:line="360" w:lineRule="auto"/>
              <w:jc w:val="both"/>
            </w:pPr>
          </w:p>
        </w:tc>
        <w:tc>
          <w:tcPr>
            <w:tcW w:w="1986" w:type="dxa"/>
          </w:tcPr>
          <w:p w14:paraId="3A176BBB">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隔离变换器</w:t>
            </w:r>
          </w:p>
        </w:tc>
        <w:tc>
          <w:tcPr>
            <w:tcW w:w="1986" w:type="dxa"/>
          </w:tcPr>
          <w:p w14:paraId="678A6049">
            <w:pPr>
              <w:adjustRightInd w:val="0"/>
              <w:snapToGrid w:val="0"/>
              <w:spacing w:before="0" w:after="0" w:line="36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103套</w:t>
            </w:r>
          </w:p>
        </w:tc>
      </w:tr>
      <w:tr w14:paraId="4FDA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285" w:type="dxa"/>
            <w:vMerge w:val="restart"/>
          </w:tcPr>
          <w:p w14:paraId="324920B2">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p w14:paraId="515AA95B">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p w14:paraId="2107D42D">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r>
              <w:rPr>
                <w:rFonts w:hint="eastAsia" w:ascii="宋体" w:hAnsi="宋体" w:eastAsia="宋体" w:cs="Times New Roman"/>
                <w:b/>
                <w:bCs/>
                <w:snapToGrid w:val="0"/>
                <w:color w:val="auto"/>
                <w:kern w:val="0"/>
                <w:sz w:val="24"/>
                <w:highlight w:val="none"/>
                <w:vertAlign w:val="baseline"/>
                <w:lang w:val="en-US" w:eastAsia="zh-CN"/>
              </w:rPr>
              <w:t>三标段</w:t>
            </w:r>
          </w:p>
        </w:tc>
        <w:tc>
          <w:tcPr>
            <w:tcW w:w="3757" w:type="dxa"/>
            <w:vMerge w:val="restart"/>
          </w:tcPr>
          <w:p w14:paraId="6A276C19">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p w14:paraId="7DFF99ED">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p w14:paraId="39243480">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r>
              <w:rPr>
                <w:rFonts w:hint="eastAsia" w:ascii="宋体" w:hAnsi="宋体" w:eastAsia="宋体" w:cs="Times New Roman"/>
                <w:b/>
                <w:bCs/>
                <w:snapToGrid w:val="0"/>
                <w:color w:val="auto"/>
                <w:kern w:val="0"/>
                <w:sz w:val="24"/>
                <w:highlight w:val="none"/>
                <w:vertAlign w:val="baseline"/>
                <w:lang w:val="en-US" w:eastAsia="zh-CN"/>
              </w:rPr>
              <w:t>隧道北斗应用设备</w:t>
            </w:r>
          </w:p>
        </w:tc>
        <w:tc>
          <w:tcPr>
            <w:tcW w:w="1986" w:type="dxa"/>
          </w:tcPr>
          <w:p w14:paraId="55FA2E86">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一体化管理单元</w:t>
            </w:r>
          </w:p>
        </w:tc>
        <w:tc>
          <w:tcPr>
            <w:tcW w:w="1986" w:type="dxa"/>
          </w:tcPr>
          <w:p w14:paraId="748BF30F">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10套</w:t>
            </w:r>
          </w:p>
        </w:tc>
      </w:tr>
      <w:tr w14:paraId="05471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285" w:type="dxa"/>
            <w:vMerge w:val="continue"/>
          </w:tcPr>
          <w:p w14:paraId="054F009F">
            <w:pPr>
              <w:pStyle w:val="3"/>
              <w:adjustRightInd w:val="0"/>
              <w:snapToGrid w:val="0"/>
              <w:spacing w:before="0" w:after="0" w:line="360" w:lineRule="auto"/>
              <w:jc w:val="both"/>
            </w:pPr>
          </w:p>
        </w:tc>
        <w:tc>
          <w:tcPr>
            <w:tcW w:w="3757" w:type="dxa"/>
            <w:vMerge w:val="continue"/>
          </w:tcPr>
          <w:p w14:paraId="58EF29CD">
            <w:pPr>
              <w:pStyle w:val="3"/>
              <w:adjustRightInd w:val="0"/>
              <w:snapToGrid w:val="0"/>
              <w:spacing w:before="0" w:after="0" w:line="360" w:lineRule="auto"/>
              <w:jc w:val="both"/>
            </w:pPr>
          </w:p>
        </w:tc>
        <w:tc>
          <w:tcPr>
            <w:tcW w:w="1986" w:type="dxa"/>
          </w:tcPr>
          <w:p w14:paraId="40BC4181">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隧道北斗基站</w:t>
            </w:r>
          </w:p>
        </w:tc>
        <w:tc>
          <w:tcPr>
            <w:tcW w:w="1986" w:type="dxa"/>
          </w:tcPr>
          <w:p w14:paraId="68E3E2AC">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917台</w:t>
            </w:r>
          </w:p>
        </w:tc>
      </w:tr>
      <w:tr w14:paraId="092A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285" w:type="dxa"/>
            <w:vMerge w:val="continue"/>
          </w:tcPr>
          <w:p w14:paraId="3E8F6EE3">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2CC081A6">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354F4D2D">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隧道北斗天线</w:t>
            </w:r>
          </w:p>
        </w:tc>
        <w:tc>
          <w:tcPr>
            <w:tcW w:w="1986" w:type="dxa"/>
          </w:tcPr>
          <w:p w14:paraId="348ED1DA">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3668套</w:t>
            </w:r>
          </w:p>
        </w:tc>
      </w:tr>
      <w:tr w14:paraId="0B0D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285" w:type="dxa"/>
            <w:vMerge w:val="continue"/>
          </w:tcPr>
          <w:p w14:paraId="034A6D91">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51396F72">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048B8F9D">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隧道北斗运行管理平台</w:t>
            </w:r>
          </w:p>
        </w:tc>
        <w:tc>
          <w:tcPr>
            <w:tcW w:w="1986" w:type="dxa"/>
          </w:tcPr>
          <w:p w14:paraId="0587F50A">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1项</w:t>
            </w:r>
          </w:p>
        </w:tc>
      </w:tr>
      <w:tr w14:paraId="4C35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285" w:type="dxa"/>
            <w:vMerge w:val="restart"/>
          </w:tcPr>
          <w:p w14:paraId="7B1C0E34">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r>
              <w:rPr>
                <w:rFonts w:hint="eastAsia" w:ascii="宋体" w:hAnsi="宋体" w:eastAsia="宋体" w:cs="Times New Roman"/>
                <w:b/>
                <w:bCs/>
                <w:snapToGrid w:val="0"/>
                <w:color w:val="auto"/>
                <w:kern w:val="0"/>
                <w:sz w:val="24"/>
                <w:highlight w:val="none"/>
                <w:vertAlign w:val="baseline"/>
                <w:lang w:val="en-US" w:eastAsia="zh-CN"/>
              </w:rPr>
              <w:t>四标段</w:t>
            </w:r>
          </w:p>
        </w:tc>
        <w:tc>
          <w:tcPr>
            <w:tcW w:w="3757" w:type="dxa"/>
            <w:vMerge w:val="restart"/>
          </w:tcPr>
          <w:p w14:paraId="3CE6E7C2">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r>
              <w:rPr>
                <w:rFonts w:hint="eastAsia" w:ascii="宋体" w:hAnsi="宋体" w:eastAsia="宋体" w:cs="Times New Roman"/>
                <w:b/>
                <w:bCs/>
                <w:snapToGrid w:val="0"/>
                <w:color w:val="auto"/>
                <w:kern w:val="0"/>
                <w:sz w:val="24"/>
                <w:highlight w:val="none"/>
                <w:vertAlign w:val="baseline"/>
                <w:lang w:val="en-US" w:eastAsia="zh-CN"/>
              </w:rPr>
              <w:t>电机智能传感器及蓝牙网关</w:t>
            </w:r>
          </w:p>
        </w:tc>
        <w:tc>
          <w:tcPr>
            <w:tcW w:w="1986" w:type="dxa"/>
          </w:tcPr>
          <w:p w14:paraId="599C9CFB">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电机智能传感器</w:t>
            </w:r>
          </w:p>
        </w:tc>
        <w:tc>
          <w:tcPr>
            <w:tcW w:w="1986" w:type="dxa"/>
          </w:tcPr>
          <w:p w14:paraId="135F0CC6">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744套</w:t>
            </w:r>
          </w:p>
        </w:tc>
      </w:tr>
      <w:tr w14:paraId="7123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285" w:type="dxa"/>
            <w:vMerge w:val="continue"/>
          </w:tcPr>
          <w:p w14:paraId="47B744E2">
            <w:pPr>
              <w:pStyle w:val="3"/>
              <w:adjustRightInd w:val="0"/>
              <w:snapToGrid w:val="0"/>
              <w:spacing w:before="0" w:after="0" w:line="360" w:lineRule="auto"/>
              <w:jc w:val="both"/>
            </w:pPr>
          </w:p>
        </w:tc>
        <w:tc>
          <w:tcPr>
            <w:tcW w:w="3757" w:type="dxa"/>
            <w:vMerge w:val="continue"/>
          </w:tcPr>
          <w:p w14:paraId="4DFEC8E5">
            <w:pPr>
              <w:pStyle w:val="3"/>
              <w:adjustRightInd w:val="0"/>
              <w:snapToGrid w:val="0"/>
              <w:spacing w:before="0" w:after="0" w:line="360" w:lineRule="auto"/>
              <w:jc w:val="both"/>
            </w:pPr>
          </w:p>
        </w:tc>
        <w:tc>
          <w:tcPr>
            <w:tcW w:w="1986" w:type="dxa"/>
          </w:tcPr>
          <w:p w14:paraId="7293A4F7">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蓝牙网关</w:t>
            </w:r>
          </w:p>
        </w:tc>
        <w:tc>
          <w:tcPr>
            <w:tcW w:w="1986" w:type="dxa"/>
          </w:tcPr>
          <w:p w14:paraId="2806F799">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344套</w:t>
            </w:r>
          </w:p>
        </w:tc>
      </w:tr>
      <w:tr w14:paraId="3F65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85" w:type="dxa"/>
            <w:vMerge w:val="restart"/>
          </w:tcPr>
          <w:p w14:paraId="05700924">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r>
              <w:rPr>
                <w:rFonts w:hint="eastAsia" w:ascii="宋体" w:hAnsi="宋体" w:eastAsia="宋体" w:cs="Times New Roman"/>
                <w:b/>
                <w:bCs/>
                <w:snapToGrid w:val="0"/>
                <w:color w:val="auto"/>
                <w:kern w:val="0"/>
                <w:sz w:val="24"/>
                <w:highlight w:val="none"/>
                <w:vertAlign w:val="baseline"/>
                <w:lang w:val="en-US" w:eastAsia="zh-CN"/>
              </w:rPr>
              <w:t>五标段</w:t>
            </w:r>
          </w:p>
        </w:tc>
        <w:tc>
          <w:tcPr>
            <w:tcW w:w="3757" w:type="dxa"/>
            <w:vMerge w:val="restart"/>
          </w:tcPr>
          <w:p w14:paraId="25CAE8B1">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r>
              <w:rPr>
                <w:rFonts w:hint="eastAsia" w:ascii="宋体" w:hAnsi="宋体" w:eastAsia="宋体" w:cs="Times New Roman"/>
                <w:b/>
                <w:bCs/>
                <w:snapToGrid w:val="0"/>
                <w:color w:val="auto"/>
                <w:kern w:val="0"/>
                <w:sz w:val="24"/>
                <w:highlight w:val="none"/>
                <w:vertAlign w:val="baseline"/>
                <w:lang w:val="en-US" w:eastAsia="zh-CN"/>
              </w:rPr>
              <w:t>高清摄像机及存储设备</w:t>
            </w:r>
          </w:p>
        </w:tc>
        <w:tc>
          <w:tcPr>
            <w:tcW w:w="1986" w:type="dxa"/>
          </w:tcPr>
          <w:p w14:paraId="3D96979F">
            <w:pPr>
              <w:adjustRightInd w:val="0"/>
              <w:snapToGrid w:val="0"/>
              <w:spacing w:before="0" w:after="0" w:line="360" w:lineRule="auto"/>
              <w:jc w:val="center"/>
              <w:rPr>
                <w:rFonts w:hint="eastAsia" w:ascii="Times New Roman" w:hAnsi="Times New Roman" w:eastAsia="宋体" w:cs="Times New Roman"/>
              </w:rPr>
            </w:pPr>
            <w:r>
              <w:rPr>
                <w:rFonts w:hint="eastAsia" w:ascii="Times New Roman" w:hAnsi="Times New Roman" w:eastAsia="宋体" w:cs="Times New Roman"/>
                <w:lang w:val="en-US" w:eastAsia="zh-CN"/>
              </w:rPr>
              <w:t>短距高清摄像机</w:t>
            </w:r>
          </w:p>
          <w:p w14:paraId="3727C97B">
            <w:pPr>
              <w:adjustRightInd w:val="0"/>
              <w:snapToGrid w:val="0"/>
              <w:spacing w:before="0" w:after="0" w:line="360" w:lineRule="auto"/>
              <w:jc w:val="center"/>
              <w:rPr>
                <w:rFonts w:hint="eastAsia" w:ascii="Times New Roman" w:hAnsi="Times New Roman" w:eastAsia="宋体" w:cs="Times New Roman"/>
                <w:lang w:val="en-US" w:eastAsia="zh-CN"/>
              </w:rPr>
            </w:pPr>
          </w:p>
        </w:tc>
        <w:tc>
          <w:tcPr>
            <w:tcW w:w="1986" w:type="dxa"/>
          </w:tcPr>
          <w:p w14:paraId="5939B356">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9</w:t>
            </w:r>
            <w:r>
              <w:rPr>
                <w:rFonts w:hint="eastAsia" w:ascii="Times New Roman" w:hAnsi="Times New Roman" w:eastAsia="宋体" w:cs="Times New Roman"/>
                <w:lang w:val="en-US" w:eastAsia="zh-CN"/>
              </w:rPr>
              <w:t>套</w:t>
            </w:r>
          </w:p>
        </w:tc>
      </w:tr>
      <w:tr w14:paraId="46FD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85" w:type="dxa"/>
            <w:vMerge w:val="continue"/>
          </w:tcPr>
          <w:p w14:paraId="3B77D9B8">
            <w:pPr>
              <w:pStyle w:val="3"/>
              <w:adjustRightInd w:val="0"/>
              <w:snapToGrid w:val="0"/>
              <w:spacing w:before="0" w:after="0" w:line="360" w:lineRule="auto"/>
              <w:jc w:val="both"/>
            </w:pPr>
          </w:p>
        </w:tc>
        <w:tc>
          <w:tcPr>
            <w:tcW w:w="3757" w:type="dxa"/>
            <w:vMerge w:val="continue"/>
          </w:tcPr>
          <w:p w14:paraId="518E8A0E">
            <w:pPr>
              <w:pStyle w:val="3"/>
              <w:adjustRightInd w:val="0"/>
              <w:snapToGrid w:val="0"/>
              <w:spacing w:before="0" w:after="0" w:line="360" w:lineRule="auto"/>
              <w:jc w:val="both"/>
            </w:pPr>
          </w:p>
        </w:tc>
        <w:tc>
          <w:tcPr>
            <w:tcW w:w="1986" w:type="dxa"/>
          </w:tcPr>
          <w:p w14:paraId="167E93F6">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智能高清网络枪式固定摄像机</w:t>
            </w:r>
          </w:p>
        </w:tc>
        <w:tc>
          <w:tcPr>
            <w:tcW w:w="1986" w:type="dxa"/>
          </w:tcPr>
          <w:p w14:paraId="5E590888">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32套</w:t>
            </w:r>
          </w:p>
        </w:tc>
      </w:tr>
      <w:tr w14:paraId="05A7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85" w:type="dxa"/>
            <w:vMerge w:val="continue"/>
          </w:tcPr>
          <w:p w14:paraId="69944B1C">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55088FE9">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1F13BE13">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智能高清网络枪式云台摄像机</w:t>
            </w:r>
          </w:p>
        </w:tc>
        <w:tc>
          <w:tcPr>
            <w:tcW w:w="1986" w:type="dxa"/>
          </w:tcPr>
          <w:p w14:paraId="4EE1ADF1">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3套</w:t>
            </w:r>
          </w:p>
        </w:tc>
      </w:tr>
      <w:tr w14:paraId="0C32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85" w:type="dxa"/>
            <w:vMerge w:val="continue"/>
          </w:tcPr>
          <w:p w14:paraId="4687CBC2">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7FB35B9D">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5A739055">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三镜头抓拍摄像机</w:t>
            </w:r>
          </w:p>
        </w:tc>
        <w:tc>
          <w:tcPr>
            <w:tcW w:w="1986" w:type="dxa"/>
          </w:tcPr>
          <w:p w14:paraId="69EC8E8F">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143套</w:t>
            </w:r>
          </w:p>
        </w:tc>
      </w:tr>
      <w:tr w14:paraId="0CDD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85" w:type="dxa"/>
            <w:vMerge w:val="continue"/>
          </w:tcPr>
          <w:p w14:paraId="0FF6971D">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3AB5B52A">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3E356A16">
            <w:pPr>
              <w:adjustRightInd w:val="0"/>
              <w:snapToGrid w:val="0"/>
              <w:spacing w:before="0" w:after="0" w:line="360" w:lineRule="auto"/>
              <w:jc w:val="center"/>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IPSAN </w:t>
            </w:r>
            <w:r>
              <w:rPr>
                <w:rFonts w:hint="eastAsia" w:ascii="Times New Roman" w:hAnsi="Times New Roman" w:eastAsia="宋体" w:cs="Times New Roman"/>
                <w:lang w:val="en-US" w:eastAsia="zh-CN"/>
              </w:rPr>
              <w:t>磁盘存储阵列主机</w:t>
            </w:r>
          </w:p>
        </w:tc>
        <w:tc>
          <w:tcPr>
            <w:tcW w:w="1986" w:type="dxa"/>
          </w:tcPr>
          <w:p w14:paraId="6C1FC109">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2套</w:t>
            </w:r>
          </w:p>
        </w:tc>
      </w:tr>
      <w:tr w14:paraId="371F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285" w:type="dxa"/>
            <w:vMerge w:val="restart"/>
          </w:tcPr>
          <w:p w14:paraId="473D1DE5">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r>
              <w:rPr>
                <w:rFonts w:hint="eastAsia" w:ascii="宋体" w:hAnsi="宋体" w:eastAsia="宋体" w:cs="Times New Roman"/>
                <w:b/>
                <w:bCs/>
                <w:snapToGrid w:val="0"/>
                <w:color w:val="auto"/>
                <w:kern w:val="0"/>
                <w:sz w:val="24"/>
                <w:highlight w:val="none"/>
                <w:vertAlign w:val="baseline"/>
                <w:lang w:val="en-US" w:eastAsia="zh-CN"/>
              </w:rPr>
              <w:t>六标段</w:t>
            </w:r>
          </w:p>
        </w:tc>
        <w:tc>
          <w:tcPr>
            <w:tcW w:w="3757" w:type="dxa"/>
            <w:vMerge w:val="restart"/>
          </w:tcPr>
          <w:p w14:paraId="6A40FED7">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r>
              <w:rPr>
                <w:rFonts w:hint="eastAsia" w:ascii="宋体" w:hAnsi="宋体" w:eastAsia="宋体" w:cs="Times New Roman"/>
                <w:b/>
                <w:bCs/>
                <w:snapToGrid w:val="0"/>
                <w:color w:val="auto"/>
                <w:kern w:val="0"/>
                <w:sz w:val="24"/>
                <w:highlight w:val="none"/>
                <w:vertAlign w:val="baseline"/>
                <w:lang w:val="en-US" w:eastAsia="zh-CN"/>
              </w:rPr>
              <w:t>收费站称重系统设备</w:t>
            </w:r>
          </w:p>
        </w:tc>
        <w:tc>
          <w:tcPr>
            <w:tcW w:w="1986" w:type="dxa"/>
            <w:vAlign w:val="top"/>
          </w:tcPr>
          <w:p w14:paraId="410E28DC">
            <w:pPr>
              <w:adjustRightInd w:val="0"/>
              <w:snapToGrid w:val="0"/>
              <w:spacing w:before="0" w:after="0" w:line="36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rPr>
              <w:t>连续整车式动态称重系统</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超宽）</w:t>
            </w:r>
          </w:p>
        </w:tc>
        <w:tc>
          <w:tcPr>
            <w:tcW w:w="1986" w:type="dxa"/>
          </w:tcPr>
          <w:p w14:paraId="0414F523">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49套</w:t>
            </w:r>
          </w:p>
        </w:tc>
      </w:tr>
      <w:tr w14:paraId="5527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285" w:type="dxa"/>
            <w:vMerge w:val="continue"/>
          </w:tcPr>
          <w:p w14:paraId="4B1E743C">
            <w:pPr>
              <w:pStyle w:val="3"/>
              <w:adjustRightInd w:val="0"/>
              <w:snapToGrid w:val="0"/>
              <w:spacing w:before="0" w:after="0" w:line="360" w:lineRule="auto"/>
              <w:jc w:val="both"/>
            </w:pPr>
          </w:p>
        </w:tc>
        <w:tc>
          <w:tcPr>
            <w:tcW w:w="3757" w:type="dxa"/>
            <w:vMerge w:val="continue"/>
          </w:tcPr>
          <w:p w14:paraId="25A839DE">
            <w:pPr>
              <w:pStyle w:val="3"/>
              <w:adjustRightInd w:val="0"/>
              <w:snapToGrid w:val="0"/>
              <w:spacing w:before="0" w:after="0" w:line="360" w:lineRule="auto"/>
              <w:jc w:val="both"/>
            </w:pPr>
          </w:p>
        </w:tc>
        <w:tc>
          <w:tcPr>
            <w:tcW w:w="1986" w:type="dxa"/>
            <w:shd w:val="clear" w:color="auto" w:fill="auto"/>
            <w:vAlign w:val="top"/>
          </w:tcPr>
          <w:p w14:paraId="0CB441EE">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连续整车式动态称重系统</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普通）</w:t>
            </w:r>
          </w:p>
        </w:tc>
        <w:tc>
          <w:tcPr>
            <w:tcW w:w="1986" w:type="dxa"/>
          </w:tcPr>
          <w:p w14:paraId="68D218E6">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39套</w:t>
            </w:r>
          </w:p>
        </w:tc>
      </w:tr>
      <w:tr w14:paraId="77B6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285" w:type="dxa"/>
            <w:vMerge w:val="continue"/>
          </w:tcPr>
          <w:p w14:paraId="3678E1AE">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15E712EF">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15DA5E56">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双称台称重系统</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超宽）</w:t>
            </w:r>
          </w:p>
        </w:tc>
        <w:tc>
          <w:tcPr>
            <w:tcW w:w="1986" w:type="dxa"/>
          </w:tcPr>
          <w:p w14:paraId="75EA79B9">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25套</w:t>
            </w:r>
          </w:p>
        </w:tc>
      </w:tr>
      <w:tr w14:paraId="097B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285" w:type="dxa"/>
            <w:vMerge w:val="continue"/>
          </w:tcPr>
          <w:p w14:paraId="342B773C">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4A172D41">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1986" w:type="dxa"/>
            <w:shd w:val="clear" w:color="auto" w:fill="auto"/>
            <w:vAlign w:val="top"/>
          </w:tcPr>
          <w:p w14:paraId="37ABFFD3">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连续整车式动态称重系统</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普通）</w:t>
            </w:r>
          </w:p>
        </w:tc>
        <w:tc>
          <w:tcPr>
            <w:tcW w:w="1986" w:type="dxa"/>
          </w:tcPr>
          <w:p w14:paraId="0E8A44C2">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26套</w:t>
            </w:r>
          </w:p>
        </w:tc>
      </w:tr>
      <w:tr w14:paraId="79A3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285" w:type="dxa"/>
            <w:vMerge w:val="restart"/>
          </w:tcPr>
          <w:p w14:paraId="117332CB">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r>
              <w:rPr>
                <w:rFonts w:hint="eastAsia" w:ascii="宋体" w:hAnsi="宋体" w:eastAsia="宋体" w:cs="Times New Roman"/>
                <w:b/>
                <w:bCs/>
                <w:snapToGrid w:val="0"/>
                <w:color w:val="auto"/>
                <w:kern w:val="0"/>
                <w:sz w:val="24"/>
                <w:highlight w:val="none"/>
                <w:vertAlign w:val="baseline"/>
                <w:lang w:val="en-US" w:eastAsia="zh-CN"/>
              </w:rPr>
              <w:t>七标段</w:t>
            </w:r>
          </w:p>
        </w:tc>
        <w:tc>
          <w:tcPr>
            <w:tcW w:w="3757" w:type="dxa"/>
            <w:vMerge w:val="restart"/>
          </w:tcPr>
          <w:p w14:paraId="543C8D02">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r>
              <w:rPr>
                <w:rFonts w:hint="eastAsia" w:ascii="宋体" w:hAnsi="宋体" w:eastAsia="宋体" w:cs="Times New Roman"/>
                <w:b/>
                <w:bCs/>
                <w:snapToGrid w:val="0"/>
                <w:color w:val="auto"/>
                <w:kern w:val="0"/>
                <w:sz w:val="24"/>
                <w:highlight w:val="none"/>
                <w:vertAlign w:val="baseline"/>
                <w:lang w:val="en-US" w:eastAsia="zh-CN"/>
              </w:rPr>
              <w:t>横洞设备总控及相关路线诱导系统设备</w:t>
            </w:r>
          </w:p>
        </w:tc>
        <w:tc>
          <w:tcPr>
            <w:tcW w:w="1986" w:type="dxa"/>
          </w:tcPr>
          <w:p w14:paraId="4582D09A">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横洞设备总控制器</w:t>
            </w:r>
          </w:p>
        </w:tc>
        <w:tc>
          <w:tcPr>
            <w:tcW w:w="1986" w:type="dxa"/>
          </w:tcPr>
          <w:p w14:paraId="6EACF00D">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152套</w:t>
            </w:r>
          </w:p>
        </w:tc>
      </w:tr>
      <w:tr w14:paraId="19A9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285" w:type="dxa"/>
            <w:vMerge w:val="continue"/>
          </w:tcPr>
          <w:p w14:paraId="5B0C3467">
            <w:pPr>
              <w:pStyle w:val="3"/>
              <w:adjustRightInd w:val="0"/>
              <w:snapToGrid w:val="0"/>
              <w:spacing w:before="0" w:after="0" w:line="360" w:lineRule="auto"/>
              <w:jc w:val="both"/>
            </w:pPr>
          </w:p>
        </w:tc>
        <w:tc>
          <w:tcPr>
            <w:tcW w:w="3757" w:type="dxa"/>
            <w:vMerge w:val="continue"/>
          </w:tcPr>
          <w:p w14:paraId="080336E2">
            <w:pPr>
              <w:pStyle w:val="3"/>
              <w:adjustRightInd w:val="0"/>
              <w:snapToGrid w:val="0"/>
              <w:spacing w:before="0" w:after="0" w:line="360" w:lineRule="auto"/>
              <w:jc w:val="both"/>
            </w:pPr>
          </w:p>
        </w:tc>
        <w:tc>
          <w:tcPr>
            <w:tcW w:w="1986" w:type="dxa"/>
          </w:tcPr>
          <w:p w14:paraId="12D62968">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智慧疏散指示标志</w:t>
            </w:r>
          </w:p>
        </w:tc>
        <w:tc>
          <w:tcPr>
            <w:tcW w:w="1986" w:type="dxa"/>
          </w:tcPr>
          <w:p w14:paraId="350B90E3">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1520套</w:t>
            </w:r>
          </w:p>
        </w:tc>
      </w:tr>
      <w:tr w14:paraId="1DB8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285" w:type="dxa"/>
            <w:vMerge w:val="continue"/>
          </w:tcPr>
          <w:p w14:paraId="7873E12D">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5F3870C9">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01BF5428">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路线诱导装置:</w:t>
            </w:r>
          </w:p>
        </w:tc>
        <w:tc>
          <w:tcPr>
            <w:tcW w:w="1986" w:type="dxa"/>
          </w:tcPr>
          <w:p w14:paraId="684F28C2">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4785套</w:t>
            </w:r>
          </w:p>
        </w:tc>
      </w:tr>
      <w:tr w14:paraId="35E9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285" w:type="dxa"/>
            <w:vMerge w:val="continue"/>
          </w:tcPr>
          <w:p w14:paraId="38FAE9CD">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52243EAA">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3B66CBA5">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路线诱导装置(含能见度检测模块)</w:t>
            </w:r>
          </w:p>
        </w:tc>
        <w:tc>
          <w:tcPr>
            <w:tcW w:w="1986" w:type="dxa"/>
          </w:tcPr>
          <w:p w14:paraId="3916DFF6">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505套</w:t>
            </w:r>
          </w:p>
        </w:tc>
      </w:tr>
      <w:tr w14:paraId="682E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285" w:type="dxa"/>
            <w:vMerge w:val="continue"/>
          </w:tcPr>
          <w:p w14:paraId="2E7CBF0E">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2105382C">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2BC0E003">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路线诱导装置控制器</w:t>
            </w:r>
          </w:p>
        </w:tc>
        <w:tc>
          <w:tcPr>
            <w:tcW w:w="1986" w:type="dxa"/>
          </w:tcPr>
          <w:p w14:paraId="479EBE40">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13套</w:t>
            </w:r>
          </w:p>
        </w:tc>
      </w:tr>
      <w:tr w14:paraId="60DB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285" w:type="dxa"/>
            <w:vMerge w:val="continue"/>
          </w:tcPr>
          <w:p w14:paraId="29E4463B">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5379240E">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3A59CE8B">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现场控制主机</w:t>
            </w:r>
          </w:p>
        </w:tc>
        <w:tc>
          <w:tcPr>
            <w:tcW w:w="1986" w:type="dxa"/>
          </w:tcPr>
          <w:p w14:paraId="4A9C9498">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12套</w:t>
            </w:r>
          </w:p>
        </w:tc>
      </w:tr>
    </w:tbl>
    <w:p w14:paraId="1C2563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7CE24"/>
    <w:multiLevelType w:val="singleLevel"/>
    <w:tmpl w:val="B537CE24"/>
    <w:lvl w:ilvl="0" w:tentative="0">
      <w:start w:val="1"/>
      <w:numFmt w:val="decimal"/>
      <w:pStyle w:val="10"/>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C4DD1"/>
    <w:rsid w:val="12A11A14"/>
    <w:rsid w:val="169E155A"/>
    <w:rsid w:val="2A3C4DD1"/>
    <w:rsid w:val="7BCD2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9"/>
    <w:pPr>
      <w:keepNext/>
      <w:keepLines/>
      <w:spacing w:before="260" w:after="260" w:line="416" w:lineRule="auto"/>
      <w:jc w:val="center"/>
      <w:outlineLvl w:val="1"/>
    </w:pPr>
    <w:rPr>
      <w:rFonts w:ascii="Cambria" w:hAnsi="Cambria"/>
      <w:b/>
      <w:bCs/>
      <w:sz w:val="32"/>
      <w:szCs w:val="32"/>
    </w:rPr>
  </w:style>
  <w:style w:type="paragraph" w:styleId="4">
    <w:name w:val="heading 3"/>
    <w:basedOn w:val="1"/>
    <w:next w:val="1"/>
    <w:qFormat/>
    <w:uiPriority w:val="9"/>
    <w:pPr>
      <w:keepNext/>
      <w:keepLines/>
      <w:spacing w:before="50" w:beforeLines="50" w:line="415" w:lineRule="auto"/>
      <w:outlineLvl w:val="2"/>
    </w:pPr>
    <w:rPr>
      <w:b/>
      <w:bCs/>
      <w:sz w:val="32"/>
      <w:szCs w:val="32"/>
    </w:rPr>
  </w:style>
  <w:style w:type="paragraph" w:styleId="5">
    <w:name w:val="heading 6"/>
    <w:basedOn w:val="1"/>
    <w:next w:val="1"/>
    <w:qFormat/>
    <w:uiPriority w:val="9"/>
    <w:pPr>
      <w:keepNext/>
      <w:keepLines/>
      <w:spacing w:before="240" w:after="64" w:line="320" w:lineRule="auto"/>
      <w:outlineLvl w:val="5"/>
    </w:pPr>
    <w:rPr>
      <w:rFonts w:ascii="等线 Light" w:hAnsi="等线 Light" w:eastAsia="等线 Light" w:cs="Times New Roman"/>
      <w:b/>
      <w:bCs/>
      <w:sz w:val="24"/>
      <w:szCs w:val="24"/>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rPr>
      <w:rFonts w:ascii="Arial" w:hAnsi="Arial" w:eastAsia="黑体"/>
      <w:kern w:val="2"/>
      <w:sz w:val="20"/>
    </w:rPr>
  </w:style>
  <w:style w:type="paragraph" w:styleId="6">
    <w:name w:val="toa heading"/>
    <w:basedOn w:val="1"/>
    <w:next w:val="1"/>
    <w:unhideWhenUsed/>
    <w:qFormat/>
    <w:uiPriority w:val="99"/>
    <w:pPr>
      <w:spacing w:before="120"/>
      <w:ind w:firstLine="560" w:firstLineChars="200"/>
    </w:pPr>
    <w:rPr>
      <w:rFonts w:ascii="Cambria" w:hAnsi="Cambria"/>
      <w:szCs w:val="24"/>
    </w:rPr>
  </w:style>
  <w:style w:type="paragraph" w:styleId="7">
    <w:name w:val="Body Text"/>
    <w:basedOn w:val="1"/>
    <w:qFormat/>
    <w:uiPriority w:val="1"/>
    <w:pPr>
      <w:ind w:left="100"/>
      <w:jc w:val="left"/>
    </w:pPr>
    <w:rPr>
      <w:rFonts w:ascii="宋体" w:hAnsi="宋体" w:cs="Times New Roman"/>
      <w:kern w:val="0"/>
      <w:szCs w:val="21"/>
      <w:lang w:eastAsia="en-US"/>
    </w:rPr>
  </w:style>
  <w:style w:type="paragraph" w:styleId="8">
    <w:name w:val="Body Text Indent"/>
    <w:basedOn w:val="1"/>
    <w:unhideWhenUsed/>
    <w:qFormat/>
    <w:uiPriority w:val="99"/>
    <w:pPr>
      <w:spacing w:after="120"/>
      <w:ind w:left="420" w:leftChars="200"/>
    </w:pPr>
  </w:style>
  <w:style w:type="paragraph" w:styleId="9">
    <w:name w:val="Plain Text"/>
    <w:basedOn w:val="1"/>
    <w:next w:val="10"/>
    <w:qFormat/>
    <w:uiPriority w:val="0"/>
    <w:rPr>
      <w:rFonts w:ascii="宋体" w:hAnsi="Courier New"/>
      <w:szCs w:val="20"/>
    </w:rPr>
  </w:style>
  <w:style w:type="paragraph" w:styleId="10">
    <w:name w:val="List Number 5"/>
    <w:basedOn w:val="1"/>
    <w:uiPriority w:val="0"/>
    <w:pPr>
      <w:numPr>
        <w:ilvl w:val="0"/>
        <w:numId w:val="1"/>
      </w:numPr>
    </w:pPr>
  </w:style>
  <w:style w:type="paragraph" w:styleId="11">
    <w:name w:val="Body Text First Indent 2"/>
    <w:basedOn w:val="8"/>
    <w:unhideWhenUsed/>
    <w:qFormat/>
    <w:uiPriority w:val="99"/>
    <w:pPr>
      <w:tabs>
        <w:tab w:val="left" w:pos="5580"/>
      </w:tabs>
      <w:ind w:left="420" w:leftChars="200" w:firstLine="420"/>
    </w:pPr>
    <w:rPr>
      <w:rFonts w:ascii="Times New Roman" w:hAnsi="Times New Roman"/>
      <w:sz w:val="21"/>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1正文"/>
    <w:basedOn w:val="1"/>
    <w:autoRedefine/>
    <w:qFormat/>
    <w:uiPriority w:val="0"/>
    <w:pPr>
      <w:ind w:firstLine="480"/>
    </w:pPr>
    <w:rPr>
      <w:rFonts w:cs="宋体"/>
      <w:szCs w:val="24"/>
    </w:rPr>
  </w:style>
  <w:style w:type="paragraph" w:customStyle="1" w:styleId="16">
    <w:name w:val="大标题"/>
    <w:basedOn w:val="1"/>
    <w:next w:val="11"/>
    <w:autoRedefine/>
    <w:qFormat/>
    <w:uiPriority w:val="0"/>
    <w:pPr>
      <w:jc w:val="center"/>
    </w:pPr>
    <w:rPr>
      <w:rFonts w:ascii="Arial" w:hAnsi="Arial"/>
      <w:b/>
      <w:sz w:val="28"/>
    </w:rPr>
  </w:style>
  <w:style w:type="character" w:customStyle="1" w:styleId="17">
    <w:name w:val="NormalCharacter"/>
    <w:link w:val="18"/>
    <w:autoRedefine/>
    <w:qFormat/>
    <w:uiPriority w:val="0"/>
    <w:rPr>
      <w:kern w:val="0"/>
      <w:sz w:val="20"/>
      <w:szCs w:val="20"/>
    </w:rPr>
  </w:style>
  <w:style w:type="paragraph" w:customStyle="1" w:styleId="18">
    <w:name w:val="UserStyle_24"/>
    <w:basedOn w:val="1"/>
    <w:link w:val="17"/>
    <w:autoRedefine/>
    <w:qFormat/>
    <w:uiPriority w:val="0"/>
    <w:pPr>
      <w:widowControl/>
      <w:spacing w:line="360" w:lineRule="auto"/>
      <w:ind w:firstLine="200" w:firstLineChars="200"/>
      <w:jc w:val="left"/>
    </w:pPr>
    <w:rPr>
      <w:kern w:val="0"/>
      <w:sz w:val="20"/>
      <w:szCs w:val="20"/>
    </w:rPr>
  </w:style>
  <w:style w:type="paragraph" w:customStyle="1" w:styleId="19">
    <w:name w:val="UserStyle_340"/>
    <w:basedOn w:val="1"/>
    <w:autoRedefine/>
    <w:qFormat/>
    <w:uiPriority w:val="0"/>
    <w:pPr>
      <w:widowControl/>
      <w:spacing w:line="340" w:lineRule="exact"/>
      <w:jc w:val="center"/>
    </w:pPr>
    <w:rPr>
      <w:rFonts w:ascii="宋体" w:hAnsi="Calibri"/>
      <w:bCs/>
      <w:color w:val="000000"/>
      <w:kern w:val="0"/>
      <w:szCs w:val="21"/>
    </w:rPr>
  </w:style>
  <w:style w:type="paragraph" w:customStyle="1" w:styleId="20">
    <w:name w:val="Table Paragraph"/>
    <w:basedOn w:val="1"/>
    <w:qFormat/>
    <w:uiPriority w:val="1"/>
    <w:pPr>
      <w:jc w:val="left"/>
    </w:pPr>
    <w:rPr>
      <w:rFonts w:ascii="Calibri" w:hAnsi="Calibri" w:eastAsia="宋体" w:cs="Times New Roman"/>
      <w:kern w:val="0"/>
      <w:sz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3031</Words>
  <Characters>3505</Characters>
  <Lines>0</Lines>
  <Paragraphs>0</Paragraphs>
  <TotalTime>11</TotalTime>
  <ScaleCrop>false</ScaleCrop>
  <LinksUpToDate>false</LinksUpToDate>
  <CharactersWithSpaces>3573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2026-05-14T02:16:00Z</dcterms:created>
  <dc:creator>鲁鹏</dc:creator>
  <cp:lastModifiedBy>冯士峰</cp:lastModifiedBy>
  <dcterms:modified xsi:type="dcterms:W3CDTF">2026-05-15T00:45:42Z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54459CB82DCE470AB5C83F6E53DAAD9A_11</vt:lpwstr>
  </property>
  <property fmtid="{D5CDD505-2E9C-101B-9397-08002B2CF9AE}" pid="4" name="KSOTemplateDocerSaveRecord">
    <vt:lpwstr>eyJoZGlkIjoiMjNhMGNiNzBmYzRmYmU1YWU1ZDVjYzI3MTI0YTIzZjQiLCJ1c2VySWQiOiIxNjg3ODQzOTczIn0=</vt:lpwstr>
  </property>
</Properties>
</file>