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37651">
      <w:pPr>
        <w:spacing w:line="360" w:lineRule="auto"/>
        <w:jc w:val="right"/>
        <w:rPr>
          <w:sz w:val="13"/>
          <w:szCs w:val="13"/>
          <w:highlight w:val="none"/>
        </w:rPr>
      </w:pPr>
      <w:bookmarkStart w:id="0" w:name="_Hlk517255404"/>
    </w:p>
    <w:p w14:paraId="7D96E592">
      <w:pPr>
        <w:adjustRightInd w:val="0"/>
        <w:snapToGrid w:val="0"/>
        <w:spacing w:before="120" w:beforeLines="50" w:line="276" w:lineRule="auto"/>
        <w:rPr>
          <w:b/>
          <w:sz w:val="24"/>
          <w:highlight w:val="none"/>
        </w:rPr>
      </w:pPr>
      <w:bookmarkStart w:id="16" w:name="_GoBack"/>
      <w:bookmarkEnd w:id="16"/>
      <w:bookmarkStart w:id="1" w:name="_Toc514238201"/>
      <w:r>
        <w:rPr>
          <w:b/>
          <w:sz w:val="24"/>
          <w:highlight w:val="none"/>
        </w:rPr>
        <w:t>附件1：资格审查条件</w:t>
      </w:r>
      <w:bookmarkEnd w:id="1"/>
    </w:p>
    <w:p w14:paraId="19DFE3E9">
      <w:pPr>
        <w:adjustRightInd w:val="0"/>
        <w:spacing w:line="400" w:lineRule="exact"/>
        <w:jc w:val="center"/>
        <w:rPr>
          <w:b/>
          <w:sz w:val="24"/>
          <w:szCs w:val="24"/>
          <w:highlight w:val="none"/>
        </w:rPr>
      </w:pPr>
    </w:p>
    <w:p w14:paraId="150FCF41">
      <w:pPr>
        <w:adjustRightInd w:val="0"/>
        <w:spacing w:line="400" w:lineRule="exact"/>
        <w:jc w:val="center"/>
        <w:rPr>
          <w:b/>
          <w:sz w:val="24"/>
          <w:szCs w:val="24"/>
          <w:highlight w:val="none"/>
        </w:rPr>
      </w:pPr>
      <w:r>
        <w:rPr>
          <w:b/>
          <w:sz w:val="24"/>
          <w:szCs w:val="24"/>
          <w:highlight w:val="none"/>
        </w:rPr>
        <w:t xml:space="preserve">附录1 </w:t>
      </w:r>
      <w:bookmarkStart w:id="2" w:name="_Hlk515531673"/>
      <w:r>
        <w:rPr>
          <w:b/>
          <w:sz w:val="24"/>
          <w:highlight w:val="none"/>
        </w:rPr>
        <w:t>资格</w:t>
      </w:r>
      <w:r>
        <w:rPr>
          <w:b/>
          <w:sz w:val="24"/>
          <w:szCs w:val="24"/>
          <w:highlight w:val="none"/>
        </w:rPr>
        <w:t>审查条件（</w:t>
      </w:r>
      <w:bookmarkStart w:id="3" w:name="_Hlk93741047"/>
      <w:r>
        <w:rPr>
          <w:b/>
          <w:sz w:val="24"/>
          <w:szCs w:val="24"/>
          <w:highlight w:val="none"/>
        </w:rPr>
        <w:t>资质最低要求</w:t>
      </w:r>
      <w:bookmarkEnd w:id="3"/>
      <w:r>
        <w:rPr>
          <w:b/>
          <w:sz w:val="24"/>
          <w:szCs w:val="24"/>
          <w:highlight w:val="none"/>
        </w:rPr>
        <w:t>）</w:t>
      </w:r>
      <w:bookmarkEnd w:id="2"/>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65814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40F2B54A">
            <w:pPr>
              <w:pStyle w:val="6"/>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资质要求</w:t>
            </w:r>
          </w:p>
        </w:tc>
      </w:tr>
      <w:tr w14:paraId="6F1A1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4" w:hRule="atLeast"/>
          <w:jc w:val="center"/>
        </w:trPr>
        <w:tc>
          <w:tcPr>
            <w:tcW w:w="9286" w:type="dxa"/>
            <w:noWrap w:val="0"/>
            <w:vAlign w:val="center"/>
          </w:tcPr>
          <w:p w14:paraId="4A31524F">
            <w:pPr>
              <w:numPr>
                <w:ilvl w:val="0"/>
                <w:numId w:val="0"/>
              </w:numPr>
              <w:rPr>
                <w:rFonts w:hint="eastAsia"/>
                <w:sz w:val="21"/>
                <w:szCs w:val="21"/>
                <w:highlight w:val="none"/>
                <w:lang w:eastAsia="zh-CN"/>
              </w:rPr>
            </w:pPr>
            <w:bookmarkStart w:id="4" w:name="_Hlk93741073"/>
            <w:r>
              <w:rPr>
                <w:rFonts w:hint="eastAsia"/>
                <w:sz w:val="21"/>
                <w:szCs w:val="21"/>
                <w:highlight w:val="none"/>
                <w:lang w:val="en-US" w:eastAsia="zh-CN"/>
              </w:rPr>
              <w:t>1.投标人应是中华人民共和国境内的法人或其他组织，持有有效的营业执照</w:t>
            </w:r>
            <w:r>
              <w:rPr>
                <w:rFonts w:hint="eastAsia"/>
                <w:sz w:val="21"/>
                <w:szCs w:val="21"/>
                <w:highlight w:val="none"/>
                <w:lang w:eastAsia="zh-CN"/>
              </w:rPr>
              <w:t>；</w:t>
            </w:r>
          </w:p>
          <w:p w14:paraId="14538A2E">
            <w:pPr>
              <w:numPr>
                <w:ilvl w:val="0"/>
                <w:numId w:val="0"/>
              </w:numPr>
              <w:rPr>
                <w:rFonts w:hint="eastAsia" w:eastAsia="宋体"/>
                <w:sz w:val="21"/>
                <w:szCs w:val="21"/>
                <w:highlight w:val="none"/>
                <w:lang w:eastAsia="zh-CN"/>
              </w:rPr>
            </w:pPr>
            <w:r>
              <w:rPr>
                <w:rFonts w:hint="eastAsia"/>
                <w:sz w:val="21"/>
                <w:szCs w:val="21"/>
                <w:highlight w:val="none"/>
                <w:lang w:val="en-US" w:eastAsia="zh-CN"/>
              </w:rPr>
              <w:t>2.</w:t>
            </w:r>
            <w:r>
              <w:rPr>
                <w:rFonts w:hint="eastAsia" w:eastAsia="宋体"/>
                <w:sz w:val="21"/>
                <w:szCs w:val="21"/>
                <w:highlight w:val="none"/>
                <w:lang w:eastAsia="zh-CN"/>
              </w:rPr>
              <w:t>具备“税务师事务所行政登记证书”；</w:t>
            </w:r>
          </w:p>
          <w:p w14:paraId="427F7294">
            <w:pPr>
              <w:rPr>
                <w:rFonts w:hint="eastAsia" w:eastAsia="宋体"/>
                <w:sz w:val="21"/>
                <w:szCs w:val="21"/>
                <w:highlight w:val="none"/>
                <w:lang w:eastAsia="zh-CN"/>
              </w:rPr>
            </w:pPr>
            <w:r>
              <w:rPr>
                <w:rFonts w:hint="eastAsia"/>
                <w:sz w:val="21"/>
                <w:szCs w:val="21"/>
                <w:highlight w:val="none"/>
                <w:lang w:val="en-US" w:eastAsia="zh-CN"/>
              </w:rPr>
              <w:t>3.分公司（分所）参与投标的需提供总公司（总所）针对本次投标的唯一授权书</w:t>
            </w:r>
            <w:r>
              <w:rPr>
                <w:rFonts w:hint="eastAsia" w:eastAsia="宋体"/>
                <w:sz w:val="21"/>
                <w:szCs w:val="21"/>
                <w:highlight w:val="none"/>
                <w:lang w:eastAsia="zh-CN"/>
              </w:rPr>
              <w:t>。</w:t>
            </w:r>
          </w:p>
        </w:tc>
      </w:tr>
      <w:bookmarkEnd w:id="4"/>
    </w:tbl>
    <w:p w14:paraId="124F5C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4"/>
          <w:szCs w:val="24"/>
          <w:highlight w:val="none"/>
        </w:rPr>
      </w:pPr>
    </w:p>
    <w:p w14:paraId="6BDC7D34">
      <w:pPr>
        <w:keepNext/>
        <w:keepLines/>
        <w:pageBreakBefore w:val="0"/>
        <w:widowControl w:val="0"/>
        <w:kinsoku/>
        <w:wordWrap/>
        <w:overflowPunct/>
        <w:topLinePunct w:val="0"/>
        <w:autoSpaceDE/>
        <w:autoSpaceDN/>
        <w:bidi w:val="0"/>
        <w:adjustRightInd/>
        <w:snapToGrid w:val="0"/>
        <w:spacing w:before="0" w:after="0" w:line="240" w:lineRule="auto"/>
        <w:textAlignment w:val="auto"/>
        <w:outlineLvl w:val="9"/>
        <w:rPr>
          <w:highlight w:val="none"/>
        </w:rPr>
      </w:pPr>
    </w:p>
    <w:p w14:paraId="0576AA0B">
      <w:pPr>
        <w:adjustRightInd w:val="0"/>
        <w:spacing w:line="400" w:lineRule="exact"/>
        <w:jc w:val="center"/>
        <w:rPr>
          <w:b/>
          <w:sz w:val="24"/>
          <w:szCs w:val="24"/>
          <w:highlight w:val="none"/>
        </w:rPr>
      </w:pPr>
      <w:r>
        <w:rPr>
          <w:b/>
          <w:sz w:val="24"/>
          <w:szCs w:val="24"/>
          <w:highlight w:val="none"/>
        </w:rPr>
        <w:t>附录2 资格审查条件（业绩最低要求）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1AAA1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039194AE">
            <w:pPr>
              <w:pStyle w:val="6"/>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业绩要求</w:t>
            </w:r>
          </w:p>
        </w:tc>
      </w:tr>
      <w:tr w14:paraId="588DA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jc w:val="center"/>
        </w:trPr>
        <w:tc>
          <w:tcPr>
            <w:tcW w:w="9286" w:type="dxa"/>
            <w:noWrap w:val="0"/>
            <w:vAlign w:val="center"/>
          </w:tcPr>
          <w:p w14:paraId="2CD35748">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eastAsia="宋体"/>
                <w:sz w:val="21"/>
                <w:szCs w:val="21"/>
                <w:highlight w:val="none"/>
                <w:lang w:eastAsia="zh-CN"/>
              </w:rPr>
            </w:pPr>
            <w:r>
              <w:rPr>
                <w:rFonts w:hint="eastAsia"/>
                <w:sz w:val="21"/>
                <w:szCs w:val="21"/>
                <w:highlight w:val="none"/>
              </w:rPr>
              <w:t>近3年内(</w:t>
            </w:r>
            <w:r>
              <w:rPr>
                <w:rFonts w:hint="eastAsia"/>
                <w:sz w:val="21"/>
                <w:szCs w:val="21"/>
                <w:highlight w:val="none"/>
                <w:lang w:eastAsia="zh-CN"/>
              </w:rPr>
              <w:t>2023年4月1日</w:t>
            </w:r>
            <w:r>
              <w:rPr>
                <w:rFonts w:hint="eastAsia"/>
                <w:sz w:val="21"/>
                <w:szCs w:val="21"/>
                <w:highlight w:val="none"/>
              </w:rPr>
              <w:t>至今，以合同协议书（或业务约定书）签订时间为准）至少</w:t>
            </w:r>
            <w:r>
              <w:rPr>
                <w:rFonts w:hint="eastAsia"/>
                <w:sz w:val="21"/>
                <w:szCs w:val="21"/>
                <w:highlight w:val="none"/>
                <w:lang w:val="en-US" w:eastAsia="zh-CN"/>
              </w:rPr>
              <w:t>具有</w:t>
            </w:r>
            <w:r>
              <w:rPr>
                <w:rFonts w:hint="eastAsia"/>
                <w:sz w:val="21"/>
                <w:szCs w:val="21"/>
                <w:highlight w:val="none"/>
              </w:rPr>
              <w:t>一项企业所得税汇算清缴</w:t>
            </w:r>
            <w:r>
              <w:rPr>
                <w:rFonts w:hint="eastAsia"/>
                <w:sz w:val="21"/>
                <w:szCs w:val="21"/>
                <w:highlight w:val="none"/>
                <w:lang w:val="en-US" w:eastAsia="zh-CN"/>
              </w:rPr>
              <w:t>和一项</w:t>
            </w:r>
            <w:r>
              <w:rPr>
                <w:rFonts w:hint="eastAsia"/>
                <w:sz w:val="21"/>
                <w:szCs w:val="21"/>
                <w:highlight w:val="none"/>
              </w:rPr>
              <w:t>税务咨询</w:t>
            </w:r>
            <w:r>
              <w:rPr>
                <w:rFonts w:hint="eastAsia"/>
                <w:sz w:val="21"/>
                <w:szCs w:val="21"/>
                <w:highlight w:val="none"/>
                <w:lang w:val="en-US" w:eastAsia="zh-CN"/>
              </w:rPr>
              <w:t>服务</w:t>
            </w:r>
            <w:r>
              <w:rPr>
                <w:rFonts w:hint="eastAsia"/>
                <w:sz w:val="21"/>
                <w:szCs w:val="21"/>
                <w:highlight w:val="none"/>
              </w:rPr>
              <w:t>业绩</w:t>
            </w:r>
            <w:r>
              <w:rPr>
                <w:rFonts w:hint="eastAsia"/>
                <w:sz w:val="21"/>
                <w:szCs w:val="21"/>
                <w:highlight w:val="none"/>
                <w:lang w:eastAsia="zh-CN"/>
              </w:rPr>
              <w:t>。</w:t>
            </w:r>
          </w:p>
        </w:tc>
      </w:tr>
    </w:tbl>
    <w:p w14:paraId="4D499652">
      <w:pPr>
        <w:pStyle w:val="4"/>
        <w:rPr>
          <w:b/>
          <w:sz w:val="24"/>
          <w:highlight w:val="none"/>
        </w:rPr>
      </w:pPr>
    </w:p>
    <w:p w14:paraId="165EDD20">
      <w:pPr>
        <w:pStyle w:val="4"/>
        <w:rPr>
          <w:b/>
          <w:sz w:val="24"/>
          <w:highlight w:val="none"/>
        </w:rPr>
      </w:pPr>
    </w:p>
    <w:p w14:paraId="6A50371E">
      <w:pPr>
        <w:adjustRightInd w:val="0"/>
        <w:spacing w:line="400" w:lineRule="exact"/>
        <w:jc w:val="center"/>
        <w:rPr>
          <w:b/>
          <w:sz w:val="24"/>
          <w:szCs w:val="24"/>
          <w:highlight w:val="none"/>
        </w:rPr>
      </w:pPr>
      <w:r>
        <w:rPr>
          <w:b/>
          <w:sz w:val="24"/>
          <w:szCs w:val="24"/>
          <w:highlight w:val="none"/>
        </w:rPr>
        <w:t>附录3 资格审查条件（信誉最低要求）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2007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14:paraId="381DA6F1">
            <w:pPr>
              <w:pStyle w:val="6"/>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信誉要求</w:t>
            </w:r>
          </w:p>
        </w:tc>
      </w:tr>
      <w:tr w14:paraId="18A71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noWrap w:val="0"/>
            <w:vAlign w:val="center"/>
          </w:tcPr>
          <w:p w14:paraId="3DA03888">
            <w:pPr>
              <w:ind w:firstLine="420" w:firstLineChars="200"/>
              <w:rPr>
                <w:sz w:val="21"/>
                <w:szCs w:val="21"/>
                <w:highlight w:val="none"/>
              </w:rPr>
            </w:pPr>
            <w:r>
              <w:rPr>
                <w:rFonts w:hint="eastAsia"/>
                <w:sz w:val="21"/>
                <w:szCs w:val="21"/>
                <w:highlight w:val="none"/>
              </w:rPr>
              <w:t>投标人在近1年（</w:t>
            </w:r>
            <w:r>
              <w:rPr>
                <w:rFonts w:hint="eastAsia"/>
                <w:sz w:val="21"/>
                <w:szCs w:val="21"/>
                <w:highlight w:val="none"/>
                <w:lang w:eastAsia="zh-CN"/>
              </w:rPr>
              <w:t>2025年4月1日</w:t>
            </w:r>
            <w:r>
              <w:rPr>
                <w:rFonts w:hint="eastAsia"/>
                <w:sz w:val="21"/>
                <w:szCs w:val="21"/>
                <w:highlight w:val="none"/>
              </w:rPr>
              <w:t>至今）中不曾在企业所得税汇算清缴或税务咨询合同中违约而被逐或因投标人自身的原因而使企业所得税汇算清缴或税务咨询合同被解除。</w:t>
            </w:r>
          </w:p>
        </w:tc>
      </w:tr>
    </w:tbl>
    <w:p w14:paraId="359CEEEA">
      <w:pPr>
        <w:adjustRightInd w:val="0"/>
        <w:snapToGrid w:val="0"/>
        <w:spacing w:line="360" w:lineRule="auto"/>
        <w:jc w:val="center"/>
        <w:rPr>
          <w:rFonts w:hint="eastAsia" w:ascii="宋体" w:hAnsi="宋体"/>
          <w:b/>
          <w:sz w:val="24"/>
          <w:highlight w:val="none"/>
        </w:rPr>
      </w:pPr>
    </w:p>
    <w:p w14:paraId="1627CC83">
      <w:pPr>
        <w:adjustRightInd w:val="0"/>
        <w:snapToGrid w:val="0"/>
        <w:spacing w:line="360" w:lineRule="auto"/>
        <w:jc w:val="center"/>
        <w:rPr>
          <w:rFonts w:ascii="宋体" w:hAnsi="宋体"/>
          <w:b/>
          <w:sz w:val="24"/>
          <w:highlight w:val="none"/>
        </w:rPr>
      </w:pPr>
      <w:r>
        <w:rPr>
          <w:rFonts w:hint="eastAsia" w:ascii="宋体" w:hAnsi="宋体"/>
          <w:b/>
          <w:sz w:val="24"/>
          <w:highlight w:val="none"/>
        </w:rPr>
        <w:t>附录4 资格审查条件（</w:t>
      </w:r>
      <w:r>
        <w:rPr>
          <w:rFonts w:hint="eastAsia" w:ascii="宋体" w:hAnsi="宋体"/>
          <w:b/>
          <w:sz w:val="24"/>
          <w:highlight w:val="none"/>
          <w:lang w:val="en-US" w:eastAsia="zh-CN"/>
        </w:rPr>
        <w:t>主要</w:t>
      </w:r>
      <w:r>
        <w:rPr>
          <w:rFonts w:hint="eastAsia" w:ascii="宋体" w:hAnsi="宋体"/>
          <w:b/>
          <w:sz w:val="24"/>
          <w:highlight w:val="none"/>
        </w:rPr>
        <w:t>人员最低要求）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3"/>
        <w:gridCol w:w="992"/>
        <w:gridCol w:w="6843"/>
      </w:tblGrid>
      <w:tr w14:paraId="192F1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383" w:type="dxa"/>
            <w:noWrap w:val="0"/>
            <w:vAlign w:val="bottom"/>
          </w:tcPr>
          <w:p w14:paraId="4964781B">
            <w:pPr>
              <w:pStyle w:val="6"/>
              <w:spacing w:before="0" w:beforeAutospacing="0" w:after="0" w:afterAutospacing="0"/>
              <w:ind w:left="0" w:leftChars="0" w:firstLine="0" w:firstLineChars="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   员</w:t>
            </w:r>
          </w:p>
        </w:tc>
        <w:tc>
          <w:tcPr>
            <w:tcW w:w="992" w:type="dxa"/>
            <w:noWrap w:val="0"/>
            <w:vAlign w:val="bottom"/>
          </w:tcPr>
          <w:p w14:paraId="1BEC199A">
            <w:pPr>
              <w:pStyle w:val="6"/>
              <w:spacing w:before="0" w:beforeAutospacing="0" w:after="0" w:afterAutospacing="0"/>
              <w:ind w:left="0" w:leftChars="0" w:firstLine="0" w:firstLineChars="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843" w:type="dxa"/>
            <w:noWrap w:val="0"/>
            <w:vAlign w:val="bottom"/>
          </w:tcPr>
          <w:p w14:paraId="773E57E0">
            <w:pPr>
              <w:pStyle w:val="6"/>
              <w:spacing w:before="0" w:beforeAutospacing="0" w:after="0" w:afterAutospacing="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0B09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3" w:hRule="atLeast"/>
          <w:jc w:val="center"/>
        </w:trPr>
        <w:tc>
          <w:tcPr>
            <w:tcW w:w="1383" w:type="dxa"/>
            <w:noWrap w:val="0"/>
            <w:vAlign w:val="center"/>
          </w:tcPr>
          <w:p w14:paraId="482A49B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992" w:type="dxa"/>
            <w:noWrap w:val="0"/>
            <w:vAlign w:val="center"/>
          </w:tcPr>
          <w:p w14:paraId="256F25F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843" w:type="dxa"/>
            <w:noWrap w:val="0"/>
            <w:vAlign w:val="center"/>
          </w:tcPr>
          <w:p w14:paraId="09B62141">
            <w:pPr>
              <w:numPr>
                <w:ilvl w:val="0"/>
                <w:numId w:val="0"/>
              </w:numPr>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具备税务师</w:t>
            </w:r>
            <w:r>
              <w:rPr>
                <w:rFonts w:hint="eastAsia" w:ascii="宋体" w:hAnsi="宋体" w:cs="宋体"/>
                <w:sz w:val="21"/>
                <w:szCs w:val="21"/>
                <w:highlight w:val="none"/>
                <w:lang w:val="en-US" w:eastAsia="zh-CN"/>
              </w:rPr>
              <w:t>或注册税务师证书；</w:t>
            </w:r>
          </w:p>
          <w:p w14:paraId="013C7712">
            <w:pPr>
              <w:numPr>
                <w:ilvl w:val="0"/>
                <w:numId w:val="0"/>
              </w:numPr>
              <w:jc w:val="left"/>
              <w:rPr>
                <w:rFonts w:hint="default" w:ascii="宋体" w:hAnsi="宋体" w:cs="宋体"/>
                <w:strike w:val="0"/>
                <w:dstrike w:val="0"/>
                <w:color w:val="000000" w:themeColor="text1"/>
                <w:sz w:val="21"/>
                <w:szCs w:val="21"/>
                <w:highlight w:val="none"/>
                <w:lang w:val="en-US" w:eastAsia="zh-CN"/>
                <w14:textFill>
                  <w14:solidFill>
                    <w14:schemeClr w14:val="tx1"/>
                  </w14:solidFill>
                </w14:textFill>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具备</w:t>
            </w:r>
            <w:r>
              <w:rPr>
                <w:rFonts w:hint="eastAsia" w:ascii="宋体" w:hAnsi="宋体" w:cs="宋体"/>
                <w:sz w:val="21"/>
                <w:szCs w:val="21"/>
                <w:highlight w:val="none"/>
                <w:lang w:val="en-US" w:eastAsia="zh-CN"/>
              </w:rPr>
              <w:t>中国注册税务师协会签发的电子个人会员证书（会员类型为“执业”，工作单位名称应与投标人名称一致），</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且证书签发日期需在本项目招标公告发布时间之后；</w:t>
            </w:r>
          </w:p>
          <w:p w14:paraId="254B0081">
            <w:pPr>
              <w:numPr>
                <w:ilvl w:val="0"/>
                <w:numId w:val="0"/>
              </w:numPr>
              <w:jc w:val="left"/>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3.</w:t>
            </w:r>
            <w:r>
              <w:rPr>
                <w:rFonts w:hint="eastAsia"/>
                <w:sz w:val="21"/>
                <w:szCs w:val="21"/>
                <w:highlight w:val="none"/>
              </w:rPr>
              <w:t>近3年内</w:t>
            </w:r>
            <w:r>
              <w:rPr>
                <w:rFonts w:hint="eastAsia" w:ascii="宋体" w:hAnsi="宋体" w:cs="宋体"/>
                <w:sz w:val="21"/>
                <w:szCs w:val="21"/>
                <w:highlight w:val="none"/>
                <w:lang w:val="en-US" w:eastAsia="zh-CN"/>
              </w:rPr>
              <w:t>(2023年4月1日至今，以合同协议书（</w:t>
            </w:r>
            <w:r>
              <w:rPr>
                <w:rFonts w:hint="eastAsia"/>
                <w:sz w:val="21"/>
                <w:szCs w:val="21"/>
                <w:highlight w:val="none"/>
              </w:rPr>
              <w:t>或业务约定书）签订时间为准）至少担任过一项企业所得税汇算清缴</w:t>
            </w:r>
            <w:r>
              <w:rPr>
                <w:rFonts w:hint="eastAsia"/>
                <w:sz w:val="21"/>
                <w:szCs w:val="21"/>
                <w:highlight w:val="none"/>
                <w:lang w:val="en-US" w:eastAsia="zh-CN"/>
              </w:rPr>
              <w:t>和一项</w:t>
            </w:r>
            <w:r>
              <w:rPr>
                <w:rFonts w:hint="eastAsia"/>
                <w:sz w:val="21"/>
                <w:szCs w:val="21"/>
                <w:highlight w:val="none"/>
              </w:rPr>
              <w:t>税务咨询</w:t>
            </w:r>
            <w:r>
              <w:rPr>
                <w:rFonts w:hint="eastAsia"/>
                <w:sz w:val="21"/>
                <w:szCs w:val="21"/>
                <w:highlight w:val="none"/>
                <w:lang w:val="en-US" w:eastAsia="zh-CN"/>
              </w:rPr>
              <w:t>服务</w:t>
            </w:r>
            <w:r>
              <w:rPr>
                <w:rFonts w:hint="eastAsia"/>
                <w:sz w:val="21"/>
                <w:szCs w:val="21"/>
                <w:highlight w:val="none"/>
              </w:rPr>
              <w:t>业绩的项目负责人</w:t>
            </w:r>
            <w:r>
              <w:rPr>
                <w:rFonts w:hint="eastAsia"/>
                <w:sz w:val="21"/>
                <w:szCs w:val="21"/>
                <w:highlight w:val="none"/>
                <w:lang w:val="en-US" w:eastAsia="zh-CN"/>
              </w:rPr>
              <w:t>。</w:t>
            </w:r>
          </w:p>
        </w:tc>
      </w:tr>
      <w:tr w14:paraId="5476A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jc w:val="center"/>
        </w:trPr>
        <w:tc>
          <w:tcPr>
            <w:tcW w:w="1383" w:type="dxa"/>
            <w:noWrap w:val="0"/>
            <w:vAlign w:val="center"/>
          </w:tcPr>
          <w:p w14:paraId="7AD05AFA">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其他成员</w:t>
            </w:r>
          </w:p>
        </w:tc>
        <w:tc>
          <w:tcPr>
            <w:tcW w:w="992" w:type="dxa"/>
            <w:noWrap w:val="0"/>
            <w:vAlign w:val="center"/>
          </w:tcPr>
          <w:p w14:paraId="2CC13C7A">
            <w:pPr>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6843" w:type="dxa"/>
            <w:noWrap w:val="0"/>
            <w:vAlign w:val="center"/>
          </w:tcPr>
          <w:p w14:paraId="5710CA67">
            <w:pPr>
              <w:numPr>
                <w:ilvl w:val="0"/>
                <w:numId w:val="0"/>
              </w:numPr>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具备税务师</w:t>
            </w:r>
            <w:r>
              <w:rPr>
                <w:rFonts w:hint="eastAsia" w:ascii="宋体" w:hAnsi="宋体" w:cs="宋体"/>
                <w:sz w:val="21"/>
                <w:szCs w:val="21"/>
                <w:highlight w:val="none"/>
                <w:lang w:val="en-US" w:eastAsia="zh-CN"/>
              </w:rPr>
              <w:t>或注册税务师证书；</w:t>
            </w:r>
          </w:p>
          <w:p w14:paraId="1C58E65D">
            <w:pPr>
              <w:numPr>
                <w:ilvl w:val="0"/>
                <w:numId w:val="0"/>
              </w:numPr>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具备</w:t>
            </w:r>
            <w:r>
              <w:rPr>
                <w:rFonts w:hint="eastAsia" w:ascii="宋体" w:hAnsi="宋体" w:cs="宋体"/>
                <w:sz w:val="21"/>
                <w:szCs w:val="21"/>
                <w:highlight w:val="none"/>
                <w:lang w:val="en-US" w:eastAsia="zh-CN"/>
              </w:rPr>
              <w:t>中国注册税务师协会签发的电子个人会员证书（会员类型为“执业”，工作单位名称应与投标人名称一致），</w:t>
            </w:r>
            <w:r>
              <w:rPr>
                <w:rFonts w:hint="eastAsia" w:ascii="宋体" w:hAnsi="宋体" w:cs="宋体"/>
                <w:strike w:val="0"/>
                <w:dstrike w:val="0"/>
                <w:sz w:val="21"/>
                <w:szCs w:val="21"/>
                <w:highlight w:val="none"/>
                <w:lang w:val="en-US" w:eastAsia="zh-CN"/>
              </w:rPr>
              <w:t>且证书签发日期需在本项目招标公告发布时间之后。</w:t>
            </w:r>
          </w:p>
        </w:tc>
      </w:tr>
    </w:tbl>
    <w:p w14:paraId="2EA7EEDE">
      <w:pPr>
        <w:adjustRightInd w:val="0"/>
        <w:spacing w:line="400" w:lineRule="exact"/>
        <w:jc w:val="center"/>
        <w:rPr>
          <w:b/>
          <w:sz w:val="24"/>
          <w:szCs w:val="24"/>
          <w:highlight w:val="none"/>
        </w:rPr>
      </w:pPr>
    </w:p>
    <w:p w14:paraId="45AC196D">
      <w:pPr>
        <w:spacing w:line="360" w:lineRule="auto"/>
        <w:rPr>
          <w:b/>
          <w:sz w:val="24"/>
          <w:highlight w:val="none"/>
        </w:rPr>
      </w:pPr>
      <w:r>
        <w:rPr>
          <w:highlight w:val="none"/>
        </w:rPr>
        <w:br w:type="page"/>
      </w:r>
      <w:r>
        <w:rPr>
          <w:b/>
          <w:sz w:val="24"/>
          <w:highlight w:val="none"/>
        </w:rPr>
        <w:t>附件2：评标办法</w:t>
      </w:r>
    </w:p>
    <w:p w14:paraId="43A24B04">
      <w:pPr>
        <w:pStyle w:val="23"/>
        <w:spacing w:line="276" w:lineRule="auto"/>
        <w:rPr>
          <w:rFonts w:ascii="Times New Roman" w:hAnsi="Times New Roman" w:eastAsia="宋体"/>
          <w:sz w:val="30"/>
          <w:szCs w:val="30"/>
          <w:highlight w:val="none"/>
        </w:rPr>
      </w:pPr>
      <w:bookmarkStart w:id="5" w:name="_Hlk93740604"/>
      <w:bookmarkStart w:id="6" w:name="_Toc459307890"/>
      <w:bookmarkStart w:id="7" w:name="_Toc502992691"/>
      <w:bookmarkStart w:id="8" w:name="_Toc509659998"/>
      <w:bookmarkStart w:id="9" w:name="_Toc509660966"/>
      <w:bookmarkStart w:id="10" w:name="_Toc450319202"/>
      <w:bookmarkStart w:id="11" w:name="_Toc514238202"/>
      <w:bookmarkStart w:id="12" w:name="_Toc445222503"/>
      <w:bookmarkStart w:id="13" w:name="_Toc445382083"/>
      <w:bookmarkStart w:id="14" w:name="_Toc444088432"/>
      <w:bookmarkStart w:id="15" w:name="_Toc444271617"/>
      <w:r>
        <w:rPr>
          <w:rFonts w:ascii="Times New Roman" w:hAnsi="Times New Roman" w:eastAsia="宋体"/>
          <w:sz w:val="30"/>
          <w:szCs w:val="30"/>
          <w:highlight w:val="none"/>
        </w:rPr>
        <w:t>评标办法</w:t>
      </w:r>
      <w:bookmarkEnd w:id="5"/>
      <w:r>
        <w:rPr>
          <w:rFonts w:ascii="Times New Roman" w:hAnsi="Times New Roman" w:eastAsia="宋体"/>
          <w:sz w:val="30"/>
          <w:szCs w:val="30"/>
          <w:highlight w:val="none"/>
        </w:rPr>
        <w:t>（综合评估法）</w:t>
      </w:r>
      <w:bookmarkEnd w:id="6"/>
      <w:bookmarkEnd w:id="7"/>
      <w:bookmarkEnd w:id="8"/>
      <w:bookmarkEnd w:id="9"/>
      <w:bookmarkEnd w:id="10"/>
      <w:bookmarkEnd w:id="11"/>
    </w:p>
    <w:bookmarkEnd w:id="0"/>
    <w:bookmarkEnd w:id="12"/>
    <w:bookmarkEnd w:id="13"/>
    <w:bookmarkEnd w:id="14"/>
    <w:bookmarkEnd w:id="15"/>
    <w:p w14:paraId="1B86F6B7">
      <w:pPr>
        <w:pStyle w:val="23"/>
        <w:numPr>
          <w:ilvl w:val="1"/>
          <w:numId w:val="0"/>
        </w:numPr>
        <w:spacing w:line="276" w:lineRule="auto"/>
        <w:jc w:val="both"/>
        <w:rPr>
          <w:rFonts w:ascii="Times New Roman" w:hAnsi="Times New Roman" w:eastAsia="宋体"/>
          <w:sz w:val="24"/>
          <w:szCs w:val="30"/>
          <w:highlight w:val="none"/>
        </w:rPr>
      </w:pPr>
      <w:r>
        <w:rPr>
          <w:rFonts w:ascii="Times New Roman" w:hAnsi="Times New Roman" w:eastAsia="宋体"/>
          <w:sz w:val="24"/>
          <w:szCs w:val="30"/>
          <w:highlight w:val="none"/>
        </w:rPr>
        <w:t>评标办法前附表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7250"/>
      </w:tblGrid>
      <w:tr w14:paraId="1012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959" w:type="dxa"/>
            <w:noWrap w:val="0"/>
            <w:vAlign w:val="center"/>
          </w:tcPr>
          <w:p w14:paraId="7B5454CC">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条款号</w:t>
            </w:r>
          </w:p>
        </w:tc>
        <w:tc>
          <w:tcPr>
            <w:tcW w:w="1134" w:type="dxa"/>
            <w:noWrap w:val="0"/>
            <w:vAlign w:val="center"/>
          </w:tcPr>
          <w:p w14:paraId="5D6D6EAD">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条款名称</w:t>
            </w:r>
          </w:p>
        </w:tc>
        <w:tc>
          <w:tcPr>
            <w:tcW w:w="7250" w:type="dxa"/>
            <w:noWrap w:val="0"/>
            <w:vAlign w:val="center"/>
          </w:tcPr>
          <w:p w14:paraId="2F92ABBF">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评审因素与评审标准</w:t>
            </w:r>
          </w:p>
        </w:tc>
      </w:tr>
      <w:tr w14:paraId="4E8A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59" w:type="dxa"/>
            <w:noWrap w:val="0"/>
            <w:vAlign w:val="center"/>
          </w:tcPr>
          <w:p w14:paraId="09FE8092">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1</w:t>
            </w:r>
          </w:p>
        </w:tc>
        <w:tc>
          <w:tcPr>
            <w:tcW w:w="1134" w:type="dxa"/>
            <w:noWrap w:val="0"/>
            <w:vAlign w:val="center"/>
          </w:tcPr>
          <w:p w14:paraId="071C29CA">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评标办法</w:t>
            </w:r>
          </w:p>
        </w:tc>
        <w:tc>
          <w:tcPr>
            <w:tcW w:w="7250" w:type="dxa"/>
            <w:noWrap w:val="0"/>
            <w:vAlign w:val="center"/>
          </w:tcPr>
          <w:p w14:paraId="571CF852">
            <w:pPr>
              <w:keepNext w:val="0"/>
              <w:keepLines w:val="0"/>
              <w:pageBreakBefore w:val="0"/>
              <w:widowControl w:val="0"/>
              <w:kinsoku/>
              <w:wordWrap/>
              <w:overflowPunct/>
              <w:topLinePunct w:val="0"/>
              <w:bidi w:val="0"/>
              <w:snapToGrid w:val="0"/>
              <w:spacing w:line="320" w:lineRule="exact"/>
              <w:ind w:firstLine="404" w:firstLineChars="200"/>
              <w:jc w:val="left"/>
              <w:textAlignment w:val="auto"/>
              <w:rPr>
                <w:rFonts w:ascii="宋体" w:hAnsi="宋体"/>
                <w:spacing w:val="-4"/>
                <w:sz w:val="21"/>
                <w:szCs w:val="21"/>
                <w:highlight w:val="none"/>
              </w:rPr>
            </w:pPr>
            <w:r>
              <w:rPr>
                <w:rFonts w:ascii="宋体" w:hAnsi="宋体"/>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236FE0EE">
            <w:pPr>
              <w:keepNext w:val="0"/>
              <w:keepLines w:val="0"/>
              <w:pageBreakBefore w:val="0"/>
              <w:widowControl w:val="0"/>
              <w:kinsoku/>
              <w:wordWrap/>
              <w:overflowPunct/>
              <w:topLinePunct w:val="0"/>
              <w:bidi w:val="0"/>
              <w:snapToGrid w:val="0"/>
              <w:spacing w:line="320" w:lineRule="exact"/>
              <w:ind w:left="273" w:leftChars="97" w:hanging="1"/>
              <w:jc w:val="left"/>
              <w:textAlignment w:val="auto"/>
              <w:rPr>
                <w:rFonts w:ascii="宋体" w:hAnsi="宋体"/>
                <w:spacing w:val="-4"/>
                <w:sz w:val="21"/>
                <w:szCs w:val="21"/>
                <w:highlight w:val="none"/>
              </w:rPr>
            </w:pPr>
            <w:r>
              <w:rPr>
                <w:rFonts w:ascii="宋体" w:hAnsi="宋体"/>
                <w:spacing w:val="-4"/>
                <w:sz w:val="21"/>
                <w:szCs w:val="21"/>
                <w:highlight w:val="none"/>
              </w:rPr>
              <w:t>（1）评标价低的投标人优先；</w:t>
            </w:r>
          </w:p>
          <w:p w14:paraId="7CCAC594">
            <w:pPr>
              <w:keepNext w:val="0"/>
              <w:keepLines w:val="0"/>
              <w:pageBreakBefore w:val="0"/>
              <w:widowControl w:val="0"/>
              <w:kinsoku/>
              <w:wordWrap/>
              <w:overflowPunct/>
              <w:topLinePunct w:val="0"/>
              <w:bidi w:val="0"/>
              <w:snapToGrid w:val="0"/>
              <w:spacing w:line="320" w:lineRule="exact"/>
              <w:ind w:left="273" w:leftChars="97" w:hanging="1"/>
              <w:jc w:val="left"/>
              <w:textAlignment w:val="auto"/>
              <w:rPr>
                <w:rFonts w:ascii="宋体" w:hAnsi="宋体"/>
                <w:spacing w:val="-4"/>
                <w:sz w:val="21"/>
                <w:szCs w:val="21"/>
                <w:highlight w:val="none"/>
              </w:rPr>
            </w:pPr>
            <w:r>
              <w:rPr>
                <w:rFonts w:ascii="宋体" w:hAnsi="宋体"/>
                <w:spacing w:val="-4"/>
                <w:sz w:val="21"/>
                <w:szCs w:val="21"/>
                <w:highlight w:val="none"/>
              </w:rPr>
              <w:t>（2）实施方案得分较高的投标人优先；</w:t>
            </w:r>
          </w:p>
          <w:p w14:paraId="3E877331">
            <w:pPr>
              <w:keepNext w:val="0"/>
              <w:keepLines w:val="0"/>
              <w:pageBreakBefore w:val="0"/>
              <w:widowControl w:val="0"/>
              <w:kinsoku/>
              <w:wordWrap/>
              <w:overflowPunct/>
              <w:topLinePunct w:val="0"/>
              <w:bidi w:val="0"/>
              <w:snapToGrid w:val="0"/>
              <w:spacing w:line="320" w:lineRule="exact"/>
              <w:ind w:firstLine="272"/>
              <w:jc w:val="left"/>
              <w:textAlignment w:val="auto"/>
              <w:rPr>
                <w:rFonts w:hint="eastAsia" w:ascii="宋体" w:hAnsi="宋体"/>
                <w:sz w:val="21"/>
                <w:szCs w:val="21"/>
                <w:highlight w:val="none"/>
              </w:rPr>
            </w:pPr>
            <w:r>
              <w:rPr>
                <w:rFonts w:ascii="宋体" w:hAnsi="宋体"/>
                <w:spacing w:val="-4"/>
                <w:sz w:val="21"/>
                <w:szCs w:val="21"/>
                <w:highlight w:val="none"/>
              </w:rPr>
              <w:t>（3）投标人满足资格审查条件（业绩最低</w:t>
            </w:r>
            <w:r>
              <w:rPr>
                <w:rFonts w:hint="eastAsia" w:ascii="宋体" w:hAnsi="宋体"/>
                <w:spacing w:val="-4"/>
                <w:sz w:val="21"/>
                <w:szCs w:val="21"/>
                <w:highlight w:val="none"/>
              </w:rPr>
              <w:t>要求</w:t>
            </w:r>
            <w:r>
              <w:rPr>
                <w:rFonts w:ascii="宋体" w:hAnsi="宋体"/>
                <w:spacing w:val="-4"/>
                <w:sz w:val="21"/>
                <w:szCs w:val="21"/>
                <w:highlight w:val="none"/>
              </w:rPr>
              <w:t>）的业绩金额累计较高的优先。</w:t>
            </w:r>
          </w:p>
        </w:tc>
      </w:tr>
      <w:tr w14:paraId="57EC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59" w:type="dxa"/>
            <w:noWrap w:val="0"/>
            <w:vAlign w:val="center"/>
          </w:tcPr>
          <w:p w14:paraId="582074FB">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2.1.1</w:t>
            </w:r>
          </w:p>
          <w:p w14:paraId="40D94360">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2.1.3</w:t>
            </w:r>
          </w:p>
        </w:tc>
        <w:tc>
          <w:tcPr>
            <w:tcW w:w="1134" w:type="dxa"/>
            <w:noWrap w:val="0"/>
            <w:vAlign w:val="center"/>
          </w:tcPr>
          <w:p w14:paraId="2F99C185">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形式评审与响应性评审标准</w:t>
            </w:r>
          </w:p>
        </w:tc>
        <w:tc>
          <w:tcPr>
            <w:tcW w:w="7250" w:type="dxa"/>
            <w:noWrap w:val="0"/>
            <w:vAlign w:val="top"/>
          </w:tcPr>
          <w:p w14:paraId="59D53D94">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b/>
                <w:sz w:val="21"/>
                <w:szCs w:val="21"/>
                <w:highlight w:val="none"/>
              </w:rPr>
            </w:pPr>
            <w:r>
              <w:rPr>
                <w:rFonts w:ascii="宋体" w:hAnsi="宋体"/>
                <w:b/>
                <w:sz w:val="21"/>
                <w:szCs w:val="21"/>
                <w:highlight w:val="none"/>
              </w:rPr>
              <w:t>第一个信封（商务文件）评审标准：</w:t>
            </w:r>
          </w:p>
          <w:p w14:paraId="6FCBAB3E">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bCs/>
                <w:sz w:val="21"/>
                <w:szCs w:val="21"/>
                <w:highlight w:val="none"/>
              </w:rPr>
            </w:pPr>
            <w:r>
              <w:rPr>
                <w:rFonts w:ascii="宋体" w:hAnsi="宋体"/>
                <w:bCs/>
                <w:sz w:val="21"/>
                <w:szCs w:val="21"/>
                <w:highlight w:val="none"/>
              </w:rPr>
              <w:t>（1）投标文件按照招标文件规定的格式、内容填写，字迹清晰可辨：</w:t>
            </w:r>
          </w:p>
          <w:p w14:paraId="5018756D">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bCs/>
                <w:sz w:val="21"/>
                <w:szCs w:val="21"/>
                <w:highlight w:val="none"/>
              </w:rPr>
            </w:pPr>
            <w:r>
              <w:rPr>
                <w:rFonts w:ascii="宋体" w:hAnsi="宋体"/>
                <w:bCs/>
                <w:sz w:val="21"/>
                <w:szCs w:val="21"/>
                <w:highlight w:val="none"/>
              </w:rPr>
              <w:t>a.投标函按招标文件规定填报了项目名称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补遗书编号（如有）、质量要求、服务期限</w:t>
            </w:r>
            <w:r>
              <w:rPr>
                <w:rFonts w:hint="eastAsia" w:ascii="宋体" w:hAnsi="宋体"/>
                <w:bCs/>
                <w:sz w:val="21"/>
                <w:szCs w:val="21"/>
                <w:highlight w:val="none"/>
              </w:rPr>
              <w:t>及项目负责人</w:t>
            </w:r>
            <w:r>
              <w:rPr>
                <w:rFonts w:hint="eastAsia" w:ascii="宋体" w:hAnsi="宋体"/>
                <w:sz w:val="21"/>
                <w:szCs w:val="21"/>
                <w:highlight w:val="none"/>
              </w:rPr>
              <w:t>信息</w:t>
            </w:r>
            <w:r>
              <w:rPr>
                <w:rFonts w:ascii="宋体" w:hAnsi="宋体"/>
                <w:bCs/>
                <w:sz w:val="21"/>
                <w:szCs w:val="21"/>
                <w:highlight w:val="none"/>
              </w:rPr>
              <w:t>；</w:t>
            </w:r>
          </w:p>
          <w:p w14:paraId="260F8EF2">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bCs/>
                <w:sz w:val="21"/>
                <w:szCs w:val="21"/>
                <w:highlight w:val="none"/>
              </w:rPr>
            </w:pPr>
            <w:r>
              <w:rPr>
                <w:rFonts w:ascii="宋体" w:hAnsi="宋体"/>
                <w:bCs/>
                <w:sz w:val="21"/>
                <w:szCs w:val="21"/>
                <w:highlight w:val="none"/>
              </w:rPr>
              <w:t>b.投标文件组成齐全完整，内容均按规定填写。</w:t>
            </w:r>
          </w:p>
          <w:p w14:paraId="414E9C88">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72F37CD0">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（3）投标人按照招标文件的规定提供了投标保证金，并符合投标人须知前附表3.4.1项的相关规定。</w:t>
            </w:r>
          </w:p>
          <w:p w14:paraId="639D8B83">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（4）投标人法定代表人授权委托代理人签署投标文件的，须提交授权委托书，</w:t>
            </w:r>
            <w:r>
              <w:rPr>
                <w:rFonts w:hint="eastAsia" w:ascii="宋体" w:hAnsi="宋体" w:cs="宋体"/>
                <w:color w:val="000000"/>
                <w:sz w:val="21"/>
                <w:szCs w:val="21"/>
                <w:highlight w:val="none"/>
              </w:rPr>
              <w:t>授权委托书符合招标文件规定</w:t>
            </w:r>
            <w:r>
              <w:rPr>
                <w:rFonts w:ascii="宋体" w:hAnsi="宋体"/>
                <w:sz w:val="21"/>
                <w:szCs w:val="21"/>
                <w:highlight w:val="none"/>
              </w:rPr>
              <w:t>。</w:t>
            </w:r>
          </w:p>
          <w:p w14:paraId="6332E048">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（5）投标人法定代表人亲自签署投标文件的，提供了法定代表人身份证明，并符合招标文件的规定。</w:t>
            </w:r>
          </w:p>
          <w:p w14:paraId="24CE5733">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（6）投标人</w:t>
            </w:r>
            <w:r>
              <w:rPr>
                <w:rFonts w:hint="eastAsia" w:ascii="宋体" w:hAnsi="宋体"/>
                <w:sz w:val="21"/>
                <w:szCs w:val="21"/>
                <w:highlight w:val="none"/>
              </w:rPr>
              <w:t>未</w:t>
            </w:r>
            <w:r>
              <w:rPr>
                <w:rFonts w:ascii="宋体" w:hAnsi="宋体"/>
                <w:sz w:val="21"/>
                <w:szCs w:val="21"/>
                <w:highlight w:val="none"/>
              </w:rPr>
              <w:t>以联合体形式投标。</w:t>
            </w:r>
          </w:p>
          <w:p w14:paraId="4F102C8B">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（7）投标人</w:t>
            </w:r>
            <w:r>
              <w:rPr>
                <w:rFonts w:hint="eastAsia" w:ascii="宋体" w:hAnsi="宋体"/>
                <w:sz w:val="21"/>
                <w:szCs w:val="21"/>
                <w:highlight w:val="none"/>
                <w:lang w:val="en-US" w:eastAsia="zh-CN"/>
              </w:rPr>
              <w:t>未对本项目提出分包</w:t>
            </w:r>
            <w:r>
              <w:rPr>
                <w:rFonts w:ascii="宋体" w:hAnsi="宋体"/>
                <w:sz w:val="21"/>
                <w:szCs w:val="21"/>
                <w:highlight w:val="none"/>
              </w:rPr>
              <w:t>计划。</w:t>
            </w:r>
          </w:p>
          <w:p w14:paraId="3412EE9A">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（8）</w:t>
            </w:r>
            <w:r>
              <w:rPr>
                <w:rFonts w:hint="eastAsia" w:ascii="宋体" w:hAnsi="宋体"/>
                <w:sz w:val="21"/>
                <w:szCs w:val="21"/>
                <w:highlight w:val="none"/>
              </w:rPr>
              <w:t>同一投标人未提交两个以上不同的投标文件</w:t>
            </w:r>
            <w:r>
              <w:rPr>
                <w:rFonts w:ascii="宋体" w:hAnsi="宋体"/>
                <w:sz w:val="21"/>
                <w:szCs w:val="21"/>
                <w:highlight w:val="none"/>
              </w:rPr>
              <w:t>。</w:t>
            </w:r>
          </w:p>
          <w:p w14:paraId="66335C0F">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（9）投标文件中未出现有关投标报价的内容。</w:t>
            </w:r>
          </w:p>
          <w:p w14:paraId="413B9677">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（10）投标文件载明的招标项目完成期限未超过招标文件规定。</w:t>
            </w:r>
          </w:p>
          <w:p w14:paraId="6DAADC79">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（11）投标文件对招标文件的实质性要求和条件作出响应。</w:t>
            </w:r>
          </w:p>
          <w:p w14:paraId="03E752BD">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（12）权利义务符合招标文件规定：</w:t>
            </w:r>
          </w:p>
          <w:p w14:paraId="2C7374C2">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a.投标人应接受招标文件规定的风险划分原则，未提出新的风险划分办法；</w:t>
            </w:r>
          </w:p>
          <w:p w14:paraId="5AC448E0">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b.投标人未增加发包人的责任范围，或减少投标人义务；</w:t>
            </w:r>
          </w:p>
          <w:p w14:paraId="4877B0E5">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color w:val="000000" w:themeColor="text1"/>
                <w:sz w:val="21"/>
                <w:szCs w:val="21"/>
                <w:highlight w:val="none"/>
                <w14:textFill>
                  <w14:solidFill>
                    <w14:schemeClr w14:val="tx1"/>
                  </w14:solidFill>
                </w14:textFill>
              </w:rPr>
            </w:pPr>
            <w:r>
              <w:rPr>
                <w:rFonts w:ascii="宋体" w:hAnsi="宋体"/>
                <w:sz w:val="21"/>
                <w:szCs w:val="21"/>
                <w:highlight w:val="none"/>
              </w:rPr>
              <w:t>c.</w:t>
            </w:r>
            <w:r>
              <w:rPr>
                <w:rFonts w:ascii="宋体" w:hAnsi="宋体"/>
                <w:color w:val="000000" w:themeColor="text1"/>
                <w:sz w:val="21"/>
                <w:szCs w:val="21"/>
                <w:highlight w:val="none"/>
                <w14:textFill>
                  <w14:solidFill>
                    <w14:schemeClr w14:val="tx1"/>
                  </w14:solidFill>
                </w14:textFill>
              </w:rPr>
              <w:t>投标人未提出不同的支付办法；</w:t>
            </w:r>
          </w:p>
          <w:p w14:paraId="5F9691AE">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d.投标人对合同纠纷、事故处理办法未提出异议；</w:t>
            </w:r>
          </w:p>
          <w:p w14:paraId="27332CAA">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e.投标人在投标活动中无欺诈行为；</w:t>
            </w:r>
          </w:p>
          <w:p w14:paraId="5E5A5ADC">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f.投标人未对合同条款有重要保留。</w:t>
            </w:r>
          </w:p>
          <w:p w14:paraId="015908B9">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b w:val="0"/>
                <w:bCs/>
                <w:color w:val="000000" w:themeColor="text1"/>
                <w:sz w:val="21"/>
                <w:szCs w:val="21"/>
                <w:highlight w:val="none"/>
                <w14:textFill>
                  <w14:solidFill>
                    <w14:schemeClr w14:val="tx1"/>
                  </w14:solidFill>
                </w14:textFill>
              </w:rPr>
            </w:pPr>
            <w:r>
              <w:rPr>
                <w:rFonts w:hint="eastAsia" w:ascii="宋体" w:hAnsi="宋体"/>
                <w:b w:val="0"/>
                <w:bCs/>
                <w:color w:val="000000" w:themeColor="text1"/>
                <w:sz w:val="21"/>
                <w:szCs w:val="21"/>
                <w:highlight w:val="none"/>
                <w14:textFill>
                  <w14:solidFill>
                    <w14:schemeClr w14:val="tx1"/>
                  </w14:solidFill>
                </w14:textFill>
              </w:rPr>
              <w:t>（13）投标人不存在投标人须知前附表4.4(1)、(3)项规定的情形。</w:t>
            </w:r>
          </w:p>
          <w:p w14:paraId="49C667DF">
            <w:pPr>
              <w:keepNext w:val="0"/>
              <w:keepLines w:val="0"/>
              <w:pageBreakBefore w:val="0"/>
              <w:widowControl w:val="0"/>
              <w:tabs>
                <w:tab w:val="left" w:pos="3060"/>
              </w:tabs>
              <w:kinsoku/>
              <w:wordWrap/>
              <w:overflowPunct/>
              <w:topLinePunct w:val="0"/>
              <w:bidi w:val="0"/>
              <w:snapToGrid w:val="0"/>
              <w:spacing w:line="320" w:lineRule="exact"/>
              <w:textAlignment w:val="auto"/>
              <w:rPr>
                <w:rFonts w:hint="default" w:ascii="宋体" w:hAnsi="宋体"/>
                <w:b w:val="0"/>
                <w:bCs/>
                <w:color w:val="000000" w:themeColor="text1"/>
                <w:sz w:val="21"/>
                <w:szCs w:val="21"/>
                <w:highlight w:val="none"/>
                <w:lang w:val="en-US"/>
                <w14:textFill>
                  <w14:solidFill>
                    <w14:schemeClr w14:val="tx1"/>
                  </w14:solidFill>
                </w14:textFill>
              </w:rPr>
            </w:pPr>
            <w:r>
              <w:rPr>
                <w:rFonts w:hint="eastAsia" w:ascii="宋体" w:hAnsi="宋体"/>
                <w:b w:val="0"/>
                <w:bCs/>
                <w:color w:val="000000" w:themeColor="text1"/>
                <w:sz w:val="21"/>
                <w:szCs w:val="21"/>
                <w:highlight w:val="none"/>
                <w14:textFill>
                  <w14:solidFill>
                    <w14:schemeClr w14:val="tx1"/>
                  </w14:solidFill>
                </w14:textFill>
              </w:rPr>
              <w:t>（14）投标人不存在因投标人须知前附表4.4(2)项规定的情形被评标委员会认定为</w:t>
            </w:r>
            <w:r>
              <w:rPr>
                <w:rFonts w:hint="eastAsia" w:ascii="宋体" w:hAnsi="宋体"/>
                <w:color w:val="000000" w:themeColor="text1"/>
                <w:sz w:val="21"/>
                <w:szCs w:val="21"/>
                <w:highlight w:val="none"/>
                <w:lang w:eastAsia="zh-CN"/>
                <w14:textFill>
                  <w14:solidFill>
                    <w14:schemeClr w14:val="tx1"/>
                  </w14:solidFill>
                </w14:textFill>
              </w:rPr>
              <w:t>投标文件异常一致或投标活动异常关联活动情形。</w:t>
            </w:r>
          </w:p>
          <w:p w14:paraId="724F3610">
            <w:pPr>
              <w:tabs>
                <w:tab w:val="left" w:pos="3060"/>
              </w:tabs>
              <w:snapToGrid w:val="0"/>
              <w:spacing w:line="320" w:lineRule="exact"/>
              <w:rPr>
                <w:rFonts w:hint="eastAsia" w:ascii="宋体" w:hAnsi="宋体" w:cs="宋体"/>
                <w:sz w:val="21"/>
                <w:szCs w:val="21"/>
                <w:highlight w:val="none"/>
              </w:rPr>
            </w:pPr>
            <w:r>
              <w:rPr>
                <w:rFonts w:hint="eastAsia" w:ascii="宋体" w:hAnsi="宋体" w:cs="宋体"/>
                <w:b/>
                <w:bCs/>
                <w:sz w:val="21"/>
                <w:szCs w:val="21"/>
                <w:highlight w:val="none"/>
              </w:rPr>
              <w:t>第一个信封（技术文件）评审标准（暗标部分）:</w:t>
            </w:r>
          </w:p>
          <w:p w14:paraId="250DEF20">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b/>
                <w:color w:val="000000" w:themeColor="text1"/>
                <w:sz w:val="21"/>
                <w:szCs w:val="21"/>
                <w:highlight w:val="none"/>
                <w14:textFill>
                  <w14:solidFill>
                    <w14:schemeClr w14:val="tx1"/>
                  </w14:solidFill>
                </w14:textFill>
              </w:rPr>
            </w:pPr>
            <w:r>
              <w:rPr>
                <w:rFonts w:hint="eastAsia" w:ascii="宋体" w:hAnsi="宋体" w:cs="宋体"/>
                <w:sz w:val="21"/>
                <w:szCs w:val="21"/>
                <w:highlight w:val="none"/>
              </w:rPr>
              <w:t>（1）</w:t>
            </w:r>
            <w:r>
              <w:rPr>
                <w:rFonts w:hint="eastAsia" w:ascii="宋体" w:hAnsi="宋体" w:cs="宋体"/>
                <w:color w:val="000000" w:themeColor="text1"/>
                <w:sz w:val="21"/>
                <w:szCs w:val="21"/>
                <w:highlight w:val="none"/>
                <w14:textFill>
                  <w14:solidFill>
                    <w14:schemeClr w14:val="tx1"/>
                  </w14:solidFill>
                </w14:textFill>
              </w:rPr>
              <w:t>技术建议书（暗标）编制符合招标文件第二章“投标人须知”第10.2款的规定。</w:t>
            </w:r>
          </w:p>
          <w:p w14:paraId="375C0C29">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b/>
                <w:color w:val="000000" w:themeColor="text1"/>
                <w:sz w:val="21"/>
                <w:szCs w:val="21"/>
                <w:highlight w:val="none"/>
                <w14:textFill>
                  <w14:solidFill>
                    <w14:schemeClr w14:val="tx1"/>
                  </w14:solidFill>
                </w14:textFill>
              </w:rPr>
            </w:pPr>
            <w:r>
              <w:rPr>
                <w:rFonts w:ascii="宋体" w:hAnsi="宋体"/>
                <w:b/>
                <w:color w:val="000000" w:themeColor="text1"/>
                <w:sz w:val="21"/>
                <w:szCs w:val="21"/>
                <w:highlight w:val="none"/>
                <w14:textFill>
                  <w14:solidFill>
                    <w14:schemeClr w14:val="tx1"/>
                  </w14:solidFill>
                </w14:textFill>
              </w:rPr>
              <w:t>第二个信封（报价文件）评审标准：</w:t>
            </w:r>
          </w:p>
          <w:p w14:paraId="1CD690BE">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sz w:val="21"/>
                <w:szCs w:val="21"/>
                <w:highlight w:val="none"/>
              </w:rPr>
            </w:pPr>
            <w:r>
              <w:rPr>
                <w:rFonts w:ascii="宋体" w:hAnsi="宋体"/>
                <w:bCs/>
                <w:sz w:val="21"/>
                <w:szCs w:val="21"/>
                <w:highlight w:val="none"/>
              </w:rPr>
              <w:t>（1）投标文件按照招标文件规定的格式、内容填写，字迹清晰可辨，内容齐全完整。</w:t>
            </w:r>
          </w:p>
          <w:p w14:paraId="16CC1BAF">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sz w:val="21"/>
                <w:szCs w:val="21"/>
                <w:highlight w:val="none"/>
              </w:rPr>
            </w:pPr>
            <w:r>
              <w:rPr>
                <w:rFonts w:ascii="宋体" w:hAnsi="宋体"/>
                <w:bCs/>
                <w:sz w:val="21"/>
                <w:szCs w:val="21"/>
                <w:highlight w:val="none"/>
              </w:rPr>
              <w:t>a. 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补遗书编号（如有）、投标</w:t>
            </w:r>
            <w:r>
              <w:rPr>
                <w:rFonts w:hint="eastAsia" w:ascii="宋体" w:hAnsi="宋体"/>
                <w:bCs/>
                <w:sz w:val="21"/>
                <w:szCs w:val="21"/>
                <w:highlight w:val="none"/>
                <w:lang w:val="en-US" w:eastAsia="zh-CN"/>
              </w:rPr>
              <w:t>总</w:t>
            </w:r>
            <w:r>
              <w:rPr>
                <w:rFonts w:hint="eastAsia" w:ascii="宋体" w:hAnsi="宋体"/>
                <w:bCs/>
                <w:sz w:val="21"/>
                <w:szCs w:val="21"/>
                <w:highlight w:val="none"/>
              </w:rPr>
              <w:t>报</w:t>
            </w:r>
            <w:r>
              <w:rPr>
                <w:rFonts w:ascii="宋体" w:hAnsi="宋体"/>
                <w:bCs/>
                <w:sz w:val="21"/>
                <w:szCs w:val="21"/>
                <w:highlight w:val="none"/>
              </w:rPr>
              <w:t>价（包括大写金额和小写金额）；</w:t>
            </w:r>
          </w:p>
          <w:p w14:paraId="6E9F6DA5">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sz w:val="21"/>
                <w:szCs w:val="21"/>
                <w:highlight w:val="none"/>
              </w:rPr>
            </w:pPr>
            <w:r>
              <w:rPr>
                <w:rFonts w:ascii="宋体" w:hAnsi="宋体"/>
                <w:bCs/>
                <w:sz w:val="21"/>
                <w:szCs w:val="21"/>
                <w:highlight w:val="none"/>
              </w:rPr>
              <w:t>b．投标文件组成齐全完整，内容均按规定填写。</w:t>
            </w:r>
          </w:p>
          <w:p w14:paraId="18A2C4BB">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（2）投标文件上法定代表人或其授权代理人的签字、投标人的单位章盖章齐全，符合招标文件规定。</w:t>
            </w:r>
          </w:p>
          <w:p w14:paraId="711B34E9">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（3）投标</w:t>
            </w:r>
            <w:r>
              <w:rPr>
                <w:rFonts w:hint="eastAsia" w:ascii="宋体" w:hAnsi="宋体"/>
                <w:bCs/>
                <w:color w:val="000000" w:themeColor="text1"/>
                <w:sz w:val="21"/>
                <w:szCs w:val="21"/>
                <w:highlight w:val="none"/>
                <w:lang w:val="en-US" w:eastAsia="zh-CN"/>
                <w14:textFill>
                  <w14:solidFill>
                    <w14:schemeClr w14:val="tx1"/>
                  </w14:solidFill>
                </w14:textFill>
              </w:rPr>
              <w:t>总</w:t>
            </w:r>
            <w:r>
              <w:rPr>
                <w:rFonts w:ascii="宋体" w:hAnsi="宋体"/>
                <w:bCs/>
                <w:color w:val="000000" w:themeColor="text1"/>
                <w:sz w:val="21"/>
                <w:szCs w:val="21"/>
                <w:highlight w:val="none"/>
                <w14:textFill>
                  <w14:solidFill>
                    <w14:schemeClr w14:val="tx1"/>
                  </w14:solidFill>
                </w14:textFill>
              </w:rPr>
              <w:t>报价未超过招标文件设定的最高投标限价。</w:t>
            </w:r>
          </w:p>
          <w:p w14:paraId="0CD3E65F">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（4）投标</w:t>
            </w:r>
            <w:r>
              <w:rPr>
                <w:rFonts w:hint="eastAsia" w:ascii="宋体" w:hAnsi="宋体"/>
                <w:bCs/>
                <w:color w:val="000000" w:themeColor="text1"/>
                <w:sz w:val="21"/>
                <w:szCs w:val="21"/>
                <w:highlight w:val="none"/>
                <w:lang w:val="en-US" w:eastAsia="zh-CN"/>
                <w14:textFill>
                  <w14:solidFill>
                    <w14:schemeClr w14:val="tx1"/>
                  </w14:solidFill>
                </w14:textFill>
              </w:rPr>
              <w:t>总</w:t>
            </w:r>
            <w:r>
              <w:rPr>
                <w:rFonts w:ascii="宋体" w:hAnsi="宋体"/>
                <w:bCs/>
                <w:color w:val="000000" w:themeColor="text1"/>
                <w:sz w:val="21"/>
                <w:szCs w:val="21"/>
                <w:highlight w:val="none"/>
                <w14:textFill>
                  <w14:solidFill>
                    <w14:schemeClr w14:val="tx1"/>
                  </w14:solidFill>
                </w14:textFill>
              </w:rPr>
              <w:t>报价的大写金额能够确定具体数值。</w:t>
            </w:r>
          </w:p>
          <w:p w14:paraId="3CDE0B19">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（5）同一投标人未提交两个以上不同的投标报价。</w:t>
            </w:r>
          </w:p>
          <w:p w14:paraId="57013DF7">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lang w:eastAsia="zh-CN"/>
                <w14:textFill>
                  <w14:solidFill>
                    <w14:schemeClr w14:val="tx1"/>
                  </w14:solidFill>
                </w14:textFill>
              </w:rPr>
              <w:t>（</w:t>
            </w:r>
            <w:r>
              <w:rPr>
                <w:rFonts w:hint="eastAsia" w:ascii="宋体" w:hAnsi="宋体"/>
                <w:bCs/>
                <w:color w:val="000000" w:themeColor="text1"/>
                <w:sz w:val="21"/>
                <w:szCs w:val="21"/>
                <w:highlight w:val="none"/>
                <w14:textFill>
                  <w14:solidFill>
                    <w14:schemeClr w14:val="tx1"/>
                  </w14:solidFill>
                </w14:textFill>
              </w:rPr>
              <w:t>6）</w:t>
            </w:r>
            <w:r>
              <w:rPr>
                <w:rFonts w:hint="eastAsia" w:ascii="宋体" w:hAnsi="宋体"/>
                <w:bCs/>
                <w:color w:val="000000" w:themeColor="text1"/>
                <w:sz w:val="21"/>
                <w:szCs w:val="21"/>
                <w:highlight w:val="none"/>
                <w:lang w:val="en-US" w:eastAsia="zh-CN"/>
                <w14:textFill>
                  <w14:solidFill>
                    <w14:schemeClr w14:val="tx1"/>
                  </w14:solidFill>
                </w14:textFill>
              </w:rPr>
              <w:t>报价清单</w:t>
            </w:r>
            <w:r>
              <w:rPr>
                <w:rFonts w:hint="eastAsia" w:ascii="宋体" w:hAnsi="宋体"/>
                <w:bCs/>
                <w:color w:val="000000" w:themeColor="text1"/>
                <w:sz w:val="21"/>
                <w:szCs w:val="21"/>
                <w:highlight w:val="none"/>
                <w14:textFill>
                  <w14:solidFill>
                    <w14:schemeClr w14:val="tx1"/>
                  </w14:solidFill>
                </w14:textFill>
              </w:rPr>
              <w:t>中投标报价与投标函</w:t>
            </w:r>
            <w:r>
              <w:rPr>
                <w:rFonts w:hint="eastAsia" w:ascii="宋体" w:hAnsi="宋体"/>
                <w:bCs/>
                <w:color w:val="000000" w:themeColor="text1"/>
                <w:sz w:val="21"/>
                <w:szCs w:val="21"/>
                <w:highlight w:val="none"/>
                <w:lang w:val="en-US" w:eastAsia="zh-CN"/>
                <w14:textFill>
                  <w14:solidFill>
                    <w14:schemeClr w14:val="tx1"/>
                  </w14:solidFill>
                </w14:textFill>
              </w:rPr>
              <w:t>总报价</w:t>
            </w:r>
            <w:r>
              <w:rPr>
                <w:rFonts w:hint="eastAsia" w:ascii="宋体" w:hAnsi="宋体"/>
                <w:bCs/>
                <w:color w:val="000000" w:themeColor="text1"/>
                <w:sz w:val="21"/>
                <w:szCs w:val="21"/>
                <w:highlight w:val="none"/>
                <w14:textFill>
                  <w14:solidFill>
                    <w14:schemeClr w14:val="tx1"/>
                  </w14:solidFill>
                </w14:textFill>
              </w:rPr>
              <w:t>大写金额一致。</w:t>
            </w:r>
          </w:p>
          <w:p w14:paraId="42F64913">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lang w:val="en-US" w:eastAsia="zh-CN"/>
                <w14:textFill>
                  <w14:solidFill>
                    <w14:schemeClr w14:val="tx1"/>
                  </w14:solidFill>
                </w14:textFill>
              </w:rPr>
              <w:t>7</w:t>
            </w:r>
            <w:r>
              <w:rPr>
                <w:rFonts w:hint="eastAsia" w:ascii="宋体" w:hAnsi="宋体"/>
                <w:bCs/>
                <w:color w:val="000000" w:themeColor="text1"/>
                <w:sz w:val="21"/>
                <w:szCs w:val="21"/>
                <w:highlight w:val="none"/>
                <w14:textFill>
                  <w14:solidFill>
                    <w14:schemeClr w14:val="tx1"/>
                  </w14:solidFill>
                </w14:textFill>
              </w:rPr>
              <w:t>）投标人不存在投标人须知前附表4.4(1)、(3)项规定的情形。</w:t>
            </w:r>
          </w:p>
          <w:p w14:paraId="56631A52">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lang w:val="en-US" w:eastAsia="zh-CN"/>
                <w14:textFill>
                  <w14:solidFill>
                    <w14:schemeClr w14:val="tx1"/>
                  </w14:solidFill>
                </w14:textFill>
              </w:rPr>
              <w:t>8</w:t>
            </w:r>
            <w:r>
              <w:rPr>
                <w:rFonts w:hint="eastAsia" w:ascii="宋体" w:hAnsi="宋体"/>
                <w:bCs/>
                <w:color w:val="000000" w:themeColor="text1"/>
                <w:sz w:val="21"/>
                <w:szCs w:val="21"/>
                <w:highlight w:val="none"/>
                <w14:textFill>
                  <w14:solidFill>
                    <w14:schemeClr w14:val="tx1"/>
                  </w14:solidFill>
                </w14:textFill>
              </w:rPr>
              <w:t>）投标人不存在因投标人须知前附表4.4(2)项规定的情形被评标委员会认定为</w:t>
            </w:r>
            <w:r>
              <w:rPr>
                <w:rFonts w:hint="eastAsia" w:ascii="宋体" w:hAnsi="宋体" w:cs="宋体"/>
                <w:color w:val="000000" w:themeColor="text1"/>
                <w:sz w:val="21"/>
                <w:szCs w:val="21"/>
                <w:highlight w:val="none"/>
                <w14:textFill>
                  <w14:solidFill>
                    <w14:schemeClr w14:val="tx1"/>
                  </w14:solidFill>
                </w14:textFill>
              </w:rPr>
              <w:t>投标文件异常一致或投标活动异常关联活动情形</w:t>
            </w:r>
            <w:r>
              <w:rPr>
                <w:rFonts w:hint="eastAsia" w:ascii="宋体" w:hAnsi="宋体" w:cs="宋体"/>
                <w:color w:val="000000" w:themeColor="text1"/>
                <w:sz w:val="21"/>
                <w:szCs w:val="21"/>
                <w:highlight w:val="none"/>
                <w:lang w:eastAsia="zh-CN"/>
                <w14:textFill>
                  <w14:solidFill>
                    <w14:schemeClr w14:val="tx1"/>
                  </w14:solidFill>
                </w14:textFill>
              </w:rPr>
              <w:t>。</w:t>
            </w:r>
          </w:p>
          <w:p w14:paraId="06661A7C">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bCs/>
                <w:sz w:val="21"/>
                <w:szCs w:val="21"/>
                <w:highlight w:val="none"/>
              </w:rPr>
            </w:pPr>
            <w:r>
              <w:rPr>
                <w:rFonts w:hint="eastAsia" w:ascii="宋体" w:hAnsi="宋体"/>
                <w:bCs/>
                <w:color w:val="000000" w:themeColor="text1"/>
                <w:sz w:val="21"/>
                <w:szCs w:val="21"/>
                <w:highlight w:val="none"/>
                <w:lang w:eastAsia="zh-CN"/>
                <w14:textFill>
                  <w14:solidFill>
                    <w14:schemeClr w14:val="tx1"/>
                  </w14:solidFill>
                </w14:textFill>
              </w:rPr>
              <w:t>（</w:t>
            </w:r>
            <w:r>
              <w:rPr>
                <w:rFonts w:hint="eastAsia" w:ascii="宋体" w:hAnsi="宋体"/>
                <w:bCs/>
                <w:color w:val="000000" w:themeColor="text1"/>
                <w:sz w:val="21"/>
                <w:szCs w:val="21"/>
                <w:highlight w:val="none"/>
                <w:lang w:val="en-US" w:eastAsia="zh-CN"/>
                <w14:textFill>
                  <w14:solidFill>
                    <w14:schemeClr w14:val="tx1"/>
                  </w14:solidFill>
                </w14:textFill>
              </w:rPr>
              <w:t>9</w:t>
            </w:r>
            <w:r>
              <w:rPr>
                <w:rFonts w:hint="eastAsia" w:ascii="宋体" w:hAnsi="宋体"/>
                <w:bCs/>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lang w:eastAsia="zh-CN"/>
                <w14:textFill>
                  <w14:solidFill>
                    <w14:schemeClr w14:val="tx1"/>
                  </w14:solidFill>
                </w14:textFill>
              </w:rPr>
              <w:t>投标人不存在因投标人须知前附表3.2.5项规定被评标委员会认定为低于成本或影响履约的异常低价竞标的情形。</w:t>
            </w:r>
          </w:p>
        </w:tc>
      </w:tr>
      <w:tr w14:paraId="21A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1508E260">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2.1.2</w:t>
            </w:r>
          </w:p>
        </w:tc>
        <w:tc>
          <w:tcPr>
            <w:tcW w:w="1134" w:type="dxa"/>
            <w:noWrap w:val="0"/>
            <w:vAlign w:val="center"/>
          </w:tcPr>
          <w:p w14:paraId="4FDDBD16">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资格评审标准</w:t>
            </w:r>
          </w:p>
        </w:tc>
        <w:tc>
          <w:tcPr>
            <w:tcW w:w="7250" w:type="dxa"/>
            <w:noWrap w:val="0"/>
            <w:vAlign w:val="top"/>
          </w:tcPr>
          <w:p w14:paraId="5CE670B6">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（1）投标人具备有效的营业执照副本</w:t>
            </w:r>
            <w:r>
              <w:rPr>
                <w:rFonts w:hint="eastAsia" w:ascii="宋体" w:hAnsi="宋体"/>
                <w:sz w:val="21"/>
                <w:szCs w:val="21"/>
                <w:highlight w:val="none"/>
                <w:lang w:eastAsia="zh-CN"/>
              </w:rPr>
              <w:t>、</w:t>
            </w:r>
            <w:r>
              <w:rPr>
                <w:rFonts w:hint="eastAsia" w:ascii="宋体" w:hAnsi="宋体"/>
                <w:sz w:val="21"/>
                <w:szCs w:val="21"/>
                <w:highlight w:val="none"/>
                <w:lang w:val="en-US" w:eastAsia="zh-CN"/>
              </w:rPr>
              <w:t>资质证书</w:t>
            </w:r>
            <w:r>
              <w:rPr>
                <w:rFonts w:ascii="宋体" w:hAnsi="宋体"/>
                <w:sz w:val="21"/>
                <w:szCs w:val="21"/>
                <w:highlight w:val="none"/>
              </w:rPr>
              <w:t>和基本账户开户许可证（或基本存款账户信息）；</w:t>
            </w:r>
          </w:p>
          <w:p w14:paraId="06700773">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（2）投标人的资质符合招标文件规定；</w:t>
            </w:r>
          </w:p>
          <w:p w14:paraId="58C493D7">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（3）投标人的业绩符合招标文件规定；</w:t>
            </w:r>
          </w:p>
          <w:p w14:paraId="4CCF648F">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（4）投标人的信誉符合招标文件规定；</w:t>
            </w:r>
          </w:p>
          <w:p w14:paraId="6B614A63">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lang w:val="en-US" w:eastAsia="zh-CN"/>
              </w:rPr>
              <w:t>5</w:t>
            </w:r>
            <w:r>
              <w:rPr>
                <w:rFonts w:ascii="宋体" w:hAnsi="宋体"/>
                <w:sz w:val="21"/>
                <w:szCs w:val="21"/>
                <w:highlight w:val="none"/>
              </w:rPr>
              <w:t>）</w:t>
            </w:r>
            <w:r>
              <w:rPr>
                <w:rFonts w:hint="eastAsia" w:ascii="宋体" w:hAnsi="宋体"/>
                <w:sz w:val="21"/>
                <w:szCs w:val="21"/>
                <w:highlight w:val="none"/>
              </w:rPr>
              <w:t>投标人的</w:t>
            </w:r>
            <w:r>
              <w:rPr>
                <w:rFonts w:hint="eastAsia" w:ascii="宋体" w:hAnsi="宋体"/>
                <w:sz w:val="21"/>
                <w:szCs w:val="21"/>
                <w:highlight w:val="none"/>
                <w:lang w:val="en-US" w:eastAsia="zh-CN"/>
              </w:rPr>
              <w:t>主要人</w:t>
            </w:r>
            <w:r>
              <w:rPr>
                <w:rFonts w:hint="eastAsia" w:ascii="宋体" w:hAnsi="宋体"/>
                <w:sz w:val="21"/>
                <w:szCs w:val="21"/>
                <w:highlight w:val="none"/>
              </w:rPr>
              <w:t>员资格符合招标文件规定；</w:t>
            </w:r>
          </w:p>
          <w:p w14:paraId="40183F89">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lang w:val="en-US" w:eastAsia="zh-CN"/>
              </w:rPr>
              <w:t>6</w:t>
            </w:r>
            <w:r>
              <w:rPr>
                <w:rFonts w:ascii="宋体" w:hAnsi="宋体"/>
                <w:sz w:val="21"/>
                <w:szCs w:val="21"/>
                <w:highlight w:val="none"/>
              </w:rPr>
              <w:t>）投标人不存在第二章“投标人须知”第1.4.3项或第1.4.4项规定的任何一种情形。</w:t>
            </w:r>
          </w:p>
        </w:tc>
      </w:tr>
      <w:tr w14:paraId="77F4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69F2D11A">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2.2.1</w:t>
            </w:r>
          </w:p>
        </w:tc>
        <w:tc>
          <w:tcPr>
            <w:tcW w:w="1134" w:type="dxa"/>
            <w:noWrap w:val="0"/>
            <w:vAlign w:val="center"/>
          </w:tcPr>
          <w:p w14:paraId="7A3FDBD8">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分值</w:t>
            </w:r>
          </w:p>
          <w:p w14:paraId="04AD4552">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构成</w:t>
            </w:r>
          </w:p>
        </w:tc>
        <w:tc>
          <w:tcPr>
            <w:tcW w:w="7250" w:type="dxa"/>
            <w:noWrap w:val="0"/>
            <w:vAlign w:val="center"/>
          </w:tcPr>
          <w:p w14:paraId="3340A0F4">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b/>
                <w:kern w:val="0"/>
                <w:sz w:val="21"/>
                <w:szCs w:val="21"/>
                <w:highlight w:val="none"/>
              </w:rPr>
            </w:pPr>
            <w:r>
              <w:rPr>
                <w:rFonts w:ascii="宋体" w:hAnsi="宋体"/>
                <w:b/>
                <w:kern w:val="0"/>
                <w:sz w:val="21"/>
                <w:szCs w:val="21"/>
                <w:highlight w:val="none"/>
              </w:rPr>
              <w:t>第一信封（商务及技术文件）评分分值构成：</w:t>
            </w:r>
          </w:p>
          <w:p w14:paraId="26568F41">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kern w:val="0"/>
                <w:sz w:val="21"/>
                <w:szCs w:val="21"/>
                <w:highlight w:val="none"/>
              </w:rPr>
            </w:pPr>
            <w:r>
              <w:rPr>
                <w:rFonts w:ascii="宋体" w:hAnsi="宋体"/>
                <w:kern w:val="0"/>
                <w:sz w:val="21"/>
                <w:szCs w:val="21"/>
                <w:highlight w:val="none"/>
              </w:rPr>
              <w:t>实施方案</w:t>
            </w:r>
            <w:r>
              <w:rPr>
                <w:rFonts w:hint="eastAsia" w:ascii="宋体" w:hAnsi="宋体"/>
                <w:kern w:val="0"/>
                <w:sz w:val="21"/>
                <w:szCs w:val="21"/>
                <w:highlight w:val="none"/>
                <w:lang w:eastAsia="zh-CN"/>
              </w:rPr>
              <w:t>（</w:t>
            </w:r>
            <w:r>
              <w:rPr>
                <w:rFonts w:hint="eastAsia" w:ascii="宋体" w:hAnsi="宋体"/>
                <w:kern w:val="0"/>
                <w:sz w:val="21"/>
                <w:szCs w:val="21"/>
                <w:highlight w:val="none"/>
                <w:lang w:val="en-US" w:eastAsia="zh-CN"/>
              </w:rPr>
              <w:t>暗标）</w:t>
            </w:r>
            <w:r>
              <w:rPr>
                <w:rFonts w:ascii="宋体" w:hAnsi="宋体"/>
                <w:kern w:val="0"/>
                <w:sz w:val="21"/>
                <w:szCs w:val="21"/>
                <w:highlight w:val="none"/>
              </w:rPr>
              <w:t>：</w:t>
            </w:r>
            <w:r>
              <w:rPr>
                <w:rFonts w:hint="eastAsia" w:ascii="宋体" w:hAnsi="宋体"/>
                <w:kern w:val="0"/>
                <w:sz w:val="21"/>
                <w:szCs w:val="21"/>
                <w:highlight w:val="none"/>
                <w:lang w:val="en-US" w:eastAsia="zh-CN"/>
              </w:rPr>
              <w:t>45</w:t>
            </w:r>
            <w:r>
              <w:rPr>
                <w:rFonts w:ascii="宋体" w:hAnsi="宋体"/>
                <w:kern w:val="0"/>
                <w:sz w:val="21"/>
                <w:szCs w:val="21"/>
                <w:highlight w:val="none"/>
              </w:rPr>
              <w:t>分</w:t>
            </w:r>
          </w:p>
          <w:p w14:paraId="17E6495F">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hint="default" w:ascii="宋体" w:hAnsi="宋体" w:eastAsia="宋体"/>
                <w:kern w:val="0"/>
                <w:sz w:val="21"/>
                <w:szCs w:val="21"/>
                <w:highlight w:val="none"/>
                <w:lang w:val="en-US" w:eastAsia="zh-CN"/>
              </w:rPr>
            </w:pPr>
            <w:r>
              <w:rPr>
                <w:rFonts w:hint="eastAsia" w:ascii="宋体" w:hAnsi="宋体"/>
                <w:kern w:val="0"/>
                <w:sz w:val="21"/>
                <w:szCs w:val="21"/>
                <w:highlight w:val="none"/>
                <w:lang w:val="en-US" w:eastAsia="zh-CN"/>
              </w:rPr>
              <w:t>主要人员：   10分</w:t>
            </w:r>
          </w:p>
          <w:p w14:paraId="57D80486">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kern w:val="0"/>
                <w:sz w:val="21"/>
                <w:szCs w:val="21"/>
                <w:highlight w:val="none"/>
              </w:rPr>
            </w:pPr>
            <w:r>
              <w:rPr>
                <w:rFonts w:hint="eastAsia" w:ascii="宋体" w:hAnsi="宋体"/>
                <w:kern w:val="0"/>
                <w:sz w:val="21"/>
                <w:szCs w:val="21"/>
                <w:highlight w:val="none"/>
                <w:lang w:val="en-US" w:eastAsia="zh-CN"/>
              </w:rPr>
              <w:t>其他因素</w:t>
            </w:r>
            <w:r>
              <w:rPr>
                <w:rFonts w:ascii="宋体" w:hAnsi="宋体"/>
                <w:kern w:val="0"/>
                <w:sz w:val="21"/>
                <w:szCs w:val="21"/>
                <w:highlight w:val="none"/>
              </w:rPr>
              <w:t xml:space="preserve">：   </w:t>
            </w:r>
            <w:r>
              <w:rPr>
                <w:rFonts w:hint="eastAsia" w:ascii="宋体" w:hAnsi="宋体"/>
                <w:kern w:val="0"/>
                <w:sz w:val="21"/>
                <w:szCs w:val="21"/>
                <w:highlight w:val="none"/>
                <w:lang w:val="en-US" w:eastAsia="zh-CN"/>
              </w:rPr>
              <w:t>15</w:t>
            </w:r>
            <w:r>
              <w:rPr>
                <w:rFonts w:ascii="宋体" w:hAnsi="宋体"/>
                <w:kern w:val="0"/>
                <w:sz w:val="21"/>
                <w:szCs w:val="21"/>
                <w:highlight w:val="none"/>
              </w:rPr>
              <w:t>分</w:t>
            </w:r>
          </w:p>
          <w:p w14:paraId="1D51021A">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kern w:val="0"/>
                <w:sz w:val="21"/>
                <w:szCs w:val="21"/>
                <w:highlight w:val="none"/>
              </w:rPr>
            </w:pPr>
          </w:p>
          <w:p w14:paraId="5308B580">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b/>
                <w:kern w:val="0"/>
                <w:sz w:val="21"/>
                <w:szCs w:val="21"/>
                <w:highlight w:val="none"/>
              </w:rPr>
            </w:pPr>
            <w:r>
              <w:rPr>
                <w:rFonts w:ascii="宋体" w:hAnsi="宋体"/>
                <w:b/>
                <w:kern w:val="0"/>
                <w:sz w:val="21"/>
                <w:szCs w:val="21"/>
                <w:highlight w:val="none"/>
              </w:rPr>
              <w:t>第二信封（报价文件）评分分值构成：</w:t>
            </w:r>
          </w:p>
          <w:p w14:paraId="0A553916">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sz w:val="21"/>
                <w:szCs w:val="21"/>
                <w:highlight w:val="none"/>
              </w:rPr>
            </w:pPr>
            <w:r>
              <w:rPr>
                <w:rFonts w:ascii="宋体" w:hAnsi="宋体"/>
                <w:sz w:val="21"/>
                <w:szCs w:val="21"/>
                <w:highlight w:val="none"/>
              </w:rPr>
              <w:t xml:space="preserve">评 标 价：    </w:t>
            </w:r>
            <w:r>
              <w:rPr>
                <w:rFonts w:hint="eastAsia" w:ascii="宋体" w:hAnsi="宋体"/>
                <w:sz w:val="21"/>
                <w:szCs w:val="21"/>
                <w:highlight w:val="none"/>
              </w:rPr>
              <w:t>30</w:t>
            </w:r>
            <w:r>
              <w:rPr>
                <w:rFonts w:ascii="宋体" w:hAnsi="宋体"/>
                <w:sz w:val="21"/>
                <w:szCs w:val="21"/>
                <w:highlight w:val="none"/>
              </w:rPr>
              <w:t>分</w:t>
            </w:r>
            <w:r>
              <w:rPr>
                <w:rFonts w:hint="eastAsia" w:ascii="宋体" w:hAnsi="宋体"/>
                <w:sz w:val="21"/>
                <w:szCs w:val="21"/>
                <w:highlight w:val="none"/>
              </w:rPr>
              <w:t xml:space="preserve">  </w:t>
            </w:r>
          </w:p>
        </w:tc>
      </w:tr>
      <w:tr w14:paraId="3E19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59" w:type="dxa"/>
            <w:noWrap w:val="0"/>
            <w:vAlign w:val="center"/>
          </w:tcPr>
          <w:p w14:paraId="490246B3">
            <w:pPr>
              <w:keepNext w:val="0"/>
              <w:keepLines w:val="0"/>
              <w:pageBreakBefore w:val="0"/>
              <w:widowControl w:val="0"/>
              <w:kinsoku/>
              <w:wordWrap/>
              <w:overflowPunct/>
              <w:topLinePunct w:val="0"/>
              <w:bidi w:val="0"/>
              <w:snapToGrid w:val="0"/>
              <w:spacing w:line="320" w:lineRule="exact"/>
              <w:ind w:right="113"/>
              <w:jc w:val="center"/>
              <w:textAlignment w:val="auto"/>
              <w:rPr>
                <w:rFonts w:ascii="宋体" w:hAnsi="宋体"/>
                <w:sz w:val="21"/>
                <w:szCs w:val="21"/>
                <w:highlight w:val="none"/>
              </w:rPr>
            </w:pPr>
            <w:r>
              <w:rPr>
                <w:rFonts w:ascii="宋体" w:hAnsi="宋体"/>
                <w:sz w:val="21"/>
                <w:szCs w:val="21"/>
                <w:highlight w:val="none"/>
              </w:rPr>
              <w:t>2.2.2</w:t>
            </w:r>
          </w:p>
        </w:tc>
        <w:tc>
          <w:tcPr>
            <w:tcW w:w="1134" w:type="dxa"/>
            <w:noWrap w:val="0"/>
            <w:vAlign w:val="center"/>
          </w:tcPr>
          <w:p w14:paraId="62D35AC0">
            <w:pPr>
              <w:keepNext w:val="0"/>
              <w:keepLines w:val="0"/>
              <w:pageBreakBefore w:val="0"/>
              <w:widowControl w:val="0"/>
              <w:kinsoku/>
              <w:wordWrap/>
              <w:overflowPunct/>
              <w:topLinePunct w:val="0"/>
              <w:bidi w:val="0"/>
              <w:snapToGrid w:val="0"/>
              <w:spacing w:line="320" w:lineRule="exact"/>
              <w:ind w:left="2"/>
              <w:jc w:val="center"/>
              <w:textAlignment w:val="auto"/>
              <w:rPr>
                <w:rFonts w:ascii="宋体" w:hAnsi="宋体"/>
                <w:sz w:val="21"/>
                <w:szCs w:val="21"/>
                <w:highlight w:val="none"/>
              </w:rPr>
            </w:pPr>
            <w:r>
              <w:rPr>
                <w:rFonts w:ascii="宋体" w:hAnsi="宋体"/>
                <w:sz w:val="21"/>
                <w:szCs w:val="21"/>
                <w:highlight w:val="none"/>
              </w:rPr>
              <w:t>评标基准价计算方法</w:t>
            </w:r>
          </w:p>
        </w:tc>
        <w:tc>
          <w:tcPr>
            <w:tcW w:w="7250" w:type="dxa"/>
            <w:noWrap w:val="0"/>
            <w:vAlign w:val="center"/>
          </w:tcPr>
          <w:p w14:paraId="32E375AC">
            <w:pPr>
              <w:keepNext w:val="0"/>
              <w:keepLines w:val="0"/>
              <w:pageBreakBefore w:val="0"/>
              <w:widowControl w:val="0"/>
              <w:kinsoku/>
              <w:wordWrap/>
              <w:overflowPunct/>
              <w:topLinePunct w:val="0"/>
              <w:bidi w:val="0"/>
              <w:snapToGrid w:val="0"/>
              <w:spacing w:line="320" w:lineRule="exact"/>
              <w:jc w:val="left"/>
              <w:textAlignment w:val="auto"/>
              <w:rPr>
                <w:rFonts w:ascii="宋体" w:hAnsi="宋体"/>
                <w:b/>
                <w:sz w:val="21"/>
                <w:szCs w:val="21"/>
                <w:highlight w:val="none"/>
              </w:rPr>
            </w:pPr>
            <w:r>
              <w:rPr>
                <w:rFonts w:ascii="宋体" w:hAnsi="宋体"/>
                <w:b/>
                <w:sz w:val="21"/>
                <w:szCs w:val="21"/>
                <w:highlight w:val="none"/>
              </w:rPr>
              <w:t>评标基准价的计算：</w:t>
            </w:r>
          </w:p>
          <w:p w14:paraId="7D2AEF89">
            <w:pPr>
              <w:keepNext w:val="0"/>
              <w:keepLines w:val="0"/>
              <w:pageBreakBefore w:val="0"/>
              <w:widowControl w:val="0"/>
              <w:kinsoku/>
              <w:wordWrap/>
              <w:overflowPunct/>
              <w:topLinePunct w:val="0"/>
              <w:bidi w:val="0"/>
              <w:snapToGrid w:val="0"/>
              <w:spacing w:line="320" w:lineRule="exact"/>
              <w:ind w:right="113"/>
              <w:textAlignment w:val="auto"/>
              <w:rPr>
                <w:rFonts w:ascii="宋体" w:hAnsi="宋体"/>
                <w:sz w:val="21"/>
                <w:szCs w:val="21"/>
                <w:highlight w:val="none"/>
              </w:rPr>
            </w:pPr>
            <w:r>
              <w:rPr>
                <w:rFonts w:ascii="宋体" w:hAnsi="宋体"/>
                <w:sz w:val="21"/>
                <w:szCs w:val="21"/>
                <w:highlight w:val="none"/>
              </w:rPr>
              <w:t>在</w:t>
            </w:r>
            <w:r>
              <w:rPr>
                <w:rFonts w:hint="eastAsia" w:ascii="宋体" w:hAnsi="宋体"/>
                <w:sz w:val="21"/>
                <w:szCs w:val="21"/>
                <w:highlight w:val="none"/>
                <w:lang w:val="en-US" w:eastAsia="zh-CN"/>
              </w:rPr>
              <w:t>第二信封</w:t>
            </w:r>
            <w:r>
              <w:rPr>
                <w:rFonts w:ascii="宋体" w:hAnsi="宋体"/>
                <w:sz w:val="21"/>
                <w:szCs w:val="21"/>
                <w:highlight w:val="none"/>
              </w:rPr>
              <w:t>开标现场，招标人将当场计算并宣布评标基准价。</w:t>
            </w:r>
          </w:p>
          <w:p w14:paraId="2B4AAC6B">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（1）评标价的确定：评标价＝投标函文字报价</w:t>
            </w:r>
          </w:p>
          <w:p w14:paraId="666E9333">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（2）评标价平均值的计算：</w:t>
            </w:r>
          </w:p>
          <w:p w14:paraId="00CDC191">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的评标价去掉一个最高值和一个最低值后作算术平均（如果参与评标价平均值计算的有效投标人少于5家时，则计算评标价平均值时不去掉最高值和最低值），将该平均值作为评标价平均值。</w:t>
            </w:r>
          </w:p>
          <w:p w14:paraId="239E5017">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14:paraId="7DC6D42C">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14:paraId="27BB08E4">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ascii="宋体" w:hAnsi="宋体"/>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E51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9" w:type="dxa"/>
            <w:noWrap w:val="0"/>
            <w:vAlign w:val="center"/>
          </w:tcPr>
          <w:p w14:paraId="1ECFFF7E">
            <w:pPr>
              <w:keepNext w:val="0"/>
              <w:keepLines w:val="0"/>
              <w:pageBreakBefore w:val="0"/>
              <w:widowControl w:val="0"/>
              <w:kinsoku/>
              <w:wordWrap/>
              <w:overflowPunct/>
              <w:topLinePunct w:val="0"/>
              <w:bidi w:val="0"/>
              <w:snapToGrid w:val="0"/>
              <w:spacing w:line="320" w:lineRule="exact"/>
              <w:ind w:right="113"/>
              <w:jc w:val="center"/>
              <w:textAlignment w:val="auto"/>
              <w:rPr>
                <w:rFonts w:ascii="宋体" w:hAnsi="宋体"/>
                <w:sz w:val="21"/>
                <w:szCs w:val="21"/>
                <w:highlight w:val="none"/>
              </w:rPr>
            </w:pPr>
            <w:r>
              <w:rPr>
                <w:rFonts w:ascii="宋体" w:hAnsi="宋体"/>
                <w:sz w:val="21"/>
                <w:szCs w:val="21"/>
                <w:highlight w:val="none"/>
              </w:rPr>
              <w:t>2.2.3</w:t>
            </w:r>
          </w:p>
        </w:tc>
        <w:tc>
          <w:tcPr>
            <w:tcW w:w="1134" w:type="dxa"/>
            <w:noWrap w:val="0"/>
            <w:vAlign w:val="center"/>
          </w:tcPr>
          <w:p w14:paraId="029FA5B0">
            <w:pPr>
              <w:keepNext w:val="0"/>
              <w:keepLines w:val="0"/>
              <w:pageBreakBefore w:val="0"/>
              <w:widowControl w:val="0"/>
              <w:kinsoku/>
              <w:wordWrap/>
              <w:overflowPunct/>
              <w:topLinePunct w:val="0"/>
              <w:bidi w:val="0"/>
              <w:snapToGrid w:val="0"/>
              <w:spacing w:line="320" w:lineRule="exact"/>
              <w:ind w:left="-42" w:leftChars="-15" w:right="-77"/>
              <w:textAlignment w:val="auto"/>
              <w:rPr>
                <w:rFonts w:ascii="宋体" w:hAnsi="宋体"/>
                <w:sz w:val="21"/>
                <w:szCs w:val="21"/>
                <w:highlight w:val="none"/>
              </w:rPr>
            </w:pPr>
            <w:r>
              <w:rPr>
                <w:rFonts w:ascii="宋体" w:hAnsi="宋体"/>
                <w:sz w:val="21"/>
                <w:szCs w:val="21"/>
                <w:highlight w:val="none"/>
              </w:rPr>
              <w:t>评标价的偏差率计算公式</w:t>
            </w:r>
          </w:p>
        </w:tc>
        <w:tc>
          <w:tcPr>
            <w:tcW w:w="7250" w:type="dxa"/>
            <w:noWrap w:val="0"/>
            <w:vAlign w:val="center"/>
          </w:tcPr>
          <w:p w14:paraId="37D831FF">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w:t>
            </w:r>
          </w:p>
        </w:tc>
      </w:tr>
      <w:tr w14:paraId="5431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9" w:type="dxa"/>
            <w:noWrap w:val="0"/>
            <w:vAlign w:val="center"/>
          </w:tcPr>
          <w:p w14:paraId="48447853">
            <w:pPr>
              <w:snapToGrid w:val="0"/>
              <w:spacing w:line="320" w:lineRule="exact"/>
              <w:jc w:val="center"/>
              <w:rPr>
                <w:rFonts w:ascii="宋体" w:hAnsi="宋体"/>
                <w:sz w:val="21"/>
                <w:szCs w:val="21"/>
                <w:highlight w:val="none"/>
              </w:rPr>
            </w:pPr>
            <w:r>
              <w:rPr>
                <w:rFonts w:hint="eastAsia" w:ascii="宋体" w:hAnsi="宋体"/>
                <w:sz w:val="21"/>
                <w:szCs w:val="21"/>
                <w:highlight w:val="none"/>
                <w:lang w:eastAsia="zh-CN"/>
              </w:rPr>
              <w:t>3.5.3</w:t>
            </w:r>
          </w:p>
        </w:tc>
        <w:tc>
          <w:tcPr>
            <w:tcW w:w="1134" w:type="dxa"/>
            <w:noWrap w:val="0"/>
            <w:vAlign w:val="center"/>
          </w:tcPr>
          <w:p w14:paraId="7EFEB25A">
            <w:pPr>
              <w:snapToGrid w:val="0"/>
              <w:spacing w:line="320" w:lineRule="exact"/>
              <w:jc w:val="center"/>
              <w:rPr>
                <w:rFonts w:ascii="宋体" w:hAnsi="宋体"/>
                <w:sz w:val="21"/>
                <w:szCs w:val="21"/>
                <w:highlight w:val="none"/>
              </w:rPr>
            </w:pPr>
            <w:r>
              <w:rPr>
                <w:rFonts w:hint="eastAsia" w:ascii="宋体" w:hAnsi="宋体"/>
                <w:sz w:val="21"/>
                <w:szCs w:val="21"/>
                <w:highlight w:val="none"/>
                <w:lang w:eastAsia="zh-CN"/>
              </w:rPr>
              <w:t>异常低价</w:t>
            </w:r>
          </w:p>
        </w:tc>
        <w:tc>
          <w:tcPr>
            <w:tcW w:w="7250" w:type="dxa"/>
            <w:noWrap w:val="0"/>
            <w:vAlign w:val="center"/>
          </w:tcPr>
          <w:p w14:paraId="4BAC5FBF">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本款修改为：</w:t>
            </w:r>
          </w:p>
          <w:p w14:paraId="68F0BB43">
            <w:pPr>
              <w:snapToGrid w:val="0"/>
              <w:spacing w:line="320" w:lineRule="exact"/>
              <w:jc w:val="both"/>
              <w:rPr>
                <w:rFonts w:hint="eastAsia" w:ascii="宋体" w:hAnsi="宋体"/>
                <w:sz w:val="21"/>
                <w:szCs w:val="21"/>
                <w:highlight w:val="none"/>
                <w:lang w:val="en-US" w:eastAsia="zh-CN"/>
              </w:rPr>
            </w:pPr>
            <w:r>
              <w:rPr>
                <w:rFonts w:hint="eastAsia" w:ascii="宋体" w:hAnsi="宋体"/>
                <w:sz w:val="21"/>
                <w:szCs w:val="21"/>
                <w:highlight w:val="none"/>
                <w:lang w:eastAsia="zh-CN"/>
              </w:rPr>
              <w:t>投标人存在投标人须知前</w:t>
            </w:r>
            <w:r>
              <w:rPr>
                <w:rFonts w:hint="eastAsia" w:ascii="宋体" w:hAnsi="宋体"/>
                <w:color w:val="000000" w:themeColor="text1"/>
                <w:sz w:val="21"/>
                <w:szCs w:val="21"/>
                <w:highlight w:val="none"/>
                <w:lang w:eastAsia="zh-CN"/>
                <w14:textFill>
                  <w14:solidFill>
                    <w14:schemeClr w14:val="tx1"/>
                  </w14:solidFill>
                </w14:textFill>
              </w:rPr>
              <w:t>附表3.2.5项情形的，评标委员会应当</w:t>
            </w:r>
            <w:r>
              <w:rPr>
                <w:rFonts w:hint="eastAsia" w:ascii="宋体" w:hAnsi="宋体"/>
                <w:color w:val="000000" w:themeColor="text1"/>
                <w:sz w:val="21"/>
                <w:szCs w:val="21"/>
                <w:highlight w:val="none"/>
                <w:lang w:val="en-US" w:eastAsia="zh-CN"/>
                <w14:textFill>
                  <w14:solidFill>
                    <w14:schemeClr w14:val="tx1"/>
                  </w14:solidFill>
                </w14:textFill>
              </w:rPr>
              <w:t>要求</w:t>
            </w:r>
            <w:r>
              <w:rPr>
                <w:rFonts w:hint="eastAsia" w:ascii="宋体" w:hAnsi="宋体"/>
                <w:color w:val="000000" w:themeColor="text1"/>
                <w:sz w:val="21"/>
                <w:szCs w:val="21"/>
                <w:highlight w:val="none"/>
                <w:lang w:eastAsia="zh-CN"/>
                <w14:textFill>
                  <w14:solidFill>
                    <w14:schemeClr w14:val="tx1"/>
                  </w14:solidFill>
                </w14:textFill>
              </w:rPr>
              <w:t>投标人在规定时间内作出书面说明并提供相应的证明材料。投标人不能合理说明或者不能提供相应证明材料的，评标委员会应当认定该投标人以低于成本或影响履约的异常低价竞标，否决其投标。</w:t>
            </w:r>
          </w:p>
        </w:tc>
      </w:tr>
      <w:tr w14:paraId="4AA2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959" w:type="dxa"/>
            <w:noWrap w:val="0"/>
            <w:vAlign w:val="center"/>
          </w:tcPr>
          <w:p w14:paraId="638EE1C8">
            <w:pPr>
              <w:keepNext w:val="0"/>
              <w:keepLines w:val="0"/>
              <w:pageBreakBefore w:val="0"/>
              <w:widowControl w:val="0"/>
              <w:kinsoku/>
              <w:wordWrap/>
              <w:overflowPunct/>
              <w:topLinePunct w:val="0"/>
              <w:bidi w:val="0"/>
              <w:snapToGrid w:val="0"/>
              <w:spacing w:line="320" w:lineRule="exact"/>
              <w:ind w:right="113"/>
              <w:jc w:val="center"/>
              <w:textAlignment w:val="auto"/>
              <w:rPr>
                <w:rFonts w:ascii="宋体" w:hAnsi="宋体"/>
                <w:sz w:val="21"/>
                <w:szCs w:val="21"/>
                <w:highlight w:val="none"/>
              </w:rPr>
            </w:pPr>
            <w:r>
              <w:rPr>
                <w:rFonts w:ascii="宋体" w:hAnsi="宋体"/>
                <w:sz w:val="21"/>
                <w:szCs w:val="21"/>
                <w:highlight w:val="none"/>
              </w:rPr>
              <w:t>3.6.1</w:t>
            </w:r>
          </w:p>
        </w:tc>
        <w:tc>
          <w:tcPr>
            <w:tcW w:w="1134" w:type="dxa"/>
            <w:noWrap w:val="0"/>
            <w:vAlign w:val="center"/>
          </w:tcPr>
          <w:p w14:paraId="5752FF63">
            <w:pPr>
              <w:keepNext w:val="0"/>
              <w:keepLines w:val="0"/>
              <w:pageBreakBefore w:val="0"/>
              <w:widowControl w:val="0"/>
              <w:kinsoku/>
              <w:wordWrap/>
              <w:overflowPunct/>
              <w:topLinePunct w:val="0"/>
              <w:bidi w:val="0"/>
              <w:snapToGrid w:val="0"/>
              <w:spacing w:line="320" w:lineRule="exact"/>
              <w:ind w:left="-42" w:leftChars="-15" w:right="-77"/>
              <w:textAlignment w:val="auto"/>
              <w:rPr>
                <w:rFonts w:ascii="宋体" w:hAnsi="宋体"/>
                <w:sz w:val="21"/>
                <w:szCs w:val="21"/>
                <w:highlight w:val="none"/>
              </w:rPr>
            </w:pPr>
            <w:r>
              <w:rPr>
                <w:rFonts w:ascii="宋体" w:hAnsi="宋体"/>
                <w:sz w:val="21"/>
                <w:szCs w:val="21"/>
                <w:highlight w:val="none"/>
              </w:rPr>
              <w:t>投标文件相关信息核查</w:t>
            </w:r>
          </w:p>
        </w:tc>
        <w:tc>
          <w:tcPr>
            <w:tcW w:w="7250" w:type="dxa"/>
            <w:noWrap w:val="0"/>
            <w:vAlign w:val="center"/>
          </w:tcPr>
          <w:p w14:paraId="4C66ED60">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sz w:val="21"/>
                <w:szCs w:val="21"/>
                <w:highlight w:val="none"/>
              </w:rPr>
            </w:pPr>
            <w:r>
              <w:rPr>
                <w:rFonts w:hint="eastAsia" w:ascii="宋体" w:hAnsi="宋体"/>
                <w:sz w:val="21"/>
                <w:szCs w:val="21"/>
                <w:highlight w:val="none"/>
              </w:rPr>
              <w:t>本款修改为：</w:t>
            </w:r>
          </w:p>
          <w:p w14:paraId="3D57278A">
            <w:pPr>
              <w:keepNext w:val="0"/>
              <w:keepLines w:val="0"/>
              <w:pageBreakBefore w:val="0"/>
              <w:widowControl w:val="0"/>
              <w:kinsoku/>
              <w:wordWrap/>
              <w:overflowPunct/>
              <w:topLinePunct w:val="0"/>
              <w:bidi w:val="0"/>
              <w:adjustRightInd w:val="0"/>
              <w:snapToGrid w:val="0"/>
              <w:spacing w:line="320" w:lineRule="exact"/>
              <w:ind w:firstLine="210" w:firstLineChars="100"/>
              <w:textAlignment w:val="auto"/>
              <w:rPr>
                <w:rFonts w:hint="eastAsia" w:ascii="宋体" w:hAnsi="宋体"/>
                <w:sz w:val="21"/>
                <w:szCs w:val="21"/>
                <w:highlight w:val="none"/>
              </w:rPr>
            </w:pPr>
            <w:r>
              <w:rPr>
                <w:rFonts w:hint="eastAsia" w:ascii="宋体" w:hAnsi="宋体"/>
                <w:sz w:val="21"/>
                <w:szCs w:val="21"/>
                <w:highlight w:val="none"/>
              </w:rPr>
              <w:t>（1）投标人信用情况网页截图内容与在“国家企业信用信息公示系统”中严重违法失信名单（黑名单）信息（不含分公司）或在“信用中国”网站中失信被执行人、</w:t>
            </w:r>
            <w:r>
              <w:rPr>
                <w:rFonts w:hint="eastAsia" w:ascii="宋体" w:hAnsi="宋体"/>
                <w:sz w:val="21"/>
                <w:szCs w:val="21"/>
                <w:highlight w:val="none"/>
                <w:lang w:eastAsia="zh-CN"/>
              </w:rPr>
              <w:t>经营（活动）异常名录</w:t>
            </w:r>
            <w:r>
              <w:rPr>
                <w:rFonts w:hint="eastAsia" w:ascii="宋体" w:hAnsi="宋体"/>
                <w:sz w:val="21"/>
                <w:szCs w:val="21"/>
                <w:highlight w:val="none"/>
              </w:rPr>
              <w:t>、重大税收违法失信主体、政府采购严重违法失信行为记录名单（均不含分公司）的复核结果一致。如投标人未提供相关网页截图或所附截图与复核结果不一致，评标委员会应否决其投标。</w:t>
            </w:r>
          </w:p>
          <w:p w14:paraId="63021470">
            <w:pPr>
              <w:keepNext w:val="0"/>
              <w:keepLines w:val="0"/>
              <w:pageBreakBefore w:val="0"/>
              <w:widowControl w:val="0"/>
              <w:kinsoku/>
              <w:wordWrap/>
              <w:overflowPunct/>
              <w:topLinePunct w:val="0"/>
              <w:bidi w:val="0"/>
              <w:adjustRightInd w:val="0"/>
              <w:snapToGrid w:val="0"/>
              <w:spacing w:line="320" w:lineRule="exact"/>
              <w:ind w:firstLine="210" w:firstLineChars="1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w:t>
            </w:r>
            <w:r>
              <w:rPr>
                <w:rFonts w:hint="eastAsia" w:ascii="宋体" w:hAnsi="宋体"/>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r>
              <w:rPr>
                <w:rFonts w:hint="eastAsia" w:ascii="宋体" w:hAnsi="宋体"/>
                <w:sz w:val="21"/>
                <w:szCs w:val="21"/>
                <w:highlight w:val="none"/>
                <w:lang w:eastAsia="zh-CN"/>
              </w:rPr>
              <w:t>。</w:t>
            </w:r>
          </w:p>
        </w:tc>
      </w:tr>
      <w:tr w14:paraId="534E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959" w:type="dxa"/>
            <w:noWrap w:val="0"/>
            <w:vAlign w:val="center"/>
          </w:tcPr>
          <w:p w14:paraId="5F8D40FA">
            <w:pPr>
              <w:adjustRightInd w:val="0"/>
              <w:snapToGrid w:val="0"/>
              <w:spacing w:line="320" w:lineRule="exact"/>
              <w:jc w:val="center"/>
              <w:rPr>
                <w:rFonts w:ascii="宋体" w:hAnsi="宋体"/>
                <w:sz w:val="21"/>
                <w:szCs w:val="21"/>
                <w:highlight w:val="none"/>
              </w:rPr>
            </w:pPr>
            <w:r>
              <w:rPr>
                <w:rFonts w:hint="eastAsia" w:ascii="宋体" w:hAnsi="宋体"/>
                <w:sz w:val="21"/>
                <w:szCs w:val="21"/>
                <w:highlight w:val="none"/>
                <w:lang w:eastAsia="zh-CN"/>
              </w:rPr>
              <w:t>增加3.6.3</w:t>
            </w:r>
          </w:p>
        </w:tc>
        <w:tc>
          <w:tcPr>
            <w:tcW w:w="1134" w:type="dxa"/>
            <w:noWrap w:val="0"/>
            <w:vAlign w:val="center"/>
          </w:tcPr>
          <w:p w14:paraId="3156C72F">
            <w:pPr>
              <w:adjustRightInd w:val="0"/>
              <w:snapToGrid w:val="0"/>
              <w:spacing w:line="320" w:lineRule="exact"/>
              <w:jc w:val="center"/>
              <w:rPr>
                <w:rFonts w:ascii="宋体" w:hAnsi="宋体"/>
                <w:sz w:val="21"/>
                <w:szCs w:val="21"/>
                <w:highlight w:val="none"/>
              </w:rPr>
            </w:pPr>
            <w:r>
              <w:rPr>
                <w:rFonts w:hint="eastAsia" w:ascii="宋体" w:hAnsi="宋体"/>
                <w:sz w:val="21"/>
                <w:szCs w:val="21"/>
                <w:highlight w:val="none"/>
                <w:lang w:eastAsia="zh-CN"/>
              </w:rPr>
              <w:t>投标人其他异常投标情形</w:t>
            </w:r>
          </w:p>
        </w:tc>
        <w:tc>
          <w:tcPr>
            <w:tcW w:w="7250" w:type="dxa"/>
            <w:noWrap w:val="0"/>
            <w:vAlign w:val="center"/>
          </w:tcPr>
          <w:p w14:paraId="7598EE4A">
            <w:pPr>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1.投标人不存在投标人须知前附表4.4（1）、（3）情形。</w:t>
            </w:r>
          </w:p>
          <w:p w14:paraId="6A7890C8">
            <w:pPr>
              <w:snapToGrid w:val="0"/>
              <w:spacing w:line="320" w:lineRule="exact"/>
              <w:rPr>
                <w:rFonts w:hint="eastAsia" w:ascii="宋体" w:hAnsi="宋体"/>
                <w:sz w:val="21"/>
                <w:szCs w:val="21"/>
                <w:highlight w:val="none"/>
              </w:rPr>
            </w:pPr>
            <w:r>
              <w:rPr>
                <w:rFonts w:hint="eastAsia" w:ascii="宋体" w:hAnsi="宋体"/>
                <w:sz w:val="21"/>
                <w:szCs w:val="21"/>
                <w:highlight w:val="none"/>
                <w:lang w:eastAsia="zh-CN"/>
              </w:rPr>
              <w:t>2.投标人</w:t>
            </w:r>
            <w:r>
              <w:rPr>
                <w:rFonts w:hint="eastAsia" w:ascii="宋体" w:hAnsi="宋体"/>
                <w:color w:val="000000" w:themeColor="text1"/>
                <w:sz w:val="21"/>
                <w:szCs w:val="21"/>
                <w:highlight w:val="none"/>
                <w:lang w:eastAsia="zh-CN"/>
                <w14:textFill>
                  <w14:solidFill>
                    <w14:schemeClr w14:val="tx1"/>
                  </w14:solidFill>
                </w14:textFill>
              </w:rPr>
              <w:t>存在投标人须知前附表4.4（2）情形的，评标委员会应当</w:t>
            </w:r>
            <w:r>
              <w:rPr>
                <w:rFonts w:hint="eastAsia" w:ascii="宋体" w:hAnsi="宋体"/>
                <w:color w:val="000000" w:themeColor="text1"/>
                <w:sz w:val="21"/>
                <w:szCs w:val="21"/>
                <w:highlight w:val="none"/>
                <w:lang w:val="en-US" w:eastAsia="zh-CN"/>
                <w14:textFill>
                  <w14:solidFill>
                    <w14:schemeClr w14:val="tx1"/>
                  </w14:solidFill>
                </w14:textFill>
              </w:rPr>
              <w:t>要求</w:t>
            </w:r>
            <w:r>
              <w:rPr>
                <w:rFonts w:hint="eastAsia" w:ascii="宋体" w:hAnsi="宋体"/>
                <w:color w:val="000000" w:themeColor="text1"/>
                <w:sz w:val="21"/>
                <w:szCs w:val="21"/>
                <w:highlight w:val="none"/>
                <w:lang w:eastAsia="zh-CN"/>
                <w14:textFill>
                  <w14:solidFill>
                    <w14:schemeClr w14:val="tx1"/>
                  </w14:solidFill>
                </w14:textFill>
              </w:rPr>
              <w:t>投标人在规定时间内作出解释说明。评标委员会经核查</w:t>
            </w:r>
            <w:r>
              <w:rPr>
                <w:rFonts w:hint="eastAsia" w:ascii="宋体" w:hAnsi="宋体"/>
                <w:color w:val="000000" w:themeColor="text1"/>
                <w:sz w:val="21"/>
                <w:szCs w:val="21"/>
                <w:highlight w:val="none"/>
                <w:lang w:val="en-US" w:eastAsia="zh-CN"/>
                <w14:textFill>
                  <w14:solidFill>
                    <w14:schemeClr w14:val="tx1"/>
                  </w14:solidFill>
                </w14:textFill>
              </w:rPr>
              <w:t>确认属于</w:t>
            </w:r>
            <w:r>
              <w:rPr>
                <w:rFonts w:hint="eastAsia" w:ascii="宋体" w:hAnsi="宋体" w:cs="宋体"/>
                <w:color w:val="000000" w:themeColor="text1"/>
                <w:sz w:val="21"/>
                <w:szCs w:val="21"/>
                <w:highlight w:val="none"/>
                <w14:textFill>
                  <w14:solidFill>
                    <w14:schemeClr w14:val="tx1"/>
                  </w14:solidFill>
                </w14:textFill>
              </w:rPr>
              <w:t>投标文件异常一致或投标活动异常关联活动情形</w:t>
            </w:r>
            <w:r>
              <w:rPr>
                <w:rFonts w:hint="eastAsia" w:ascii="宋体" w:hAnsi="宋体"/>
                <w:color w:val="000000" w:themeColor="text1"/>
                <w:sz w:val="21"/>
                <w:szCs w:val="21"/>
                <w:highlight w:val="none"/>
                <w:lang w:eastAsia="zh-CN"/>
                <w14:textFill>
                  <w14:solidFill>
                    <w14:schemeClr w14:val="tx1"/>
                  </w14:solidFill>
                </w14:textFill>
              </w:rPr>
              <w:t>的，应否决其投标。</w:t>
            </w:r>
          </w:p>
        </w:tc>
      </w:tr>
    </w:tbl>
    <w:p w14:paraId="72D4A2E3">
      <w:pPr>
        <w:jc w:val="right"/>
        <w:rPr>
          <w:szCs w:val="21"/>
          <w:highlight w:val="none"/>
        </w:rPr>
      </w:pPr>
      <w:r>
        <w:rPr>
          <w:sz w:val="24"/>
          <w:highlight w:val="none"/>
        </w:rPr>
        <w:br w:type="page"/>
      </w:r>
      <w:r>
        <w:rPr>
          <w:sz w:val="24"/>
          <w:highlight w:val="none"/>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418"/>
        <w:gridCol w:w="843"/>
        <w:gridCol w:w="5285"/>
      </w:tblGrid>
      <w:tr w14:paraId="36C9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367" w:type="dxa"/>
            <w:gridSpan w:val="5"/>
            <w:noWrap w:val="0"/>
            <w:vAlign w:val="center"/>
          </w:tcPr>
          <w:p w14:paraId="28310416">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评分因素与权重分值</w:t>
            </w:r>
          </w:p>
        </w:tc>
        <w:tc>
          <w:tcPr>
            <w:tcW w:w="5285" w:type="dxa"/>
            <w:vMerge w:val="restart"/>
            <w:noWrap w:val="0"/>
            <w:vAlign w:val="center"/>
          </w:tcPr>
          <w:p w14:paraId="397DFC57">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评分标准</w:t>
            </w:r>
          </w:p>
        </w:tc>
      </w:tr>
      <w:tr w14:paraId="171C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49353BA2">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272CCC1B">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7A1AC9E">
            <w:pPr>
              <w:pStyle w:val="5"/>
              <w:keepNext w:val="0"/>
              <w:keepLines w:val="0"/>
              <w:pageBreakBefore w:val="0"/>
              <w:kinsoku/>
              <w:wordWrap/>
              <w:overflowPunct/>
              <w:topLinePunct w:val="0"/>
              <w:autoSpaceDE/>
              <w:autoSpaceDN/>
              <w:bidi w:val="0"/>
              <w:adjustRightInd/>
              <w:snapToGrid w:val="0"/>
              <w:spacing w:line="320" w:lineRule="exact"/>
              <w:ind w:left="-53" w:leftChars="-19" w:right="-42" w:rightChars="-15" w:firstLine="1"/>
              <w:jc w:val="center"/>
              <w:textAlignment w:val="auto"/>
              <w:rPr>
                <w:rFonts w:ascii="Times New Roman" w:hAnsi="Times New Roman"/>
                <w:sz w:val="21"/>
                <w:szCs w:val="21"/>
                <w:highlight w:val="none"/>
              </w:rPr>
            </w:pPr>
            <w:r>
              <w:rPr>
                <w:rFonts w:ascii="Times New Roman" w:hAnsi="Times New Roman"/>
                <w:sz w:val="21"/>
                <w:szCs w:val="21"/>
                <w:highlight w:val="none"/>
              </w:rPr>
              <w:t>评分因素 权重分值</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680ECB">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Style w:val="24"/>
                <w:rFonts w:ascii="Times New Roman" w:hAnsi="Times New Roman" w:cs="Times New Roman"/>
                <w:color w:val="auto"/>
                <w:sz w:val="21"/>
                <w:szCs w:val="21"/>
                <w:highlight w:val="none"/>
              </w:rPr>
              <w:t>各评分因素细分项</w:t>
            </w:r>
          </w:p>
        </w:tc>
        <w:tc>
          <w:tcPr>
            <w:tcW w:w="843" w:type="dxa"/>
            <w:tcBorders>
              <w:left w:val="single" w:color="auto" w:sz="4" w:space="0"/>
            </w:tcBorders>
            <w:noWrap w:val="0"/>
            <w:vAlign w:val="center"/>
          </w:tcPr>
          <w:p w14:paraId="473A8E06">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分值</w:t>
            </w:r>
          </w:p>
        </w:tc>
        <w:tc>
          <w:tcPr>
            <w:tcW w:w="5285" w:type="dxa"/>
            <w:vMerge w:val="continue"/>
            <w:noWrap w:val="0"/>
            <w:vAlign w:val="center"/>
          </w:tcPr>
          <w:p w14:paraId="416465A5">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r>
      <w:tr w14:paraId="7C8D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741" w:type="dxa"/>
            <w:vMerge w:val="restart"/>
            <w:tcBorders>
              <w:top w:val="single" w:color="auto" w:sz="4" w:space="0"/>
            </w:tcBorders>
            <w:noWrap w:val="0"/>
            <w:vAlign w:val="center"/>
          </w:tcPr>
          <w:p w14:paraId="584BBEDC">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2.2.4（1）</w:t>
            </w:r>
          </w:p>
        </w:tc>
        <w:tc>
          <w:tcPr>
            <w:tcW w:w="741" w:type="dxa"/>
            <w:vMerge w:val="restart"/>
            <w:tcBorders>
              <w:top w:val="single" w:color="auto" w:sz="4" w:space="0"/>
            </w:tcBorders>
            <w:noWrap w:val="0"/>
            <w:vAlign w:val="center"/>
          </w:tcPr>
          <w:p w14:paraId="7D8965CF">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实施方案</w:t>
            </w:r>
          </w:p>
          <w:p w14:paraId="12D00E7B">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暗标）</w:t>
            </w:r>
          </w:p>
        </w:tc>
        <w:tc>
          <w:tcPr>
            <w:tcW w:w="624" w:type="dxa"/>
            <w:vMerge w:val="restart"/>
            <w:tcBorders>
              <w:top w:val="single" w:color="auto" w:sz="4" w:space="0"/>
            </w:tcBorders>
            <w:noWrap w:val="0"/>
            <w:vAlign w:val="center"/>
          </w:tcPr>
          <w:p w14:paraId="563E405E">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Times New Roman" w:hAnsi="Times New Roman"/>
                <w:sz w:val="21"/>
                <w:szCs w:val="21"/>
                <w:highlight w:val="none"/>
                <w:lang w:val="en-US" w:eastAsia="zh-CN"/>
              </w:rPr>
              <w:t>45</w:t>
            </w:r>
            <w:r>
              <w:rPr>
                <w:rFonts w:ascii="Times New Roman" w:hAnsi="Times New Roman"/>
                <w:sz w:val="21"/>
                <w:szCs w:val="21"/>
                <w:highlight w:val="none"/>
              </w:rPr>
              <w:t>分</w:t>
            </w:r>
          </w:p>
        </w:tc>
        <w:tc>
          <w:tcPr>
            <w:tcW w:w="1418" w:type="dxa"/>
            <w:tcBorders>
              <w:top w:val="single" w:color="auto" w:sz="4" w:space="0"/>
            </w:tcBorders>
            <w:noWrap w:val="0"/>
            <w:vAlign w:val="center"/>
          </w:tcPr>
          <w:p w14:paraId="6F9F3C74">
            <w:pPr>
              <w:pStyle w:val="2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总体工作思路及服务方案</w:t>
            </w:r>
          </w:p>
        </w:tc>
        <w:tc>
          <w:tcPr>
            <w:tcW w:w="843" w:type="dxa"/>
            <w:noWrap w:val="0"/>
            <w:vAlign w:val="center"/>
          </w:tcPr>
          <w:p w14:paraId="129370FB">
            <w:pPr>
              <w:pStyle w:val="25"/>
              <w:keepNext w:val="0"/>
              <w:keepLines w:val="0"/>
              <w:pageBreakBefore w:val="0"/>
              <w:kinsoku/>
              <w:wordWrap/>
              <w:overflowPunct/>
              <w:topLinePunct w:val="0"/>
              <w:autoSpaceDE/>
              <w:autoSpaceDN/>
              <w:bidi w:val="0"/>
              <w:adjustRightInd/>
              <w:snapToGrid w:val="0"/>
              <w:spacing w:line="320" w:lineRule="exact"/>
              <w:ind w:right="119" w:rightChars="0"/>
              <w:jc w:val="center"/>
              <w:textAlignment w:val="auto"/>
              <w:rPr>
                <w:rFonts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分</w:t>
            </w:r>
          </w:p>
        </w:tc>
        <w:tc>
          <w:tcPr>
            <w:tcW w:w="5285" w:type="dxa"/>
            <w:noWrap w:val="0"/>
            <w:vAlign w:val="center"/>
          </w:tcPr>
          <w:p w14:paraId="03D7109D">
            <w:pPr>
              <w:pStyle w:val="25"/>
              <w:keepNext w:val="0"/>
              <w:keepLines w:val="0"/>
              <w:pageBreakBefore w:val="0"/>
              <w:kinsoku/>
              <w:wordWrap/>
              <w:overflowPunct/>
              <w:topLinePunct w:val="0"/>
              <w:autoSpaceDE/>
              <w:autoSpaceDN/>
              <w:bidi w:val="0"/>
              <w:adjustRightInd/>
              <w:snapToGrid w:val="0"/>
              <w:spacing w:line="320" w:lineRule="exact"/>
              <w:ind w:right="119" w:rightChars="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根据项目的服务需求做出深入分析，思路清晰，实施步骤明晰，</w:t>
            </w:r>
            <w:r>
              <w:rPr>
                <w:rFonts w:hint="eastAsia" w:ascii="宋体" w:hAnsi="宋体" w:cs="宋体"/>
                <w:sz w:val="21"/>
                <w:szCs w:val="21"/>
                <w:highlight w:val="none"/>
                <w:lang w:val="en-US" w:eastAsia="zh-CN"/>
              </w:rPr>
              <w:t>服务方案</w:t>
            </w:r>
            <w:r>
              <w:rPr>
                <w:rFonts w:hint="eastAsia" w:ascii="宋体" w:hAnsi="宋体" w:cs="宋体"/>
                <w:sz w:val="21"/>
                <w:szCs w:val="21"/>
                <w:highlight w:val="none"/>
              </w:rPr>
              <w:t>完善可行，对实施过程有规范的管理。优得8～10分，</w:t>
            </w:r>
            <w:r>
              <w:rPr>
                <w:rFonts w:hint="eastAsia" w:ascii="宋体" w:hAnsi="宋体" w:cs="宋体"/>
                <w:sz w:val="21"/>
                <w:szCs w:val="21"/>
                <w:highlight w:val="none"/>
                <w:lang w:val="en-US" w:eastAsia="zh-CN"/>
              </w:rPr>
              <w:t>较好</w:t>
            </w:r>
            <w:r>
              <w:rPr>
                <w:rFonts w:hint="eastAsia" w:ascii="宋体" w:hAnsi="宋体" w:cs="宋体"/>
                <w:sz w:val="21"/>
                <w:szCs w:val="21"/>
                <w:highlight w:val="none"/>
              </w:rPr>
              <w:t>得6～8分，一般得6分。</w:t>
            </w:r>
          </w:p>
        </w:tc>
      </w:tr>
      <w:tr w14:paraId="3319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41" w:type="dxa"/>
            <w:vMerge w:val="continue"/>
            <w:noWrap w:val="0"/>
            <w:vAlign w:val="center"/>
          </w:tcPr>
          <w:p w14:paraId="11BA4ADD">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741" w:type="dxa"/>
            <w:vMerge w:val="continue"/>
            <w:noWrap w:val="0"/>
            <w:vAlign w:val="center"/>
          </w:tcPr>
          <w:p w14:paraId="25A0C129">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624" w:type="dxa"/>
            <w:vMerge w:val="continue"/>
            <w:noWrap w:val="0"/>
            <w:vAlign w:val="center"/>
          </w:tcPr>
          <w:p w14:paraId="328C8208">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1418" w:type="dxa"/>
            <w:noWrap w:val="0"/>
            <w:vAlign w:val="center"/>
          </w:tcPr>
          <w:p w14:paraId="4E54002C">
            <w:pPr>
              <w:pStyle w:val="2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宋体" w:hAnsi="宋体" w:cs="宋体"/>
                <w:sz w:val="21"/>
                <w:szCs w:val="21"/>
                <w:highlight w:val="none"/>
              </w:rPr>
              <w:t>根据实际情况，对本项目特点的认识和理解</w:t>
            </w:r>
          </w:p>
        </w:tc>
        <w:tc>
          <w:tcPr>
            <w:tcW w:w="843" w:type="dxa"/>
            <w:noWrap w:val="0"/>
            <w:vAlign w:val="center"/>
          </w:tcPr>
          <w:p w14:paraId="12470103">
            <w:pPr>
              <w:pStyle w:val="25"/>
              <w:keepNext w:val="0"/>
              <w:keepLines w:val="0"/>
              <w:pageBreakBefore w:val="0"/>
              <w:kinsoku/>
              <w:wordWrap/>
              <w:overflowPunct/>
              <w:topLinePunct w:val="0"/>
              <w:autoSpaceDE/>
              <w:autoSpaceDN/>
              <w:bidi w:val="0"/>
              <w:adjustRightInd/>
              <w:snapToGrid w:val="0"/>
              <w:spacing w:line="320" w:lineRule="exact"/>
              <w:ind w:right="-3" w:rightChars="0"/>
              <w:jc w:val="both"/>
              <w:textAlignment w:val="auto"/>
              <w:rPr>
                <w:rFonts w:ascii="Times New Roman" w:hAnsi="Times New Roman"/>
                <w:sz w:val="21"/>
                <w:szCs w:val="21"/>
                <w:highlight w:val="none"/>
              </w:rPr>
            </w:pP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tc>
        <w:tc>
          <w:tcPr>
            <w:tcW w:w="5285" w:type="dxa"/>
            <w:noWrap w:val="0"/>
            <w:vAlign w:val="center"/>
          </w:tcPr>
          <w:p w14:paraId="76793FBC">
            <w:pPr>
              <w:pStyle w:val="25"/>
              <w:keepNext w:val="0"/>
              <w:keepLines w:val="0"/>
              <w:pageBreakBefore w:val="0"/>
              <w:kinsoku/>
              <w:wordWrap/>
              <w:overflowPunct/>
              <w:topLinePunct w:val="0"/>
              <w:autoSpaceDE/>
              <w:autoSpaceDN/>
              <w:bidi w:val="0"/>
              <w:adjustRightInd/>
              <w:snapToGrid w:val="0"/>
              <w:spacing w:line="320" w:lineRule="exact"/>
              <w:ind w:right="119" w:rightChars="0"/>
              <w:textAlignment w:val="auto"/>
              <w:rPr>
                <w:rFonts w:hint="eastAsia" w:ascii="宋体" w:hAnsi="宋体" w:eastAsia="宋体" w:cs="宋体"/>
                <w:spacing w:val="-4"/>
                <w:sz w:val="21"/>
                <w:szCs w:val="21"/>
                <w:highlight w:val="none"/>
              </w:rPr>
            </w:pPr>
            <w:r>
              <w:rPr>
                <w:rFonts w:hint="eastAsia" w:ascii="宋体" w:hAnsi="宋体" w:cs="宋体"/>
                <w:sz w:val="21"/>
                <w:szCs w:val="21"/>
                <w:highlight w:val="none"/>
              </w:rPr>
              <w:t>对本项目特点的认识和理解，能把握其重点、难点并给出有效的处理方法。优得8～10分，</w:t>
            </w:r>
            <w:r>
              <w:rPr>
                <w:rFonts w:hint="eastAsia" w:ascii="宋体" w:hAnsi="宋体" w:cs="宋体"/>
                <w:sz w:val="21"/>
                <w:szCs w:val="21"/>
                <w:highlight w:val="none"/>
                <w:lang w:val="en-US" w:eastAsia="zh-CN"/>
              </w:rPr>
              <w:t>较好</w:t>
            </w:r>
            <w:r>
              <w:rPr>
                <w:rFonts w:hint="eastAsia" w:ascii="宋体" w:hAnsi="宋体" w:cs="宋体"/>
                <w:sz w:val="21"/>
                <w:szCs w:val="21"/>
                <w:highlight w:val="none"/>
              </w:rPr>
              <w:t>得6～8分，一般得6分。</w:t>
            </w:r>
          </w:p>
        </w:tc>
      </w:tr>
      <w:tr w14:paraId="6C66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41" w:type="dxa"/>
            <w:vMerge w:val="continue"/>
            <w:noWrap w:val="0"/>
            <w:vAlign w:val="center"/>
          </w:tcPr>
          <w:p w14:paraId="785984B2">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741" w:type="dxa"/>
            <w:vMerge w:val="continue"/>
            <w:noWrap w:val="0"/>
            <w:vAlign w:val="center"/>
          </w:tcPr>
          <w:p w14:paraId="3E2BEE5E">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624" w:type="dxa"/>
            <w:vMerge w:val="continue"/>
            <w:noWrap w:val="0"/>
            <w:vAlign w:val="center"/>
          </w:tcPr>
          <w:p w14:paraId="610DF4C2">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1418" w:type="dxa"/>
            <w:noWrap w:val="0"/>
            <w:vAlign w:val="center"/>
          </w:tcPr>
          <w:p w14:paraId="16938BBA">
            <w:pPr>
              <w:pStyle w:val="2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宋体" w:hAnsi="宋体" w:cs="宋体"/>
                <w:sz w:val="21"/>
                <w:szCs w:val="21"/>
                <w:highlight w:val="none"/>
              </w:rPr>
              <w:t>进度、计划安排及保证进度的承诺</w:t>
            </w:r>
          </w:p>
        </w:tc>
        <w:tc>
          <w:tcPr>
            <w:tcW w:w="843" w:type="dxa"/>
            <w:noWrap w:val="0"/>
            <w:vAlign w:val="center"/>
          </w:tcPr>
          <w:p w14:paraId="2281DE09">
            <w:pPr>
              <w:pStyle w:val="25"/>
              <w:keepNext w:val="0"/>
              <w:keepLines w:val="0"/>
              <w:pageBreakBefore w:val="0"/>
              <w:kinsoku/>
              <w:wordWrap/>
              <w:overflowPunct/>
              <w:topLinePunct w:val="0"/>
              <w:autoSpaceDE/>
              <w:autoSpaceDN/>
              <w:bidi w:val="0"/>
              <w:adjustRightInd/>
              <w:snapToGrid w:val="0"/>
              <w:spacing w:line="320" w:lineRule="exact"/>
              <w:ind w:right="119" w:rightChars="0"/>
              <w:jc w:val="center"/>
              <w:textAlignment w:val="auto"/>
              <w:rPr>
                <w:rFonts w:ascii="Times New Roman" w:hAnsi="Times New Roman"/>
                <w:sz w:val="21"/>
                <w:szCs w:val="21"/>
                <w:highlight w:val="none"/>
              </w:rPr>
            </w:pPr>
            <w:r>
              <w:rPr>
                <w:rFonts w:hint="eastAsia" w:ascii="宋体" w:hAnsi="宋体" w:cs="宋体"/>
                <w:sz w:val="21"/>
                <w:szCs w:val="21"/>
                <w:highlight w:val="none"/>
              </w:rPr>
              <w:t>10分</w:t>
            </w:r>
          </w:p>
        </w:tc>
        <w:tc>
          <w:tcPr>
            <w:tcW w:w="5285" w:type="dxa"/>
            <w:noWrap w:val="0"/>
            <w:vAlign w:val="center"/>
          </w:tcPr>
          <w:p w14:paraId="13EDF315">
            <w:pPr>
              <w:pStyle w:val="25"/>
              <w:keepNext w:val="0"/>
              <w:keepLines w:val="0"/>
              <w:pageBreakBefore w:val="0"/>
              <w:kinsoku/>
              <w:wordWrap/>
              <w:overflowPunct/>
              <w:topLinePunct w:val="0"/>
              <w:autoSpaceDE/>
              <w:autoSpaceDN/>
              <w:bidi w:val="0"/>
              <w:adjustRightInd/>
              <w:snapToGrid w:val="0"/>
              <w:spacing w:line="320" w:lineRule="exact"/>
              <w:ind w:right="119" w:rightChars="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主要根据投标人具体的进度、计划安排时间及违约承诺等方面考虑。优得8～10分，</w:t>
            </w:r>
            <w:r>
              <w:rPr>
                <w:rFonts w:hint="eastAsia" w:ascii="宋体" w:hAnsi="宋体" w:cs="宋体"/>
                <w:sz w:val="21"/>
                <w:szCs w:val="21"/>
                <w:highlight w:val="none"/>
                <w:lang w:val="en-US" w:eastAsia="zh-CN"/>
              </w:rPr>
              <w:t>较好</w:t>
            </w:r>
            <w:r>
              <w:rPr>
                <w:rFonts w:hint="eastAsia" w:ascii="宋体" w:hAnsi="宋体" w:cs="宋体"/>
                <w:sz w:val="21"/>
                <w:szCs w:val="21"/>
                <w:highlight w:val="none"/>
              </w:rPr>
              <w:t>得6～8分，一般得6分。</w:t>
            </w:r>
          </w:p>
        </w:tc>
      </w:tr>
      <w:tr w14:paraId="2E7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41" w:type="dxa"/>
            <w:vMerge w:val="continue"/>
            <w:noWrap w:val="0"/>
            <w:vAlign w:val="top"/>
          </w:tcPr>
          <w:p w14:paraId="2E8C71E0">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741" w:type="dxa"/>
            <w:vMerge w:val="continue"/>
            <w:noWrap w:val="0"/>
            <w:vAlign w:val="top"/>
          </w:tcPr>
          <w:p w14:paraId="5E64F094">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624" w:type="dxa"/>
            <w:vMerge w:val="continue"/>
            <w:noWrap w:val="0"/>
            <w:vAlign w:val="top"/>
          </w:tcPr>
          <w:p w14:paraId="4AF6CB19">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1418" w:type="dxa"/>
            <w:noWrap w:val="0"/>
            <w:vAlign w:val="center"/>
          </w:tcPr>
          <w:p w14:paraId="3CDF08EF">
            <w:pPr>
              <w:pStyle w:val="2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宋体" w:hAnsi="宋体" w:cs="宋体"/>
                <w:sz w:val="21"/>
                <w:szCs w:val="21"/>
                <w:highlight w:val="none"/>
              </w:rPr>
              <w:t>服务质量保证措施、保密措施</w:t>
            </w:r>
          </w:p>
        </w:tc>
        <w:tc>
          <w:tcPr>
            <w:tcW w:w="843" w:type="dxa"/>
            <w:noWrap w:val="0"/>
            <w:vAlign w:val="center"/>
          </w:tcPr>
          <w:p w14:paraId="27F7464C">
            <w:pPr>
              <w:pStyle w:val="25"/>
              <w:keepNext w:val="0"/>
              <w:keepLines w:val="0"/>
              <w:pageBreakBefore w:val="0"/>
              <w:kinsoku/>
              <w:wordWrap/>
              <w:overflowPunct/>
              <w:topLinePunct w:val="0"/>
              <w:autoSpaceDE/>
              <w:autoSpaceDN/>
              <w:bidi w:val="0"/>
              <w:adjustRightInd/>
              <w:snapToGrid w:val="0"/>
              <w:spacing w:line="320" w:lineRule="exact"/>
              <w:ind w:right="119" w:rightChars="0"/>
              <w:jc w:val="center"/>
              <w:textAlignment w:val="auto"/>
              <w:rPr>
                <w:rFonts w:ascii="Times New Roman" w:hAnsi="Times New Roman"/>
                <w:sz w:val="21"/>
                <w:szCs w:val="21"/>
                <w:highlight w:val="none"/>
              </w:rPr>
            </w:pP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tc>
        <w:tc>
          <w:tcPr>
            <w:tcW w:w="5285" w:type="dxa"/>
            <w:tcBorders>
              <w:bottom w:val="single" w:color="auto" w:sz="4" w:space="0"/>
            </w:tcBorders>
            <w:noWrap w:val="0"/>
            <w:vAlign w:val="center"/>
          </w:tcPr>
          <w:p w14:paraId="13FD5F7D">
            <w:pPr>
              <w:pStyle w:val="25"/>
              <w:keepNext w:val="0"/>
              <w:keepLines w:val="0"/>
              <w:pageBreakBefore w:val="0"/>
              <w:kinsoku/>
              <w:wordWrap/>
              <w:overflowPunct/>
              <w:topLinePunct w:val="0"/>
              <w:autoSpaceDE/>
              <w:autoSpaceDN/>
              <w:bidi w:val="0"/>
              <w:adjustRightInd/>
              <w:snapToGrid w:val="0"/>
              <w:spacing w:line="320" w:lineRule="exact"/>
              <w:ind w:right="119" w:rightChars="0"/>
              <w:textAlignment w:val="auto"/>
              <w:rPr>
                <w:rFonts w:ascii="Times New Roman" w:hAnsi="Times New Roman"/>
                <w:sz w:val="21"/>
                <w:szCs w:val="21"/>
                <w:highlight w:val="none"/>
              </w:rPr>
            </w:pPr>
            <w:r>
              <w:rPr>
                <w:rFonts w:hint="eastAsia" w:ascii="宋体" w:hAnsi="宋体" w:cs="宋体"/>
                <w:sz w:val="21"/>
                <w:szCs w:val="21"/>
                <w:highlight w:val="none"/>
              </w:rPr>
              <w:t>根据质量控制措施、准确度、工作时效高效、快捷及违约承诺方面考虑。优得</w:t>
            </w:r>
            <w:r>
              <w:rPr>
                <w:rFonts w:hint="eastAsia" w:ascii="宋体" w:hAnsi="宋体" w:cs="宋体"/>
                <w:sz w:val="21"/>
                <w:szCs w:val="21"/>
                <w:highlight w:val="none"/>
                <w:lang w:val="en-US" w:eastAsia="zh-CN"/>
              </w:rPr>
              <w:t>8</w:t>
            </w: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r>
              <w:rPr>
                <w:rFonts w:hint="eastAsia" w:ascii="宋体" w:hAnsi="宋体" w:cs="宋体"/>
                <w:sz w:val="21"/>
                <w:szCs w:val="21"/>
                <w:highlight w:val="none"/>
                <w:lang w:val="en-US" w:eastAsia="zh-CN"/>
              </w:rPr>
              <w:t>较好</w:t>
            </w:r>
            <w:r>
              <w:rPr>
                <w:rFonts w:hint="eastAsia" w:ascii="宋体" w:hAnsi="宋体" w:cs="宋体"/>
                <w:sz w:val="21"/>
                <w:szCs w:val="21"/>
                <w:highlight w:val="none"/>
              </w:rPr>
              <w:t>得</w:t>
            </w:r>
            <w:r>
              <w:rPr>
                <w:rFonts w:hint="eastAsia" w:ascii="宋体" w:hAnsi="宋体" w:cs="宋体"/>
                <w:sz w:val="21"/>
                <w:szCs w:val="21"/>
                <w:highlight w:val="none"/>
                <w:lang w:val="en-US" w:eastAsia="zh-CN"/>
              </w:rPr>
              <w:t>6</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分，一般得</w:t>
            </w:r>
            <w:r>
              <w:rPr>
                <w:rFonts w:hint="eastAsia" w:ascii="宋体" w:hAnsi="宋体" w:cs="宋体"/>
                <w:sz w:val="21"/>
                <w:szCs w:val="21"/>
                <w:highlight w:val="none"/>
                <w:lang w:val="en-US" w:eastAsia="zh-CN"/>
              </w:rPr>
              <w:t>6</w:t>
            </w:r>
            <w:r>
              <w:rPr>
                <w:rFonts w:hint="eastAsia" w:ascii="宋体" w:hAnsi="宋体" w:cs="宋体"/>
                <w:sz w:val="21"/>
                <w:szCs w:val="21"/>
                <w:highlight w:val="none"/>
              </w:rPr>
              <w:t>分。</w:t>
            </w:r>
          </w:p>
        </w:tc>
      </w:tr>
      <w:tr w14:paraId="0A96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1" w:type="dxa"/>
            <w:vMerge w:val="continue"/>
            <w:noWrap w:val="0"/>
            <w:vAlign w:val="top"/>
          </w:tcPr>
          <w:p w14:paraId="42920F9E">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741" w:type="dxa"/>
            <w:vMerge w:val="continue"/>
            <w:noWrap w:val="0"/>
            <w:vAlign w:val="top"/>
          </w:tcPr>
          <w:p w14:paraId="1D0D146E">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624" w:type="dxa"/>
            <w:vMerge w:val="continue"/>
            <w:noWrap w:val="0"/>
            <w:vAlign w:val="top"/>
          </w:tcPr>
          <w:p w14:paraId="7CEDB4D2">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1418" w:type="dxa"/>
            <w:noWrap w:val="0"/>
            <w:vAlign w:val="center"/>
          </w:tcPr>
          <w:p w14:paraId="03C68D3A">
            <w:pPr>
              <w:pStyle w:val="2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宋体" w:hAnsi="宋体" w:cs="宋体"/>
                <w:sz w:val="21"/>
                <w:szCs w:val="21"/>
                <w:highlight w:val="none"/>
              </w:rPr>
              <w:t>服务承诺</w:t>
            </w:r>
          </w:p>
        </w:tc>
        <w:tc>
          <w:tcPr>
            <w:tcW w:w="843" w:type="dxa"/>
            <w:noWrap w:val="0"/>
            <w:vAlign w:val="center"/>
          </w:tcPr>
          <w:p w14:paraId="371FC7A7">
            <w:pPr>
              <w:pStyle w:val="25"/>
              <w:keepNext w:val="0"/>
              <w:keepLines w:val="0"/>
              <w:pageBreakBefore w:val="0"/>
              <w:kinsoku/>
              <w:wordWrap/>
              <w:overflowPunct/>
              <w:topLinePunct w:val="0"/>
              <w:autoSpaceDE/>
              <w:autoSpaceDN/>
              <w:bidi w:val="0"/>
              <w:adjustRightInd/>
              <w:snapToGrid w:val="0"/>
              <w:spacing w:line="320" w:lineRule="exact"/>
              <w:ind w:right="-3" w:rightChars="0"/>
              <w:jc w:val="center"/>
              <w:textAlignment w:val="auto"/>
              <w:rPr>
                <w:rFonts w:ascii="Times New Roman" w:hAnsi="Times New Roman"/>
                <w:sz w:val="21"/>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p>
        </w:tc>
        <w:tc>
          <w:tcPr>
            <w:tcW w:w="5285" w:type="dxa"/>
            <w:tcBorders>
              <w:bottom w:val="single" w:color="auto" w:sz="4" w:space="0"/>
            </w:tcBorders>
            <w:noWrap w:val="0"/>
            <w:vAlign w:val="center"/>
          </w:tcPr>
          <w:p w14:paraId="7823A01A">
            <w:pPr>
              <w:pStyle w:val="25"/>
              <w:keepNext w:val="0"/>
              <w:keepLines w:val="0"/>
              <w:pageBreakBefore w:val="0"/>
              <w:kinsoku/>
              <w:wordWrap/>
              <w:overflowPunct/>
              <w:topLinePunct w:val="0"/>
              <w:autoSpaceDE/>
              <w:autoSpaceDN/>
              <w:bidi w:val="0"/>
              <w:adjustRightInd/>
              <w:snapToGrid w:val="0"/>
              <w:spacing w:line="320" w:lineRule="exact"/>
              <w:ind w:right="119" w:rightChars="0"/>
              <w:textAlignment w:val="auto"/>
              <w:rPr>
                <w:rFonts w:ascii="Times New Roman" w:hAnsi="Times New Roman"/>
                <w:sz w:val="21"/>
                <w:szCs w:val="21"/>
                <w:highlight w:val="none"/>
              </w:rPr>
            </w:pPr>
            <w:r>
              <w:rPr>
                <w:rFonts w:hint="eastAsia" w:ascii="宋体" w:hAnsi="宋体" w:cs="宋体"/>
                <w:sz w:val="21"/>
                <w:szCs w:val="21"/>
                <w:highlight w:val="none"/>
              </w:rPr>
              <w:t>根据服务承诺、服务标准详细周全合理程度。优得</w:t>
            </w:r>
            <w:r>
              <w:rPr>
                <w:rFonts w:hint="eastAsia" w:ascii="宋体" w:hAnsi="宋体" w:cs="宋体"/>
                <w:sz w:val="21"/>
                <w:szCs w:val="21"/>
                <w:highlight w:val="none"/>
                <w:lang w:val="en-US" w:eastAsia="zh-CN"/>
              </w:rPr>
              <w:t>4</w:t>
            </w: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r>
              <w:rPr>
                <w:rFonts w:hint="eastAsia" w:ascii="宋体" w:hAnsi="宋体" w:cs="宋体"/>
                <w:sz w:val="21"/>
                <w:szCs w:val="21"/>
                <w:highlight w:val="none"/>
                <w:lang w:val="en-US" w:eastAsia="zh-CN"/>
              </w:rPr>
              <w:t>较好</w:t>
            </w:r>
            <w:r>
              <w:rPr>
                <w:rFonts w:hint="eastAsia" w:ascii="宋体" w:hAnsi="宋体" w:cs="宋体"/>
                <w:sz w:val="21"/>
                <w:szCs w:val="21"/>
                <w:highlight w:val="none"/>
              </w:rPr>
              <w:t>得</w:t>
            </w: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cs="宋体"/>
                <w:sz w:val="21"/>
                <w:szCs w:val="21"/>
                <w:highlight w:val="none"/>
              </w:rPr>
              <w:t>分，一般得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p>
        </w:tc>
      </w:tr>
      <w:tr w14:paraId="77F1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41" w:type="dxa"/>
            <w:vMerge w:val="restart"/>
            <w:tcBorders>
              <w:top w:val="nil"/>
            </w:tcBorders>
            <w:noWrap w:val="0"/>
            <w:vAlign w:val="center"/>
          </w:tcPr>
          <w:p w14:paraId="74459660">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hAnsi="宋体" w:cs="宋体"/>
                <w:sz w:val="21"/>
                <w:szCs w:val="21"/>
                <w:highlight w:val="none"/>
              </w:rPr>
              <w:t>2.2.4（2）</w:t>
            </w:r>
          </w:p>
        </w:tc>
        <w:tc>
          <w:tcPr>
            <w:tcW w:w="741" w:type="dxa"/>
            <w:vMerge w:val="restart"/>
            <w:tcBorders>
              <w:top w:val="nil"/>
            </w:tcBorders>
            <w:noWrap w:val="0"/>
            <w:vAlign w:val="center"/>
          </w:tcPr>
          <w:p w14:paraId="6F9FBC6F">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hAnsi="宋体" w:cs="宋体"/>
                <w:sz w:val="21"/>
                <w:szCs w:val="21"/>
                <w:highlight w:val="none"/>
              </w:rPr>
              <w:t>主要人员</w:t>
            </w:r>
          </w:p>
        </w:tc>
        <w:tc>
          <w:tcPr>
            <w:tcW w:w="624" w:type="dxa"/>
            <w:vMerge w:val="restart"/>
            <w:tcBorders>
              <w:top w:val="nil"/>
            </w:tcBorders>
            <w:noWrap w:val="0"/>
            <w:vAlign w:val="center"/>
          </w:tcPr>
          <w:p w14:paraId="4B7056D5">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imes New Roman" w:hAnsi="Times New Roman"/>
                <w:sz w:val="21"/>
                <w:szCs w:val="21"/>
                <w:highlight w:val="none"/>
              </w:rPr>
            </w:pPr>
            <w:r>
              <w:rPr>
                <w:rFonts w:hint="eastAsia" w:hAnsi="宋体" w:cs="宋体"/>
                <w:sz w:val="21"/>
                <w:szCs w:val="21"/>
                <w:highlight w:val="none"/>
                <w:lang w:val="en-US" w:eastAsia="zh-CN"/>
              </w:rPr>
              <w:t>10</w:t>
            </w:r>
            <w:r>
              <w:rPr>
                <w:rFonts w:hint="eastAsia" w:hAnsi="宋体" w:cs="宋体"/>
                <w:sz w:val="21"/>
                <w:szCs w:val="21"/>
                <w:highlight w:val="none"/>
              </w:rPr>
              <w:t>分</w:t>
            </w:r>
          </w:p>
        </w:tc>
        <w:tc>
          <w:tcPr>
            <w:tcW w:w="1418" w:type="dxa"/>
            <w:vMerge w:val="restart"/>
            <w:noWrap w:val="0"/>
            <w:vAlign w:val="center"/>
          </w:tcPr>
          <w:p w14:paraId="0576B2D9">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eastAsia="宋体"/>
                <w:kern w:val="2"/>
                <w:sz w:val="21"/>
                <w:szCs w:val="21"/>
                <w:highlight w:val="none"/>
                <w:lang w:val="en-US" w:eastAsia="zh-CN"/>
              </w:rPr>
            </w:pPr>
            <w:r>
              <w:rPr>
                <w:rFonts w:hint="eastAsia" w:hAnsi="宋体" w:cs="宋体"/>
                <w:sz w:val="21"/>
                <w:szCs w:val="21"/>
                <w:highlight w:val="none"/>
                <w:lang w:val="en-US" w:eastAsia="zh-CN"/>
              </w:rPr>
              <w:t>主要人员</w:t>
            </w:r>
          </w:p>
        </w:tc>
        <w:tc>
          <w:tcPr>
            <w:tcW w:w="843" w:type="dxa"/>
            <w:vMerge w:val="restart"/>
            <w:noWrap w:val="0"/>
            <w:vAlign w:val="center"/>
          </w:tcPr>
          <w:p w14:paraId="48AE2A0A">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kern w:val="2"/>
                <w:sz w:val="21"/>
                <w:szCs w:val="21"/>
                <w:highlight w:val="none"/>
              </w:rPr>
            </w:pPr>
            <w:r>
              <w:rPr>
                <w:rFonts w:hint="eastAsia" w:hAnsi="宋体" w:cs="宋体"/>
                <w:sz w:val="21"/>
                <w:szCs w:val="21"/>
                <w:highlight w:val="none"/>
                <w:lang w:val="en-US" w:eastAsia="zh-CN"/>
              </w:rPr>
              <w:t>10</w:t>
            </w:r>
            <w:r>
              <w:rPr>
                <w:rFonts w:hint="eastAsia" w:hAnsi="宋体" w:cs="宋体"/>
                <w:sz w:val="21"/>
                <w:szCs w:val="21"/>
                <w:highlight w:val="none"/>
              </w:rPr>
              <w:t>分</w:t>
            </w:r>
          </w:p>
        </w:tc>
        <w:tc>
          <w:tcPr>
            <w:tcW w:w="5285" w:type="dxa"/>
            <w:tcBorders>
              <w:bottom w:val="single" w:color="auto" w:sz="4" w:space="0"/>
            </w:tcBorders>
            <w:noWrap w:val="0"/>
            <w:vAlign w:val="center"/>
          </w:tcPr>
          <w:p w14:paraId="5B45BBE2">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主要人员</w:t>
            </w:r>
            <w:r>
              <w:rPr>
                <w:rFonts w:hint="eastAsia" w:ascii="宋体" w:hAnsi="宋体" w:cs="宋体"/>
                <w:sz w:val="21"/>
                <w:szCs w:val="21"/>
                <w:highlight w:val="none"/>
              </w:rPr>
              <w:t>满足资格审查条件（</w:t>
            </w:r>
            <w:r>
              <w:rPr>
                <w:rFonts w:hint="eastAsia" w:ascii="宋体" w:hAnsi="宋体" w:cs="宋体"/>
                <w:sz w:val="21"/>
                <w:szCs w:val="21"/>
                <w:highlight w:val="none"/>
                <w:lang w:val="en-US" w:eastAsia="zh-CN"/>
              </w:rPr>
              <w:t>主要人员</w:t>
            </w:r>
            <w:r>
              <w:rPr>
                <w:rFonts w:hint="eastAsia" w:ascii="宋体" w:hAnsi="宋体" w:cs="宋体"/>
                <w:sz w:val="21"/>
                <w:szCs w:val="21"/>
                <w:highlight w:val="none"/>
              </w:rPr>
              <w:t>最低要求），得</w:t>
            </w:r>
            <w:r>
              <w:rPr>
                <w:rFonts w:hint="eastAsia" w:ascii="宋体" w:hAnsi="宋体" w:cs="宋体"/>
                <w:sz w:val="21"/>
                <w:szCs w:val="21"/>
                <w:highlight w:val="none"/>
                <w:lang w:val="en-US" w:eastAsia="zh-CN"/>
              </w:rPr>
              <w:t>6</w:t>
            </w:r>
            <w:r>
              <w:rPr>
                <w:rFonts w:hint="eastAsia" w:ascii="宋体" w:hAnsi="宋体" w:cs="宋体"/>
                <w:sz w:val="21"/>
                <w:szCs w:val="21"/>
                <w:highlight w:val="none"/>
              </w:rPr>
              <w:t>分</w:t>
            </w:r>
            <w:r>
              <w:rPr>
                <w:rFonts w:hint="eastAsia" w:ascii="宋体" w:hAnsi="宋体" w:cs="宋体"/>
                <w:sz w:val="21"/>
                <w:szCs w:val="21"/>
                <w:highlight w:val="none"/>
                <w:lang w:eastAsia="zh-CN"/>
              </w:rPr>
              <w:t>。</w:t>
            </w:r>
          </w:p>
        </w:tc>
      </w:tr>
      <w:tr w14:paraId="4867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741" w:type="dxa"/>
            <w:vMerge w:val="continue"/>
            <w:noWrap w:val="0"/>
            <w:vAlign w:val="center"/>
          </w:tcPr>
          <w:p w14:paraId="3663BF17">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hAnsi="宋体" w:cs="宋体"/>
                <w:sz w:val="21"/>
                <w:szCs w:val="21"/>
                <w:highlight w:val="none"/>
              </w:rPr>
            </w:pPr>
          </w:p>
        </w:tc>
        <w:tc>
          <w:tcPr>
            <w:tcW w:w="741" w:type="dxa"/>
            <w:vMerge w:val="continue"/>
            <w:noWrap w:val="0"/>
            <w:vAlign w:val="center"/>
          </w:tcPr>
          <w:p w14:paraId="12E8CD00">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hAnsi="宋体" w:cs="宋体"/>
                <w:sz w:val="21"/>
                <w:szCs w:val="21"/>
                <w:highlight w:val="none"/>
              </w:rPr>
            </w:pPr>
          </w:p>
        </w:tc>
        <w:tc>
          <w:tcPr>
            <w:tcW w:w="624" w:type="dxa"/>
            <w:vMerge w:val="continue"/>
            <w:noWrap w:val="0"/>
            <w:vAlign w:val="center"/>
          </w:tcPr>
          <w:p w14:paraId="24B4028F">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hAnsi="宋体" w:cs="宋体"/>
                <w:sz w:val="21"/>
                <w:szCs w:val="21"/>
                <w:highlight w:val="none"/>
                <w:lang w:val="en-US" w:eastAsia="zh-CN"/>
              </w:rPr>
            </w:pPr>
          </w:p>
        </w:tc>
        <w:tc>
          <w:tcPr>
            <w:tcW w:w="1418" w:type="dxa"/>
            <w:vMerge w:val="continue"/>
            <w:noWrap w:val="0"/>
            <w:vAlign w:val="center"/>
          </w:tcPr>
          <w:p w14:paraId="167CE392">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hAnsi="宋体" w:cs="宋体"/>
                <w:sz w:val="21"/>
                <w:szCs w:val="21"/>
                <w:highlight w:val="none"/>
              </w:rPr>
            </w:pPr>
          </w:p>
        </w:tc>
        <w:tc>
          <w:tcPr>
            <w:tcW w:w="843" w:type="dxa"/>
            <w:vMerge w:val="continue"/>
            <w:noWrap w:val="0"/>
            <w:vAlign w:val="center"/>
          </w:tcPr>
          <w:p w14:paraId="564C44FB">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hAnsi="宋体" w:cs="宋体"/>
                <w:sz w:val="21"/>
                <w:szCs w:val="21"/>
                <w:highlight w:val="none"/>
                <w:lang w:val="en-US" w:eastAsia="zh-CN"/>
              </w:rPr>
            </w:pPr>
          </w:p>
        </w:tc>
        <w:tc>
          <w:tcPr>
            <w:tcW w:w="5285" w:type="dxa"/>
            <w:tcBorders>
              <w:bottom w:val="single" w:color="auto" w:sz="4" w:space="0"/>
            </w:tcBorders>
            <w:noWrap w:val="0"/>
            <w:vAlign w:val="center"/>
          </w:tcPr>
          <w:p w14:paraId="7A6A6A03">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ascii="宋体" w:hAnsi="宋体" w:cs="宋体"/>
                <w:color w:val="0000FF"/>
                <w:sz w:val="21"/>
                <w:szCs w:val="21"/>
                <w:highlight w:val="none"/>
                <w:lang w:val="en-US" w:eastAsia="zh-CN"/>
              </w:rPr>
            </w:pPr>
            <w:r>
              <w:rPr>
                <w:rFonts w:hint="eastAsia" w:ascii="宋体" w:hAnsi="宋体" w:cs="宋体"/>
                <w:sz w:val="21"/>
                <w:szCs w:val="21"/>
                <w:highlight w:val="none"/>
                <w:lang w:val="en-US" w:eastAsia="zh-CN"/>
              </w:rPr>
              <w:t>1.项目负责人每增加一项</w:t>
            </w:r>
            <w:r>
              <w:rPr>
                <w:rFonts w:hint="eastAsia" w:ascii="宋体" w:hAnsi="宋体" w:cs="宋体"/>
                <w:sz w:val="21"/>
                <w:szCs w:val="21"/>
                <w:highlight w:val="none"/>
              </w:rPr>
              <w:t>满足资格审查条件（</w:t>
            </w:r>
            <w:r>
              <w:rPr>
                <w:rFonts w:hint="eastAsia" w:ascii="宋体" w:hAnsi="宋体" w:cs="宋体"/>
                <w:sz w:val="21"/>
                <w:szCs w:val="21"/>
                <w:highlight w:val="none"/>
                <w:lang w:val="en-US" w:eastAsia="zh-CN"/>
              </w:rPr>
              <w:t>主要人员</w:t>
            </w:r>
            <w:r>
              <w:rPr>
                <w:rFonts w:hint="eastAsia" w:ascii="宋体" w:hAnsi="宋体" w:cs="宋体"/>
                <w:sz w:val="21"/>
                <w:szCs w:val="21"/>
                <w:highlight w:val="none"/>
              </w:rPr>
              <w:t>最低要求）</w:t>
            </w:r>
            <w:r>
              <w:rPr>
                <w:rFonts w:hint="eastAsia" w:ascii="宋体" w:hAnsi="宋体" w:cs="宋体"/>
                <w:sz w:val="21"/>
                <w:szCs w:val="21"/>
                <w:highlight w:val="none"/>
                <w:lang w:val="en-US" w:eastAsia="zh-CN"/>
              </w:rPr>
              <w:t>业绩（一项指1项</w:t>
            </w:r>
            <w:r>
              <w:rPr>
                <w:rFonts w:hint="eastAsia"/>
                <w:sz w:val="21"/>
                <w:szCs w:val="21"/>
                <w:highlight w:val="none"/>
              </w:rPr>
              <w:t>企业所得税汇算清缴</w:t>
            </w:r>
            <w:r>
              <w:rPr>
                <w:rFonts w:hint="eastAsia"/>
                <w:sz w:val="21"/>
                <w:szCs w:val="21"/>
                <w:highlight w:val="none"/>
                <w:lang w:val="en-US" w:eastAsia="zh-CN"/>
              </w:rPr>
              <w:t>和1项</w:t>
            </w:r>
            <w:r>
              <w:rPr>
                <w:rFonts w:hint="eastAsia"/>
                <w:sz w:val="21"/>
                <w:szCs w:val="21"/>
                <w:highlight w:val="none"/>
              </w:rPr>
              <w:t>税务咨询</w:t>
            </w:r>
            <w:r>
              <w:rPr>
                <w:rFonts w:hint="eastAsia"/>
                <w:sz w:val="21"/>
                <w:szCs w:val="21"/>
                <w:highlight w:val="none"/>
                <w:lang w:val="en-US" w:eastAsia="zh-CN"/>
              </w:rPr>
              <w:t>服务</w:t>
            </w:r>
            <w:r>
              <w:rPr>
                <w:rFonts w:hint="eastAsia" w:ascii="宋体" w:hAnsi="宋体" w:cs="宋体"/>
                <w:sz w:val="21"/>
                <w:szCs w:val="21"/>
                <w:highlight w:val="none"/>
                <w:lang w:val="en-US" w:eastAsia="zh-CN"/>
              </w:rPr>
              <w:t>业绩）加2分，最多加2分。</w:t>
            </w:r>
          </w:p>
          <w:p w14:paraId="594310D6">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2.其他成员中每增加一名满足资格审查条件（主要人员最低要求）中其他成员要求的人员加0.5分，最多加2分。</w:t>
            </w:r>
          </w:p>
        </w:tc>
      </w:tr>
      <w:tr w14:paraId="04AF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741" w:type="dxa"/>
            <w:tcBorders>
              <w:top w:val="nil"/>
            </w:tcBorders>
            <w:noWrap w:val="0"/>
            <w:vAlign w:val="center"/>
          </w:tcPr>
          <w:p w14:paraId="4F4ADE90">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2.2.4（3）</w:t>
            </w:r>
          </w:p>
        </w:tc>
        <w:tc>
          <w:tcPr>
            <w:tcW w:w="741" w:type="dxa"/>
            <w:tcBorders>
              <w:top w:val="nil"/>
            </w:tcBorders>
            <w:noWrap w:val="0"/>
            <w:vAlign w:val="center"/>
          </w:tcPr>
          <w:p w14:paraId="0E284F35">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评标价</w:t>
            </w:r>
          </w:p>
        </w:tc>
        <w:tc>
          <w:tcPr>
            <w:tcW w:w="624" w:type="dxa"/>
            <w:tcBorders>
              <w:top w:val="nil"/>
              <w:bottom w:val="single" w:color="auto" w:sz="4" w:space="0"/>
            </w:tcBorders>
            <w:noWrap w:val="0"/>
            <w:vAlign w:val="center"/>
          </w:tcPr>
          <w:p w14:paraId="279CC6FD">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Times New Roman" w:hAnsi="Times New Roman"/>
                <w:sz w:val="21"/>
                <w:szCs w:val="21"/>
                <w:highlight w:val="none"/>
              </w:rPr>
              <w:t>3</w:t>
            </w:r>
            <w:r>
              <w:rPr>
                <w:rFonts w:ascii="Times New Roman" w:hAnsi="Times New Roman"/>
                <w:sz w:val="21"/>
                <w:szCs w:val="21"/>
                <w:highlight w:val="none"/>
              </w:rPr>
              <w:t>0分</w:t>
            </w:r>
          </w:p>
        </w:tc>
        <w:tc>
          <w:tcPr>
            <w:tcW w:w="7546" w:type="dxa"/>
            <w:gridSpan w:val="3"/>
            <w:tcBorders>
              <w:bottom w:val="single" w:color="auto" w:sz="4" w:space="0"/>
            </w:tcBorders>
            <w:noWrap w:val="0"/>
            <w:vAlign w:val="center"/>
          </w:tcPr>
          <w:p w14:paraId="5EF2DA53">
            <w:pPr>
              <w:keepNext w:val="0"/>
              <w:keepLines w:val="0"/>
              <w:pageBreakBefore w:val="0"/>
              <w:kinsoku/>
              <w:wordWrap/>
              <w:overflowPunct/>
              <w:topLinePunct w:val="0"/>
              <w:autoSpaceDE/>
              <w:autoSpaceDN/>
              <w:bidi w:val="0"/>
              <w:adjustRightInd/>
              <w:snapToGrid w:val="0"/>
              <w:spacing w:line="320" w:lineRule="exact"/>
              <w:textAlignment w:val="auto"/>
              <w:rPr>
                <w:kern w:val="2"/>
                <w:sz w:val="21"/>
                <w:szCs w:val="21"/>
                <w:highlight w:val="none"/>
              </w:rPr>
            </w:pPr>
            <w:r>
              <w:rPr>
                <w:kern w:val="2"/>
                <w:sz w:val="21"/>
                <w:szCs w:val="21"/>
                <w:highlight w:val="none"/>
              </w:rPr>
              <w:t>评标价得分计算公式示例：</w:t>
            </w:r>
          </w:p>
          <w:p w14:paraId="7153E89B">
            <w:pPr>
              <w:keepNext w:val="0"/>
              <w:keepLines w:val="0"/>
              <w:pageBreakBefore w:val="0"/>
              <w:kinsoku/>
              <w:wordWrap/>
              <w:overflowPunct/>
              <w:topLinePunct w:val="0"/>
              <w:autoSpaceDE/>
              <w:autoSpaceDN/>
              <w:bidi w:val="0"/>
              <w:adjustRightInd/>
              <w:snapToGrid w:val="0"/>
              <w:spacing w:line="320" w:lineRule="exact"/>
              <w:textAlignment w:val="auto"/>
              <w:rPr>
                <w:kern w:val="2"/>
                <w:sz w:val="21"/>
                <w:szCs w:val="21"/>
                <w:highlight w:val="none"/>
              </w:rPr>
            </w:pPr>
            <w:r>
              <w:rPr>
                <w:kern w:val="2"/>
                <w:sz w:val="21"/>
                <w:szCs w:val="21"/>
                <w:highlight w:val="none"/>
              </w:rPr>
              <w:t>（1）如果投标人的评标价＞评标基准价，则评标价得分=F-（投标人评标价-评标基准价）/评标基准价×100×E1；</w:t>
            </w:r>
          </w:p>
          <w:p w14:paraId="79901380">
            <w:pPr>
              <w:keepNext w:val="0"/>
              <w:keepLines w:val="0"/>
              <w:pageBreakBefore w:val="0"/>
              <w:kinsoku/>
              <w:wordWrap/>
              <w:overflowPunct/>
              <w:topLinePunct w:val="0"/>
              <w:autoSpaceDE/>
              <w:autoSpaceDN/>
              <w:bidi w:val="0"/>
              <w:adjustRightInd/>
              <w:snapToGrid w:val="0"/>
              <w:spacing w:line="320" w:lineRule="exact"/>
              <w:textAlignment w:val="auto"/>
              <w:rPr>
                <w:kern w:val="2"/>
                <w:sz w:val="21"/>
                <w:szCs w:val="21"/>
                <w:highlight w:val="none"/>
              </w:rPr>
            </w:pPr>
            <w:r>
              <w:rPr>
                <w:kern w:val="2"/>
                <w:sz w:val="21"/>
                <w:szCs w:val="21"/>
                <w:highlight w:val="none"/>
              </w:rPr>
              <w:t>（2）如果投标人的评标价≤评标基准价，则评标价得分=F+（投标人评标价-评标基准价）/评标基准价×100×E2。</w:t>
            </w:r>
          </w:p>
          <w:p w14:paraId="2B41728D">
            <w:pPr>
              <w:keepNext w:val="0"/>
              <w:keepLines w:val="0"/>
              <w:pageBreakBefore w:val="0"/>
              <w:kinsoku/>
              <w:wordWrap/>
              <w:overflowPunct/>
              <w:topLinePunct w:val="0"/>
              <w:autoSpaceDE/>
              <w:autoSpaceDN/>
              <w:bidi w:val="0"/>
              <w:adjustRightInd/>
              <w:snapToGrid w:val="0"/>
              <w:spacing w:line="320" w:lineRule="exact"/>
              <w:jc w:val="left"/>
              <w:textAlignment w:val="auto"/>
              <w:rPr>
                <w:color w:val="000000" w:themeColor="text1"/>
                <w:sz w:val="21"/>
                <w:szCs w:val="21"/>
                <w:highlight w:val="none"/>
                <w14:textFill>
                  <w14:solidFill>
                    <w14:schemeClr w14:val="tx1"/>
                  </w14:solidFill>
                </w14:textFill>
              </w:rPr>
            </w:pPr>
            <w:r>
              <w:rPr>
                <w:sz w:val="21"/>
                <w:szCs w:val="21"/>
                <w:highlight w:val="none"/>
              </w:rPr>
              <w:t>其中</w:t>
            </w:r>
            <w:r>
              <w:rPr>
                <w:color w:val="000000" w:themeColor="text1"/>
                <w:sz w:val="21"/>
                <w:szCs w:val="21"/>
                <w:highlight w:val="none"/>
                <w14:textFill>
                  <w14:solidFill>
                    <w14:schemeClr w14:val="tx1"/>
                  </w14:solidFill>
                </w14:textFill>
              </w:rPr>
              <w:t>，F=</w:t>
            </w:r>
            <w:r>
              <w:rPr>
                <w:rFonts w:hint="eastAsia"/>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t>0；E1=0.</w:t>
            </w:r>
            <w:r>
              <w:rPr>
                <w:rFonts w:hint="eastAsia"/>
                <w:color w:val="000000" w:themeColor="text1"/>
                <w:sz w:val="21"/>
                <w:szCs w:val="21"/>
                <w:highlight w:val="none"/>
                <w:lang w:val="en-US" w:eastAsia="zh-CN"/>
                <w14:textFill>
                  <w14:solidFill>
                    <w14:schemeClr w14:val="tx1"/>
                  </w14:solidFill>
                </w14:textFill>
              </w:rPr>
              <w:t>4</w:t>
            </w:r>
            <w:r>
              <w:rPr>
                <w:color w:val="000000" w:themeColor="text1"/>
                <w:sz w:val="21"/>
                <w:szCs w:val="21"/>
                <w:highlight w:val="none"/>
                <w14:textFill>
                  <w14:solidFill>
                    <w14:schemeClr w14:val="tx1"/>
                  </w14:solidFill>
                </w14:textFill>
              </w:rPr>
              <w:t>；E2=0.</w:t>
            </w:r>
            <w:r>
              <w:rPr>
                <w:rFonts w:hint="eastAsia"/>
                <w:color w:val="000000" w:themeColor="text1"/>
                <w:sz w:val="21"/>
                <w:szCs w:val="21"/>
                <w:highlight w:val="none"/>
                <w:lang w:val="en-US" w:eastAsia="zh-CN"/>
                <w14:textFill>
                  <w14:solidFill>
                    <w14:schemeClr w14:val="tx1"/>
                  </w14:solidFill>
                </w14:textFill>
              </w:rPr>
              <w:t>2</w:t>
            </w:r>
            <w:r>
              <w:rPr>
                <w:color w:val="000000" w:themeColor="text1"/>
                <w:sz w:val="21"/>
                <w:szCs w:val="21"/>
                <w:highlight w:val="none"/>
                <w14:textFill>
                  <w14:solidFill>
                    <w14:schemeClr w14:val="tx1"/>
                  </w14:solidFill>
                </w14:textFill>
              </w:rPr>
              <w:t>；评标价最低得分为0分。</w:t>
            </w:r>
          </w:p>
          <w:p w14:paraId="48FA4DCD">
            <w:pPr>
              <w:keepNext w:val="0"/>
              <w:keepLines w:val="0"/>
              <w:pageBreakBefore w:val="0"/>
              <w:kinsoku/>
              <w:wordWrap/>
              <w:overflowPunct/>
              <w:topLinePunct w:val="0"/>
              <w:autoSpaceDE/>
              <w:autoSpaceDN/>
              <w:bidi w:val="0"/>
              <w:adjustRightInd/>
              <w:snapToGrid w:val="0"/>
              <w:spacing w:line="320" w:lineRule="exact"/>
              <w:jc w:val="left"/>
              <w:textAlignment w:val="auto"/>
              <w:rPr>
                <w:kern w:val="2"/>
                <w:sz w:val="21"/>
                <w:szCs w:val="21"/>
                <w:highlight w:val="none"/>
              </w:rPr>
            </w:pPr>
            <w:r>
              <w:rPr>
                <w:color w:val="000000" w:themeColor="text1"/>
                <w:kern w:val="2"/>
                <w:sz w:val="21"/>
                <w:szCs w:val="21"/>
                <w:highlight w:val="none"/>
                <w14:textFill>
                  <w14:solidFill>
                    <w14:schemeClr w14:val="tx1"/>
                  </w14:solidFill>
                </w14:textFill>
              </w:rPr>
              <w:t>评标价得分保留两位小数，第三位四舍五入。</w:t>
            </w:r>
          </w:p>
        </w:tc>
      </w:tr>
      <w:tr w14:paraId="44C0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1" w:type="dxa"/>
            <w:vMerge w:val="restart"/>
            <w:noWrap w:val="0"/>
            <w:vAlign w:val="center"/>
          </w:tcPr>
          <w:p w14:paraId="532D8514">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2.2.4（4）</w:t>
            </w:r>
          </w:p>
        </w:tc>
        <w:tc>
          <w:tcPr>
            <w:tcW w:w="741" w:type="dxa"/>
            <w:vMerge w:val="restart"/>
            <w:noWrap w:val="0"/>
            <w:vAlign w:val="center"/>
          </w:tcPr>
          <w:p w14:paraId="20D067B5">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其他因素</w:t>
            </w:r>
          </w:p>
        </w:tc>
        <w:tc>
          <w:tcPr>
            <w:tcW w:w="624" w:type="dxa"/>
            <w:vMerge w:val="restart"/>
            <w:tcBorders>
              <w:top w:val="single" w:color="auto" w:sz="4" w:space="0"/>
            </w:tcBorders>
            <w:noWrap w:val="0"/>
            <w:vAlign w:val="center"/>
          </w:tcPr>
          <w:p w14:paraId="645531B9">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Times New Roman" w:hAnsi="Times New Roman"/>
                <w:sz w:val="21"/>
                <w:szCs w:val="21"/>
                <w:highlight w:val="none"/>
                <w:lang w:val="en-US" w:eastAsia="zh-CN"/>
              </w:rPr>
              <w:t>15</w:t>
            </w:r>
            <w:r>
              <w:rPr>
                <w:rFonts w:ascii="Times New Roman" w:hAnsi="Times New Roman"/>
                <w:sz w:val="21"/>
                <w:szCs w:val="21"/>
                <w:highlight w:val="none"/>
              </w:rPr>
              <w:t>分</w:t>
            </w:r>
          </w:p>
        </w:tc>
        <w:tc>
          <w:tcPr>
            <w:tcW w:w="1418" w:type="dxa"/>
            <w:vMerge w:val="restart"/>
            <w:tcBorders>
              <w:top w:val="single" w:color="auto" w:sz="4" w:space="0"/>
            </w:tcBorders>
            <w:noWrap w:val="0"/>
            <w:vAlign w:val="center"/>
          </w:tcPr>
          <w:p w14:paraId="61FA4F1A">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业绩</w:t>
            </w:r>
          </w:p>
        </w:tc>
        <w:tc>
          <w:tcPr>
            <w:tcW w:w="843" w:type="dxa"/>
            <w:vMerge w:val="restart"/>
            <w:tcBorders>
              <w:top w:val="single" w:color="auto" w:sz="4" w:space="0"/>
            </w:tcBorders>
            <w:noWrap w:val="0"/>
            <w:vAlign w:val="center"/>
          </w:tcPr>
          <w:p w14:paraId="693BA45D">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Times New Roman" w:hAnsi="Times New Roman"/>
                <w:sz w:val="21"/>
                <w:szCs w:val="21"/>
                <w:highlight w:val="none"/>
                <w:lang w:val="en-US" w:eastAsia="zh-CN"/>
              </w:rPr>
              <w:t>15分</w:t>
            </w:r>
          </w:p>
        </w:tc>
        <w:tc>
          <w:tcPr>
            <w:tcW w:w="5285" w:type="dxa"/>
            <w:tcBorders>
              <w:top w:val="single" w:color="auto" w:sz="4" w:space="0"/>
              <w:bottom w:val="single" w:color="auto" w:sz="4" w:space="0"/>
            </w:tcBorders>
            <w:shd w:val="clear" w:color="auto" w:fill="auto"/>
            <w:noWrap w:val="0"/>
            <w:vAlign w:val="center"/>
          </w:tcPr>
          <w:p w14:paraId="0E9DBFA1">
            <w:pPr>
              <w:keepNext w:val="0"/>
              <w:keepLines w:val="0"/>
              <w:pageBreakBefore w:val="0"/>
              <w:kinsoku/>
              <w:wordWrap/>
              <w:overflowPunct/>
              <w:topLinePunct w:val="0"/>
              <w:autoSpaceDE/>
              <w:autoSpaceDN/>
              <w:bidi w:val="0"/>
              <w:adjustRightInd/>
              <w:snapToGrid w:val="0"/>
              <w:spacing w:line="320" w:lineRule="exact"/>
              <w:textAlignment w:val="auto"/>
              <w:rPr>
                <w:sz w:val="21"/>
                <w:szCs w:val="21"/>
                <w:highlight w:val="none"/>
              </w:rPr>
            </w:pPr>
            <w:r>
              <w:rPr>
                <w:kern w:val="2"/>
                <w:sz w:val="21"/>
                <w:szCs w:val="21"/>
                <w:highlight w:val="none"/>
              </w:rPr>
              <w:t>满足</w:t>
            </w:r>
            <w:r>
              <w:rPr>
                <w:rFonts w:hint="eastAsia"/>
                <w:kern w:val="2"/>
                <w:sz w:val="21"/>
                <w:szCs w:val="21"/>
                <w:highlight w:val="none"/>
              </w:rPr>
              <w:t>“</w:t>
            </w:r>
            <w:r>
              <w:rPr>
                <w:kern w:val="2"/>
                <w:sz w:val="21"/>
                <w:szCs w:val="21"/>
                <w:highlight w:val="none"/>
              </w:rPr>
              <w:t>资格审查条件（业绩最低要求）</w:t>
            </w:r>
            <w:r>
              <w:rPr>
                <w:rFonts w:hint="eastAsia"/>
                <w:kern w:val="2"/>
                <w:sz w:val="21"/>
                <w:szCs w:val="21"/>
                <w:highlight w:val="none"/>
              </w:rPr>
              <w:t>”</w:t>
            </w:r>
            <w:r>
              <w:rPr>
                <w:kern w:val="2"/>
                <w:sz w:val="21"/>
                <w:szCs w:val="21"/>
                <w:highlight w:val="none"/>
              </w:rPr>
              <w:t>得</w:t>
            </w:r>
            <w:r>
              <w:rPr>
                <w:rFonts w:hint="eastAsia"/>
                <w:kern w:val="2"/>
                <w:sz w:val="21"/>
                <w:szCs w:val="21"/>
                <w:highlight w:val="none"/>
                <w:lang w:val="en-US" w:eastAsia="zh-CN"/>
              </w:rPr>
              <w:t>9</w:t>
            </w:r>
            <w:r>
              <w:rPr>
                <w:kern w:val="2"/>
                <w:sz w:val="21"/>
                <w:szCs w:val="21"/>
                <w:highlight w:val="none"/>
              </w:rPr>
              <w:t>分；</w:t>
            </w:r>
          </w:p>
        </w:tc>
      </w:tr>
      <w:tr w14:paraId="7C71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41" w:type="dxa"/>
            <w:vMerge w:val="continue"/>
            <w:noWrap w:val="0"/>
            <w:vAlign w:val="center"/>
          </w:tcPr>
          <w:p w14:paraId="4CEACA99">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741" w:type="dxa"/>
            <w:vMerge w:val="continue"/>
            <w:noWrap w:val="0"/>
            <w:vAlign w:val="center"/>
          </w:tcPr>
          <w:p w14:paraId="2C5859C1">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624" w:type="dxa"/>
            <w:vMerge w:val="continue"/>
            <w:noWrap w:val="0"/>
            <w:vAlign w:val="center"/>
          </w:tcPr>
          <w:p w14:paraId="39718E7F">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imes New Roman" w:hAnsi="Times New Roman"/>
                <w:sz w:val="21"/>
                <w:szCs w:val="21"/>
                <w:highlight w:val="none"/>
                <w:lang w:val="en-US" w:eastAsia="zh-CN"/>
              </w:rPr>
            </w:pPr>
          </w:p>
        </w:tc>
        <w:tc>
          <w:tcPr>
            <w:tcW w:w="1418" w:type="dxa"/>
            <w:vMerge w:val="continue"/>
            <w:noWrap w:val="0"/>
            <w:vAlign w:val="center"/>
          </w:tcPr>
          <w:p w14:paraId="586771FF">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843" w:type="dxa"/>
            <w:vMerge w:val="continue"/>
            <w:noWrap w:val="0"/>
            <w:vAlign w:val="center"/>
          </w:tcPr>
          <w:p w14:paraId="4936A371">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imes New Roman" w:hAnsi="Times New Roman"/>
                <w:sz w:val="21"/>
                <w:szCs w:val="21"/>
                <w:highlight w:val="none"/>
                <w:lang w:val="en-US" w:eastAsia="zh-CN"/>
              </w:rPr>
            </w:pPr>
          </w:p>
        </w:tc>
        <w:tc>
          <w:tcPr>
            <w:tcW w:w="5285" w:type="dxa"/>
            <w:tcBorders>
              <w:top w:val="single" w:color="auto" w:sz="4" w:space="0"/>
            </w:tcBorders>
            <w:shd w:val="clear" w:color="auto" w:fill="auto"/>
            <w:noWrap w:val="0"/>
            <w:vAlign w:val="center"/>
          </w:tcPr>
          <w:p w14:paraId="1A1ED1CB">
            <w:pPr>
              <w:numPr>
                <w:ilvl w:val="0"/>
                <w:numId w:val="0"/>
              </w:numPr>
              <w:shd w:val="clear" w:fill="FFFFFF" w:themeFill="background1"/>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14:textFill>
                  <w14:solidFill>
                    <w14:schemeClr w14:val="tx1"/>
                  </w14:solidFill>
                </w14:textFill>
              </w:rPr>
              <w:t>近3年内(</w:t>
            </w:r>
            <w:r>
              <w:rPr>
                <w:rFonts w:hint="eastAsia"/>
                <w:color w:val="000000" w:themeColor="text1"/>
                <w:sz w:val="21"/>
                <w:szCs w:val="21"/>
                <w:highlight w:val="none"/>
                <w:lang w:eastAsia="zh-CN"/>
                <w14:textFill>
                  <w14:solidFill>
                    <w14:schemeClr w14:val="tx1"/>
                  </w14:solidFill>
                </w14:textFill>
              </w:rPr>
              <w:t>2023年4月1日</w:t>
            </w:r>
            <w:r>
              <w:rPr>
                <w:rFonts w:hint="eastAsia"/>
                <w:color w:val="000000" w:themeColor="text1"/>
                <w:sz w:val="21"/>
                <w:szCs w:val="21"/>
                <w:highlight w:val="none"/>
                <w14:textFill>
                  <w14:solidFill>
                    <w14:schemeClr w14:val="tx1"/>
                  </w14:solidFill>
                </w14:textFill>
              </w:rPr>
              <w:t>至今，以合同协议书（或业务约定书）签订时间为准）每增加一项企业所得税汇算清缴</w:t>
            </w:r>
            <w:r>
              <w:rPr>
                <w:rFonts w:hint="eastAsia"/>
                <w:color w:val="000000" w:themeColor="text1"/>
                <w:sz w:val="21"/>
                <w:szCs w:val="21"/>
                <w:highlight w:val="none"/>
                <w:lang w:val="en-US" w:eastAsia="zh-CN"/>
                <w14:textFill>
                  <w14:solidFill>
                    <w14:schemeClr w14:val="tx1"/>
                  </w14:solidFill>
                </w14:textFill>
              </w:rPr>
              <w:t>服务</w:t>
            </w:r>
            <w:r>
              <w:rPr>
                <w:rFonts w:hint="eastAsia"/>
                <w:color w:val="000000" w:themeColor="text1"/>
                <w:sz w:val="21"/>
                <w:szCs w:val="21"/>
                <w:highlight w:val="none"/>
                <w:lang w:eastAsia="zh-CN"/>
                <w14:textFill>
                  <w14:solidFill>
                    <w14:schemeClr w14:val="tx1"/>
                  </w14:solidFill>
                </w14:textFill>
              </w:rPr>
              <w:t>业绩，</w:t>
            </w:r>
            <w:r>
              <w:rPr>
                <w:rFonts w:hint="eastAsia"/>
                <w:color w:val="000000" w:themeColor="text1"/>
                <w:sz w:val="21"/>
                <w:szCs w:val="21"/>
                <w:highlight w:val="none"/>
                <w14:textFill>
                  <w14:solidFill>
                    <w14:schemeClr w14:val="tx1"/>
                  </w14:solidFill>
                </w14:textFill>
              </w:rPr>
              <w:t>加</w:t>
            </w: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14:textFill>
                  <w14:solidFill>
                    <w14:schemeClr w14:val="tx1"/>
                  </w14:solidFill>
                </w14:textFill>
              </w:rPr>
              <w:t>分，本项最多加</w:t>
            </w: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14:textFill>
                  <w14:solidFill>
                    <w14:schemeClr w14:val="tx1"/>
                  </w14:solidFill>
                </w14:textFill>
              </w:rPr>
              <w:t>分</w:t>
            </w:r>
            <w:r>
              <w:rPr>
                <w:rFonts w:hint="eastAsia"/>
                <w:color w:val="000000" w:themeColor="text1"/>
                <w:sz w:val="21"/>
                <w:szCs w:val="21"/>
                <w:highlight w:val="none"/>
                <w:lang w:eastAsia="zh-CN"/>
                <w14:textFill>
                  <w14:solidFill>
                    <w14:schemeClr w14:val="tx1"/>
                  </w14:solidFill>
                </w14:textFill>
              </w:rPr>
              <w:t>；</w:t>
            </w:r>
          </w:p>
          <w:p w14:paraId="630D7312">
            <w:pPr>
              <w:numPr>
                <w:ilvl w:val="0"/>
                <w:numId w:val="0"/>
              </w:numPr>
              <w:shd w:val="clear" w:fill="FFFFFF" w:themeFill="background1"/>
              <w:rPr>
                <w:rFonts w:hint="default" w:eastAsia="宋体"/>
                <w:sz w:val="21"/>
                <w:szCs w:val="21"/>
                <w:highlight w:val="none"/>
                <w:lang w:val="en-US" w:eastAsia="zh-CN"/>
              </w:rPr>
            </w:pPr>
            <w:r>
              <w:rPr>
                <w:rFonts w:hint="eastAsia"/>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近3年内(2023年</w:t>
            </w:r>
            <w:r>
              <w:rPr>
                <w:rFonts w:hint="eastAsia"/>
                <w:color w:val="000000" w:themeColor="text1"/>
                <w:sz w:val="21"/>
                <w:szCs w:val="21"/>
                <w:highlight w:val="none"/>
                <w:lang w:eastAsia="zh-CN"/>
                <w14:textFill>
                  <w14:solidFill>
                    <w14:schemeClr w14:val="tx1"/>
                  </w14:solidFill>
                </w14:textFill>
              </w:rPr>
              <w:t>4月</w:t>
            </w:r>
            <w:r>
              <w:rPr>
                <w:rFonts w:hint="eastAsia"/>
                <w:color w:val="000000" w:themeColor="text1"/>
                <w:sz w:val="21"/>
                <w:szCs w:val="21"/>
                <w:highlight w:val="none"/>
                <w14:textFill>
                  <w14:solidFill>
                    <w14:schemeClr w14:val="tx1"/>
                  </w14:solidFill>
                </w14:textFill>
              </w:rPr>
              <w:t>1日至今，以合同协议书（或业务约定书）签订时间为准）每增加一项税务咨询</w:t>
            </w:r>
            <w:r>
              <w:rPr>
                <w:rFonts w:hint="eastAsia"/>
                <w:color w:val="0000FF"/>
                <w:sz w:val="21"/>
                <w:szCs w:val="21"/>
                <w:highlight w:val="none"/>
                <w:lang w:eastAsia="zh-CN"/>
              </w:rPr>
              <w:t>（</w:t>
            </w:r>
            <w:r>
              <w:rPr>
                <w:rFonts w:hint="eastAsia"/>
                <w:color w:val="000000" w:themeColor="text1"/>
                <w:sz w:val="21"/>
                <w:szCs w:val="21"/>
                <w:highlight w:val="none"/>
                <w:lang w:eastAsia="zh-CN"/>
                <w14:textFill>
                  <w14:solidFill>
                    <w14:schemeClr w14:val="tx1"/>
                  </w14:solidFill>
                </w14:textFill>
              </w:rPr>
              <w:t>含增值税汇总纳税业务</w:t>
            </w:r>
            <w:r>
              <w:rPr>
                <w:rFonts w:hint="eastAsia"/>
                <w:color w:val="0000FF"/>
                <w:sz w:val="21"/>
                <w:szCs w:val="21"/>
                <w:highlight w:val="none"/>
                <w:lang w:eastAsia="zh-CN"/>
              </w:rPr>
              <w:t>）</w:t>
            </w:r>
            <w:r>
              <w:rPr>
                <w:rFonts w:hint="eastAsia"/>
                <w:color w:val="000000" w:themeColor="text1"/>
                <w:sz w:val="21"/>
                <w:szCs w:val="21"/>
                <w:highlight w:val="none"/>
                <w:lang w:val="en-US" w:eastAsia="zh-CN"/>
                <w14:textFill>
                  <w14:solidFill>
                    <w14:schemeClr w14:val="tx1"/>
                  </w14:solidFill>
                </w14:textFill>
              </w:rPr>
              <w:t>服务</w:t>
            </w:r>
            <w:r>
              <w:rPr>
                <w:rFonts w:hint="eastAsia"/>
                <w:color w:val="000000" w:themeColor="text1"/>
                <w:sz w:val="21"/>
                <w:szCs w:val="21"/>
                <w:highlight w:val="none"/>
                <w14:textFill>
                  <w14:solidFill>
                    <w14:schemeClr w14:val="tx1"/>
                  </w14:solidFill>
                </w14:textFill>
              </w:rPr>
              <w:t>业绩，加</w:t>
            </w: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14:textFill>
                  <w14:solidFill>
                    <w14:schemeClr w14:val="tx1"/>
                  </w14:solidFill>
                </w14:textFill>
              </w:rPr>
              <w:t>分，本项最多加</w:t>
            </w: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14:textFill>
                  <w14:solidFill>
                    <w14:schemeClr w14:val="tx1"/>
                  </w14:solidFill>
                </w14:textFill>
              </w:rPr>
              <w:t>分。</w:t>
            </w:r>
          </w:p>
        </w:tc>
      </w:tr>
    </w:tbl>
    <w:p w14:paraId="1987F4B2">
      <w:pPr>
        <w:pStyle w:val="5"/>
        <w:rPr>
          <w:rFonts w:ascii="Times New Roman" w:hAnsi="Times New Roman"/>
          <w:szCs w:val="21"/>
          <w:highlight w:val="none"/>
        </w:rPr>
      </w:pPr>
    </w:p>
    <w:p w14:paraId="74E9174F">
      <w:pPr>
        <w:ind w:firstLine="400" w:firstLineChars="200"/>
        <w:rPr>
          <w:kern w:val="0"/>
          <w:sz w:val="20"/>
          <w:highlight w:val="none"/>
          <w:lang w:val="zh-CN"/>
        </w:rPr>
      </w:pPr>
      <w:r>
        <w:rPr>
          <w:kern w:val="0"/>
          <w:sz w:val="20"/>
          <w:highlight w:val="none"/>
          <w:lang w:val="zh-CN"/>
        </w:rPr>
        <w:t>注：1、第2.2.4（1）项各评委打分保留1位小数，投标人该项得分以各评委打分平均值计算所得，保留两位小数，第三位小数四舍五入。</w:t>
      </w:r>
    </w:p>
    <w:p w14:paraId="0F4CF124">
      <w:r>
        <w:rPr>
          <w:kern w:val="0"/>
          <w:sz w:val="20"/>
          <w:highlight w:val="none"/>
          <w:lang w:val="zh-CN"/>
        </w:rPr>
        <w:t>2、第2.2.4（1）项评审因素</w:t>
      </w:r>
      <w:r>
        <w:rPr>
          <w:rFonts w:hint="eastAsia"/>
          <w:kern w:val="0"/>
          <w:sz w:val="20"/>
          <w:highlight w:val="none"/>
          <w:lang w:val="zh-CN"/>
        </w:rPr>
        <w:t>细分项</w:t>
      </w:r>
      <w:r>
        <w:rPr>
          <w:kern w:val="0"/>
          <w:sz w:val="20"/>
          <w:highlight w:val="none"/>
          <w:lang w:val="zh-CN"/>
        </w:rPr>
        <w:t>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F0966"/>
    <w:rsid w:val="225673D8"/>
    <w:rsid w:val="2F8266AE"/>
    <w:rsid w:val="31B9528D"/>
    <w:rsid w:val="31C75AA4"/>
    <w:rsid w:val="35E87680"/>
    <w:rsid w:val="485D651B"/>
    <w:rsid w:val="52BF3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kern w:val="2"/>
      <w:szCs w:val="24"/>
    </w:rPr>
  </w:style>
  <w:style w:type="paragraph" w:styleId="5">
    <w:name w:val="Plain Text"/>
    <w:basedOn w:val="1"/>
    <w:qFormat/>
    <w:uiPriority w:val="0"/>
    <w:rPr>
      <w:rFonts w:ascii="宋体" w:hAnsi="Courier New"/>
      <w:kern w:val="2"/>
      <w:sz w:val="21"/>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character" w:styleId="9">
    <w:name w:val="Strong"/>
    <w:qFormat/>
    <w:uiPriority w:val="22"/>
    <w:rPr>
      <w:b/>
      <w:bCs/>
    </w:rPr>
  </w:style>
  <w:style w:type="paragraph" w:customStyle="1" w:styleId="10">
    <w:name w:val="样式22"/>
    <w:basedOn w:val="11"/>
    <w:qFormat/>
    <w:uiPriority w:val="0"/>
    <w:pPr>
      <w:tabs>
        <w:tab w:val="left" w:pos="0"/>
      </w:tabs>
      <w:ind w:left="0" w:firstLine="200" w:firstLineChars="200"/>
    </w:pPr>
  </w:style>
  <w:style w:type="paragraph" w:customStyle="1" w:styleId="11">
    <w:name w:val="样式21"/>
    <w:basedOn w:val="3"/>
    <w:qFormat/>
    <w:uiPriority w:val="0"/>
    <w:pPr>
      <w:spacing w:before="0" w:after="0" w:line="360" w:lineRule="auto"/>
      <w:ind w:left="200" w:hanging="200" w:hangingChars="200"/>
    </w:pPr>
    <w:rPr>
      <w:sz w:val="24"/>
    </w:rPr>
  </w:style>
  <w:style w:type="paragraph" w:customStyle="1" w:styleId="12">
    <w:name w:val="样式23"/>
    <w:basedOn w:val="13"/>
    <w:qFormat/>
    <w:uiPriority w:val="0"/>
    <w:pPr>
      <w:tabs>
        <w:tab w:val="left" w:pos="0"/>
      </w:tabs>
    </w:pPr>
    <w:rPr>
      <w:sz w:val="24"/>
    </w:rPr>
  </w:style>
  <w:style w:type="paragraph" w:customStyle="1" w:styleId="13">
    <w:name w:val="样式17"/>
    <w:basedOn w:val="14"/>
    <w:qFormat/>
    <w:uiPriority w:val="0"/>
    <w:pPr>
      <w:tabs>
        <w:tab w:val="left" w:pos="0"/>
      </w:tabs>
      <w:ind w:firstLine="200" w:firstLineChars="200"/>
    </w:pPr>
  </w:style>
  <w:style w:type="paragraph" w:customStyle="1" w:styleId="14">
    <w:name w:val="样式16"/>
    <w:basedOn w:val="3"/>
    <w:qFormat/>
    <w:uiPriority w:val="0"/>
    <w:pPr>
      <w:spacing w:before="0" w:after="0" w:line="360" w:lineRule="auto"/>
    </w:pPr>
    <w:rPr>
      <w:sz w:val="28"/>
    </w:rPr>
  </w:style>
  <w:style w:type="paragraph" w:customStyle="1" w:styleId="15">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16">
    <w:name w:val="样式26"/>
    <w:basedOn w:val="17"/>
    <w:qFormat/>
    <w:uiPriority w:val="0"/>
    <w:pPr>
      <w:tabs>
        <w:tab w:val="left" w:pos="0"/>
      </w:tabs>
      <w:ind w:firstLine="562"/>
    </w:pPr>
    <w:rPr>
      <w:sz w:val="24"/>
    </w:rPr>
  </w:style>
  <w:style w:type="paragraph" w:customStyle="1" w:styleId="17">
    <w:name w:val="样式24"/>
    <w:basedOn w:val="3"/>
    <w:qFormat/>
    <w:uiPriority w:val="0"/>
    <w:pPr>
      <w:spacing w:before="0" w:after="0" w:line="360" w:lineRule="auto"/>
      <w:ind w:firstLine="200" w:firstLineChars="200"/>
    </w:pPr>
    <w:rPr>
      <w:sz w:val="28"/>
    </w:rPr>
  </w:style>
  <w:style w:type="paragraph" w:customStyle="1" w:styleId="18">
    <w:name w:val="样式25"/>
    <w:basedOn w:val="19"/>
    <w:qFormat/>
    <w:uiPriority w:val="0"/>
    <w:pPr>
      <w:tabs>
        <w:tab w:val="left" w:pos="0"/>
      </w:tabs>
    </w:pPr>
    <w:rPr>
      <w:sz w:val="24"/>
    </w:rPr>
  </w:style>
  <w:style w:type="paragraph" w:customStyle="1" w:styleId="19">
    <w:name w:val="样式20"/>
    <w:basedOn w:val="3"/>
    <w:qFormat/>
    <w:uiPriority w:val="0"/>
    <w:pPr>
      <w:spacing w:before="0" w:after="0" w:line="360" w:lineRule="auto"/>
      <w:ind w:firstLine="200" w:firstLineChars="200"/>
    </w:pPr>
  </w:style>
  <w:style w:type="paragraph" w:customStyle="1" w:styleId="20">
    <w:name w:val="样式27"/>
    <w:basedOn w:val="3"/>
    <w:qFormat/>
    <w:uiPriority w:val="0"/>
    <w:pPr>
      <w:spacing w:before="0" w:after="0" w:line="360" w:lineRule="auto"/>
      <w:ind w:firstLine="200" w:firstLineChars="200"/>
    </w:pPr>
    <w:rPr>
      <w:sz w:val="24"/>
    </w:rPr>
  </w:style>
  <w:style w:type="paragraph" w:customStyle="1" w:styleId="21">
    <w:name w:val="样式124"/>
    <w:basedOn w:val="3"/>
    <w:qFormat/>
    <w:uiPriority w:val="0"/>
    <w:pPr>
      <w:spacing w:before="0" w:after="0" w:line="360" w:lineRule="auto"/>
      <w:ind w:firstLine="200" w:firstLineChars="200"/>
    </w:pPr>
    <w:rPr>
      <w:sz w:val="24"/>
    </w:rPr>
  </w:style>
  <w:style w:type="paragraph" w:customStyle="1" w:styleId="22">
    <w:name w:val="样式30"/>
    <w:basedOn w:val="3"/>
    <w:qFormat/>
    <w:uiPriority w:val="0"/>
    <w:pPr>
      <w:spacing w:before="0" w:after="0" w:line="360" w:lineRule="auto"/>
      <w:ind w:firstLine="200" w:firstLineChars="200"/>
    </w:pPr>
    <w:rPr>
      <w:sz w:val="24"/>
    </w:rPr>
  </w:style>
  <w:style w:type="paragraph" w:customStyle="1" w:styleId="23">
    <w:name w:val="样式54"/>
    <w:basedOn w:val="2"/>
    <w:qFormat/>
    <w:uiPriority w:val="0"/>
    <w:pPr>
      <w:spacing w:before="0" w:after="0" w:line="360" w:lineRule="auto"/>
      <w:jc w:val="center"/>
    </w:pPr>
  </w:style>
  <w:style w:type="character" w:customStyle="1" w:styleId="24">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25">
    <w:name w:val="Table Paragraph"/>
    <w:basedOn w:val="1"/>
    <w:unhideWhenUsed/>
    <w:qFormat/>
    <w:uiPriority w:val="1"/>
    <w:pPr>
      <w:widowControl/>
      <w:jc w:val="left"/>
    </w:pPr>
    <w:rPr>
      <w:rFonts w:ascii="Calibri" w:hAnsi="Calibri"/>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6188</Words>
  <Characters>6678</Characters>
  <Lines>0</Lines>
  <Paragraphs>0</Paragraphs>
  <TotalTime>46</TotalTime>
  <ScaleCrop>false</ScaleCrop>
  <LinksUpToDate>false</LinksUpToDate>
  <CharactersWithSpaces>6732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2026-04-04T01:31:35Z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