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pStyle w:val="3"/>
        <w:spacing w:after="0" w:line="360" w:lineRule="auto"/>
        <w:ind w:firstLine="482" w:firstLineChars="200"/>
        <w:rPr>
          <w:b/>
          <w:color w:val="000000" w:themeColor="text1"/>
          <w:sz w:val="24"/>
          <w:highlight w:val="none"/>
          <w14:textFill>
            <w14:solidFill>
              <w14:schemeClr w14:val="tx1"/>
            </w14:solidFill>
          </w14:textFill>
        </w:rPr>
      </w:pPr>
      <w:bookmarkStart w:id="0" w:name="_Toc514238201"/>
      <w:r>
        <w:rPr>
          <w:b/>
          <w:color w:val="000000" w:themeColor="text1"/>
          <w:sz w:val="24"/>
          <w:highlight w:val="none"/>
          <w14:textFill>
            <w14:solidFill>
              <w14:schemeClr w14:val="tx1"/>
            </w14:solidFill>
          </w14:textFill>
        </w:rPr>
        <w:t>附件1：资格审查条件</w:t>
      </w:r>
      <w:bookmarkEnd w:id="0"/>
    </w:p>
    <w:p w14:paraId="09AD75C9">
      <w:pPr>
        <w:pStyle w:val="6"/>
        <w:rPr>
          <w:color w:val="000000" w:themeColor="text1"/>
          <w:highlight w:val="none"/>
          <w14:textFill>
            <w14:solidFill>
              <w14:schemeClr w14:val="tx1"/>
            </w14:solidFill>
          </w14:textFill>
        </w:rPr>
      </w:pPr>
    </w:p>
    <w:p w14:paraId="3592F040">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Style w:val="7"/>
          <w:rFonts w:hint="eastAsia" w:ascii="宋体" w:hAnsi="宋体" w:eastAsia="宋体" w:cs="宋体"/>
          <w:b/>
          <w:color w:val="000000" w:themeColor="text1"/>
          <w:sz w:val="21"/>
          <w:szCs w:val="21"/>
          <w:highlight w:val="none"/>
          <w14:textFill>
            <w14:solidFill>
              <w14:schemeClr w14:val="tx1"/>
            </w14:solidFill>
          </w14:textFill>
        </w:rPr>
        <w:t>附录1资格审查条件（资质最低条件）</w:t>
      </w:r>
    </w:p>
    <w:tbl>
      <w:tblPr>
        <w:tblStyle w:val="4"/>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61F7B9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14:paraId="22E42F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资质要求</w:t>
            </w:r>
          </w:p>
        </w:tc>
      </w:tr>
      <w:tr w14:paraId="40A0197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14:paraId="0F8B86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1.具有独立法人资格、持有有效的营业执照；</w:t>
            </w:r>
          </w:p>
          <w:p w14:paraId="5C0C66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2.具有有效的《道路运输经营许可证》或有效的《机动车维修经营备案表》，经营范围须包括二类及以上机动车维修（项目种类需包含小型车辆维修）。</w:t>
            </w:r>
          </w:p>
        </w:tc>
      </w:tr>
    </w:tbl>
    <w:p w14:paraId="24713924">
      <w:pPr>
        <w:keepNext w:val="0"/>
        <w:keepLines w:val="0"/>
        <w:pageBreakBefore w:val="0"/>
        <w:kinsoku/>
        <w:wordWrap/>
        <w:overflowPunct/>
        <w:topLinePunct w:val="0"/>
        <w:autoSpaceDE/>
        <w:autoSpaceDN/>
        <w:bidi w:val="0"/>
        <w:adjustRightInd/>
        <w:snapToGrid w:val="0"/>
        <w:spacing w:line="300" w:lineRule="auto"/>
        <w:jc w:val="center"/>
        <w:textAlignment w:val="auto"/>
        <w:rPr>
          <w:rStyle w:val="8"/>
          <w:rFonts w:hint="eastAsia" w:ascii="宋体" w:hAnsi="宋体" w:eastAsia="宋体" w:cs="宋体"/>
          <w:b/>
          <w:color w:val="000000" w:themeColor="text1"/>
          <w:sz w:val="21"/>
          <w:szCs w:val="21"/>
          <w:highlight w:val="none"/>
          <w14:textFill>
            <w14:solidFill>
              <w14:schemeClr w14:val="tx1"/>
            </w14:solidFill>
          </w14:textFill>
        </w:rPr>
      </w:pPr>
    </w:p>
    <w:p w14:paraId="78B4B824">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themeColor="text1"/>
          <w:sz w:val="21"/>
          <w:szCs w:val="21"/>
          <w:highlight w:val="none"/>
          <w14:textFill>
            <w14:solidFill>
              <w14:schemeClr w14:val="tx1"/>
            </w14:solidFill>
          </w14:textFill>
        </w:rPr>
      </w:pPr>
    </w:p>
    <w:p w14:paraId="18F3DC42">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color w:val="000000" w:themeColor="text1"/>
          <w:sz w:val="21"/>
          <w:szCs w:val="21"/>
          <w:highlight w:val="none"/>
          <w14:textFill>
            <w14:solidFill>
              <w14:schemeClr w14:val="tx1"/>
            </w14:solidFill>
          </w14:textFill>
        </w:rPr>
      </w:pPr>
      <w:r>
        <w:rPr>
          <w:rStyle w:val="8"/>
          <w:rFonts w:hint="eastAsia" w:ascii="宋体" w:hAnsi="宋体" w:eastAsia="宋体" w:cs="宋体"/>
          <w:b/>
          <w:color w:val="000000" w:themeColor="text1"/>
          <w:sz w:val="21"/>
          <w:szCs w:val="21"/>
          <w:highlight w:val="none"/>
          <w14:textFill>
            <w14:solidFill>
              <w14:schemeClr w14:val="tx1"/>
            </w14:solidFill>
          </w14:textFill>
        </w:rPr>
        <w:t>附录2资格审查条件（</w:t>
      </w:r>
      <w:r>
        <w:rPr>
          <w:rFonts w:hint="eastAsia" w:ascii="宋体" w:hAnsi="宋体" w:cs="宋体"/>
          <w:b/>
          <w:color w:val="000000" w:themeColor="text1"/>
          <w:sz w:val="21"/>
          <w:szCs w:val="21"/>
          <w:highlight w:val="none"/>
          <w14:textFill>
            <w14:solidFill>
              <w14:schemeClr w14:val="tx1"/>
            </w14:solidFill>
          </w14:textFill>
        </w:rPr>
        <w:t>业绩最低条件</w:t>
      </w:r>
      <w:r>
        <w:rPr>
          <w:rStyle w:val="8"/>
          <w:rFonts w:hint="eastAsia" w:ascii="宋体" w:hAnsi="宋体" w:eastAsia="宋体" w:cs="宋体"/>
          <w:b/>
          <w:color w:val="000000" w:themeColor="text1"/>
          <w:sz w:val="21"/>
          <w:szCs w:val="21"/>
          <w:highlight w:val="none"/>
          <w14:textFill>
            <w14:solidFill>
              <w14:schemeClr w14:val="tx1"/>
            </w14:solidFill>
          </w14:textFill>
        </w:rPr>
        <w:t>）</w:t>
      </w:r>
    </w:p>
    <w:tbl>
      <w:tblPr>
        <w:tblStyle w:val="4"/>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4618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noWrap w:val="0"/>
            <w:vAlign w:val="center"/>
          </w:tcPr>
          <w:p w14:paraId="0D6E95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业绩要求</w:t>
            </w:r>
          </w:p>
        </w:tc>
      </w:tr>
      <w:tr w14:paraId="147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322" w:type="dxa"/>
            <w:noWrap w:val="0"/>
            <w:vAlign w:val="center"/>
          </w:tcPr>
          <w:p w14:paraId="690E1B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近三年（2022 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月1日至投标截止时间，时间以合同签订时间为准）至少</w:t>
            </w:r>
            <w:r>
              <w:rPr>
                <w:rFonts w:hint="eastAsia" w:ascii="宋体" w:hAnsi="宋体" w:cs="宋体"/>
                <w:color w:val="000000" w:themeColor="text1"/>
                <w:sz w:val="21"/>
                <w:szCs w:val="21"/>
                <w:highlight w:val="none"/>
                <w:lang w:val="en-US" w:eastAsia="zh-CN"/>
                <w14:textFill>
                  <w14:solidFill>
                    <w14:schemeClr w14:val="tx1"/>
                  </w14:solidFill>
                </w14:textFill>
              </w:rPr>
              <w:t>具有</w:t>
            </w:r>
            <w:r>
              <w:rPr>
                <w:rFonts w:hint="eastAsia" w:ascii="宋体" w:hAnsi="宋体" w:cs="宋体"/>
                <w:color w:val="000000" w:themeColor="text1"/>
                <w:sz w:val="21"/>
                <w:szCs w:val="21"/>
                <w:highlight w:val="none"/>
                <w14:textFill>
                  <w14:solidFill>
                    <w14:schemeClr w14:val="tx1"/>
                  </w14:solidFill>
                </w14:textFill>
              </w:rPr>
              <w:t>1项</w:t>
            </w:r>
            <w:r>
              <w:rPr>
                <w:rFonts w:hint="eastAsia" w:ascii="宋体" w:hAnsi="宋体" w:cs="宋体"/>
                <w:color w:val="000000" w:themeColor="text1"/>
                <w:sz w:val="21"/>
                <w:szCs w:val="21"/>
                <w:highlight w:val="none"/>
                <w:lang w:val="en-US" w:eastAsia="zh-CN"/>
                <w14:textFill>
                  <w14:solidFill>
                    <w14:schemeClr w14:val="tx1"/>
                  </w14:solidFill>
                </w14:textFill>
              </w:rPr>
              <w:t>政府机关或企事业单位</w:t>
            </w:r>
            <w:r>
              <w:rPr>
                <w:rFonts w:hint="eastAsia" w:ascii="宋体" w:hAnsi="宋体" w:cs="宋体"/>
                <w:color w:val="000000" w:themeColor="text1"/>
                <w:sz w:val="21"/>
                <w:szCs w:val="21"/>
                <w:highlight w:val="none"/>
                <w14:textFill>
                  <w14:solidFill>
                    <w14:schemeClr w14:val="tx1"/>
                  </w14:solidFill>
                </w14:textFill>
              </w:rPr>
              <w:t>的车辆维修</w:t>
            </w:r>
            <w:r>
              <w:rPr>
                <w:rFonts w:hint="eastAsia" w:ascii="宋体" w:hAnsi="宋体" w:cs="宋体"/>
                <w:color w:val="000000" w:themeColor="text1"/>
                <w:sz w:val="21"/>
                <w:szCs w:val="21"/>
                <w:highlight w:val="none"/>
                <w:lang w:val="en-US" w:eastAsia="zh-CN"/>
                <w14:textFill>
                  <w14:solidFill>
                    <w14:schemeClr w14:val="tx1"/>
                  </w14:solidFill>
                </w14:textFill>
              </w:rPr>
              <w:t>保养</w:t>
            </w:r>
            <w:r>
              <w:rPr>
                <w:rFonts w:hint="eastAsia" w:ascii="宋体" w:hAnsi="宋体" w:cs="宋体"/>
                <w:color w:val="000000" w:themeColor="text1"/>
                <w:sz w:val="21"/>
                <w:szCs w:val="21"/>
                <w:highlight w:val="none"/>
                <w14:textFill>
                  <w14:solidFill>
                    <w14:schemeClr w14:val="tx1"/>
                  </w14:solidFill>
                </w14:textFill>
              </w:rPr>
              <w:t>服务业绩。</w:t>
            </w:r>
          </w:p>
        </w:tc>
      </w:tr>
    </w:tbl>
    <w:p w14:paraId="64571943">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themeColor="text1"/>
          <w:sz w:val="21"/>
          <w:szCs w:val="21"/>
          <w:highlight w:val="none"/>
          <w14:textFill>
            <w14:solidFill>
              <w14:schemeClr w14:val="tx1"/>
            </w14:solidFill>
          </w14:textFill>
        </w:rPr>
      </w:pPr>
    </w:p>
    <w:p w14:paraId="1DD84281">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themeColor="text1"/>
          <w:sz w:val="21"/>
          <w:szCs w:val="21"/>
          <w:highlight w:val="none"/>
          <w14:textFill>
            <w14:solidFill>
              <w14:schemeClr w14:val="tx1"/>
            </w14:solidFill>
          </w14:textFill>
        </w:rPr>
      </w:pPr>
    </w:p>
    <w:p w14:paraId="12C96C63">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附录</w:t>
      </w:r>
      <w:r>
        <w:rPr>
          <w:rFonts w:hint="eastAsia" w:ascii="宋体" w:hAnsi="宋体" w:cs="宋体"/>
          <w:b/>
          <w:color w:val="000000" w:themeColor="text1"/>
          <w:sz w:val="21"/>
          <w:szCs w:val="21"/>
          <w:highlight w:val="none"/>
          <w:lang w:val="en-US" w:eastAsia="zh-CN"/>
          <w14:textFill>
            <w14:solidFill>
              <w14:schemeClr w14:val="tx1"/>
            </w14:solidFill>
          </w14:textFill>
        </w:rPr>
        <w:t>3</w:t>
      </w:r>
      <w:r>
        <w:rPr>
          <w:rFonts w:hint="eastAsia" w:ascii="宋体" w:hAnsi="宋体" w:cs="宋体"/>
          <w:b/>
          <w:color w:val="000000" w:themeColor="text1"/>
          <w:sz w:val="21"/>
          <w:szCs w:val="21"/>
          <w:highlight w:val="none"/>
          <w14:textFill>
            <w14:solidFill>
              <w14:schemeClr w14:val="tx1"/>
            </w14:solidFill>
          </w14:textFill>
        </w:rPr>
        <w:t>资格审查条件（信誉最低条件）</w:t>
      </w:r>
    </w:p>
    <w:tbl>
      <w:tblPr>
        <w:tblStyle w:val="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1257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6EFDFF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信誉要求</w:t>
            </w:r>
          </w:p>
        </w:tc>
      </w:tr>
      <w:tr w14:paraId="28D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343" w:type="dxa"/>
            <w:noWrap w:val="0"/>
            <w:vAlign w:val="center"/>
          </w:tcPr>
          <w:p w14:paraId="4D04C8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投标人过去1年(2024年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月1日至今)中不曾在车辆维修服务合同中违约而被驱逐或因投标人自身的原因而使车辆维修服务合同被解除。</w:t>
            </w:r>
          </w:p>
        </w:tc>
      </w:tr>
    </w:tbl>
    <w:p w14:paraId="746C807A">
      <w:pPr>
        <w:keepNext w:val="0"/>
        <w:keepLines w:val="0"/>
        <w:pageBreakBefore w:val="0"/>
        <w:kinsoku/>
        <w:wordWrap/>
        <w:overflowPunct/>
        <w:topLinePunct w:val="0"/>
        <w:autoSpaceDE/>
        <w:autoSpaceDN/>
        <w:bidi w:val="0"/>
        <w:adjustRightInd/>
        <w:snapToGrid w:val="0"/>
        <w:spacing w:line="300" w:lineRule="auto"/>
        <w:textAlignment w:val="auto"/>
        <w:rPr>
          <w:rFonts w:hint="eastAsia" w:ascii="宋体" w:hAnsi="宋体" w:cs="宋体"/>
          <w:b/>
          <w:bCs/>
          <w:color w:val="000000" w:themeColor="text1"/>
          <w:sz w:val="21"/>
          <w:szCs w:val="21"/>
          <w:highlight w:val="none"/>
          <w14:textFill>
            <w14:solidFill>
              <w14:schemeClr w14:val="tx1"/>
            </w14:solidFill>
          </w14:textFill>
        </w:rPr>
      </w:pPr>
    </w:p>
    <w:p w14:paraId="66CDEB9D">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bCs/>
          <w:snapToGrid w:val="0"/>
          <w:color w:val="000000" w:themeColor="text1"/>
          <w:kern w:val="0"/>
          <w:sz w:val="21"/>
          <w:szCs w:val="21"/>
          <w:highlight w:val="none"/>
          <w14:textFill>
            <w14:solidFill>
              <w14:schemeClr w14:val="tx1"/>
            </w14:solidFill>
          </w14:textFill>
        </w:rPr>
      </w:pPr>
    </w:p>
    <w:p w14:paraId="2E780A87">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b/>
          <w:bCs/>
          <w:snapToGrid w:val="0"/>
          <w:color w:val="000000" w:themeColor="text1"/>
          <w:kern w:val="0"/>
          <w:sz w:val="52"/>
          <w:szCs w:val="52"/>
          <w:highlight w:val="none"/>
          <w14:textFill>
            <w14:solidFill>
              <w14:schemeClr w14:val="tx1"/>
            </w14:solidFill>
          </w14:textFill>
        </w:rPr>
      </w:pPr>
    </w:p>
    <w:p w14:paraId="58A8FD6F">
      <w:pPr>
        <w:rPr>
          <w:rFonts w:hint="eastAsia" w:ascii="宋体" w:hAnsi="宋体"/>
          <w:b/>
          <w:bCs/>
          <w:snapToGrid w:val="0"/>
          <w:color w:val="000000" w:themeColor="text1"/>
          <w:kern w:val="0"/>
          <w:sz w:val="52"/>
          <w:szCs w:val="52"/>
          <w:highlight w:val="none"/>
          <w14:textFill>
            <w14:solidFill>
              <w14:schemeClr w14:val="tx1"/>
            </w14:solidFill>
          </w14:textFill>
        </w:rPr>
      </w:pPr>
      <w:r>
        <w:rPr>
          <w:rFonts w:hint="eastAsia" w:ascii="宋体" w:hAnsi="宋体"/>
          <w:b/>
          <w:bCs/>
          <w:snapToGrid w:val="0"/>
          <w:color w:val="000000" w:themeColor="text1"/>
          <w:kern w:val="0"/>
          <w:sz w:val="52"/>
          <w:szCs w:val="52"/>
          <w:highlight w:val="none"/>
          <w14:textFill>
            <w14:solidFill>
              <w14:schemeClr w14:val="tx1"/>
            </w14:solidFill>
          </w14:textFill>
        </w:rPr>
        <w:br w:type="page"/>
      </w:r>
    </w:p>
    <w:p w14:paraId="7408F8C0">
      <w:pPr>
        <w:pStyle w:val="2"/>
        <w:snapToGrid w:val="0"/>
        <w:spacing w:before="0" w:after="0" w:line="360" w:lineRule="auto"/>
        <w:rPr>
          <w:rFonts w:hint="eastAsia" w:ascii="黑体" w:hAnsi="黑体" w:eastAsia="黑体" w:cs="黑体"/>
          <w:color w:val="000000" w:themeColor="text1"/>
          <w:sz w:val="24"/>
          <w:szCs w:val="24"/>
          <w:highlight w:val="none"/>
          <w14:textFill>
            <w14:solidFill>
              <w14:schemeClr w14:val="tx1"/>
            </w14:solidFill>
          </w14:textFill>
        </w:rPr>
      </w:pPr>
      <w:bookmarkStart w:id="1" w:name="_Toc19410"/>
      <w:r>
        <w:rPr>
          <w:b/>
          <w:color w:val="000000" w:themeColor="text1"/>
          <w:sz w:val="24"/>
          <w:highlight w:val="none"/>
          <w14:textFill>
            <w14:solidFill>
              <w14:schemeClr w14:val="tx1"/>
            </w14:solidFill>
          </w14:textFill>
        </w:rPr>
        <w:t>附件</w:t>
      </w:r>
      <w:r>
        <w:rPr>
          <w:rFonts w:hint="eastAsia"/>
          <w:b/>
          <w:color w:val="000000" w:themeColor="text1"/>
          <w:sz w:val="24"/>
          <w:highlight w:val="none"/>
          <w:lang w:val="en-US" w:eastAsia="zh-CN"/>
          <w14:textFill>
            <w14:solidFill>
              <w14:schemeClr w14:val="tx1"/>
            </w14:solidFill>
          </w14:textFill>
        </w:rPr>
        <w:t>2</w:t>
      </w:r>
      <w:r>
        <w:rPr>
          <w:b/>
          <w:color w:val="000000" w:themeColor="text1"/>
          <w:sz w:val="24"/>
          <w:highlight w:val="none"/>
          <w14:textFill>
            <w14:solidFill>
              <w14:schemeClr w14:val="tx1"/>
            </w14:solidFill>
          </w14:textFill>
        </w:rPr>
        <w:t>：</w:t>
      </w:r>
      <w:r>
        <w:rPr>
          <w:rFonts w:hint="eastAsia" w:ascii="黑体" w:hAnsi="黑体" w:eastAsia="黑体" w:cs="黑体"/>
          <w:color w:val="000000" w:themeColor="text1"/>
          <w:spacing w:val="2"/>
          <w:kern w:val="0"/>
          <w:sz w:val="24"/>
          <w:szCs w:val="24"/>
          <w:highlight w:val="none"/>
          <w14:textFill>
            <w14:solidFill>
              <w14:schemeClr w14:val="tx1"/>
            </w14:solidFill>
          </w14:textFill>
        </w:rPr>
        <w:t>评标</w:t>
      </w:r>
      <w:r>
        <w:rPr>
          <w:rFonts w:hint="eastAsia" w:ascii="黑体" w:hAnsi="黑体" w:eastAsia="黑体" w:cs="黑体"/>
          <w:color w:val="000000" w:themeColor="text1"/>
          <w:kern w:val="0"/>
          <w:sz w:val="24"/>
          <w:szCs w:val="24"/>
          <w:highlight w:val="none"/>
          <w14:textFill>
            <w14:solidFill>
              <w14:schemeClr w14:val="tx1"/>
            </w14:solidFill>
          </w14:textFill>
        </w:rPr>
        <w:t>办法前附表</w:t>
      </w:r>
      <w:bookmarkEnd w:id="1"/>
    </w:p>
    <w:tbl>
      <w:tblPr>
        <w:tblStyle w:val="11"/>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975"/>
        <w:gridCol w:w="1090"/>
        <w:gridCol w:w="485"/>
        <w:gridCol w:w="6310"/>
      </w:tblGrid>
      <w:tr w14:paraId="71BE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72" w:type="dxa"/>
            <w:gridSpan w:val="2"/>
            <w:vAlign w:val="center"/>
          </w:tcPr>
          <w:p w14:paraId="4F7F389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75" w:type="dxa"/>
            <w:gridSpan w:val="2"/>
            <w:vAlign w:val="center"/>
          </w:tcPr>
          <w:p w14:paraId="535B052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w:t>
            </w:r>
          </w:p>
        </w:tc>
        <w:tc>
          <w:tcPr>
            <w:tcW w:w="6310" w:type="dxa"/>
            <w:vAlign w:val="center"/>
          </w:tcPr>
          <w:p w14:paraId="0ED6662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评审标准</w:t>
            </w:r>
          </w:p>
        </w:tc>
      </w:tr>
      <w:tr w14:paraId="67F0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97" w:type="dxa"/>
            <w:vAlign w:val="center"/>
          </w:tcPr>
          <w:p w14:paraId="0B13E759">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75" w:type="dxa"/>
            <w:vAlign w:val="center"/>
          </w:tcPr>
          <w:p w14:paraId="0D714927">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评标方法</w:t>
            </w:r>
          </w:p>
        </w:tc>
        <w:tc>
          <w:tcPr>
            <w:tcW w:w="1575" w:type="dxa"/>
            <w:gridSpan w:val="2"/>
            <w:vAlign w:val="center"/>
          </w:tcPr>
          <w:p w14:paraId="67DA26C2">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中标候选人排序方法</w:t>
            </w:r>
          </w:p>
        </w:tc>
        <w:tc>
          <w:tcPr>
            <w:tcW w:w="6310" w:type="dxa"/>
            <w:vAlign w:val="center"/>
          </w:tcPr>
          <w:p w14:paraId="73012E2C">
            <w:pPr>
              <w:pStyle w:val="10"/>
              <w:keepNext w:val="0"/>
              <w:keepLines w:val="0"/>
              <w:pageBreakBefore w:val="0"/>
              <w:kinsoku/>
              <w:wordWrap/>
              <w:overflowPunct/>
              <w:topLinePunct w:val="0"/>
              <w:autoSpaceDE/>
              <w:autoSpaceDN/>
              <w:bidi w:val="0"/>
              <w:adjustRightInd/>
              <w:snapToGrid w:val="0"/>
              <w:spacing w:line="320" w:lineRule="exact"/>
              <w:ind w:firstLine="404" w:firstLineChars="200"/>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ascii="宋体" w:hAnsi="宋体"/>
                <w:color w:val="000000" w:themeColor="text1"/>
                <w:spacing w:val="-4"/>
                <w:sz w:val="21"/>
                <w:szCs w:val="21"/>
                <w:highlight w:val="none"/>
                <w14:textFill>
                  <w14:solidFill>
                    <w14:schemeClr w14:val="tx1"/>
                  </w14:solidFill>
                </w14:textFill>
              </w:rPr>
              <w:t>本次评标采用综合评估法，</w:t>
            </w:r>
            <w:r>
              <w:rPr>
                <w:rFonts w:hint="eastAsia" w:ascii="宋体" w:hAnsi="宋体" w:eastAsia="宋体" w:cs="宋体"/>
                <w:color w:val="000000" w:themeColor="text1"/>
                <w:sz w:val="21"/>
                <w:szCs w:val="21"/>
                <w:highlight w:val="none"/>
                <w14:textFill>
                  <w14:solidFill>
                    <w14:schemeClr w14:val="tx1"/>
                  </w14:solidFill>
                </w14:textFill>
              </w:rPr>
              <w:t>评标委员会对满足招标文件实质性要求的投标文件，按照本章第2.2款规定的评分标准进行打分，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按照综合得分由高到低的顺序推荐</w:t>
            </w:r>
            <w:r>
              <w:rPr>
                <w:rFonts w:hint="eastAsia" w:ascii="宋体" w:hAnsi="宋体" w:eastAsia="宋体" w:cs="宋体"/>
                <w:color w:val="000000" w:themeColor="text1"/>
                <w:sz w:val="21"/>
                <w:szCs w:val="21"/>
                <w:highlight w:val="none"/>
                <w:lang w:val="en-US" w:eastAsia="zh-CN"/>
                <w14:textFill>
                  <w14:solidFill>
                    <w14:schemeClr w14:val="tx1"/>
                  </w14:solidFill>
                </w14:textFill>
              </w:rPr>
              <w:t>1-3名</w:t>
            </w:r>
            <w:r>
              <w:rPr>
                <w:rFonts w:hint="eastAsia" w:ascii="宋体" w:hAnsi="宋体" w:eastAsia="宋体" w:cs="宋体"/>
                <w:color w:val="000000" w:themeColor="text1"/>
                <w:sz w:val="21"/>
                <w:szCs w:val="21"/>
                <w:highlight w:val="none"/>
                <w14:textFill>
                  <w14:solidFill>
                    <w14:schemeClr w14:val="tx1"/>
                  </w14:solidFill>
                </w14:textFill>
              </w:rPr>
              <w:t>中标候选人并标明排序。</w:t>
            </w:r>
          </w:p>
          <w:p w14:paraId="777CFB73">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综合评分相等时，评标委员会依次按照以下优先顺序推荐中标候选人或确定中标人：</w:t>
            </w:r>
          </w:p>
          <w:p w14:paraId="5A515FA4">
            <w:pPr>
              <w:pStyle w:val="10"/>
              <w:keepNext w:val="0"/>
              <w:keepLines w:val="0"/>
              <w:pageBreakBefore w:val="0"/>
              <w:kinsoku/>
              <w:wordWrap/>
              <w:overflowPunct/>
              <w:topLinePunct w:val="0"/>
              <w:autoSpaceDE/>
              <w:autoSpaceDN/>
              <w:bidi w:val="0"/>
              <w:adjustRightInd/>
              <w:snapToGrid w:val="0"/>
              <w:spacing w:line="320" w:lineRule="exact"/>
              <w:ind w:firstLine="0" w:firstLineChars="0"/>
              <w:rPr>
                <w:rFonts w:hint="default" w:ascii="宋体" w:hAnsi="宋体" w:eastAsia="宋体" w:cs="Times New Roman"/>
                <w:color w:val="000000" w:themeColor="text1"/>
                <w:spacing w:val="-4"/>
                <w:sz w:val="21"/>
                <w:szCs w:val="21"/>
                <w:highlight w:val="none"/>
                <w14:textFill>
                  <w14:solidFill>
                    <w14:schemeClr w14:val="tx1"/>
                  </w14:solidFill>
                </w14:textFill>
              </w:rPr>
            </w:pPr>
            <w:r>
              <w:rPr>
                <w:rFonts w:hint="default" w:ascii="宋体" w:hAnsi="宋体" w:eastAsia="宋体" w:cs="Times New Roman"/>
                <w:color w:val="000000" w:themeColor="text1"/>
                <w:spacing w:val="-4"/>
                <w:sz w:val="21"/>
                <w:szCs w:val="21"/>
                <w:highlight w:val="none"/>
                <w14:textFill>
                  <w14:solidFill>
                    <w14:schemeClr w14:val="tx1"/>
                  </w14:solidFill>
                </w14:textFill>
              </w:rPr>
              <w:t>（1）评标价低的投标人优先；</w:t>
            </w:r>
          </w:p>
          <w:p w14:paraId="12896B1E">
            <w:pPr>
              <w:pStyle w:val="10"/>
              <w:keepNext w:val="0"/>
              <w:keepLines w:val="0"/>
              <w:pageBreakBefore w:val="0"/>
              <w:kinsoku/>
              <w:wordWrap/>
              <w:overflowPunct/>
              <w:topLinePunct w:val="0"/>
              <w:autoSpaceDE/>
              <w:autoSpaceDN/>
              <w:bidi w:val="0"/>
              <w:adjustRightInd/>
              <w:snapToGrid w:val="0"/>
              <w:spacing w:line="320" w:lineRule="exact"/>
              <w:ind w:firstLine="0" w:firstLineChars="0"/>
              <w:rPr>
                <w:rFonts w:hint="default" w:ascii="宋体" w:hAnsi="宋体" w:eastAsia="宋体" w:cs="Times New Roman"/>
                <w:color w:val="000000" w:themeColor="text1"/>
                <w:spacing w:val="-4"/>
                <w:sz w:val="21"/>
                <w:szCs w:val="21"/>
                <w:highlight w:val="none"/>
                <w14:textFill>
                  <w14:solidFill>
                    <w14:schemeClr w14:val="tx1"/>
                  </w14:solidFill>
                </w14:textFill>
              </w:rPr>
            </w:pPr>
            <w:r>
              <w:rPr>
                <w:rFonts w:hint="default" w:ascii="宋体" w:hAnsi="宋体" w:eastAsia="宋体" w:cs="Times New Roman"/>
                <w:color w:val="000000" w:themeColor="text1"/>
                <w:spacing w:val="-4"/>
                <w:sz w:val="21"/>
                <w:szCs w:val="21"/>
                <w:highlight w:val="none"/>
                <w14:textFill>
                  <w14:solidFill>
                    <w14:schemeClr w14:val="tx1"/>
                  </w14:solidFill>
                </w14:textFill>
              </w:rPr>
              <w:t>（2）</w:t>
            </w:r>
            <w:r>
              <w:rPr>
                <w:rFonts w:hint="eastAsia" w:ascii="宋体" w:hAnsi="宋体" w:cs="Times New Roman"/>
                <w:color w:val="000000" w:themeColor="text1"/>
                <w:spacing w:val="-4"/>
                <w:sz w:val="21"/>
                <w:szCs w:val="21"/>
                <w:highlight w:val="none"/>
                <w:lang w:val="en-US" w:eastAsia="zh-CN"/>
                <w14:textFill>
                  <w14:solidFill>
                    <w14:schemeClr w14:val="tx1"/>
                  </w14:solidFill>
                </w14:textFill>
              </w:rPr>
              <w:t>服务方案</w:t>
            </w:r>
            <w:r>
              <w:rPr>
                <w:rFonts w:hint="default" w:ascii="宋体" w:hAnsi="宋体" w:eastAsia="宋体" w:cs="Times New Roman"/>
                <w:color w:val="000000" w:themeColor="text1"/>
                <w:spacing w:val="-4"/>
                <w:sz w:val="21"/>
                <w:szCs w:val="21"/>
                <w:highlight w:val="none"/>
                <w14:textFill>
                  <w14:solidFill>
                    <w14:schemeClr w14:val="tx1"/>
                  </w14:solidFill>
                </w14:textFill>
              </w:rPr>
              <w:t>得分较高的投标人优先；</w:t>
            </w:r>
          </w:p>
          <w:p w14:paraId="2FF2BC14">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Times New Roman"/>
                <w:color w:val="000000" w:themeColor="text1"/>
                <w:spacing w:val="-4"/>
                <w:sz w:val="21"/>
                <w:szCs w:val="21"/>
                <w:highlight w:val="none"/>
                <w14:textFill>
                  <w14:solidFill>
                    <w14:schemeClr w14:val="tx1"/>
                  </w14:solidFill>
                </w14:textFill>
              </w:rPr>
              <w:t>（3）投标人近</w:t>
            </w:r>
            <w:r>
              <w:rPr>
                <w:rFonts w:hint="eastAsia" w:ascii="宋体" w:hAnsi="宋体" w:cs="Times New Roman"/>
                <w:color w:val="000000" w:themeColor="text1"/>
                <w:spacing w:val="-4"/>
                <w:sz w:val="21"/>
                <w:szCs w:val="21"/>
                <w:highlight w:val="none"/>
                <w:lang w:val="en-US" w:eastAsia="zh-CN"/>
                <w14:textFill>
                  <w14:solidFill>
                    <w14:schemeClr w14:val="tx1"/>
                  </w14:solidFill>
                </w14:textFill>
              </w:rPr>
              <w:t>3</w:t>
            </w:r>
            <w:r>
              <w:rPr>
                <w:rFonts w:hint="default" w:ascii="宋体" w:hAnsi="宋体" w:cs="Times New Roman"/>
                <w:color w:val="000000" w:themeColor="text1"/>
                <w:spacing w:val="-4"/>
                <w:sz w:val="21"/>
                <w:szCs w:val="21"/>
                <w:highlight w:val="none"/>
                <w14:textFill>
                  <w14:solidFill>
                    <w14:schemeClr w14:val="tx1"/>
                  </w14:solidFill>
                </w14:textFill>
              </w:rPr>
              <w:t>年内满足资格审查条件(业绩最低条件)要求的业绩</w:t>
            </w:r>
            <w:r>
              <w:rPr>
                <w:rFonts w:hint="eastAsia" w:ascii="宋体" w:hAnsi="宋体" w:cs="Times New Roman"/>
                <w:color w:val="000000" w:themeColor="text1"/>
                <w:spacing w:val="-4"/>
                <w:sz w:val="21"/>
                <w:szCs w:val="21"/>
                <w:highlight w:val="none"/>
                <w:lang w:val="en-US" w:eastAsia="zh-CN"/>
                <w14:textFill>
                  <w14:solidFill>
                    <w14:schemeClr w14:val="tx1"/>
                  </w14:solidFill>
                </w14:textFill>
              </w:rPr>
              <w:t>累计合同</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金额较高</w:t>
            </w:r>
            <w:r>
              <w:rPr>
                <w:rFonts w:hint="default" w:ascii="宋体" w:hAnsi="宋体" w:cs="Times New Roman"/>
                <w:color w:val="000000" w:themeColor="text1"/>
                <w:spacing w:val="-4"/>
                <w:sz w:val="21"/>
                <w:szCs w:val="21"/>
                <w:highlight w:val="none"/>
                <w14:textFill>
                  <w14:solidFill>
                    <w14:schemeClr w14:val="tx1"/>
                  </w14:solidFill>
                </w14:textFill>
              </w:rPr>
              <w:t>的优先。</w:t>
            </w:r>
          </w:p>
        </w:tc>
      </w:tr>
      <w:tr w14:paraId="0FCC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97" w:type="dxa"/>
            <w:vMerge w:val="restart"/>
            <w:vAlign w:val="center"/>
          </w:tcPr>
          <w:p w14:paraId="1F6D3B61">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w:t>
            </w:r>
          </w:p>
        </w:tc>
        <w:tc>
          <w:tcPr>
            <w:tcW w:w="975" w:type="dxa"/>
            <w:vMerge w:val="restart"/>
            <w:vAlign w:val="center"/>
          </w:tcPr>
          <w:p w14:paraId="6244E790">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形式评审</w:t>
            </w:r>
            <w:r>
              <w:rPr>
                <w:rFonts w:hint="eastAsia" w:ascii="宋体" w:hAnsi="宋体" w:eastAsia="宋体" w:cs="宋体"/>
                <w:color w:val="000000" w:themeColor="text1"/>
                <w:sz w:val="21"/>
                <w:szCs w:val="21"/>
                <w:highlight w:val="none"/>
                <w14:textFill>
                  <w14:solidFill>
                    <w14:schemeClr w14:val="tx1"/>
                  </w14:solidFill>
                </w14:textFill>
              </w:rPr>
              <w:t>标准</w:t>
            </w:r>
          </w:p>
        </w:tc>
        <w:tc>
          <w:tcPr>
            <w:tcW w:w="1575" w:type="dxa"/>
            <w:gridSpan w:val="2"/>
            <w:vAlign w:val="center"/>
          </w:tcPr>
          <w:p w14:paraId="3B90586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tc>
        <w:tc>
          <w:tcPr>
            <w:tcW w:w="6310" w:type="dxa"/>
            <w:vAlign w:val="center"/>
          </w:tcPr>
          <w:p w14:paraId="3351BA01">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与营业执照一致</w:t>
            </w:r>
          </w:p>
        </w:tc>
      </w:tr>
      <w:tr w14:paraId="1A26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97" w:type="dxa"/>
            <w:vMerge w:val="continue"/>
            <w:vAlign w:val="center"/>
          </w:tcPr>
          <w:p w14:paraId="243696E6">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1E786AA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606E7966">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投标签字盖章</w:t>
            </w:r>
          </w:p>
        </w:tc>
        <w:tc>
          <w:tcPr>
            <w:tcW w:w="6310" w:type="dxa"/>
            <w:vAlign w:val="center"/>
          </w:tcPr>
          <w:p w14:paraId="6E9F42CE">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eastAsia="宋体" w:cs="宋体"/>
                <w:color w:val="000000" w:themeColor="text1"/>
                <w:spacing w:val="-3"/>
                <w:sz w:val="21"/>
                <w:szCs w:val="21"/>
                <w:highlight w:val="none"/>
                <w14:textFill>
                  <w14:solidFill>
                    <w14:schemeClr w14:val="tx1"/>
                  </w14:solidFill>
                </w14:textFill>
              </w:rPr>
              <w:t>第二章“</w:t>
            </w:r>
            <w:r>
              <w:rPr>
                <w:rFonts w:hint="eastAsia" w:ascii="宋体" w:hAnsi="宋体" w:eastAsia="宋体" w:cs="宋体"/>
                <w:color w:val="000000" w:themeColor="text1"/>
                <w:sz w:val="21"/>
                <w:szCs w:val="21"/>
                <w:highlight w:val="none"/>
                <w14:textFill>
                  <w14:solidFill>
                    <w14:schemeClr w14:val="tx1"/>
                  </w14:solidFill>
                </w14:textFill>
              </w:rPr>
              <w:t>投标人须知前附表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第3.7.3项中</w:t>
            </w:r>
            <w:r>
              <w:rPr>
                <w:rFonts w:hint="eastAsia" w:ascii="宋体" w:hAnsi="宋体" w:eastAsia="宋体" w:cs="宋体"/>
                <w:color w:val="000000" w:themeColor="text1"/>
                <w:sz w:val="21"/>
                <w:szCs w:val="21"/>
                <w:highlight w:val="none"/>
                <w14:textFill>
                  <w14:solidFill>
                    <w14:schemeClr w14:val="tx1"/>
                  </w14:solidFill>
                </w14:textFill>
              </w:rPr>
              <w:t>签字或盖章要求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规定</w:t>
            </w:r>
          </w:p>
        </w:tc>
      </w:tr>
      <w:tr w14:paraId="3E99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2B5173C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620984B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5A3B2F25">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投标文件格式</w:t>
            </w:r>
          </w:p>
        </w:tc>
        <w:tc>
          <w:tcPr>
            <w:tcW w:w="6310" w:type="dxa"/>
            <w:vAlign w:val="center"/>
          </w:tcPr>
          <w:p w14:paraId="5D168867">
            <w:pPr>
              <w:keepNext w:val="0"/>
              <w:keepLines w:val="0"/>
              <w:pageBreakBefore w:val="0"/>
              <w:tabs>
                <w:tab w:val="left" w:pos="3060"/>
              </w:tabs>
              <w:kinsoku/>
              <w:wordWrap/>
              <w:overflowPunct/>
              <w:topLinePunct w:val="0"/>
              <w:autoSpaceDE/>
              <w:autoSpaceDN/>
              <w:bidi w:val="0"/>
              <w:snapToGrid w:val="0"/>
              <w:spacing w:line="320" w:lineRule="exact"/>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投标文件按照招标文件规定的格式、内容填写，字迹清晰可辨：</w:t>
            </w:r>
          </w:p>
          <w:p w14:paraId="5C4ED3C9">
            <w:pPr>
              <w:keepNext w:val="0"/>
              <w:keepLines w:val="0"/>
              <w:pageBreakBefore w:val="0"/>
              <w:tabs>
                <w:tab w:val="left" w:pos="3060"/>
              </w:tabs>
              <w:kinsoku/>
              <w:wordWrap/>
              <w:overflowPunct/>
              <w:topLinePunct w:val="0"/>
              <w:autoSpaceDE/>
              <w:autoSpaceDN/>
              <w:bidi w:val="0"/>
              <w:snapToGrid w:val="0"/>
              <w:spacing w:line="320" w:lineRule="exact"/>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a.投标函按招标文件规定填报了项目名称</w:t>
            </w:r>
            <w:r>
              <w:rPr>
                <w:rFonts w:hint="eastAsia" w:ascii="宋体" w:hAnsi="宋体"/>
                <w:bCs/>
                <w:color w:val="000000" w:themeColor="text1"/>
                <w:sz w:val="21"/>
                <w:szCs w:val="21"/>
                <w:highlight w:val="none"/>
                <w14:textFill>
                  <w14:solidFill>
                    <w14:schemeClr w14:val="tx1"/>
                  </w14:solidFill>
                </w14:textFill>
              </w:rPr>
              <w:t>、</w:t>
            </w:r>
            <w:r>
              <w:rPr>
                <w:rFonts w:ascii="宋体" w:hAnsi="宋体"/>
                <w:bCs/>
                <w:color w:val="000000" w:themeColor="text1"/>
                <w:sz w:val="21"/>
                <w:szCs w:val="21"/>
                <w:highlight w:val="none"/>
                <w14:textFill>
                  <w14:solidFill>
                    <w14:schemeClr w14:val="tx1"/>
                  </w14:solidFill>
                </w14:textFill>
              </w:rPr>
              <w:t>补遗书编号（如有）、</w:t>
            </w:r>
            <w:r>
              <w:rPr>
                <w:rFonts w:hint="eastAsia" w:ascii="宋体" w:hAnsi="宋体"/>
                <w:bCs/>
                <w:color w:val="000000" w:themeColor="text1"/>
                <w:sz w:val="21"/>
                <w:szCs w:val="21"/>
                <w:highlight w:val="none"/>
                <w:lang w:val="en-US" w:eastAsia="zh-CN"/>
                <w14:textFill>
                  <w14:solidFill>
                    <w14:schemeClr w14:val="tx1"/>
                  </w14:solidFill>
                </w14:textFill>
              </w:rPr>
              <w:t>报价（包括大写金额和小写金额）、</w:t>
            </w:r>
            <w:r>
              <w:rPr>
                <w:rFonts w:ascii="宋体" w:hAnsi="宋体"/>
                <w:bCs/>
                <w:color w:val="000000" w:themeColor="text1"/>
                <w:sz w:val="21"/>
                <w:szCs w:val="21"/>
                <w:highlight w:val="none"/>
                <w14:textFill>
                  <w14:solidFill>
                    <w14:schemeClr w14:val="tx1"/>
                  </w14:solidFill>
                </w14:textFill>
              </w:rPr>
              <w:t>服务期限</w:t>
            </w:r>
            <w:r>
              <w:rPr>
                <w:rFonts w:hint="eastAsia" w:ascii="宋体"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服务质量、安全目标等内容</w:t>
            </w:r>
            <w:r>
              <w:rPr>
                <w:rFonts w:ascii="宋体" w:hAnsi="宋体"/>
                <w:bCs/>
                <w:color w:val="000000" w:themeColor="text1"/>
                <w:sz w:val="21"/>
                <w:szCs w:val="21"/>
                <w:highlight w:val="none"/>
                <w14:textFill>
                  <w14:solidFill>
                    <w14:schemeClr w14:val="tx1"/>
                  </w14:solidFill>
                </w14:textFill>
              </w:rPr>
              <w:t>；</w:t>
            </w:r>
          </w:p>
          <w:p w14:paraId="4C71269F">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b.投标文件组成齐全完整，内容均按规定填写。</w:t>
            </w:r>
          </w:p>
        </w:tc>
      </w:tr>
      <w:tr w14:paraId="7E4C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5393372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687416C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07828FB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联合体投标人</w:t>
            </w:r>
          </w:p>
        </w:tc>
        <w:tc>
          <w:tcPr>
            <w:tcW w:w="6310" w:type="dxa"/>
            <w:vAlign w:val="center"/>
          </w:tcPr>
          <w:p w14:paraId="31D4EAFE">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投标人未</w:t>
            </w:r>
            <w:r>
              <w:rPr>
                <w:rFonts w:hint="eastAsia" w:ascii="宋体" w:hAnsi="宋体" w:eastAsia="宋体" w:cs="宋体"/>
                <w:color w:val="000000" w:themeColor="text1"/>
                <w:sz w:val="21"/>
                <w:szCs w:val="21"/>
                <w:highlight w:val="none"/>
                <w14:textFill>
                  <w14:solidFill>
                    <w14:schemeClr w14:val="tx1"/>
                  </w14:solidFill>
                </w14:textFill>
              </w:rPr>
              <w:t>以联合体形式参加投标</w:t>
            </w:r>
          </w:p>
        </w:tc>
      </w:tr>
      <w:tr w14:paraId="2312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5F30EC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4AD2074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340BB43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备选投标方案</w:t>
            </w:r>
          </w:p>
        </w:tc>
        <w:tc>
          <w:tcPr>
            <w:tcW w:w="6310" w:type="dxa"/>
            <w:shd w:val="clear" w:color="auto" w:fill="auto"/>
            <w:vAlign w:val="center"/>
          </w:tcPr>
          <w:p w14:paraId="46A17B1A">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未提交备选投标方案</w:t>
            </w:r>
          </w:p>
        </w:tc>
      </w:tr>
      <w:tr w14:paraId="60E1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33B4D6D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52AF2E3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367AD536">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投标文件</w:t>
            </w:r>
          </w:p>
        </w:tc>
        <w:tc>
          <w:tcPr>
            <w:tcW w:w="6310" w:type="dxa"/>
            <w:shd w:val="clear" w:color="auto" w:fill="auto"/>
            <w:vAlign w:val="center"/>
          </w:tcPr>
          <w:p w14:paraId="6C52F97D">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同一投标人未提交两个以上不同的投标文件</w:t>
            </w:r>
          </w:p>
        </w:tc>
      </w:tr>
      <w:tr w14:paraId="1E324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4E7F86E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0E3542B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570C4A1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分包</w:t>
            </w:r>
          </w:p>
        </w:tc>
        <w:tc>
          <w:tcPr>
            <w:tcW w:w="6310" w:type="dxa"/>
            <w:shd w:val="clear" w:color="auto" w:fill="auto"/>
            <w:vAlign w:val="center"/>
          </w:tcPr>
          <w:p w14:paraId="7D6DCF33">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未提交</w:t>
            </w:r>
            <w:r>
              <w:rPr>
                <w:rFonts w:hint="eastAsia" w:ascii="宋体" w:hAnsi="宋体" w:eastAsia="宋体" w:cs="宋体"/>
                <w:color w:val="000000" w:themeColor="text1"/>
                <w:sz w:val="21"/>
                <w:szCs w:val="21"/>
                <w:highlight w:val="none"/>
                <w14:textFill>
                  <w14:solidFill>
                    <w14:schemeClr w14:val="tx1"/>
                  </w14:solidFill>
                </w14:textFill>
              </w:rPr>
              <w:t>分包计划</w:t>
            </w:r>
          </w:p>
        </w:tc>
      </w:tr>
      <w:tr w14:paraId="6A70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7" w:type="dxa"/>
            <w:vMerge w:val="restart"/>
            <w:vAlign w:val="center"/>
          </w:tcPr>
          <w:p w14:paraId="7764B85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w:t>
            </w:r>
          </w:p>
        </w:tc>
        <w:tc>
          <w:tcPr>
            <w:tcW w:w="975" w:type="dxa"/>
            <w:vMerge w:val="restart"/>
            <w:vAlign w:val="center"/>
          </w:tcPr>
          <w:p w14:paraId="58A312D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资格评审</w:t>
            </w:r>
            <w:r>
              <w:rPr>
                <w:rFonts w:hint="eastAsia" w:ascii="宋体" w:hAnsi="宋体" w:eastAsia="宋体" w:cs="宋体"/>
                <w:color w:val="000000" w:themeColor="text1"/>
                <w:sz w:val="21"/>
                <w:szCs w:val="21"/>
                <w:highlight w:val="none"/>
                <w14:textFill>
                  <w14:solidFill>
                    <w14:schemeClr w14:val="tx1"/>
                  </w14:solidFill>
                </w14:textFill>
              </w:rPr>
              <w:t>标准</w:t>
            </w:r>
          </w:p>
        </w:tc>
        <w:tc>
          <w:tcPr>
            <w:tcW w:w="1575" w:type="dxa"/>
            <w:gridSpan w:val="2"/>
            <w:vAlign w:val="center"/>
          </w:tcPr>
          <w:p w14:paraId="32AC929B">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w:t>
            </w:r>
          </w:p>
        </w:tc>
        <w:tc>
          <w:tcPr>
            <w:tcW w:w="6310" w:type="dxa"/>
            <w:vAlign w:val="center"/>
          </w:tcPr>
          <w:p w14:paraId="6F33D33F">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具有独立法人资格，持有有效的企业营业执照</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4463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129488E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0B36074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176D9BD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资质要求</w:t>
            </w:r>
          </w:p>
        </w:tc>
        <w:tc>
          <w:tcPr>
            <w:tcW w:w="6310" w:type="dxa"/>
            <w:vAlign w:val="center"/>
          </w:tcPr>
          <w:p w14:paraId="0B2CAA3E">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符合第二章“投标人须知”第1.4.1项</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须知前附表第3.5.1款</w:t>
            </w:r>
            <w:r>
              <w:rPr>
                <w:rFonts w:hint="eastAsia" w:ascii="宋体" w:hAnsi="宋体" w:eastAsia="宋体" w:cs="宋体"/>
                <w:color w:val="000000" w:themeColor="text1"/>
                <w:spacing w:val="-3"/>
                <w:sz w:val="21"/>
                <w:szCs w:val="21"/>
                <w:highlight w:val="none"/>
                <w14:textFill>
                  <w14:solidFill>
                    <w14:schemeClr w14:val="tx1"/>
                  </w14:solidFill>
                </w14:textFill>
              </w:rPr>
              <w:t>规定</w:t>
            </w:r>
          </w:p>
        </w:tc>
      </w:tr>
      <w:tr w14:paraId="1800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5F63B007">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271B8E9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2E2672C3">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业绩要求</w:t>
            </w:r>
          </w:p>
        </w:tc>
        <w:tc>
          <w:tcPr>
            <w:tcW w:w="6310" w:type="dxa"/>
            <w:vAlign w:val="center"/>
          </w:tcPr>
          <w:p w14:paraId="0A8E2571">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符合第二章“投标人须知”第1.4.1项</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须知前附表第3.5.</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款</w:t>
            </w:r>
            <w:r>
              <w:rPr>
                <w:rFonts w:hint="eastAsia" w:ascii="宋体" w:hAnsi="宋体" w:eastAsia="宋体" w:cs="宋体"/>
                <w:color w:val="000000" w:themeColor="text1"/>
                <w:spacing w:val="-3"/>
                <w:sz w:val="21"/>
                <w:szCs w:val="21"/>
                <w:highlight w:val="none"/>
                <w14:textFill>
                  <w14:solidFill>
                    <w14:schemeClr w14:val="tx1"/>
                  </w14:solidFill>
                </w14:textFill>
              </w:rPr>
              <w:t>规定</w:t>
            </w:r>
          </w:p>
        </w:tc>
      </w:tr>
      <w:tr w14:paraId="4824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56A8DD3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252DB94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06BC5A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信誉要求</w:t>
            </w:r>
          </w:p>
        </w:tc>
        <w:tc>
          <w:tcPr>
            <w:tcW w:w="6310" w:type="dxa"/>
            <w:vAlign w:val="center"/>
          </w:tcPr>
          <w:p w14:paraId="2EFC5B06">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符合第二章“投标人须知”第1.4.1项</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须知前附表第3.5.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款</w:t>
            </w:r>
            <w:r>
              <w:rPr>
                <w:rFonts w:hint="eastAsia" w:ascii="宋体" w:hAnsi="宋体" w:eastAsia="宋体" w:cs="宋体"/>
                <w:color w:val="000000" w:themeColor="text1"/>
                <w:spacing w:val="-3"/>
                <w:sz w:val="21"/>
                <w:szCs w:val="21"/>
                <w:highlight w:val="none"/>
                <w14:textFill>
                  <w14:solidFill>
                    <w14:schemeClr w14:val="tx1"/>
                  </w14:solidFill>
                </w14:textFill>
              </w:rPr>
              <w:t>规定</w:t>
            </w:r>
          </w:p>
        </w:tc>
      </w:tr>
      <w:tr w14:paraId="471E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97" w:type="dxa"/>
            <w:vMerge w:val="continue"/>
            <w:vAlign w:val="center"/>
          </w:tcPr>
          <w:p w14:paraId="153F60F4">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2632BAE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5E6BABE">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6310" w:type="dxa"/>
            <w:vAlign w:val="center"/>
          </w:tcPr>
          <w:p w14:paraId="3D1D2535">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章“</w:t>
            </w:r>
            <w:r>
              <w:rPr>
                <w:rFonts w:hint="eastAsia" w:ascii="宋体" w:hAnsi="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3.1.4</w:t>
            </w:r>
            <w:r>
              <w:rPr>
                <w:rFonts w:hint="eastAsia" w:ascii="宋体" w:hAnsi="宋体" w:eastAsia="宋体" w:cs="宋体"/>
                <w:color w:val="000000" w:themeColor="text1"/>
                <w:sz w:val="21"/>
                <w:szCs w:val="21"/>
                <w:highlight w:val="none"/>
                <w14:textFill>
                  <w14:solidFill>
                    <w14:schemeClr w14:val="tx1"/>
                  </w14:solidFill>
                </w14:textFill>
              </w:rPr>
              <w:t>项规定</w:t>
            </w:r>
          </w:p>
        </w:tc>
      </w:tr>
      <w:tr w14:paraId="72CF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97" w:type="dxa"/>
            <w:vMerge w:val="continue"/>
            <w:vAlign w:val="center"/>
          </w:tcPr>
          <w:p w14:paraId="6953C49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0B3B859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5FDC8FA9">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不存在禁止投标的情形</w:t>
            </w:r>
          </w:p>
        </w:tc>
        <w:tc>
          <w:tcPr>
            <w:tcW w:w="6310" w:type="dxa"/>
            <w:shd w:val="clear" w:color="auto" w:fill="auto"/>
            <w:vAlign w:val="center"/>
          </w:tcPr>
          <w:p w14:paraId="798EC867">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不存在第二章“投标人须知”第1.4.3项或第1.4.4项规定的任何一种情形</w:t>
            </w:r>
          </w:p>
        </w:tc>
      </w:tr>
      <w:tr w14:paraId="6B08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restart"/>
            <w:vAlign w:val="center"/>
          </w:tcPr>
          <w:p w14:paraId="4971DCA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w:t>
            </w:r>
          </w:p>
        </w:tc>
        <w:tc>
          <w:tcPr>
            <w:tcW w:w="975" w:type="dxa"/>
            <w:vMerge w:val="restart"/>
            <w:vAlign w:val="center"/>
          </w:tcPr>
          <w:p w14:paraId="1EB55F8B">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响应性评</w:t>
            </w:r>
            <w:r>
              <w:rPr>
                <w:rFonts w:hint="eastAsia" w:ascii="宋体" w:hAnsi="宋体" w:eastAsia="宋体" w:cs="宋体"/>
                <w:color w:val="000000" w:themeColor="text1"/>
                <w:sz w:val="21"/>
                <w:szCs w:val="21"/>
                <w:highlight w:val="none"/>
                <w14:textFill>
                  <w14:solidFill>
                    <w14:schemeClr w14:val="tx1"/>
                  </w14:solidFill>
                </w14:textFill>
              </w:rPr>
              <w:t>审标准</w:t>
            </w:r>
          </w:p>
        </w:tc>
        <w:tc>
          <w:tcPr>
            <w:tcW w:w="1575" w:type="dxa"/>
            <w:gridSpan w:val="2"/>
            <w:vAlign w:val="center"/>
          </w:tcPr>
          <w:p w14:paraId="084BA3D0">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6310" w:type="dxa"/>
            <w:vAlign w:val="center"/>
          </w:tcPr>
          <w:p w14:paraId="3AE489C9">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符合第二章“投标人须知”第3.2款规定</w:t>
            </w:r>
          </w:p>
        </w:tc>
      </w:tr>
      <w:tr w14:paraId="5706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00D2497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47016EA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1B8B79C2">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投标内容</w:t>
            </w:r>
          </w:p>
        </w:tc>
        <w:tc>
          <w:tcPr>
            <w:tcW w:w="6310" w:type="dxa"/>
            <w:vAlign w:val="center"/>
          </w:tcPr>
          <w:p w14:paraId="291BD149">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符合第二章“投标人须知”第1.3.1项规定</w:t>
            </w:r>
          </w:p>
        </w:tc>
      </w:tr>
      <w:tr w14:paraId="1CB6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2C1C511">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6EFF596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442CA2A3">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服务期限</w:t>
            </w:r>
          </w:p>
        </w:tc>
        <w:tc>
          <w:tcPr>
            <w:tcW w:w="6310" w:type="dxa"/>
            <w:vAlign w:val="center"/>
          </w:tcPr>
          <w:p w14:paraId="22F3D5FD">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符合第二章“投标人须知”第1.3.2项规定</w:t>
            </w:r>
          </w:p>
        </w:tc>
      </w:tr>
      <w:tr w14:paraId="3BD0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BFECD8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1E57007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529A53B6">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cs="宋体"/>
                <w:color w:val="000000" w:themeColor="text1"/>
                <w:sz w:val="21"/>
                <w:szCs w:val="21"/>
                <w:highlight w:val="none"/>
                <w:lang w:val="en-US" w:eastAsia="zh-CN"/>
                <w14:textFill>
                  <w14:solidFill>
                    <w14:schemeClr w14:val="tx1"/>
                  </w14:solidFill>
                </w14:textFill>
              </w:rPr>
              <w:t>质量</w:t>
            </w:r>
          </w:p>
        </w:tc>
        <w:tc>
          <w:tcPr>
            <w:tcW w:w="6310" w:type="dxa"/>
            <w:vAlign w:val="center"/>
          </w:tcPr>
          <w:p w14:paraId="05AC79FC">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w:t>
            </w:r>
            <w:r>
              <w:rPr>
                <w:rFonts w:hint="eastAsia" w:ascii="宋体" w:hAnsi="宋体" w:cs="宋体"/>
                <w:color w:val="000000" w:themeColor="text1"/>
                <w:spacing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sz w:val="21"/>
                <w:szCs w:val="21"/>
                <w:highlight w:val="none"/>
                <w14:textFill>
                  <w14:solidFill>
                    <w14:schemeClr w14:val="tx1"/>
                  </w14:solidFill>
                </w14:textFill>
              </w:rPr>
              <w:t>项规定</w:t>
            </w:r>
          </w:p>
        </w:tc>
      </w:tr>
      <w:tr w14:paraId="2EF2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06A76B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1C97EA50">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5D2CD90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安全目标</w:t>
            </w:r>
          </w:p>
        </w:tc>
        <w:tc>
          <w:tcPr>
            <w:tcW w:w="6310" w:type="dxa"/>
            <w:vAlign w:val="center"/>
          </w:tcPr>
          <w:p w14:paraId="56A1DA6D">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w:t>
            </w:r>
            <w:r>
              <w:rPr>
                <w:rFonts w:hint="eastAsia" w:ascii="宋体" w:hAnsi="宋体" w:cs="宋体"/>
                <w:color w:val="000000" w:themeColor="text1"/>
                <w:spacing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sz w:val="21"/>
                <w:szCs w:val="21"/>
                <w:highlight w:val="none"/>
                <w14:textFill>
                  <w14:solidFill>
                    <w14:schemeClr w14:val="tx1"/>
                  </w14:solidFill>
                </w14:textFill>
              </w:rPr>
              <w:t>项规定</w:t>
            </w:r>
          </w:p>
        </w:tc>
      </w:tr>
      <w:tr w14:paraId="340F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444899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B44368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7B288CC1">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6310" w:type="dxa"/>
            <w:vAlign w:val="center"/>
          </w:tcPr>
          <w:p w14:paraId="441486E9">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符合第二章“投标人须知”第3.3项规定</w:t>
            </w:r>
          </w:p>
        </w:tc>
      </w:tr>
      <w:tr w14:paraId="7547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3A17C8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4CE4D56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892AF65">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6310" w:type="dxa"/>
            <w:tcBorders>
              <w:bottom w:val="single" w:color="auto" w:sz="4" w:space="0"/>
            </w:tcBorders>
            <w:vAlign w:val="center"/>
          </w:tcPr>
          <w:p w14:paraId="5E06E50A">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符合第二章“投标人须知”第3.4.1项规定</w:t>
            </w:r>
          </w:p>
        </w:tc>
      </w:tr>
      <w:tr w14:paraId="50C0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15BB673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7AF5D9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753580A6">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投标响应</w:t>
            </w:r>
          </w:p>
        </w:tc>
        <w:tc>
          <w:tcPr>
            <w:tcW w:w="6310" w:type="dxa"/>
            <w:tcBorders>
              <w:bottom w:val="single" w:color="auto" w:sz="4" w:space="0"/>
            </w:tcBorders>
            <w:vAlign w:val="center"/>
          </w:tcPr>
          <w:p w14:paraId="19056CE3">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投标文件对招标文件的实质性要求和条件作出响应。</w:t>
            </w:r>
          </w:p>
        </w:tc>
      </w:tr>
      <w:tr w14:paraId="1E09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CEEC6C1">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73284E3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EECF41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权利义务符合招标文件规定</w:t>
            </w:r>
          </w:p>
        </w:tc>
        <w:tc>
          <w:tcPr>
            <w:tcW w:w="6310" w:type="dxa"/>
            <w:tcBorders>
              <w:bottom w:val="single" w:color="auto" w:sz="4" w:space="0"/>
            </w:tcBorders>
            <w:vAlign w:val="center"/>
          </w:tcPr>
          <w:p w14:paraId="6CBB3F24">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a.投标人应接受招标文件规定的风险划分原则，未提出新的风险划分办法；</w:t>
            </w:r>
          </w:p>
          <w:p w14:paraId="65103FE0">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b.投标人未增加发包人的责任范围，或减少投标人义务；</w:t>
            </w:r>
          </w:p>
          <w:p w14:paraId="0F886E8A">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c.投标人未提出不同的支付办法；</w:t>
            </w:r>
          </w:p>
          <w:p w14:paraId="563570B5">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d.投标人对合同纠纷、事故处理办法未提出异议；</w:t>
            </w:r>
          </w:p>
          <w:p w14:paraId="51B05609">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e.投标人在投标活动中无欺诈行为；</w:t>
            </w:r>
          </w:p>
          <w:p w14:paraId="589751D8">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color w:val="000000" w:themeColor="text1"/>
                <w:spacing w:val="-2"/>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f.投标人未对合同条款有重要保留。</w:t>
            </w:r>
          </w:p>
        </w:tc>
      </w:tr>
      <w:tr w14:paraId="4121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72" w:type="dxa"/>
            <w:gridSpan w:val="2"/>
            <w:vAlign w:val="center"/>
          </w:tcPr>
          <w:p w14:paraId="723002EB">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75" w:type="dxa"/>
            <w:gridSpan w:val="2"/>
            <w:vAlign w:val="center"/>
          </w:tcPr>
          <w:p w14:paraId="77CB4AB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条款内容</w:t>
            </w:r>
          </w:p>
        </w:tc>
        <w:tc>
          <w:tcPr>
            <w:tcW w:w="6310" w:type="dxa"/>
            <w:vAlign w:val="center"/>
          </w:tcPr>
          <w:p w14:paraId="11B39C14">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编列内容</w:t>
            </w:r>
          </w:p>
        </w:tc>
      </w:tr>
      <w:tr w14:paraId="740C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772" w:type="dxa"/>
            <w:gridSpan w:val="2"/>
            <w:vAlign w:val="center"/>
          </w:tcPr>
          <w:p w14:paraId="65C9B16B">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1575" w:type="dxa"/>
            <w:gridSpan w:val="2"/>
            <w:vAlign w:val="center"/>
          </w:tcPr>
          <w:p w14:paraId="6E243980">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14:paraId="2811DE5C">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(总分</w:t>
            </w: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pacing w:val="-18"/>
                <w:sz w:val="21"/>
                <w:szCs w:val="21"/>
                <w:highlight w:val="none"/>
                <w14:textFill>
                  <w14:solidFill>
                    <w14:schemeClr w14:val="tx1"/>
                  </w14:solidFill>
                </w14:textFill>
              </w:rPr>
              <w:t>分)</w:t>
            </w:r>
          </w:p>
        </w:tc>
        <w:tc>
          <w:tcPr>
            <w:tcW w:w="6310" w:type="dxa"/>
            <w:vAlign w:val="center"/>
          </w:tcPr>
          <w:p w14:paraId="416B6A76">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7"/>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服务方案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pacing w:val="-27"/>
                <w:sz w:val="21"/>
                <w:szCs w:val="21"/>
                <w:highlight w:val="none"/>
                <w14:textFill>
                  <w14:solidFill>
                    <w14:schemeClr w14:val="tx1"/>
                  </w14:solidFill>
                </w14:textFill>
              </w:rPr>
              <w:t>分</w:t>
            </w:r>
          </w:p>
          <w:p w14:paraId="2BA9B2AF">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pacing w:val="-27"/>
                <w:sz w:val="21"/>
                <w:szCs w:val="21"/>
                <w:highlight w:val="none"/>
                <w14:textFill>
                  <w14:solidFill>
                    <w14:schemeClr w14:val="tx1"/>
                  </w14:solidFill>
                </w14:textFill>
              </w:rPr>
              <w:t>分</w:t>
            </w:r>
          </w:p>
          <w:p w14:paraId="4A89AA75">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其他评分因素：</w:t>
            </w:r>
            <w:r>
              <w:rPr>
                <w:rFonts w:hint="eastAsia" w:ascii="宋体" w:hAnsi="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7BC9E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72" w:type="dxa"/>
            <w:gridSpan w:val="2"/>
            <w:vAlign w:val="center"/>
          </w:tcPr>
          <w:p w14:paraId="22DC7245">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1575" w:type="dxa"/>
            <w:gridSpan w:val="2"/>
            <w:vAlign w:val="center"/>
          </w:tcPr>
          <w:p w14:paraId="3CCC299B">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310" w:type="dxa"/>
            <w:vAlign w:val="center"/>
          </w:tcPr>
          <w:p w14:paraId="54D0F2E8">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评标基准价的计算：</w:t>
            </w:r>
          </w:p>
          <w:p w14:paraId="14510B9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在开标现场，招标人将当场计算并宣布评标基准价。</w:t>
            </w:r>
          </w:p>
          <w:p w14:paraId="058D616A">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（1）评标价的确定：</w:t>
            </w:r>
          </w:p>
          <w:p w14:paraId="712AF44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评标价=投标函文字报价</w:t>
            </w:r>
          </w:p>
          <w:p w14:paraId="7DFC7B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（2）评标价平均值的计算：</w:t>
            </w:r>
          </w:p>
          <w:p w14:paraId="0ADCA3B6">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除按第二章“投标人须知”第5.2.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603D27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（3）评标基准价的确定：</w:t>
            </w:r>
          </w:p>
          <w:p w14:paraId="1EB5FEE4">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将评标价平均值直接作为评标基准价（评标基准价保留小数点后两位，小数点后第三位四舍五入）。</w:t>
            </w:r>
          </w:p>
          <w:p w14:paraId="611550AC">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8EC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772" w:type="dxa"/>
            <w:gridSpan w:val="2"/>
            <w:vAlign w:val="center"/>
          </w:tcPr>
          <w:p w14:paraId="39197DEB">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w:t>
            </w:r>
          </w:p>
        </w:tc>
        <w:tc>
          <w:tcPr>
            <w:tcW w:w="1575" w:type="dxa"/>
            <w:gridSpan w:val="2"/>
            <w:vAlign w:val="center"/>
          </w:tcPr>
          <w:p w14:paraId="53212790">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投标报价的偏差率计算公式</w:t>
            </w:r>
          </w:p>
        </w:tc>
        <w:tc>
          <w:tcPr>
            <w:tcW w:w="6310" w:type="dxa"/>
            <w:vAlign w:val="center"/>
          </w:tcPr>
          <w:p w14:paraId="767747E3">
            <w:pPr>
              <w:pStyle w:val="10"/>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2B14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772" w:type="dxa"/>
            <w:gridSpan w:val="2"/>
            <w:vAlign w:val="center"/>
          </w:tcPr>
          <w:p w14:paraId="4485402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75" w:type="dxa"/>
            <w:gridSpan w:val="2"/>
            <w:vAlign w:val="center"/>
          </w:tcPr>
          <w:p w14:paraId="3137F90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评分因素</w:t>
            </w:r>
          </w:p>
        </w:tc>
        <w:tc>
          <w:tcPr>
            <w:tcW w:w="6310" w:type="dxa"/>
            <w:vAlign w:val="center"/>
          </w:tcPr>
          <w:p w14:paraId="0BCEA7E0">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793D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797" w:type="dxa"/>
            <w:vMerge w:val="restart"/>
            <w:vAlign w:val="center"/>
          </w:tcPr>
          <w:p w14:paraId="7FDA6C5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74C387A6">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p>
        </w:tc>
        <w:tc>
          <w:tcPr>
            <w:tcW w:w="975" w:type="dxa"/>
            <w:vMerge w:val="restart"/>
            <w:vAlign w:val="center"/>
          </w:tcPr>
          <w:p w14:paraId="3DDD66B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服务方案</w:t>
            </w:r>
            <w:r>
              <w:rPr>
                <w:rFonts w:hint="eastAsia" w:ascii="宋体" w:hAnsi="宋体" w:eastAsia="宋体" w:cs="宋体"/>
                <w:color w:val="000000" w:themeColor="text1"/>
                <w:spacing w:val="-5"/>
                <w:sz w:val="21"/>
                <w:szCs w:val="21"/>
                <w:highlight w:val="none"/>
                <w14:textFill>
                  <w14:solidFill>
                    <w14:schemeClr w14:val="tx1"/>
                  </w14:solidFill>
                </w14:textFill>
              </w:rPr>
              <w:t>评分标准（</w:t>
            </w:r>
            <w:r>
              <w:rPr>
                <w:rFonts w:hint="eastAsia" w:ascii="宋体" w:hAnsi="宋体" w:cs="宋体"/>
                <w:color w:val="000000" w:themeColor="text1"/>
                <w:spacing w:val="-5"/>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pacing w:val="-5"/>
                <w:sz w:val="21"/>
                <w:szCs w:val="21"/>
                <w:highlight w:val="none"/>
                <w14:textFill>
                  <w14:solidFill>
                    <w14:schemeClr w14:val="tx1"/>
                  </w14:solidFill>
                </w14:textFill>
              </w:rPr>
              <w:t>分）</w:t>
            </w:r>
          </w:p>
        </w:tc>
        <w:tc>
          <w:tcPr>
            <w:tcW w:w="1575" w:type="dxa"/>
            <w:gridSpan w:val="2"/>
            <w:vAlign w:val="center"/>
          </w:tcPr>
          <w:p w14:paraId="7F0FE7D9">
            <w:pPr>
              <w:keepNext w:val="0"/>
              <w:keepLines w:val="0"/>
              <w:pageBreakBefore w:val="0"/>
              <w:kinsoku/>
              <w:wordWrap/>
              <w:overflowPunct/>
              <w:topLinePunct w:val="0"/>
              <w:autoSpaceDE/>
              <w:autoSpaceDN/>
              <w:bidi w:val="0"/>
              <w:snapToGrid w:val="0"/>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企业基本条件、项目实施团队及人员配备(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78BD7326">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第一档，企业基本条件、项目实施团队及人员配备完整、内容齐全，有针对性，得</w:t>
            </w:r>
            <w:r>
              <w:rPr>
                <w:rFonts w:hint="eastAsia" w:ascii="宋体" w:hAnsi="宋体" w:cs="Times New Roman"/>
                <w:color w:val="000000" w:themeColor="text1"/>
                <w:sz w:val="21"/>
                <w:szCs w:val="21"/>
                <w:highlight w:val="none"/>
                <w:lang w:val="en-US" w:eastAsia="zh-CN"/>
                <w14:textFill>
                  <w14:solidFill>
                    <w14:schemeClr w14:val="tx1"/>
                  </w14:solidFill>
                </w14:textFill>
              </w:rPr>
              <w:t>8</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 w:val="21"/>
                <w:szCs w:val="21"/>
                <w:highlight w:val="none"/>
                <w14:textFill>
                  <w14:solidFill>
                    <w14:schemeClr w14:val="tx1"/>
                  </w14:solidFill>
                </w14:textFill>
              </w:rPr>
              <w:t>分</w:t>
            </w:r>
            <w:r>
              <w:rPr>
                <w:rFonts w:hint="eastAsia" w:ascii="宋体" w:hAnsi="宋体" w:cs="Times New Roman"/>
                <w:color w:val="000000" w:themeColor="text1"/>
                <w:sz w:val="21"/>
                <w:szCs w:val="21"/>
                <w:highlight w:val="none"/>
                <w:lang w:eastAsia="zh-CN"/>
                <w14:textFill>
                  <w14:solidFill>
                    <w14:schemeClr w14:val="tx1"/>
                  </w14:solidFill>
                </w14:textFill>
              </w:rPr>
              <w:t>；</w:t>
            </w:r>
          </w:p>
          <w:p w14:paraId="47BBF759">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第二档，企业基本条件、项目实施团队及人员配备较科学合理，总体方案较完整，得</w:t>
            </w:r>
            <w:r>
              <w:rPr>
                <w:rFonts w:hint="eastAsia" w:ascii="宋体" w:hAnsi="宋体" w:cs="Times New Roman"/>
                <w:color w:val="000000" w:themeColor="text1"/>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8</w:t>
            </w:r>
            <w:r>
              <w:rPr>
                <w:rFonts w:hint="eastAsia" w:ascii="宋体" w:hAnsi="宋体" w:eastAsia="宋体" w:cs="Times New Roman"/>
                <w:color w:val="000000" w:themeColor="text1"/>
                <w:sz w:val="21"/>
                <w:szCs w:val="21"/>
                <w:highlight w:val="none"/>
                <w14:textFill>
                  <w14:solidFill>
                    <w14:schemeClr w14:val="tx1"/>
                  </w14:solidFill>
                </w14:textFill>
              </w:rPr>
              <w:t>分</w:t>
            </w:r>
            <w:r>
              <w:rPr>
                <w:rFonts w:hint="eastAsia" w:ascii="宋体" w:hAnsi="宋体" w:cs="Times New Roman"/>
                <w:color w:val="000000" w:themeColor="text1"/>
                <w:sz w:val="21"/>
                <w:szCs w:val="21"/>
                <w:highlight w:val="none"/>
                <w:lang w:eastAsia="zh-CN"/>
                <w14:textFill>
                  <w14:solidFill>
                    <w14:schemeClr w14:val="tx1"/>
                  </w14:solidFill>
                </w14:textFill>
              </w:rPr>
              <w:t>；</w:t>
            </w:r>
          </w:p>
          <w:p w14:paraId="11DAE1E3">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第三档，企业基本条件、项目实施团队及人员配备基本合理，总体方案简单，得</w:t>
            </w:r>
            <w:r>
              <w:rPr>
                <w:rFonts w:hint="eastAsia" w:ascii="宋体" w:hAnsi="宋体" w:cs="Times New Roman"/>
                <w:color w:val="000000" w:themeColor="text1"/>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 w:val="21"/>
                <w:szCs w:val="21"/>
                <w:highlight w:val="none"/>
                <w14:textFill>
                  <w14:solidFill>
                    <w14:schemeClr w14:val="tx1"/>
                  </w14:solidFill>
                </w14:textFill>
              </w:rPr>
              <w:t>分。</w:t>
            </w:r>
          </w:p>
        </w:tc>
      </w:tr>
      <w:tr w14:paraId="07B5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797" w:type="dxa"/>
            <w:vMerge w:val="continue"/>
            <w:vAlign w:val="center"/>
          </w:tcPr>
          <w:p w14:paraId="71AD98A1">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6C72DE3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077DC07B">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整体工作方案(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681978FD">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第一档，整体工作方案科学合理，内容详细，得</w:t>
            </w:r>
            <w:r>
              <w:rPr>
                <w:rFonts w:hint="eastAsia" w:ascii="宋体" w:hAnsi="宋体" w:cs="Times New Roman"/>
                <w:color w:val="000000" w:themeColor="text1"/>
                <w:sz w:val="21"/>
                <w:szCs w:val="21"/>
                <w:highlight w:val="none"/>
                <w:lang w:val="en-US" w:eastAsia="zh-CN"/>
                <w14:textFill>
                  <w14:solidFill>
                    <w14:schemeClr w14:val="tx1"/>
                  </w14:solidFill>
                </w14:textFill>
              </w:rPr>
              <w:t>16</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326AFE79">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第二档，整体工作方案较科学合理，内容较详细，得</w:t>
            </w:r>
            <w:r>
              <w:rPr>
                <w:rFonts w:hint="eastAsia" w:ascii="宋体" w:hAnsi="宋体" w:cs="Times New Roman"/>
                <w:color w:val="000000" w:themeColor="text1"/>
                <w:sz w:val="21"/>
                <w:szCs w:val="21"/>
                <w:highlight w:val="none"/>
                <w:lang w:val="en-US" w:eastAsia="zh-CN"/>
                <w14:textFill>
                  <w14:solidFill>
                    <w14:schemeClr w14:val="tx1"/>
                  </w14:solidFill>
                </w14:textFill>
              </w:rPr>
              <w:t>12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16</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1118F030">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第三档，整体工作方案基本合理，内容简单，得</w:t>
            </w:r>
            <w:r>
              <w:rPr>
                <w:rFonts w:hint="eastAsia" w:ascii="宋体" w:hAnsi="宋体" w:cs="Times New Roman"/>
                <w:color w:val="000000" w:themeColor="text1"/>
                <w:sz w:val="21"/>
                <w:szCs w:val="21"/>
                <w:highlight w:val="none"/>
                <w:lang w:val="en-US" w:eastAsia="zh-CN"/>
                <w14:textFill>
                  <w14:solidFill>
                    <w14:schemeClr w14:val="tx1"/>
                  </w14:solidFill>
                </w14:textFill>
              </w:rPr>
              <w:t>12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p>
        </w:tc>
      </w:tr>
      <w:tr w14:paraId="4DFF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5920454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143F0EB6">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01281B26">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服务质量保证措施、服务进度保证措施及服务安全保证措施(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5E4F387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第一档，服务质量保证措施、服务进度保证措施及服务安全保证措施科学合理、完善可行、有针对性，得8-10分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1674FA6E">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第二档，服务质量保证措施、服务进度保证措施及服务安全保证措施较科学、较完善可行、较有针对性，得6-8分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06D4D238">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第三档，服务质量保证措施、服务进度保证措施及服务安全保证措施一般，得6分。</w:t>
            </w:r>
          </w:p>
        </w:tc>
      </w:tr>
      <w:tr w14:paraId="68E4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115C6B83">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78044F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6E5554E8">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服务承诺、后续服务安排及保证措施(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3549E2E6">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第一档，服务承诺、后续服务安排及保证措施系统全面、科学合理，得8-10分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1EB1C50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第二档，服务承诺、后续服务安排及保证措施较完整、较科学，得6-8分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30FE6A52">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第三档，服务承诺、后续服务安排及保证措施基本完整或基本合理，得6分。</w:t>
            </w:r>
          </w:p>
        </w:tc>
      </w:tr>
      <w:tr w14:paraId="487D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97" w:type="dxa"/>
            <w:vAlign w:val="center"/>
          </w:tcPr>
          <w:p w14:paraId="69767659">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2.2.4（2）</w:t>
            </w:r>
          </w:p>
        </w:tc>
        <w:tc>
          <w:tcPr>
            <w:tcW w:w="975" w:type="dxa"/>
            <w:vAlign w:val="center"/>
          </w:tcPr>
          <w:p w14:paraId="13EAF617">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1575" w:type="dxa"/>
            <w:gridSpan w:val="2"/>
            <w:vAlign w:val="center"/>
          </w:tcPr>
          <w:p w14:paraId="0C2C4D2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6310" w:type="dxa"/>
            <w:vAlign w:val="center"/>
          </w:tcPr>
          <w:p w14:paraId="5481B076">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30C6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797" w:type="dxa"/>
            <w:vAlign w:val="center"/>
          </w:tcPr>
          <w:p w14:paraId="148AED9E">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76D2744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p>
        </w:tc>
        <w:tc>
          <w:tcPr>
            <w:tcW w:w="975" w:type="dxa"/>
            <w:vAlign w:val="center"/>
          </w:tcPr>
          <w:p w14:paraId="6E926A14">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评标价</w:t>
            </w:r>
            <w:r>
              <w:rPr>
                <w:rFonts w:hint="eastAsia" w:ascii="宋体" w:hAnsi="宋体" w:eastAsia="宋体" w:cs="宋体"/>
                <w:color w:val="000000" w:themeColor="text1"/>
                <w:spacing w:val="-2"/>
                <w:sz w:val="21"/>
                <w:szCs w:val="21"/>
                <w:highlight w:val="none"/>
                <w14:textFill>
                  <w14:solidFill>
                    <w14:schemeClr w14:val="tx1"/>
                  </w14:solidFill>
                </w14:textFill>
              </w:rPr>
              <w:t>评分标准</w:t>
            </w:r>
          </w:p>
          <w:p w14:paraId="58C4E92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pacing w:val="-2"/>
                <w:sz w:val="21"/>
                <w:szCs w:val="21"/>
                <w:highlight w:val="none"/>
                <w14:textFill>
                  <w14:solidFill>
                    <w14:schemeClr w14:val="tx1"/>
                  </w14:solidFill>
                </w14:textFill>
              </w:rPr>
              <w:t>分）</w:t>
            </w:r>
          </w:p>
        </w:tc>
        <w:tc>
          <w:tcPr>
            <w:tcW w:w="7885" w:type="dxa"/>
            <w:gridSpan w:val="3"/>
            <w:vAlign w:val="center"/>
          </w:tcPr>
          <w:p w14:paraId="61D9D7C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评标价得分计算公式示例：</w:t>
            </w:r>
          </w:p>
          <w:p w14:paraId="188CBEEB">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（1）如果投标人的评标价＞评标基准价，则评标价得分=F-（投标人评标价-评标基准价）/评标基准价×100×E1；</w:t>
            </w:r>
          </w:p>
          <w:p w14:paraId="3CAED0BD">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（2）如果投标人的评标价≤评标基准价，则评标价得分=F+(投标人评标价-评标基准价)/评标基准价×100×E2。</w:t>
            </w:r>
          </w:p>
          <w:p w14:paraId="3E6DBE3D">
            <w:pPr>
              <w:pStyle w:val="10"/>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其中，F=30；E1=0.4；E2=0.2；评标价最低得分为0分,结果保留2位小数。</w:t>
            </w:r>
          </w:p>
        </w:tc>
      </w:tr>
      <w:tr w14:paraId="44E3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797" w:type="dxa"/>
            <w:vAlign w:val="center"/>
          </w:tcPr>
          <w:p w14:paraId="39A1AD78">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059E0122">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p>
        </w:tc>
        <w:tc>
          <w:tcPr>
            <w:tcW w:w="975" w:type="dxa"/>
            <w:vAlign w:val="center"/>
          </w:tcPr>
          <w:p w14:paraId="13D10D6F">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其他因素评分标准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0分）</w:t>
            </w:r>
          </w:p>
        </w:tc>
        <w:tc>
          <w:tcPr>
            <w:tcW w:w="1090" w:type="dxa"/>
            <w:tcBorders>
              <w:right w:val="single" w:color="auto" w:sz="4" w:space="0"/>
            </w:tcBorders>
            <w:vAlign w:val="center"/>
          </w:tcPr>
          <w:p w14:paraId="4CAFCB13">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pPr>
            <w: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t>企业业绩</w:t>
            </w:r>
          </w:p>
          <w:p w14:paraId="7DCBF4C1">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t>（</w:t>
            </w:r>
            <w:r>
              <w:rPr>
                <w:rFonts w:hint="eastAsia" w:ascii="宋体" w:hAnsi="宋体" w:eastAsia="宋体" w:cs="宋体"/>
                <w:bCs/>
                <w:snapToGrid/>
                <w:color w:val="000000" w:themeColor="text1"/>
                <w:spacing w:val="0"/>
                <w:kern w:val="21"/>
                <w:sz w:val="21"/>
                <w:szCs w:val="21"/>
                <w:highlight w:val="none"/>
                <w:lang w:val="en-US" w:eastAsia="zh-CN"/>
                <w14:textFill>
                  <w14:solidFill>
                    <w14:schemeClr w14:val="tx1"/>
                  </w14:solidFill>
                </w14:textFill>
              </w:rPr>
              <w:t>20</w:t>
            </w:r>
            <w: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t>分）</w:t>
            </w:r>
          </w:p>
        </w:tc>
        <w:tc>
          <w:tcPr>
            <w:tcW w:w="6795" w:type="dxa"/>
            <w:gridSpan w:val="2"/>
            <w:tcBorders>
              <w:left w:val="single" w:color="auto" w:sz="4" w:space="0"/>
              <w:bottom w:val="single" w:color="auto" w:sz="4" w:space="0"/>
            </w:tcBorders>
            <w:vAlign w:val="center"/>
          </w:tcPr>
          <w:p w14:paraId="4BF472B7">
            <w:pPr>
              <w:keepNext w:val="0"/>
              <w:keepLines w:val="0"/>
              <w:pageBreakBefore w:val="0"/>
              <w:widowControl/>
              <w:suppressLineNumbers w:val="0"/>
              <w:kinsoku/>
              <w:wordWrap/>
              <w:overflowPunct/>
              <w:topLinePunct w:val="0"/>
              <w:autoSpaceDE/>
              <w:autoSpaceDN/>
              <w:bidi w:val="0"/>
              <w:snapToGrid w:val="0"/>
              <w:spacing w:line="320" w:lineRule="exact"/>
              <w:jc w:val="left"/>
              <w:textAlignment w:val="cente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满足附录2资格审查条件（业绩最低要求）的，得</w:t>
            </w:r>
            <w:r>
              <w:rPr>
                <w:rFonts w:hint="eastAsia" w:ascii="宋体" w:hAnsi="宋体" w:eastAsia="宋体" w:cs="宋体"/>
                <w:snapToGrid/>
                <w:color w:val="000000" w:themeColor="text1"/>
                <w:spacing w:val="0"/>
                <w:kern w:val="21"/>
                <w:sz w:val="21"/>
                <w:szCs w:val="21"/>
                <w:highlight w:val="none"/>
                <w:lang w:val="en-US" w:eastAsia="zh-CN"/>
                <w14:textFill>
                  <w14:solidFill>
                    <w14:schemeClr w14:val="tx1"/>
                  </w14:solidFill>
                </w14:textFill>
              </w:rPr>
              <w:t>12</w:t>
            </w: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699902B">
            <w:pPr>
              <w:keepNext w:val="0"/>
              <w:keepLines w:val="0"/>
              <w:pageBreakBefore w:val="0"/>
              <w:widowControl/>
              <w:suppressLineNumbers w:val="0"/>
              <w:kinsoku/>
              <w:wordWrap/>
              <w:overflowPunct/>
              <w:topLinePunct w:val="0"/>
              <w:autoSpaceDE/>
              <w:autoSpaceDN/>
              <w:bidi w:val="0"/>
              <w:snapToGrid w:val="0"/>
              <w:spacing w:line="320" w:lineRule="exact"/>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每增加1项满足附录2资格审查条件（业绩最低要求）的业绩加</w:t>
            </w:r>
            <w:r>
              <w:rPr>
                <w:rFonts w:hint="eastAsia" w:ascii="宋体" w:hAnsi="宋体" w:eastAsia="宋体" w:cs="宋体"/>
                <w:snapToGrid/>
                <w:color w:val="000000" w:themeColor="text1"/>
                <w:spacing w:val="0"/>
                <w:kern w:val="21"/>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分，最多加</w:t>
            </w:r>
            <w:r>
              <w:rPr>
                <w:rFonts w:hint="eastAsia" w:ascii="宋体" w:hAnsi="宋体" w:eastAsia="宋体" w:cs="宋体"/>
                <w:snapToGrid/>
                <w:color w:val="000000" w:themeColor="text1"/>
                <w:spacing w:val="0"/>
                <w:kern w:val="21"/>
                <w:sz w:val="21"/>
                <w:szCs w:val="21"/>
                <w:highlight w:val="none"/>
                <w:lang w:val="en-US" w:eastAsia="zh-CN"/>
                <w14:textFill>
                  <w14:solidFill>
                    <w14:schemeClr w14:val="tx1"/>
                  </w14:solidFill>
                </w14:textFill>
              </w:rPr>
              <w:t>8</w:t>
            </w: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分。</w:t>
            </w:r>
          </w:p>
        </w:tc>
      </w:tr>
      <w:tr w14:paraId="490B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Align w:val="center"/>
          </w:tcPr>
          <w:p w14:paraId="69BB8C3A">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p>
        </w:tc>
        <w:tc>
          <w:tcPr>
            <w:tcW w:w="975" w:type="dxa"/>
            <w:vAlign w:val="center"/>
          </w:tcPr>
          <w:p w14:paraId="1C179C11">
            <w:pPr>
              <w:pStyle w:val="10"/>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投标文件相关信息核查</w:t>
            </w:r>
          </w:p>
        </w:tc>
        <w:tc>
          <w:tcPr>
            <w:tcW w:w="7885" w:type="dxa"/>
            <w:gridSpan w:val="3"/>
            <w:vAlign w:val="center"/>
          </w:tcPr>
          <w:p w14:paraId="4A0E122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本款修改为：</w:t>
            </w:r>
          </w:p>
          <w:p w14:paraId="402FE2D2">
            <w:pPr>
              <w:keepNext w:val="0"/>
              <w:keepLines w:val="0"/>
              <w:pageBreakBefore w:val="0"/>
              <w:kinsoku/>
              <w:wordWrap/>
              <w:overflowPunct/>
              <w:topLinePunct w:val="0"/>
              <w:autoSpaceDE/>
              <w:autoSpaceDN/>
              <w:bidi w:val="0"/>
              <w:adjustRightInd w:val="0"/>
              <w:snapToGrid w:val="0"/>
              <w:spacing w:line="320" w:lineRule="exact"/>
              <w:ind w:firstLine="210" w:firstLineChars="1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（1）投标人信用情况网页截图内容与在“国家企业信用信息公示系统”中严重违法失信名单（黑名单）信息（不含分公司）或在“信用中国”网站中失信被执行人、</w:t>
            </w:r>
            <w:r>
              <w:rPr>
                <w:rFonts w:hint="eastAsia" w:ascii="宋体" w:hAnsi="宋体"/>
                <w:color w:val="000000" w:themeColor="text1"/>
                <w:sz w:val="21"/>
                <w:szCs w:val="21"/>
                <w:highlight w:val="none"/>
                <w:lang w:eastAsia="zh-CN"/>
                <w14:textFill>
                  <w14:solidFill>
                    <w14:schemeClr w14:val="tx1"/>
                  </w14:solidFill>
                </w14:textFill>
              </w:rPr>
              <w:t>经营（活动）异常名录</w:t>
            </w:r>
            <w:r>
              <w:rPr>
                <w:rFonts w:hint="eastAsia" w:ascii="宋体" w:hAnsi="宋体"/>
                <w:color w:val="000000" w:themeColor="text1"/>
                <w:sz w:val="21"/>
                <w:szCs w:val="21"/>
                <w:highlight w:val="none"/>
                <w14:textFill>
                  <w14:solidFill>
                    <w14:schemeClr w14:val="tx1"/>
                  </w14:solidFill>
                </w14:textFill>
              </w:rPr>
              <w:t>、重大税收违法失信主体、政府采购严重违法失信行为记录名单（均不含分公司）的复核结果一致。如投标人未提供相关网页截图或所附截图与复核结果不一致，评标委员会应否决其投标。</w:t>
            </w:r>
          </w:p>
          <w:p w14:paraId="076F601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color w:val="000000" w:themeColor="text1"/>
                <w:sz w:val="21"/>
                <w:szCs w:val="21"/>
                <w:highlight w:val="none"/>
                <w:lang w:eastAsia="zh-CN"/>
                <w14:textFill>
                  <w14:solidFill>
                    <w14:schemeClr w14:val="tx1"/>
                  </w14:solidFill>
                </w14:textFill>
              </w:rPr>
              <w:t>。</w:t>
            </w:r>
          </w:p>
        </w:tc>
      </w:tr>
      <w:tr w14:paraId="34C8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9657" w:type="dxa"/>
            <w:gridSpan w:val="5"/>
            <w:vAlign w:val="center"/>
          </w:tcPr>
          <w:p w14:paraId="3EEFFA61">
            <w:pPr>
              <w:keepNext w:val="0"/>
              <w:keepLines w:val="0"/>
              <w:pageBreakBefore w:val="0"/>
              <w:kinsoku/>
              <w:wordWrap/>
              <w:overflowPunct/>
              <w:topLinePunct w:val="0"/>
              <w:autoSpaceDE/>
              <w:autoSpaceDN/>
              <w:bidi w:val="0"/>
              <w:snapToGrid w:val="0"/>
              <w:spacing w:line="320" w:lineRule="exact"/>
              <w:ind w:firstLine="210" w:firstLineChars="100"/>
              <w:rPr>
                <w:color w:val="000000" w:themeColor="text1"/>
                <w:kern w:val="0"/>
                <w:sz w:val="21"/>
                <w:szCs w:val="21"/>
                <w:highlight w:val="none"/>
                <w:lang w:val="zh-CN"/>
                <w14:textFill>
                  <w14:solidFill>
                    <w14:schemeClr w14:val="tx1"/>
                  </w14:solidFill>
                </w14:textFill>
              </w:rPr>
            </w:pPr>
            <w:r>
              <w:rPr>
                <w:color w:val="000000" w:themeColor="text1"/>
                <w:kern w:val="0"/>
                <w:sz w:val="21"/>
                <w:szCs w:val="21"/>
                <w:highlight w:val="none"/>
                <w:lang w:val="zh-CN"/>
                <w14:textFill>
                  <w14:solidFill>
                    <w14:schemeClr w14:val="tx1"/>
                  </w14:solidFill>
                </w14:textFill>
              </w:rPr>
              <w:t>注：1、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服务方案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部分</w:t>
            </w:r>
            <w:r>
              <w:rPr>
                <w:color w:val="000000" w:themeColor="text1"/>
                <w:kern w:val="0"/>
                <w:sz w:val="21"/>
                <w:szCs w:val="21"/>
                <w:highlight w:val="none"/>
                <w:lang w:val="zh-CN"/>
                <w14:textFill>
                  <w14:solidFill>
                    <w14:schemeClr w14:val="tx1"/>
                  </w14:solidFill>
                </w14:textFill>
              </w:rPr>
              <w:t>各评委打分保留1位小数，投标人该项得分以各评委打分平均值计算所得，保留两位小数，第三位小数四舍五入。</w:t>
            </w:r>
          </w:p>
          <w:p w14:paraId="5B616D32">
            <w:pPr>
              <w:pStyle w:val="10"/>
              <w:keepNext w:val="0"/>
              <w:keepLines w:val="0"/>
              <w:pageBreakBefore w:val="0"/>
              <w:numPr>
                <w:ilvl w:val="0"/>
                <w:numId w:val="0"/>
              </w:numPr>
              <w:kinsoku/>
              <w:wordWrap/>
              <w:overflowPunct/>
              <w:topLinePunct w:val="0"/>
              <w:autoSpaceDE/>
              <w:autoSpaceDN/>
              <w:bidi w:val="0"/>
              <w:adjustRightInd/>
              <w:snapToGrid w:val="0"/>
              <w:spacing w:line="320" w:lineRule="exact"/>
              <w:ind w:leftChars="0"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kern w:val="0"/>
                <w:sz w:val="21"/>
                <w:szCs w:val="21"/>
                <w:highlight w:val="none"/>
                <w:lang w:val="zh-CN"/>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服务方案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部分</w:t>
            </w:r>
            <w:r>
              <w:rPr>
                <w:color w:val="000000" w:themeColor="text1"/>
                <w:kern w:val="0"/>
                <w:sz w:val="21"/>
                <w:szCs w:val="21"/>
                <w:highlight w:val="none"/>
                <w:lang w:val="zh-CN"/>
                <w14:textFill>
                  <w14:solidFill>
                    <w14:schemeClr w14:val="tx1"/>
                  </w14:solidFill>
                </w14:textFill>
              </w:rPr>
              <w:t>评</w:t>
            </w:r>
            <w:r>
              <w:rPr>
                <w:rFonts w:hint="eastAsia"/>
                <w:color w:val="000000" w:themeColor="text1"/>
                <w:kern w:val="0"/>
                <w:sz w:val="21"/>
                <w:szCs w:val="21"/>
                <w:highlight w:val="none"/>
                <w:lang w:val="en-US" w:eastAsia="zh-CN"/>
                <w14:textFill>
                  <w14:solidFill>
                    <w14:schemeClr w14:val="tx1"/>
                  </w14:solidFill>
                </w14:textFill>
              </w:rPr>
              <w:t>分</w:t>
            </w:r>
            <w:r>
              <w:rPr>
                <w:color w:val="000000" w:themeColor="text1"/>
                <w:kern w:val="0"/>
                <w:sz w:val="21"/>
                <w:szCs w:val="21"/>
                <w:highlight w:val="none"/>
                <w:lang w:val="zh-CN"/>
                <w14:textFill>
                  <w14:solidFill>
                    <w14:schemeClr w14:val="tx1"/>
                  </w14:solidFill>
                </w14:textFill>
              </w:rPr>
              <w:t>因素缺项则该项得0分。</w:t>
            </w:r>
          </w:p>
        </w:tc>
      </w:tr>
    </w:tbl>
    <w:p w14:paraId="40FAA4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F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kern w:val="0"/>
      <w:sz w:val="20"/>
    </w:rPr>
  </w:style>
  <w:style w:type="paragraph" w:customStyle="1" w:styleId="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
    <w:name w:val="目录4 Char"/>
    <w:autoRedefine/>
    <w:qFormat/>
    <w:uiPriority w:val="99"/>
    <w:rPr>
      <w:rFonts w:ascii="黑体" w:eastAsia="黑体"/>
      <w:kern w:val="2"/>
      <w:sz w:val="24"/>
      <w:lang w:val="en-US" w:eastAsia="zh-CN"/>
    </w:rPr>
  </w:style>
  <w:style w:type="character" w:customStyle="1" w:styleId="8">
    <w:name w:val="目录4 Char Char"/>
    <w:link w:val="9"/>
    <w:autoRedefine/>
    <w:qFormat/>
    <w:locked/>
    <w:uiPriority w:val="99"/>
    <w:rPr>
      <w:rFonts w:ascii="黑体" w:eastAsia="黑体"/>
      <w:sz w:val="24"/>
      <w:szCs w:val="20"/>
    </w:rPr>
  </w:style>
  <w:style w:type="paragraph" w:customStyle="1" w:styleId="9">
    <w:name w:val="目录4"/>
    <w:basedOn w:val="1"/>
    <w:link w:val="8"/>
    <w:autoRedefine/>
    <w:qFormat/>
    <w:uiPriority w:val="99"/>
    <w:pPr>
      <w:spacing w:beforeLines="50" w:afterLines="50" w:line="400" w:lineRule="exact"/>
    </w:pPr>
    <w:rPr>
      <w:rFonts w:ascii="黑体" w:eastAsia="黑体"/>
      <w:sz w:val="24"/>
      <w:szCs w:val="20"/>
    </w:rPr>
  </w:style>
  <w:style w:type="paragraph" w:customStyle="1" w:styleId="10">
    <w:name w:val="Table Paragraph"/>
    <w:basedOn w:val="1"/>
    <w:qFormat/>
    <w:uiPriority w:val="99"/>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1002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2025-12-30T09:00:52Z</dcterms:created>
  <dc:creator>39643</dc:creator>
  <cp:lastModifiedBy>张涵</cp:lastModifiedBy>
  <dcterms:modified xsi:type="dcterms:W3CDTF">2025-12-31T01:43:37Z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eyJoZGlkIjoiMmM5ZDlhNDA0ZjVlZWY3YTI0MzQ4YmJjYzE4ZmVkMjEiLCJ1c2VySWQiOiIxNzg1NTA4MTk1In0=</vt:lpwstr>
  </property>
  <property fmtid="{D5CDD505-2E9C-101B-9397-08002B2CF9AE}" pid="4" name="ICV">
    <vt:lpwstr>0684E7B252014A469C1DECCCD70797FB_12</vt:lpwstr>
  </property>
</Properties>
</file>