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4ACEC">
      <w:pPr>
        <w:spacing w:line="360" w:lineRule="auto"/>
        <w:jc w:val="center"/>
        <w:rPr>
          <w:rFonts w:hint="eastAsia" w:eastAsia="宋体"/>
          <w:b/>
          <w:sz w:val="24"/>
          <w:szCs w:val="24"/>
          <w:highlight w:val="none"/>
          <w:lang w:eastAsia="zh-CN"/>
        </w:rPr>
      </w:pPr>
      <w:bookmarkStart w:id="0" w:name="_Hlk37751872"/>
      <w:bookmarkStart w:id="1" w:name="_Hlk517255404"/>
      <w:r>
        <w:rPr>
          <w:rFonts w:hint="eastAsia"/>
          <w:b/>
          <w:sz w:val="24"/>
          <w:szCs w:val="24"/>
          <w:highlight w:val="none"/>
          <w:lang w:eastAsia="zh-CN"/>
        </w:rPr>
        <w:t>河北高速燕赵驿行集团有限公司2025年中期票据承销商服务项目2标段二次</w:t>
      </w:r>
    </w:p>
    <w:bookmarkEnd w:id="0"/>
    <w:p w14:paraId="7D96E592">
      <w:pPr>
        <w:adjustRightInd w:val="0"/>
        <w:snapToGrid w:val="0"/>
        <w:spacing w:before="120" w:beforeLines="50" w:line="276" w:lineRule="auto"/>
        <w:rPr>
          <w:b/>
          <w:sz w:val="24"/>
          <w:highlight w:val="none"/>
        </w:rPr>
      </w:pPr>
      <w:bookmarkStart w:id="2" w:name="_Toc514238201"/>
      <w:bookmarkStart w:id="16" w:name="_GoBack"/>
      <w:bookmarkEnd w:id="16"/>
      <w:r>
        <w:rPr>
          <w:b/>
          <w:sz w:val="24"/>
          <w:highlight w:val="none"/>
        </w:rPr>
        <w:t>附件1：资格审查条件</w:t>
      </w:r>
      <w:bookmarkEnd w:id="2"/>
    </w:p>
    <w:p w14:paraId="09AD75C9">
      <w:pPr>
        <w:pStyle w:val="29"/>
        <w:rPr>
          <w:highlight w:val="none"/>
        </w:rPr>
      </w:pPr>
    </w:p>
    <w:p w14:paraId="2D0B704C">
      <w:pPr>
        <w:adjustRightInd w:val="0"/>
        <w:spacing w:line="400" w:lineRule="exact"/>
        <w:jc w:val="center"/>
        <w:rPr>
          <w:b/>
          <w:sz w:val="24"/>
          <w:szCs w:val="24"/>
          <w:highlight w:val="none"/>
        </w:rPr>
      </w:pPr>
      <w:r>
        <w:rPr>
          <w:b/>
          <w:sz w:val="24"/>
          <w:szCs w:val="24"/>
          <w:highlight w:val="none"/>
        </w:rPr>
        <w:t xml:space="preserve">附录1 </w:t>
      </w:r>
      <w:bookmarkStart w:id="3" w:name="_Hlk515531673"/>
      <w:r>
        <w:rPr>
          <w:b/>
          <w:sz w:val="24"/>
          <w:highlight w:val="none"/>
        </w:rPr>
        <w:t>资格</w:t>
      </w:r>
      <w:r>
        <w:rPr>
          <w:b/>
          <w:sz w:val="24"/>
          <w:szCs w:val="24"/>
          <w:highlight w:val="none"/>
        </w:rPr>
        <w:t>审查条件（</w:t>
      </w:r>
      <w:bookmarkStart w:id="4" w:name="_Hlk93741047"/>
      <w:r>
        <w:rPr>
          <w:b/>
          <w:sz w:val="24"/>
          <w:szCs w:val="24"/>
          <w:highlight w:val="none"/>
        </w:rPr>
        <w:t>资质最低要求</w:t>
      </w:r>
      <w:bookmarkEnd w:id="4"/>
      <w:r>
        <w:rPr>
          <w:b/>
          <w:sz w:val="24"/>
          <w:szCs w:val="24"/>
          <w:highlight w:val="none"/>
        </w:rPr>
        <w:t>）</w:t>
      </w:r>
      <w:bookmarkEnd w:id="3"/>
    </w:p>
    <w:tbl>
      <w:tblPr>
        <w:tblStyle w:val="14"/>
        <w:tblW w:w="9365"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312"/>
        <w:gridCol w:w="7327"/>
      </w:tblGrid>
      <w:tr w14:paraId="6492430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26" w:type="dxa"/>
            <w:tcBorders>
              <w:top w:val="single" w:color="auto" w:sz="2" w:space="0"/>
              <w:left w:val="single" w:color="auto" w:sz="2" w:space="0"/>
              <w:bottom w:val="single" w:color="auto" w:sz="2" w:space="0"/>
              <w:right w:val="single" w:color="auto" w:sz="2" w:space="0"/>
            </w:tcBorders>
            <w:noWrap w:val="0"/>
            <w:vAlign w:val="center"/>
          </w:tcPr>
          <w:p w14:paraId="243E4A96">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标段</w:t>
            </w:r>
          </w:p>
        </w:tc>
        <w:tc>
          <w:tcPr>
            <w:tcW w:w="1312" w:type="dxa"/>
            <w:tcBorders>
              <w:top w:val="single" w:color="auto" w:sz="2" w:space="0"/>
              <w:left w:val="single" w:color="auto" w:sz="2" w:space="0"/>
              <w:bottom w:val="single" w:color="auto" w:sz="2" w:space="0"/>
              <w:right w:val="single" w:color="auto" w:sz="2" w:space="0"/>
            </w:tcBorders>
            <w:noWrap w:val="0"/>
            <w:vAlign w:val="center"/>
          </w:tcPr>
          <w:p w14:paraId="72C2385A">
            <w:pPr>
              <w:keepNext w:val="0"/>
              <w:keepLines w:val="0"/>
              <w:suppressLineNumbers w:val="0"/>
              <w:spacing w:before="0" w:beforeAutospacing="0" w:after="0" w:afterAutospacing="0"/>
              <w:ind w:left="0" w:right="0"/>
              <w:jc w:val="center"/>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投标人身份</w:t>
            </w:r>
          </w:p>
        </w:tc>
        <w:tc>
          <w:tcPr>
            <w:tcW w:w="7327" w:type="dxa"/>
            <w:tcBorders>
              <w:top w:val="single" w:color="auto" w:sz="2" w:space="0"/>
              <w:left w:val="single" w:color="auto" w:sz="2" w:space="0"/>
              <w:bottom w:val="single" w:color="auto" w:sz="2" w:space="0"/>
              <w:right w:val="single" w:color="auto" w:sz="2" w:space="0"/>
            </w:tcBorders>
            <w:noWrap w:val="0"/>
            <w:vAlign w:val="center"/>
          </w:tcPr>
          <w:p w14:paraId="22CCEE09">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资质要求</w:t>
            </w:r>
          </w:p>
        </w:tc>
      </w:tr>
      <w:tr w14:paraId="7CC04AE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726" w:type="dxa"/>
            <w:tcBorders>
              <w:top w:val="single" w:color="auto" w:sz="2" w:space="0"/>
              <w:left w:val="single" w:color="auto" w:sz="2" w:space="0"/>
              <w:bottom w:val="single" w:color="auto" w:sz="2" w:space="0"/>
              <w:right w:val="single" w:color="auto" w:sz="2" w:space="0"/>
            </w:tcBorders>
            <w:noWrap w:val="0"/>
            <w:vAlign w:val="center"/>
          </w:tcPr>
          <w:p w14:paraId="76492886">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312" w:type="dxa"/>
            <w:tcBorders>
              <w:top w:val="single" w:color="auto" w:sz="2" w:space="0"/>
              <w:left w:val="single" w:color="auto" w:sz="2" w:space="0"/>
              <w:bottom w:val="single" w:color="auto" w:sz="2" w:space="0"/>
              <w:right w:val="single" w:color="auto" w:sz="2" w:space="0"/>
            </w:tcBorders>
            <w:noWrap w:val="0"/>
            <w:vAlign w:val="center"/>
          </w:tcPr>
          <w:p w14:paraId="0107E1BE">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券商类</w:t>
            </w:r>
          </w:p>
        </w:tc>
        <w:tc>
          <w:tcPr>
            <w:tcW w:w="7327" w:type="dxa"/>
            <w:tcBorders>
              <w:top w:val="single" w:color="auto" w:sz="2" w:space="0"/>
              <w:left w:val="single" w:color="auto" w:sz="2" w:space="0"/>
              <w:bottom w:val="single" w:color="auto" w:sz="2" w:space="0"/>
              <w:right w:val="single" w:color="auto" w:sz="2" w:space="0"/>
            </w:tcBorders>
            <w:noWrap w:val="0"/>
            <w:vAlign w:val="center"/>
          </w:tcPr>
          <w:p w14:paraId="42F7903C">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在中华人民共和国境内注册的独立法人或其他组织，</w:t>
            </w:r>
            <w:r>
              <w:rPr>
                <w:rFonts w:hint="eastAsia" w:ascii="宋体" w:hAnsi="宋体" w:eastAsia="宋体" w:cs="宋体"/>
                <w:bCs/>
                <w:color w:val="auto"/>
                <w:sz w:val="21"/>
                <w:szCs w:val="21"/>
                <w:highlight w:val="none"/>
                <w:lang w:val="en-US" w:eastAsia="zh-CN"/>
              </w:rPr>
              <w:t>持有有</w:t>
            </w:r>
            <w:r>
              <w:rPr>
                <w:rFonts w:hint="eastAsia" w:ascii="宋体" w:hAnsi="宋体" w:cs="宋体"/>
                <w:bCs/>
                <w:color w:val="auto"/>
                <w:sz w:val="21"/>
                <w:szCs w:val="21"/>
                <w:highlight w:val="none"/>
                <w:lang w:val="en-US" w:eastAsia="zh-CN"/>
              </w:rPr>
              <w:t>效</w:t>
            </w:r>
            <w:r>
              <w:rPr>
                <w:rFonts w:hint="eastAsia" w:ascii="宋体" w:hAnsi="宋体" w:eastAsia="宋体" w:cs="宋体"/>
                <w:bCs/>
                <w:color w:val="auto"/>
                <w:sz w:val="21"/>
                <w:szCs w:val="21"/>
                <w:highlight w:val="none"/>
                <w:lang w:val="en-US" w:eastAsia="zh-CN"/>
              </w:rPr>
              <w:t>的营业执照；</w:t>
            </w:r>
          </w:p>
          <w:p w14:paraId="610AF7E5">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投标人应为全国银行间市场交易商协会A类承销商（在全国范围内可开展债务融资工具承销工作）。</w:t>
            </w:r>
          </w:p>
        </w:tc>
      </w:tr>
    </w:tbl>
    <w:p w14:paraId="5ACA63BF">
      <w:pPr>
        <w:adjustRightInd w:val="0"/>
        <w:spacing w:line="400" w:lineRule="exact"/>
        <w:jc w:val="center"/>
        <w:rPr>
          <w:b/>
          <w:sz w:val="24"/>
          <w:szCs w:val="24"/>
          <w:highlight w:val="none"/>
        </w:rPr>
      </w:pPr>
    </w:p>
    <w:p w14:paraId="18ABF81E">
      <w:pPr>
        <w:pStyle w:val="6"/>
        <w:rPr>
          <w:b/>
          <w:sz w:val="24"/>
          <w:highlight w:val="none"/>
        </w:rPr>
      </w:pPr>
    </w:p>
    <w:p w14:paraId="5383411D">
      <w:pPr>
        <w:adjustRightInd w:val="0"/>
        <w:spacing w:line="400" w:lineRule="exact"/>
        <w:jc w:val="center"/>
        <w:rPr>
          <w:b/>
          <w:sz w:val="24"/>
          <w:szCs w:val="24"/>
          <w:highlight w:val="none"/>
        </w:rPr>
      </w:pPr>
      <w:r>
        <w:rPr>
          <w:b/>
          <w:sz w:val="24"/>
          <w:szCs w:val="24"/>
          <w:highlight w:val="none"/>
        </w:rPr>
        <w:t>附录</w:t>
      </w:r>
      <w:r>
        <w:rPr>
          <w:rFonts w:hint="eastAsia"/>
          <w:b/>
          <w:sz w:val="24"/>
          <w:szCs w:val="24"/>
          <w:highlight w:val="none"/>
          <w:lang w:val="en-US" w:eastAsia="zh-CN"/>
        </w:rPr>
        <w:t>2</w:t>
      </w:r>
      <w:r>
        <w:rPr>
          <w:b/>
          <w:sz w:val="24"/>
          <w:szCs w:val="24"/>
          <w:highlight w:val="none"/>
        </w:rPr>
        <w:t xml:space="preserve"> 资格审查条件（信誉最低要求）</w:t>
      </w:r>
    </w:p>
    <w:tbl>
      <w:tblPr>
        <w:tblStyle w:val="14"/>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9"/>
      </w:tblGrid>
      <w:tr w14:paraId="353C6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359" w:type="dxa"/>
            <w:noWrap w:val="0"/>
            <w:vAlign w:val="center"/>
          </w:tcPr>
          <w:p w14:paraId="2BC5610A">
            <w:pPr>
              <w:pStyle w:val="12"/>
              <w:keepNext w:val="0"/>
              <w:keepLines w:val="0"/>
              <w:suppressLineNumbers w:val="0"/>
              <w:spacing w:before="0" w:beforeAutospacing="0" w:after="0" w:afterAutospacing="0" w:line="240" w:lineRule="auto"/>
              <w:ind w:left="0" w:right="0" w:firstLine="0"/>
              <w:contextualSpacing/>
              <w:jc w:val="center"/>
              <w:rPr>
                <w:rFonts w:ascii="Times New Roman" w:hAnsi="Times New Roman"/>
                <w:sz w:val="21"/>
                <w:szCs w:val="21"/>
                <w:highlight w:val="none"/>
              </w:rPr>
            </w:pPr>
            <w:r>
              <w:rPr>
                <w:rFonts w:ascii="Times New Roman" w:hAnsi="Times New Roman"/>
                <w:color w:val="000000" w:themeColor="text1"/>
                <w:sz w:val="21"/>
                <w:szCs w:val="21"/>
                <w:highlight w:val="none"/>
                <w14:textFill>
                  <w14:solidFill>
                    <w14:schemeClr w14:val="tx1"/>
                  </w14:solidFill>
                </w14:textFill>
              </w:rPr>
              <w:t>信誉要求</w:t>
            </w:r>
          </w:p>
        </w:tc>
      </w:tr>
      <w:tr w14:paraId="71D33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359" w:type="dxa"/>
            <w:noWrap w:val="0"/>
            <w:vAlign w:val="center"/>
          </w:tcPr>
          <w:p w14:paraId="56276853">
            <w:pPr>
              <w:keepNext w:val="0"/>
              <w:keepLines w:val="0"/>
              <w:numPr>
                <w:ilvl w:val="0"/>
                <w:numId w:val="0"/>
              </w:numPr>
              <w:suppressLineNumbers w:val="0"/>
              <w:spacing w:before="0" w:beforeAutospacing="0" w:after="0" w:afterAutospacing="0"/>
              <w:ind w:left="0" w:right="0" w:firstLine="420" w:firstLineChars="200"/>
              <w:rPr>
                <w:rFonts w:hint="default" w:eastAsia="宋体"/>
                <w:highlight w:val="none"/>
                <w:lang w:val="en-US" w:eastAsia="zh-CN"/>
              </w:rPr>
            </w:pPr>
            <w:r>
              <w:rPr>
                <w:rFonts w:hint="eastAsia"/>
                <w:sz w:val="21"/>
                <w:szCs w:val="21"/>
                <w:highlight w:val="none"/>
              </w:rPr>
              <w:t>投标人在过去1年中（202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9月</w:t>
            </w:r>
            <w:r>
              <w:rPr>
                <w:rFonts w:hint="eastAsia"/>
                <w:sz w:val="21"/>
                <w:szCs w:val="21"/>
                <w:highlight w:val="none"/>
              </w:rPr>
              <w:t>1日至投标截止时间）不</w:t>
            </w:r>
            <w:r>
              <w:rPr>
                <w:rFonts w:hint="eastAsia"/>
                <w:sz w:val="21"/>
                <w:szCs w:val="21"/>
                <w:highlight w:val="none"/>
                <w:lang w:eastAsia="zh-CN"/>
              </w:rPr>
              <w:t>曾在中期票据承销合</w:t>
            </w:r>
            <w:r>
              <w:rPr>
                <w:rFonts w:hint="eastAsia"/>
                <w:sz w:val="21"/>
                <w:szCs w:val="21"/>
                <w:highlight w:val="none"/>
                <w:lang w:val="en-US" w:eastAsia="zh-CN"/>
              </w:rPr>
              <w:t>同</w:t>
            </w:r>
            <w:r>
              <w:rPr>
                <w:sz w:val="21"/>
                <w:szCs w:val="21"/>
                <w:highlight w:val="none"/>
              </w:rPr>
              <w:t>中违约而被驱逐或因投标人自身的原因而使</w:t>
            </w:r>
            <w:r>
              <w:rPr>
                <w:rFonts w:hint="eastAsia"/>
                <w:sz w:val="21"/>
                <w:szCs w:val="21"/>
                <w:highlight w:val="none"/>
              </w:rPr>
              <w:t>中期票据承销</w:t>
            </w:r>
            <w:r>
              <w:rPr>
                <w:rFonts w:hint="eastAsia"/>
                <w:sz w:val="21"/>
                <w:szCs w:val="21"/>
                <w:highlight w:val="none"/>
                <w:lang w:eastAsia="zh-CN"/>
              </w:rPr>
              <w:t>合</w:t>
            </w:r>
            <w:r>
              <w:rPr>
                <w:rFonts w:hint="eastAsia"/>
                <w:sz w:val="21"/>
                <w:szCs w:val="21"/>
                <w:highlight w:val="none"/>
                <w:lang w:val="en-US" w:eastAsia="zh-CN"/>
              </w:rPr>
              <w:t>同</w:t>
            </w:r>
            <w:r>
              <w:rPr>
                <w:sz w:val="21"/>
                <w:szCs w:val="21"/>
                <w:highlight w:val="none"/>
              </w:rPr>
              <w:t>被解除</w:t>
            </w:r>
            <w:r>
              <w:rPr>
                <w:rFonts w:hint="eastAsia"/>
                <w:sz w:val="21"/>
                <w:szCs w:val="21"/>
                <w:highlight w:val="none"/>
              </w:rPr>
              <w:t>。</w:t>
            </w:r>
          </w:p>
        </w:tc>
      </w:tr>
    </w:tbl>
    <w:p w14:paraId="2767D48F">
      <w:pPr>
        <w:adjustRightInd w:val="0"/>
        <w:spacing w:line="400" w:lineRule="exact"/>
        <w:jc w:val="center"/>
        <w:rPr>
          <w:b/>
          <w:sz w:val="24"/>
          <w:szCs w:val="24"/>
          <w:highlight w:val="none"/>
        </w:rPr>
      </w:pPr>
    </w:p>
    <w:p w14:paraId="7C65EA84">
      <w:pPr>
        <w:tabs>
          <w:tab w:val="left" w:pos="4080"/>
        </w:tabs>
        <w:spacing w:line="360" w:lineRule="auto"/>
        <w:rPr>
          <w:highlight w:val="none"/>
        </w:rPr>
      </w:pPr>
    </w:p>
    <w:p w14:paraId="45AC196D">
      <w:pPr>
        <w:spacing w:line="360" w:lineRule="auto"/>
        <w:rPr>
          <w:b/>
          <w:sz w:val="24"/>
          <w:highlight w:val="none"/>
        </w:rPr>
      </w:pPr>
      <w:r>
        <w:rPr>
          <w:highlight w:val="none"/>
        </w:rPr>
        <w:br w:type="page"/>
      </w:r>
      <w:r>
        <w:rPr>
          <w:b/>
          <w:sz w:val="24"/>
          <w:highlight w:val="none"/>
        </w:rPr>
        <w:t>附件2：评标办法</w:t>
      </w:r>
    </w:p>
    <w:p w14:paraId="43A24B04">
      <w:pPr>
        <w:pStyle w:val="30"/>
        <w:spacing w:line="276" w:lineRule="auto"/>
        <w:rPr>
          <w:rFonts w:ascii="Times New Roman" w:hAnsi="Times New Roman" w:eastAsia="宋体"/>
          <w:sz w:val="30"/>
          <w:szCs w:val="30"/>
          <w:highlight w:val="none"/>
        </w:rPr>
      </w:pPr>
      <w:bookmarkStart w:id="5" w:name="_Hlk93740604"/>
      <w:bookmarkStart w:id="6" w:name="_Toc459307890"/>
      <w:bookmarkStart w:id="7" w:name="_Toc514238202"/>
      <w:bookmarkStart w:id="8" w:name="_Toc450319202"/>
      <w:bookmarkStart w:id="9" w:name="_Toc502992691"/>
      <w:bookmarkStart w:id="10" w:name="_Toc509659998"/>
      <w:bookmarkStart w:id="11" w:name="_Toc509660966"/>
      <w:bookmarkStart w:id="12" w:name="_Toc445222503"/>
      <w:bookmarkStart w:id="13" w:name="_Toc445382083"/>
      <w:bookmarkStart w:id="14" w:name="_Toc444088432"/>
      <w:bookmarkStart w:id="15" w:name="_Toc444271617"/>
      <w:r>
        <w:rPr>
          <w:rFonts w:ascii="Times New Roman" w:hAnsi="Times New Roman" w:eastAsia="宋体"/>
          <w:sz w:val="30"/>
          <w:szCs w:val="30"/>
          <w:highlight w:val="none"/>
        </w:rPr>
        <w:t>评标办法</w:t>
      </w:r>
      <w:bookmarkEnd w:id="5"/>
      <w:r>
        <w:rPr>
          <w:rFonts w:ascii="Times New Roman" w:hAnsi="Times New Roman" w:eastAsia="宋体"/>
          <w:sz w:val="30"/>
          <w:szCs w:val="30"/>
          <w:highlight w:val="none"/>
        </w:rPr>
        <w:t>（综合评估法）</w:t>
      </w:r>
      <w:bookmarkEnd w:id="6"/>
      <w:bookmarkEnd w:id="7"/>
      <w:bookmarkEnd w:id="8"/>
      <w:bookmarkEnd w:id="9"/>
      <w:bookmarkEnd w:id="10"/>
      <w:bookmarkEnd w:id="11"/>
    </w:p>
    <w:bookmarkEnd w:id="1"/>
    <w:bookmarkEnd w:id="12"/>
    <w:bookmarkEnd w:id="13"/>
    <w:bookmarkEnd w:id="14"/>
    <w:bookmarkEnd w:id="15"/>
    <w:p w14:paraId="32A70153">
      <w:pPr>
        <w:pStyle w:val="30"/>
        <w:spacing w:line="276" w:lineRule="auto"/>
        <w:jc w:val="both"/>
        <w:rPr>
          <w:rFonts w:ascii="Times New Roman" w:hAnsi="Times New Roman" w:eastAsia="宋体"/>
          <w:sz w:val="24"/>
          <w:szCs w:val="30"/>
          <w:highlight w:val="none"/>
        </w:rPr>
      </w:pPr>
      <w:r>
        <w:rPr>
          <w:rFonts w:ascii="Times New Roman" w:hAnsi="Times New Roman" w:eastAsia="宋体"/>
          <w:sz w:val="24"/>
          <w:szCs w:val="30"/>
          <w:highlight w:val="none"/>
        </w:rPr>
        <w:t>评标办法前附表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250"/>
      </w:tblGrid>
      <w:tr w14:paraId="36A0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959" w:type="dxa"/>
            <w:noWrap w:val="0"/>
            <w:vAlign w:val="center"/>
          </w:tcPr>
          <w:p w14:paraId="36993FEC">
            <w:pPr>
              <w:snapToGrid w:val="0"/>
              <w:spacing w:line="320" w:lineRule="exact"/>
              <w:jc w:val="center"/>
              <w:rPr>
                <w:rFonts w:ascii="宋体" w:hAnsi="宋体"/>
                <w:sz w:val="21"/>
                <w:szCs w:val="21"/>
                <w:highlight w:val="none"/>
              </w:rPr>
            </w:pPr>
            <w:r>
              <w:rPr>
                <w:rFonts w:ascii="宋体" w:hAnsi="宋体"/>
                <w:sz w:val="21"/>
                <w:szCs w:val="21"/>
                <w:highlight w:val="none"/>
              </w:rPr>
              <w:t>条款号</w:t>
            </w:r>
          </w:p>
        </w:tc>
        <w:tc>
          <w:tcPr>
            <w:tcW w:w="1134" w:type="dxa"/>
            <w:noWrap w:val="0"/>
            <w:vAlign w:val="center"/>
          </w:tcPr>
          <w:p w14:paraId="421B8915">
            <w:pPr>
              <w:snapToGrid w:val="0"/>
              <w:spacing w:line="320" w:lineRule="exact"/>
              <w:jc w:val="center"/>
              <w:rPr>
                <w:rFonts w:ascii="宋体" w:hAnsi="宋体"/>
                <w:sz w:val="21"/>
                <w:szCs w:val="21"/>
                <w:highlight w:val="none"/>
              </w:rPr>
            </w:pPr>
            <w:r>
              <w:rPr>
                <w:rFonts w:ascii="宋体" w:hAnsi="宋体"/>
                <w:sz w:val="21"/>
                <w:szCs w:val="21"/>
                <w:highlight w:val="none"/>
              </w:rPr>
              <w:t>条款名称</w:t>
            </w:r>
          </w:p>
        </w:tc>
        <w:tc>
          <w:tcPr>
            <w:tcW w:w="7250" w:type="dxa"/>
            <w:noWrap w:val="0"/>
            <w:vAlign w:val="center"/>
          </w:tcPr>
          <w:p w14:paraId="40C0254E">
            <w:pPr>
              <w:snapToGrid w:val="0"/>
              <w:spacing w:line="320" w:lineRule="exact"/>
              <w:jc w:val="center"/>
              <w:rPr>
                <w:rFonts w:ascii="宋体" w:hAnsi="宋体"/>
                <w:sz w:val="21"/>
                <w:szCs w:val="21"/>
                <w:highlight w:val="none"/>
              </w:rPr>
            </w:pPr>
            <w:r>
              <w:rPr>
                <w:rFonts w:ascii="宋体" w:hAnsi="宋体"/>
                <w:sz w:val="21"/>
                <w:szCs w:val="21"/>
                <w:highlight w:val="none"/>
              </w:rPr>
              <w:t>评审因素与评审标准</w:t>
            </w:r>
          </w:p>
        </w:tc>
      </w:tr>
      <w:tr w14:paraId="3B09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noWrap w:val="0"/>
            <w:vAlign w:val="center"/>
          </w:tcPr>
          <w:p w14:paraId="1CF3C1E8">
            <w:pPr>
              <w:snapToGrid w:val="0"/>
              <w:spacing w:line="320" w:lineRule="exact"/>
              <w:jc w:val="center"/>
              <w:rPr>
                <w:rFonts w:ascii="宋体" w:hAnsi="宋体"/>
                <w:sz w:val="21"/>
                <w:szCs w:val="21"/>
                <w:highlight w:val="none"/>
              </w:rPr>
            </w:pPr>
            <w:r>
              <w:rPr>
                <w:rFonts w:ascii="宋体" w:hAnsi="宋体"/>
                <w:sz w:val="21"/>
                <w:szCs w:val="21"/>
                <w:highlight w:val="none"/>
              </w:rPr>
              <w:t>1</w:t>
            </w:r>
          </w:p>
        </w:tc>
        <w:tc>
          <w:tcPr>
            <w:tcW w:w="1134" w:type="dxa"/>
            <w:noWrap w:val="0"/>
            <w:vAlign w:val="center"/>
          </w:tcPr>
          <w:p w14:paraId="2F1198D5">
            <w:pPr>
              <w:snapToGrid w:val="0"/>
              <w:spacing w:line="320" w:lineRule="exact"/>
              <w:jc w:val="center"/>
              <w:rPr>
                <w:rFonts w:ascii="宋体" w:hAnsi="宋体"/>
                <w:sz w:val="21"/>
                <w:szCs w:val="21"/>
                <w:highlight w:val="none"/>
              </w:rPr>
            </w:pPr>
            <w:r>
              <w:rPr>
                <w:rFonts w:ascii="宋体" w:hAnsi="宋体"/>
                <w:sz w:val="21"/>
                <w:szCs w:val="21"/>
                <w:highlight w:val="none"/>
              </w:rPr>
              <w:t>评标办法</w:t>
            </w:r>
          </w:p>
        </w:tc>
        <w:tc>
          <w:tcPr>
            <w:tcW w:w="7250" w:type="dxa"/>
            <w:noWrap w:val="0"/>
            <w:vAlign w:val="center"/>
          </w:tcPr>
          <w:p w14:paraId="57A12990">
            <w:pPr>
              <w:snapToGrid w:val="0"/>
              <w:spacing w:line="320" w:lineRule="exact"/>
              <w:ind w:firstLine="404" w:firstLineChars="200"/>
              <w:jc w:val="left"/>
              <w:rPr>
                <w:rFonts w:ascii="宋体" w:hAnsi="宋体"/>
                <w:spacing w:val="-4"/>
                <w:sz w:val="21"/>
                <w:szCs w:val="21"/>
                <w:highlight w:val="none"/>
              </w:rPr>
            </w:pPr>
            <w:r>
              <w:rPr>
                <w:rFonts w:ascii="宋体" w:hAnsi="宋体"/>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439061EF">
            <w:pPr>
              <w:snapToGrid w:val="0"/>
              <w:spacing w:line="320" w:lineRule="exact"/>
              <w:ind w:left="273" w:leftChars="97" w:hanging="1"/>
              <w:jc w:val="left"/>
              <w:rPr>
                <w:rFonts w:ascii="宋体" w:hAnsi="宋体"/>
                <w:spacing w:val="-4"/>
                <w:sz w:val="21"/>
                <w:szCs w:val="21"/>
                <w:highlight w:val="none"/>
              </w:rPr>
            </w:pPr>
            <w:r>
              <w:rPr>
                <w:rFonts w:ascii="宋体" w:hAnsi="宋体"/>
                <w:spacing w:val="-4"/>
                <w:sz w:val="21"/>
                <w:szCs w:val="21"/>
                <w:highlight w:val="none"/>
              </w:rPr>
              <w:t>（1）评标价低的投标人优先；</w:t>
            </w:r>
          </w:p>
          <w:p w14:paraId="420735DF">
            <w:pPr>
              <w:snapToGrid w:val="0"/>
              <w:spacing w:line="320" w:lineRule="exact"/>
              <w:ind w:left="273" w:leftChars="97" w:hanging="1"/>
              <w:jc w:val="left"/>
              <w:rPr>
                <w:rFonts w:hint="eastAsia" w:ascii="宋体" w:hAnsi="宋体"/>
                <w:sz w:val="21"/>
                <w:szCs w:val="21"/>
                <w:highlight w:val="none"/>
              </w:rPr>
            </w:pPr>
            <w:r>
              <w:rPr>
                <w:rFonts w:ascii="宋体" w:hAnsi="宋体"/>
                <w:spacing w:val="-4"/>
                <w:sz w:val="21"/>
                <w:szCs w:val="21"/>
                <w:highlight w:val="none"/>
              </w:rPr>
              <w:t>（2）</w:t>
            </w:r>
            <w:r>
              <w:rPr>
                <w:rFonts w:hint="eastAsia" w:ascii="宋体" w:hAnsi="宋体"/>
                <w:spacing w:val="-4"/>
                <w:sz w:val="21"/>
                <w:szCs w:val="21"/>
                <w:highlight w:val="none"/>
                <w:lang w:val="en-US" w:eastAsia="zh-CN"/>
              </w:rPr>
              <w:t>商务</w:t>
            </w:r>
            <w:r>
              <w:rPr>
                <w:rFonts w:ascii="宋体" w:hAnsi="宋体"/>
                <w:spacing w:val="-4"/>
                <w:sz w:val="21"/>
                <w:szCs w:val="21"/>
                <w:highlight w:val="none"/>
              </w:rPr>
              <w:t>得分较高的投标人优先；</w:t>
            </w:r>
          </w:p>
        </w:tc>
      </w:tr>
      <w:tr w14:paraId="7F3E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59" w:type="dxa"/>
            <w:noWrap w:val="0"/>
            <w:vAlign w:val="center"/>
          </w:tcPr>
          <w:p w14:paraId="4D9161C6">
            <w:pPr>
              <w:snapToGrid w:val="0"/>
              <w:spacing w:line="320" w:lineRule="exact"/>
              <w:jc w:val="center"/>
              <w:rPr>
                <w:rFonts w:ascii="宋体" w:hAnsi="宋体"/>
                <w:sz w:val="21"/>
                <w:szCs w:val="21"/>
                <w:highlight w:val="none"/>
              </w:rPr>
            </w:pPr>
            <w:r>
              <w:rPr>
                <w:rFonts w:ascii="宋体" w:hAnsi="宋体"/>
                <w:sz w:val="21"/>
                <w:szCs w:val="21"/>
                <w:highlight w:val="none"/>
              </w:rPr>
              <w:t>2.1.1</w:t>
            </w:r>
          </w:p>
          <w:p w14:paraId="580280D4">
            <w:pPr>
              <w:snapToGrid w:val="0"/>
              <w:spacing w:line="320" w:lineRule="exact"/>
              <w:jc w:val="center"/>
              <w:rPr>
                <w:rFonts w:ascii="宋体" w:hAnsi="宋体"/>
                <w:sz w:val="21"/>
                <w:szCs w:val="21"/>
                <w:highlight w:val="none"/>
              </w:rPr>
            </w:pPr>
            <w:r>
              <w:rPr>
                <w:rFonts w:ascii="宋体" w:hAnsi="宋体"/>
                <w:sz w:val="21"/>
                <w:szCs w:val="21"/>
                <w:highlight w:val="none"/>
              </w:rPr>
              <w:t>2.1.3</w:t>
            </w:r>
          </w:p>
        </w:tc>
        <w:tc>
          <w:tcPr>
            <w:tcW w:w="1134" w:type="dxa"/>
            <w:noWrap w:val="0"/>
            <w:vAlign w:val="center"/>
          </w:tcPr>
          <w:p w14:paraId="72899D9E">
            <w:pPr>
              <w:snapToGrid w:val="0"/>
              <w:spacing w:line="320" w:lineRule="exact"/>
              <w:jc w:val="center"/>
              <w:rPr>
                <w:rFonts w:ascii="宋体" w:hAnsi="宋体"/>
                <w:sz w:val="21"/>
                <w:szCs w:val="21"/>
                <w:highlight w:val="none"/>
              </w:rPr>
            </w:pPr>
            <w:r>
              <w:rPr>
                <w:rFonts w:ascii="宋体" w:hAnsi="宋体"/>
                <w:sz w:val="21"/>
                <w:szCs w:val="21"/>
                <w:highlight w:val="none"/>
              </w:rPr>
              <w:t>形式评审与响应性评审标准</w:t>
            </w:r>
          </w:p>
        </w:tc>
        <w:tc>
          <w:tcPr>
            <w:tcW w:w="7250" w:type="dxa"/>
            <w:noWrap w:val="0"/>
            <w:vAlign w:val="top"/>
          </w:tcPr>
          <w:p w14:paraId="6A7517FC">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第一个信封（商务及技术文件）评审标准：</w:t>
            </w:r>
          </w:p>
          <w:p w14:paraId="5D168867">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（1）投标文件按照招标文件规定的格式、内容填写，字迹清晰可辨：</w:t>
            </w:r>
          </w:p>
          <w:p w14:paraId="5C4ED3C9">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a.投标函按招标文件规定填报了项目名称</w:t>
            </w:r>
            <w:r>
              <w:rPr>
                <w:rFonts w:hint="eastAsia" w:ascii="宋体" w:hAnsi="宋体"/>
                <w:bCs/>
                <w:sz w:val="21"/>
                <w:szCs w:val="21"/>
                <w:highlight w:val="none"/>
              </w:rPr>
              <w:t>、</w:t>
            </w:r>
            <w:r>
              <w:rPr>
                <w:rFonts w:hint="eastAsia" w:ascii="宋体" w:hAnsi="宋体"/>
                <w:bCs/>
                <w:sz w:val="21"/>
                <w:szCs w:val="21"/>
                <w:highlight w:val="none"/>
                <w:lang w:val="en-US" w:eastAsia="zh-CN"/>
              </w:rPr>
              <w:t>标段号、</w:t>
            </w:r>
            <w:r>
              <w:rPr>
                <w:rFonts w:ascii="宋体" w:hAnsi="宋体"/>
                <w:bCs/>
                <w:sz w:val="21"/>
                <w:szCs w:val="21"/>
                <w:highlight w:val="none"/>
              </w:rPr>
              <w:t>补遗书编号（如有）、服务期限</w:t>
            </w:r>
            <w:r>
              <w:rPr>
                <w:rFonts w:hint="eastAsia" w:ascii="宋体" w:hAnsi="宋体"/>
                <w:bCs/>
                <w:sz w:val="21"/>
                <w:szCs w:val="21"/>
                <w:highlight w:val="none"/>
                <w:lang w:val="en-US" w:eastAsia="zh-CN"/>
              </w:rPr>
              <w:t>等内容</w:t>
            </w:r>
            <w:r>
              <w:rPr>
                <w:rFonts w:ascii="宋体" w:hAnsi="宋体"/>
                <w:bCs/>
                <w:sz w:val="21"/>
                <w:szCs w:val="21"/>
                <w:highlight w:val="none"/>
              </w:rPr>
              <w:t>；</w:t>
            </w:r>
          </w:p>
          <w:p w14:paraId="6493B3D2">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b.投标文件组成齐全完整，内容均按规定填写。</w:t>
            </w:r>
          </w:p>
          <w:p w14:paraId="469BEE61">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65E4183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（3）投标人按照招标文件的规定提供了投标保证金，并符合投标人须知前附表3.4.1项的相关规定。</w:t>
            </w:r>
          </w:p>
          <w:p w14:paraId="1641186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（4）投标人法定代表人授权委托代理人签署投标文件的，须提交授权委托书，</w:t>
            </w:r>
            <w:r>
              <w:rPr>
                <w:rFonts w:hint="eastAsia" w:ascii="宋体" w:hAnsi="宋体" w:cs="宋体"/>
                <w:color w:val="000000"/>
                <w:sz w:val="21"/>
                <w:szCs w:val="21"/>
                <w:highlight w:val="none"/>
              </w:rPr>
              <w:t>授权委托书符合招标文件规定</w:t>
            </w:r>
            <w:r>
              <w:rPr>
                <w:rFonts w:ascii="宋体" w:hAnsi="宋体"/>
                <w:sz w:val="21"/>
                <w:szCs w:val="21"/>
                <w:highlight w:val="none"/>
              </w:rPr>
              <w:t>。</w:t>
            </w:r>
          </w:p>
          <w:p w14:paraId="3DDE00D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（5）投标人法定代表人亲自签署投标文件的，提供了法定代表人身份证明，并符合招标文件的规定。</w:t>
            </w:r>
          </w:p>
          <w:p w14:paraId="411B79F2">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（6）投标人</w:t>
            </w:r>
            <w:r>
              <w:rPr>
                <w:rFonts w:hint="eastAsia" w:ascii="宋体" w:hAnsi="宋体"/>
                <w:sz w:val="21"/>
                <w:szCs w:val="21"/>
                <w:highlight w:val="none"/>
              </w:rPr>
              <w:t>未</w:t>
            </w:r>
            <w:r>
              <w:rPr>
                <w:rFonts w:ascii="宋体" w:hAnsi="宋体"/>
                <w:sz w:val="21"/>
                <w:szCs w:val="21"/>
                <w:highlight w:val="none"/>
              </w:rPr>
              <w:t>以联合体形式投标。</w:t>
            </w:r>
          </w:p>
          <w:p w14:paraId="7A116557">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（7）投标人</w:t>
            </w:r>
            <w:r>
              <w:rPr>
                <w:rFonts w:hint="eastAsia" w:ascii="宋体" w:hAnsi="宋体"/>
                <w:sz w:val="21"/>
                <w:szCs w:val="21"/>
                <w:highlight w:val="none"/>
                <w:lang w:val="en-US" w:eastAsia="zh-CN"/>
              </w:rPr>
              <w:t>未对本项目提出分包</w:t>
            </w:r>
            <w:r>
              <w:rPr>
                <w:rFonts w:ascii="宋体" w:hAnsi="宋体"/>
                <w:sz w:val="21"/>
                <w:szCs w:val="21"/>
                <w:highlight w:val="none"/>
              </w:rPr>
              <w:t>计划。</w:t>
            </w:r>
          </w:p>
          <w:p w14:paraId="4614D89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同一投标人未提交两个以上不同的投标文件</w:t>
            </w:r>
            <w:r>
              <w:rPr>
                <w:rFonts w:ascii="宋体" w:hAnsi="宋体"/>
                <w:sz w:val="21"/>
                <w:szCs w:val="21"/>
                <w:highlight w:val="none"/>
              </w:rPr>
              <w:t>。</w:t>
            </w:r>
          </w:p>
          <w:p w14:paraId="58B2E28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（9）投标文件中未出现有关投标报价的内容。</w:t>
            </w:r>
          </w:p>
          <w:p w14:paraId="5CF8122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（10）投标文件载明的招标项目完成期限未超过招标文件规定。</w:t>
            </w:r>
          </w:p>
          <w:p w14:paraId="147021F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（11）投标文件对招标文件的实质性要求和条件作出响应。</w:t>
            </w:r>
          </w:p>
          <w:p w14:paraId="6959EAD7">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（12）</w:t>
            </w:r>
            <w:r>
              <w:rPr>
                <w:rFonts w:hint="eastAsia" w:ascii="宋体" w:hAnsi="宋体"/>
                <w:sz w:val="21"/>
                <w:szCs w:val="21"/>
                <w:highlight w:val="none"/>
                <w:lang w:val="en-US" w:eastAsia="zh-CN"/>
              </w:rPr>
              <w:t>投标人</w:t>
            </w:r>
            <w:r>
              <w:rPr>
                <w:rFonts w:hint="eastAsia" w:ascii="宋体" w:hAnsi="宋体"/>
                <w:sz w:val="21"/>
                <w:szCs w:val="21"/>
                <w:highlight w:val="none"/>
              </w:rPr>
              <w:t>递交的投标文件与所投标段一致。</w:t>
            </w:r>
          </w:p>
          <w:p w14:paraId="7AFDD24E">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13</w:t>
            </w:r>
            <w:r>
              <w:rPr>
                <w:rFonts w:ascii="宋体" w:hAnsi="宋体"/>
                <w:sz w:val="21"/>
                <w:szCs w:val="21"/>
                <w:highlight w:val="none"/>
              </w:rPr>
              <w:t>）权利义务符合招标文件规定：</w:t>
            </w:r>
          </w:p>
          <w:p w14:paraId="6CBB3F24">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a.投标人应接受招标文件规定的风险划分原则，未提出新的风险划分办法；</w:t>
            </w:r>
          </w:p>
          <w:p w14:paraId="65103FE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b.投标人未增加发包人的责任范围，或减少投标人义务；</w:t>
            </w:r>
          </w:p>
          <w:p w14:paraId="0F886E8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c.投标人未提出不同的支付办法；</w:t>
            </w:r>
          </w:p>
          <w:p w14:paraId="563570B5">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d.投标人对合同纠纷、事故处理办法未提出异议；</w:t>
            </w:r>
          </w:p>
          <w:p w14:paraId="51B05609">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e.投标人在投标活动中无欺诈行为；</w:t>
            </w:r>
          </w:p>
          <w:p w14:paraId="4D55238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f.投标人未对合同条款有重要保留。</w:t>
            </w:r>
          </w:p>
          <w:p w14:paraId="7A32670A">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第二个信封（报价文件）评审标准：</w:t>
            </w:r>
          </w:p>
          <w:p w14:paraId="49E7859D">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（1）投标文件按照招标文件规定的格式、内容填写，字迹清晰可辨，内容齐全完整。</w:t>
            </w:r>
          </w:p>
          <w:p w14:paraId="5A6C26A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a. 投标函按招标文件规定填报了项目名称</w:t>
            </w:r>
            <w:r>
              <w:rPr>
                <w:rFonts w:hint="eastAsia" w:ascii="宋体" w:hAnsi="宋体"/>
                <w:bCs/>
                <w:sz w:val="21"/>
                <w:szCs w:val="21"/>
                <w:highlight w:val="none"/>
              </w:rPr>
              <w:t>、</w:t>
            </w:r>
            <w:r>
              <w:rPr>
                <w:rFonts w:hint="eastAsia" w:ascii="宋体" w:hAnsi="宋体"/>
                <w:bCs/>
                <w:sz w:val="21"/>
                <w:szCs w:val="21"/>
                <w:highlight w:val="none"/>
                <w:lang w:val="en-US" w:eastAsia="zh-CN"/>
              </w:rPr>
              <w:t>标段号、</w:t>
            </w:r>
            <w:r>
              <w:rPr>
                <w:rFonts w:ascii="宋体" w:hAnsi="宋体"/>
                <w:bCs/>
                <w:sz w:val="21"/>
                <w:szCs w:val="21"/>
                <w:highlight w:val="none"/>
              </w:rPr>
              <w:t>补遗书编号（如有）、投标</w:t>
            </w:r>
            <w:r>
              <w:rPr>
                <w:rFonts w:hint="eastAsia" w:ascii="宋体" w:hAnsi="宋体"/>
                <w:bCs/>
                <w:sz w:val="21"/>
                <w:szCs w:val="21"/>
                <w:highlight w:val="none"/>
              </w:rPr>
              <w:t>报</w:t>
            </w:r>
            <w:r>
              <w:rPr>
                <w:rFonts w:ascii="宋体" w:hAnsi="宋体"/>
                <w:bCs/>
                <w:sz w:val="21"/>
                <w:szCs w:val="21"/>
                <w:highlight w:val="none"/>
              </w:rPr>
              <w:t>价；</w:t>
            </w:r>
          </w:p>
          <w:p w14:paraId="78670172">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b．投标文件组成齐全完整，内容均按规定填写。</w:t>
            </w:r>
          </w:p>
          <w:p w14:paraId="50E40637">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44C67B2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（3）投标报价未超过招标文件设定的最高投标限价。</w:t>
            </w:r>
          </w:p>
          <w:p w14:paraId="7B0DC2F4">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（4）投标报价能够确定具体数值。</w:t>
            </w:r>
          </w:p>
          <w:p w14:paraId="42D0956F">
            <w:pPr>
              <w:tabs>
                <w:tab w:val="left" w:pos="3060"/>
              </w:tabs>
              <w:snapToGrid w:val="0"/>
              <w:spacing w:line="320" w:lineRule="exact"/>
              <w:ind w:firstLine="205" w:firstLineChars="98"/>
              <w:rPr>
                <w:highlight w:val="none"/>
              </w:rPr>
            </w:pPr>
            <w:r>
              <w:rPr>
                <w:rFonts w:ascii="宋体" w:hAnsi="宋体"/>
                <w:bCs/>
                <w:sz w:val="21"/>
                <w:szCs w:val="21"/>
                <w:highlight w:val="none"/>
              </w:rPr>
              <w:t>（5）同一投标人未提交两个以上不同的投标报价。</w:t>
            </w:r>
          </w:p>
        </w:tc>
      </w:tr>
      <w:tr w14:paraId="0E5F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DC5B381">
            <w:pPr>
              <w:snapToGrid w:val="0"/>
              <w:spacing w:line="320" w:lineRule="exact"/>
              <w:jc w:val="center"/>
              <w:rPr>
                <w:rFonts w:ascii="宋体" w:hAnsi="宋体"/>
                <w:sz w:val="21"/>
                <w:szCs w:val="21"/>
                <w:highlight w:val="none"/>
              </w:rPr>
            </w:pPr>
            <w:r>
              <w:rPr>
                <w:rFonts w:ascii="宋体" w:hAnsi="宋体"/>
                <w:sz w:val="21"/>
                <w:szCs w:val="21"/>
                <w:highlight w:val="none"/>
              </w:rPr>
              <w:t>2.1.2</w:t>
            </w:r>
          </w:p>
        </w:tc>
        <w:tc>
          <w:tcPr>
            <w:tcW w:w="1134" w:type="dxa"/>
            <w:noWrap w:val="0"/>
            <w:vAlign w:val="center"/>
          </w:tcPr>
          <w:p w14:paraId="190B5432">
            <w:pPr>
              <w:snapToGrid w:val="0"/>
              <w:spacing w:line="320" w:lineRule="exact"/>
              <w:jc w:val="center"/>
              <w:rPr>
                <w:rFonts w:ascii="宋体" w:hAnsi="宋体"/>
                <w:sz w:val="21"/>
                <w:szCs w:val="21"/>
                <w:highlight w:val="none"/>
              </w:rPr>
            </w:pPr>
            <w:r>
              <w:rPr>
                <w:rFonts w:ascii="宋体" w:hAnsi="宋体"/>
                <w:sz w:val="21"/>
                <w:szCs w:val="21"/>
                <w:highlight w:val="none"/>
              </w:rPr>
              <w:t>资格评审标准</w:t>
            </w:r>
          </w:p>
        </w:tc>
        <w:tc>
          <w:tcPr>
            <w:tcW w:w="7250" w:type="dxa"/>
            <w:noWrap w:val="0"/>
            <w:vAlign w:val="top"/>
          </w:tcPr>
          <w:p w14:paraId="004C9C03">
            <w:pPr>
              <w:tabs>
                <w:tab w:val="left" w:pos="3060"/>
              </w:tabs>
              <w:snapToGrid w:val="0"/>
              <w:spacing w:line="320" w:lineRule="exact"/>
              <w:rPr>
                <w:rFonts w:ascii="宋体" w:hAnsi="宋体"/>
                <w:sz w:val="21"/>
                <w:szCs w:val="21"/>
                <w:highlight w:val="none"/>
              </w:rPr>
            </w:pPr>
            <w:r>
              <w:rPr>
                <w:rFonts w:ascii="宋体" w:hAnsi="宋体"/>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14:paraId="6EE49A71">
            <w:pPr>
              <w:tabs>
                <w:tab w:val="left" w:pos="3060"/>
              </w:tabs>
              <w:snapToGrid w:val="0"/>
              <w:spacing w:line="320" w:lineRule="exact"/>
              <w:rPr>
                <w:rFonts w:ascii="宋体" w:hAnsi="宋体"/>
                <w:sz w:val="21"/>
                <w:szCs w:val="21"/>
                <w:highlight w:val="none"/>
              </w:rPr>
            </w:pPr>
            <w:r>
              <w:rPr>
                <w:rFonts w:ascii="宋体" w:hAnsi="宋体"/>
                <w:sz w:val="21"/>
                <w:szCs w:val="21"/>
                <w:highlight w:val="none"/>
              </w:rPr>
              <w:t>（2）投标人的资质等级符合招标文件规定；</w:t>
            </w:r>
          </w:p>
          <w:p w14:paraId="66EA94A2">
            <w:pPr>
              <w:tabs>
                <w:tab w:val="left" w:pos="3060"/>
              </w:tabs>
              <w:snapToGrid w:val="0"/>
              <w:spacing w:line="320" w:lineRule="exact"/>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3</w:t>
            </w:r>
            <w:r>
              <w:rPr>
                <w:rFonts w:ascii="宋体" w:hAnsi="宋体"/>
                <w:sz w:val="21"/>
                <w:szCs w:val="21"/>
                <w:highlight w:val="none"/>
              </w:rPr>
              <w:t>）投标人的信誉符合招标文件规定；</w:t>
            </w:r>
          </w:p>
          <w:p w14:paraId="5C7040DB">
            <w:pPr>
              <w:tabs>
                <w:tab w:val="left" w:pos="3060"/>
              </w:tabs>
              <w:snapToGrid w:val="0"/>
              <w:spacing w:line="320" w:lineRule="exact"/>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4</w:t>
            </w:r>
            <w:r>
              <w:rPr>
                <w:rFonts w:ascii="宋体" w:hAnsi="宋体"/>
                <w:sz w:val="21"/>
                <w:szCs w:val="21"/>
                <w:highlight w:val="none"/>
              </w:rPr>
              <w:t>）投标人不存在第二章“投标人须知”第1.4.3项或第1.4.4项规定的任何一种情形。</w:t>
            </w:r>
          </w:p>
        </w:tc>
      </w:tr>
      <w:tr w14:paraId="0E6C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F31AC34">
            <w:pPr>
              <w:snapToGrid w:val="0"/>
              <w:spacing w:line="320" w:lineRule="exact"/>
              <w:jc w:val="center"/>
              <w:rPr>
                <w:rFonts w:ascii="宋体" w:hAnsi="宋体"/>
                <w:sz w:val="21"/>
                <w:szCs w:val="21"/>
                <w:highlight w:val="none"/>
              </w:rPr>
            </w:pPr>
            <w:r>
              <w:rPr>
                <w:rFonts w:ascii="宋体" w:hAnsi="宋体"/>
                <w:sz w:val="21"/>
                <w:szCs w:val="21"/>
                <w:highlight w:val="none"/>
              </w:rPr>
              <w:t>2.2.1</w:t>
            </w:r>
          </w:p>
        </w:tc>
        <w:tc>
          <w:tcPr>
            <w:tcW w:w="1134" w:type="dxa"/>
            <w:noWrap w:val="0"/>
            <w:vAlign w:val="center"/>
          </w:tcPr>
          <w:p w14:paraId="216DB21E">
            <w:pPr>
              <w:snapToGrid w:val="0"/>
              <w:spacing w:line="320" w:lineRule="exact"/>
              <w:jc w:val="center"/>
              <w:rPr>
                <w:rFonts w:ascii="宋体" w:hAnsi="宋体"/>
                <w:sz w:val="21"/>
                <w:szCs w:val="21"/>
                <w:highlight w:val="none"/>
              </w:rPr>
            </w:pPr>
            <w:r>
              <w:rPr>
                <w:rFonts w:ascii="宋体" w:hAnsi="宋体"/>
                <w:sz w:val="21"/>
                <w:szCs w:val="21"/>
                <w:highlight w:val="none"/>
              </w:rPr>
              <w:t>分值</w:t>
            </w:r>
          </w:p>
          <w:p w14:paraId="03D76ED2">
            <w:pPr>
              <w:snapToGrid w:val="0"/>
              <w:spacing w:line="320" w:lineRule="exact"/>
              <w:jc w:val="center"/>
              <w:rPr>
                <w:rFonts w:ascii="宋体" w:hAnsi="宋体"/>
                <w:sz w:val="21"/>
                <w:szCs w:val="21"/>
                <w:highlight w:val="none"/>
              </w:rPr>
            </w:pPr>
            <w:r>
              <w:rPr>
                <w:rFonts w:ascii="宋体" w:hAnsi="宋体"/>
                <w:sz w:val="21"/>
                <w:szCs w:val="21"/>
                <w:highlight w:val="none"/>
              </w:rPr>
              <w:t>构成</w:t>
            </w:r>
          </w:p>
        </w:tc>
        <w:tc>
          <w:tcPr>
            <w:tcW w:w="7250" w:type="dxa"/>
            <w:noWrap w:val="0"/>
            <w:vAlign w:val="center"/>
          </w:tcPr>
          <w:p w14:paraId="69E42000">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第一信封（商务及技术文件）评分分值构成：</w:t>
            </w:r>
          </w:p>
          <w:p w14:paraId="0A031E40">
            <w:pPr>
              <w:autoSpaceDE w:val="0"/>
              <w:autoSpaceDN w:val="0"/>
              <w:adjustRightInd w:val="0"/>
              <w:snapToGrid w:val="0"/>
              <w:spacing w:line="320" w:lineRule="exact"/>
              <w:ind w:left="107"/>
              <w:jc w:val="left"/>
              <w:rPr>
                <w:rFonts w:hint="default"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商务部分：30</w:t>
            </w:r>
            <w:r>
              <w:rPr>
                <w:rFonts w:ascii="宋体" w:hAnsi="宋体"/>
                <w:kern w:val="0"/>
                <w:sz w:val="21"/>
                <w:szCs w:val="21"/>
                <w:highlight w:val="none"/>
              </w:rPr>
              <w:t>分</w:t>
            </w:r>
          </w:p>
          <w:p w14:paraId="45FAE09D">
            <w:pPr>
              <w:autoSpaceDE w:val="0"/>
              <w:autoSpaceDN w:val="0"/>
              <w:adjustRightInd w:val="0"/>
              <w:snapToGrid w:val="0"/>
              <w:spacing w:line="320" w:lineRule="exact"/>
              <w:ind w:left="107"/>
              <w:jc w:val="left"/>
              <w:rPr>
                <w:rFonts w:ascii="宋体" w:hAnsi="宋体"/>
                <w:kern w:val="0"/>
                <w:sz w:val="21"/>
                <w:szCs w:val="21"/>
                <w:highlight w:val="none"/>
              </w:rPr>
            </w:pPr>
            <w:r>
              <w:rPr>
                <w:rFonts w:hint="eastAsia" w:ascii="宋体" w:hAnsi="宋体"/>
                <w:kern w:val="0"/>
                <w:sz w:val="21"/>
                <w:szCs w:val="21"/>
                <w:highlight w:val="none"/>
                <w:lang w:eastAsia="zh-CN"/>
              </w:rPr>
              <w:t>服务方案</w:t>
            </w:r>
            <w:r>
              <w:rPr>
                <w:rFonts w:ascii="宋体" w:hAnsi="宋体"/>
                <w:kern w:val="0"/>
                <w:sz w:val="21"/>
                <w:szCs w:val="21"/>
                <w:highlight w:val="none"/>
              </w:rPr>
              <w:t>：</w:t>
            </w:r>
            <w:r>
              <w:rPr>
                <w:rFonts w:hint="eastAsia" w:ascii="宋体" w:hAnsi="宋体"/>
                <w:kern w:val="0"/>
                <w:sz w:val="21"/>
                <w:szCs w:val="21"/>
                <w:highlight w:val="none"/>
                <w:lang w:val="en-US" w:eastAsia="zh-CN"/>
              </w:rPr>
              <w:t>40</w:t>
            </w:r>
            <w:r>
              <w:rPr>
                <w:rFonts w:ascii="宋体" w:hAnsi="宋体"/>
                <w:kern w:val="0"/>
                <w:sz w:val="21"/>
                <w:szCs w:val="21"/>
                <w:highlight w:val="none"/>
              </w:rPr>
              <w:t>分</w:t>
            </w:r>
          </w:p>
          <w:p w14:paraId="7E5D2264">
            <w:pPr>
              <w:autoSpaceDE w:val="0"/>
              <w:autoSpaceDN w:val="0"/>
              <w:adjustRightInd w:val="0"/>
              <w:snapToGrid w:val="0"/>
              <w:spacing w:line="320" w:lineRule="exact"/>
              <w:ind w:left="107"/>
              <w:jc w:val="left"/>
              <w:rPr>
                <w:rFonts w:ascii="宋体" w:hAnsi="宋体"/>
                <w:kern w:val="0"/>
                <w:sz w:val="21"/>
                <w:szCs w:val="21"/>
                <w:highlight w:val="none"/>
              </w:rPr>
            </w:pPr>
          </w:p>
          <w:p w14:paraId="2959273A">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第二信封（报价文件）评分分值构成：</w:t>
            </w:r>
          </w:p>
          <w:p w14:paraId="36B0FC21">
            <w:pPr>
              <w:autoSpaceDE w:val="0"/>
              <w:autoSpaceDN w:val="0"/>
              <w:adjustRightInd w:val="0"/>
              <w:snapToGrid w:val="0"/>
              <w:spacing w:line="320" w:lineRule="exact"/>
              <w:ind w:left="107"/>
              <w:jc w:val="left"/>
              <w:rPr>
                <w:rFonts w:ascii="宋体" w:hAnsi="宋体"/>
                <w:sz w:val="21"/>
                <w:szCs w:val="21"/>
                <w:highlight w:val="none"/>
              </w:rPr>
            </w:pPr>
            <w:r>
              <w:rPr>
                <w:rFonts w:ascii="宋体" w:hAnsi="宋体"/>
                <w:sz w:val="21"/>
                <w:szCs w:val="21"/>
                <w:highlight w:val="none"/>
              </w:rPr>
              <w:t>评 标 价：</w:t>
            </w:r>
            <w:r>
              <w:rPr>
                <w:rFonts w:hint="eastAsia" w:ascii="宋体" w:hAnsi="宋体"/>
                <w:sz w:val="21"/>
                <w:szCs w:val="21"/>
                <w:highlight w:val="none"/>
              </w:rPr>
              <w:t>30</w:t>
            </w:r>
            <w:r>
              <w:rPr>
                <w:rFonts w:ascii="宋体" w:hAnsi="宋体"/>
                <w:sz w:val="21"/>
                <w:szCs w:val="21"/>
                <w:highlight w:val="none"/>
              </w:rPr>
              <w:t>分</w:t>
            </w:r>
          </w:p>
        </w:tc>
      </w:tr>
      <w:tr w14:paraId="6CCA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59" w:type="dxa"/>
            <w:noWrap w:val="0"/>
            <w:vAlign w:val="center"/>
          </w:tcPr>
          <w:p w14:paraId="24FAB0A0">
            <w:pPr>
              <w:snapToGrid w:val="0"/>
              <w:spacing w:line="320" w:lineRule="exact"/>
              <w:ind w:right="113"/>
              <w:jc w:val="center"/>
              <w:rPr>
                <w:rFonts w:ascii="宋体" w:hAnsi="宋体"/>
                <w:sz w:val="21"/>
                <w:szCs w:val="21"/>
                <w:highlight w:val="none"/>
              </w:rPr>
            </w:pPr>
            <w:r>
              <w:rPr>
                <w:rFonts w:ascii="宋体" w:hAnsi="宋体"/>
                <w:sz w:val="21"/>
                <w:szCs w:val="21"/>
                <w:highlight w:val="none"/>
              </w:rPr>
              <w:t>2.2.2</w:t>
            </w:r>
          </w:p>
        </w:tc>
        <w:tc>
          <w:tcPr>
            <w:tcW w:w="1134" w:type="dxa"/>
            <w:noWrap w:val="0"/>
            <w:vAlign w:val="center"/>
          </w:tcPr>
          <w:p w14:paraId="76FFB14E">
            <w:pPr>
              <w:snapToGrid w:val="0"/>
              <w:spacing w:line="320" w:lineRule="exact"/>
              <w:ind w:left="2"/>
              <w:jc w:val="center"/>
              <w:rPr>
                <w:rFonts w:ascii="宋体" w:hAnsi="宋体"/>
                <w:sz w:val="21"/>
                <w:szCs w:val="21"/>
                <w:highlight w:val="none"/>
              </w:rPr>
            </w:pPr>
            <w:r>
              <w:rPr>
                <w:rFonts w:ascii="宋体" w:hAnsi="宋体"/>
                <w:sz w:val="21"/>
                <w:szCs w:val="21"/>
                <w:highlight w:val="none"/>
              </w:rPr>
              <w:t>评标基准价计算方法</w:t>
            </w:r>
          </w:p>
        </w:tc>
        <w:tc>
          <w:tcPr>
            <w:tcW w:w="7250" w:type="dxa"/>
            <w:noWrap w:val="0"/>
            <w:vAlign w:val="center"/>
          </w:tcPr>
          <w:p w14:paraId="516F9A12">
            <w:pPr>
              <w:snapToGrid w:val="0"/>
              <w:spacing w:line="320" w:lineRule="exact"/>
              <w:jc w:val="left"/>
              <w:rPr>
                <w:rFonts w:ascii="宋体" w:hAnsi="宋体"/>
                <w:b/>
                <w:sz w:val="21"/>
                <w:szCs w:val="21"/>
                <w:highlight w:val="none"/>
              </w:rPr>
            </w:pPr>
            <w:r>
              <w:rPr>
                <w:rFonts w:ascii="宋体" w:hAnsi="宋体"/>
                <w:b/>
                <w:sz w:val="21"/>
                <w:szCs w:val="21"/>
                <w:highlight w:val="none"/>
              </w:rPr>
              <w:t>评标基准价的计算：</w:t>
            </w:r>
          </w:p>
          <w:p w14:paraId="2909B903">
            <w:pPr>
              <w:snapToGrid w:val="0"/>
              <w:spacing w:line="320" w:lineRule="exact"/>
              <w:ind w:right="113"/>
              <w:rPr>
                <w:rFonts w:ascii="宋体" w:hAnsi="宋体"/>
                <w:sz w:val="21"/>
                <w:szCs w:val="21"/>
                <w:highlight w:val="none"/>
              </w:rPr>
            </w:pPr>
            <w:r>
              <w:rPr>
                <w:rFonts w:ascii="宋体" w:hAnsi="宋体"/>
                <w:sz w:val="21"/>
                <w:szCs w:val="21"/>
                <w:highlight w:val="none"/>
              </w:rPr>
              <w:t>在开标现场，招标人将当场计算并宣布评标基准价。</w:t>
            </w:r>
          </w:p>
          <w:p w14:paraId="3F752F18">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（1）评标价的确定：</w:t>
            </w:r>
          </w:p>
          <w:p w14:paraId="1988AC07">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评标价=投标函报价</w:t>
            </w:r>
          </w:p>
          <w:p w14:paraId="04D640E1">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（2）评标价平均值的计算：</w:t>
            </w:r>
          </w:p>
          <w:p w14:paraId="6F3EA0EF">
            <w:pPr>
              <w:snapToGrid w:val="0"/>
              <w:spacing w:line="320" w:lineRule="exact"/>
              <w:ind w:right="113" w:firstLine="426" w:firstLineChars="203"/>
              <w:rPr>
                <w:rFonts w:ascii="宋体" w:hAnsi="宋体"/>
                <w:sz w:val="21"/>
                <w:szCs w:val="21"/>
                <w:highlight w:val="none"/>
              </w:rPr>
            </w:pPr>
            <w:r>
              <w:rPr>
                <w:rFonts w:hint="eastAsia" w:ascii="宋体" w:hAnsi="宋体" w:cs="宋体"/>
                <w:color w:val="auto"/>
                <w:kern w:val="2"/>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r>
              <w:rPr>
                <w:rFonts w:ascii="宋体" w:hAnsi="宋体"/>
                <w:sz w:val="21"/>
                <w:szCs w:val="21"/>
                <w:highlight w:val="none"/>
              </w:rPr>
              <w:t>值。</w:t>
            </w:r>
          </w:p>
          <w:p w14:paraId="139E484A">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（3）评标基准价的确定：</w:t>
            </w:r>
          </w:p>
          <w:p w14:paraId="43625912">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将评标价平均值直接作为评标基准价（评标基准价保留小数点后两位，小数点后第三位四舍五入）。</w:t>
            </w:r>
          </w:p>
          <w:p w14:paraId="450768A5">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9B0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9" w:type="dxa"/>
            <w:noWrap w:val="0"/>
            <w:vAlign w:val="center"/>
          </w:tcPr>
          <w:p w14:paraId="6B2A4A7D">
            <w:pPr>
              <w:snapToGrid w:val="0"/>
              <w:spacing w:line="320" w:lineRule="exact"/>
              <w:ind w:right="113"/>
              <w:jc w:val="center"/>
              <w:rPr>
                <w:rFonts w:ascii="宋体" w:hAnsi="宋体"/>
                <w:sz w:val="21"/>
                <w:szCs w:val="21"/>
                <w:highlight w:val="none"/>
              </w:rPr>
            </w:pPr>
            <w:r>
              <w:rPr>
                <w:rFonts w:ascii="宋体" w:hAnsi="宋体"/>
                <w:sz w:val="21"/>
                <w:szCs w:val="21"/>
                <w:highlight w:val="none"/>
              </w:rPr>
              <w:t>2.2.3</w:t>
            </w:r>
          </w:p>
        </w:tc>
        <w:tc>
          <w:tcPr>
            <w:tcW w:w="1134" w:type="dxa"/>
            <w:noWrap w:val="0"/>
            <w:vAlign w:val="center"/>
          </w:tcPr>
          <w:p w14:paraId="5983CB83">
            <w:pPr>
              <w:snapToGrid w:val="0"/>
              <w:spacing w:line="320" w:lineRule="exact"/>
              <w:ind w:left="-42" w:leftChars="-15" w:right="-77"/>
              <w:rPr>
                <w:rFonts w:ascii="宋体" w:hAnsi="宋体"/>
                <w:sz w:val="21"/>
                <w:szCs w:val="21"/>
                <w:highlight w:val="none"/>
              </w:rPr>
            </w:pPr>
            <w:r>
              <w:rPr>
                <w:rFonts w:ascii="宋体" w:hAnsi="宋体"/>
                <w:sz w:val="21"/>
                <w:szCs w:val="21"/>
                <w:highlight w:val="none"/>
              </w:rPr>
              <w:t>评标价的偏差率计算公式</w:t>
            </w:r>
          </w:p>
        </w:tc>
        <w:tc>
          <w:tcPr>
            <w:tcW w:w="7250" w:type="dxa"/>
            <w:noWrap w:val="0"/>
            <w:vAlign w:val="center"/>
          </w:tcPr>
          <w:p w14:paraId="13BE52EC">
            <w:pPr>
              <w:snapToGrid w:val="0"/>
              <w:spacing w:line="320" w:lineRule="exact"/>
              <w:ind w:right="113"/>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w:t>
            </w:r>
          </w:p>
        </w:tc>
      </w:tr>
      <w:tr w14:paraId="0761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959" w:type="dxa"/>
            <w:noWrap w:val="0"/>
            <w:vAlign w:val="center"/>
          </w:tcPr>
          <w:p w14:paraId="42B9260B">
            <w:pPr>
              <w:snapToGrid w:val="0"/>
              <w:spacing w:line="320" w:lineRule="exact"/>
              <w:ind w:right="113"/>
              <w:jc w:val="center"/>
              <w:rPr>
                <w:rFonts w:ascii="宋体" w:hAnsi="宋体"/>
                <w:sz w:val="21"/>
                <w:szCs w:val="21"/>
                <w:highlight w:val="none"/>
              </w:rPr>
            </w:pPr>
            <w:r>
              <w:rPr>
                <w:rFonts w:ascii="宋体" w:hAnsi="宋体"/>
                <w:sz w:val="21"/>
                <w:szCs w:val="21"/>
                <w:highlight w:val="none"/>
              </w:rPr>
              <w:t>3.6.1</w:t>
            </w:r>
          </w:p>
        </w:tc>
        <w:tc>
          <w:tcPr>
            <w:tcW w:w="1134" w:type="dxa"/>
            <w:noWrap w:val="0"/>
            <w:vAlign w:val="center"/>
          </w:tcPr>
          <w:p w14:paraId="1C297FB4">
            <w:pPr>
              <w:snapToGrid w:val="0"/>
              <w:spacing w:line="320" w:lineRule="exact"/>
              <w:ind w:left="-42" w:leftChars="-15" w:right="-77"/>
              <w:rPr>
                <w:rFonts w:ascii="宋体" w:hAnsi="宋体"/>
                <w:sz w:val="21"/>
                <w:szCs w:val="21"/>
                <w:highlight w:val="none"/>
              </w:rPr>
            </w:pPr>
            <w:r>
              <w:rPr>
                <w:rFonts w:ascii="宋体" w:hAnsi="宋体"/>
                <w:sz w:val="21"/>
                <w:szCs w:val="21"/>
                <w:highlight w:val="none"/>
              </w:rPr>
              <w:t>投标文件相关信息核查</w:t>
            </w:r>
          </w:p>
        </w:tc>
        <w:tc>
          <w:tcPr>
            <w:tcW w:w="7250" w:type="dxa"/>
            <w:noWrap w:val="0"/>
            <w:vAlign w:val="center"/>
          </w:tcPr>
          <w:p w14:paraId="4A0E122F">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本款修改为：</w:t>
            </w:r>
          </w:p>
          <w:p w14:paraId="402FE2D2">
            <w:pPr>
              <w:adjustRightInd w:val="0"/>
              <w:snapToGrid w:val="0"/>
              <w:spacing w:line="320" w:lineRule="exact"/>
              <w:ind w:firstLine="210" w:firstLineChars="100"/>
              <w:rPr>
                <w:rFonts w:hint="eastAsia" w:ascii="宋体" w:hAnsi="宋体"/>
                <w:sz w:val="21"/>
                <w:szCs w:val="21"/>
                <w:highlight w:val="none"/>
              </w:rPr>
            </w:pPr>
            <w:r>
              <w:rPr>
                <w:rFonts w:hint="eastAsia" w:ascii="宋体" w:hAnsi="宋体"/>
                <w:sz w:val="21"/>
                <w:szCs w:val="21"/>
                <w:highlight w:val="none"/>
              </w:rPr>
              <w:t>（1）投标人信用情况网页截图内容与在“国家企业信用信息公示系统”中严重违法失信名单（黑名单）信息（不含分公司）或在“信用中国”网站中失信被执行人、</w:t>
            </w:r>
            <w:r>
              <w:rPr>
                <w:rFonts w:hint="eastAsia" w:ascii="宋体" w:hAnsi="宋体"/>
                <w:sz w:val="21"/>
                <w:szCs w:val="21"/>
                <w:highlight w:val="none"/>
                <w:lang w:eastAsia="zh-CN"/>
              </w:rPr>
              <w:t>经营（活动）异常名录</w:t>
            </w:r>
            <w:r>
              <w:rPr>
                <w:rFonts w:hint="eastAsia" w:ascii="宋体" w:hAnsi="宋体"/>
                <w:sz w:val="21"/>
                <w:szCs w:val="21"/>
                <w:highlight w:val="none"/>
              </w:rPr>
              <w:t>、重大税收违法失信主体、政府采购严重违法失信行为记录名单（均不含分公司）的复核结果一致。如投标人未提供相关网页截图或所附截图与复核结果不一致，评标委员会应否决其投标。</w:t>
            </w:r>
          </w:p>
          <w:p w14:paraId="1BB6AE31">
            <w:pPr>
              <w:adjustRightInd w:val="0"/>
              <w:snapToGrid w:val="0"/>
              <w:spacing w:line="320" w:lineRule="exact"/>
              <w:ind w:firstLine="210" w:firstLineChars="100"/>
              <w:rPr>
                <w:rFonts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w:t>
            </w:r>
            <w:r>
              <w:rPr>
                <w:rFonts w:hint="eastAsia" w:ascii="宋体" w:hAnsi="宋体"/>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r>
              <w:rPr>
                <w:rFonts w:hint="eastAsia" w:ascii="宋体" w:hAnsi="宋体"/>
                <w:sz w:val="21"/>
                <w:szCs w:val="21"/>
                <w:highlight w:val="none"/>
                <w:lang w:eastAsia="zh-CN"/>
              </w:rPr>
              <w:t>。</w:t>
            </w:r>
          </w:p>
        </w:tc>
      </w:tr>
    </w:tbl>
    <w:p w14:paraId="672815DA">
      <w:pPr>
        <w:jc w:val="right"/>
        <w:rPr>
          <w:sz w:val="24"/>
          <w:highlight w:val="none"/>
        </w:rPr>
      </w:pPr>
      <w:r>
        <w:rPr>
          <w:sz w:val="24"/>
          <w:highlight w:val="none"/>
        </w:rPr>
        <w:br w:type="page"/>
      </w:r>
      <w:r>
        <w:rPr>
          <w:sz w:val="24"/>
          <w:highlight w:val="none"/>
        </w:rPr>
        <w:t>续上表</w:t>
      </w:r>
    </w:p>
    <w:tbl>
      <w:tblPr>
        <w:tblStyle w:val="14"/>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675"/>
        <w:gridCol w:w="1089"/>
        <w:gridCol w:w="430"/>
        <w:gridCol w:w="6380"/>
      </w:tblGrid>
      <w:tr w14:paraId="7E7F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98" w:type="dxa"/>
            <w:gridSpan w:val="4"/>
            <w:tcBorders>
              <w:top w:val="single" w:color="000000" w:sz="4" w:space="0"/>
              <w:left w:val="single" w:color="000000" w:sz="4" w:space="0"/>
              <w:bottom w:val="single" w:color="000000" w:sz="4" w:space="0"/>
              <w:right w:val="single" w:color="000000" w:sz="4" w:space="0"/>
            </w:tcBorders>
            <w:noWrap w:val="0"/>
            <w:vAlign w:val="center"/>
          </w:tcPr>
          <w:p w14:paraId="5C1FEE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评审因素与权重分值</w:t>
            </w:r>
          </w:p>
        </w:tc>
        <w:tc>
          <w:tcPr>
            <w:tcW w:w="6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B6CF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评分标准</w:t>
            </w:r>
          </w:p>
        </w:tc>
      </w:tr>
      <w:tr w14:paraId="47D0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04" w:type="dxa"/>
            <w:tcBorders>
              <w:top w:val="single" w:color="000000" w:sz="4" w:space="0"/>
              <w:left w:val="single" w:color="000000" w:sz="4" w:space="0"/>
              <w:right w:val="single" w:color="000000" w:sz="4" w:space="0"/>
            </w:tcBorders>
            <w:noWrap w:val="0"/>
            <w:vAlign w:val="center"/>
          </w:tcPr>
          <w:p w14:paraId="3374DB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评分</w:t>
            </w:r>
          </w:p>
          <w:p w14:paraId="3889F2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因素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B9E4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评分因素权重分值</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5558F6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各评分因素细分项</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14:paraId="053F84D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6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E7986">
            <w:pPr>
              <w:jc w:val="center"/>
              <w:rPr>
                <w:rFonts w:hint="eastAsia" w:ascii="宋体" w:hAnsi="宋体" w:eastAsia="宋体" w:cs="宋体"/>
                <w:b/>
                <w:bCs/>
                <w:i w:val="0"/>
                <w:iCs w:val="0"/>
                <w:color w:val="auto"/>
                <w:sz w:val="21"/>
                <w:szCs w:val="21"/>
                <w:highlight w:val="none"/>
                <w:u w:val="none"/>
              </w:rPr>
            </w:pPr>
          </w:p>
        </w:tc>
      </w:tr>
      <w:tr w14:paraId="2E00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1"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9C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商务部分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4C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0分</w:t>
            </w:r>
          </w:p>
        </w:tc>
        <w:tc>
          <w:tcPr>
            <w:tcW w:w="1089" w:type="dxa"/>
            <w:vMerge w:val="restart"/>
            <w:tcBorders>
              <w:top w:val="single" w:color="000000" w:sz="4" w:space="0"/>
              <w:left w:val="single" w:color="000000" w:sz="4" w:space="0"/>
              <w:right w:val="single" w:color="000000" w:sz="4" w:space="0"/>
            </w:tcBorders>
            <w:noWrap w:val="0"/>
            <w:vAlign w:val="center"/>
          </w:tcPr>
          <w:p w14:paraId="066BB6CB">
            <w:pPr>
              <w:pStyle w:val="31"/>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全国范围内承销金额</w:t>
            </w:r>
          </w:p>
          <w:p w14:paraId="0E2B09F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（2标段：券商类）</w:t>
            </w:r>
          </w:p>
        </w:tc>
        <w:tc>
          <w:tcPr>
            <w:tcW w:w="430" w:type="dxa"/>
            <w:vMerge w:val="restart"/>
            <w:tcBorders>
              <w:top w:val="single" w:color="000000" w:sz="4" w:space="0"/>
              <w:left w:val="single" w:color="000000" w:sz="4" w:space="0"/>
              <w:right w:val="single" w:color="000000" w:sz="4" w:space="0"/>
            </w:tcBorders>
            <w:noWrap w:val="0"/>
            <w:vAlign w:val="center"/>
          </w:tcPr>
          <w:p w14:paraId="4F6D159C">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391176A">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承销全国范围内中期票据、短期融资券（含</w:t>
            </w:r>
            <w:r>
              <w:rPr>
                <w:rFonts w:hint="eastAsia" w:ascii="宋体" w:hAnsi="宋体" w:cs="宋体"/>
                <w:i w:val="0"/>
                <w:iCs w:val="0"/>
                <w:color w:val="auto"/>
                <w:kern w:val="0"/>
                <w:sz w:val="21"/>
                <w:szCs w:val="21"/>
                <w:highlight w:val="none"/>
                <w:u w:val="none"/>
                <w:lang w:val="en-US" w:eastAsia="zh-CN" w:bidi="ar"/>
              </w:rPr>
              <w:t>一般短期和</w:t>
            </w:r>
            <w:r>
              <w:rPr>
                <w:rFonts w:hint="eastAsia" w:ascii="宋体" w:hAnsi="宋体" w:eastAsia="宋体" w:cs="宋体"/>
                <w:i w:val="0"/>
                <w:iCs w:val="0"/>
                <w:color w:val="auto"/>
                <w:kern w:val="0"/>
                <w:sz w:val="21"/>
                <w:szCs w:val="21"/>
                <w:highlight w:val="none"/>
                <w:u w:val="none"/>
                <w:lang w:val="en-US" w:eastAsia="zh-CN" w:bidi="ar"/>
              </w:rPr>
              <w:t>超短期融资券）以及定向工具承销累计金额：承销金额≥</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00亿元得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44</w:t>
            </w:r>
            <w:r>
              <w:rPr>
                <w:rFonts w:hint="eastAsia" w:ascii="宋体" w:hAnsi="宋体" w:eastAsia="宋体" w:cs="宋体"/>
                <w:i w:val="0"/>
                <w:iCs w:val="0"/>
                <w:color w:val="auto"/>
                <w:kern w:val="0"/>
                <w:sz w:val="21"/>
                <w:szCs w:val="21"/>
                <w:highlight w:val="none"/>
                <w:u w:val="none"/>
                <w:lang w:val="en-US" w:eastAsia="zh-CN" w:bidi="ar"/>
              </w:rPr>
              <w:t>0亿元≤承销金额＜</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00亿元得</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37</w:t>
            </w:r>
            <w:r>
              <w:rPr>
                <w:rFonts w:hint="eastAsia" w:ascii="宋体" w:hAnsi="宋体" w:eastAsia="宋体" w:cs="宋体"/>
                <w:i w:val="0"/>
                <w:iCs w:val="0"/>
                <w:color w:val="auto"/>
                <w:kern w:val="0"/>
                <w:sz w:val="21"/>
                <w:szCs w:val="21"/>
                <w:highlight w:val="none"/>
                <w:u w:val="none"/>
                <w:lang w:val="en-US" w:eastAsia="zh-CN" w:bidi="ar"/>
              </w:rPr>
              <w:t>0亿元≤承销金额＜</w:t>
            </w:r>
            <w:r>
              <w:rPr>
                <w:rFonts w:hint="eastAsia" w:ascii="宋体" w:hAnsi="宋体" w:cs="宋体"/>
                <w:i w:val="0"/>
                <w:iCs w:val="0"/>
                <w:color w:val="auto"/>
                <w:kern w:val="0"/>
                <w:sz w:val="21"/>
                <w:szCs w:val="21"/>
                <w:highlight w:val="none"/>
                <w:u w:val="none"/>
                <w:lang w:val="en-US" w:eastAsia="zh-CN" w:bidi="ar"/>
              </w:rPr>
              <w:t>44</w:t>
            </w:r>
            <w:r>
              <w:rPr>
                <w:rFonts w:hint="eastAsia" w:ascii="宋体" w:hAnsi="宋体" w:eastAsia="宋体" w:cs="宋体"/>
                <w:i w:val="0"/>
                <w:iCs w:val="0"/>
                <w:color w:val="auto"/>
                <w:kern w:val="0"/>
                <w:sz w:val="21"/>
                <w:szCs w:val="21"/>
                <w:highlight w:val="none"/>
                <w:u w:val="none"/>
                <w:lang w:val="en-US" w:eastAsia="zh-CN" w:bidi="ar"/>
              </w:rPr>
              <w:t>0亿元得</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00亿元≤承销金额＜</w:t>
            </w:r>
            <w:r>
              <w:rPr>
                <w:rFonts w:hint="eastAsia" w:ascii="宋体" w:hAnsi="宋体" w:cs="宋体"/>
                <w:i w:val="0"/>
                <w:iCs w:val="0"/>
                <w:color w:val="auto"/>
                <w:kern w:val="0"/>
                <w:sz w:val="21"/>
                <w:szCs w:val="21"/>
                <w:highlight w:val="none"/>
                <w:u w:val="none"/>
                <w:lang w:val="en-US" w:eastAsia="zh-CN" w:bidi="ar"/>
              </w:rPr>
              <w:t>37</w:t>
            </w:r>
            <w:r>
              <w:rPr>
                <w:rFonts w:hint="eastAsia" w:ascii="宋体" w:hAnsi="宋体" w:eastAsia="宋体" w:cs="宋体"/>
                <w:i w:val="0"/>
                <w:iCs w:val="0"/>
                <w:color w:val="auto"/>
                <w:kern w:val="0"/>
                <w:sz w:val="21"/>
                <w:szCs w:val="21"/>
                <w:highlight w:val="none"/>
                <w:u w:val="none"/>
                <w:lang w:val="en-US" w:eastAsia="zh-CN" w:bidi="ar"/>
              </w:rPr>
              <w:t>0亿元得</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承销金额＜</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00亿元得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14:paraId="0607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5C90F">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73E03">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352A9B70">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5CFE9B0E">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5994A42">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14:paraId="2217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B84AE">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767DA">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7EE613C">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6C5291AA">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BC3148C">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1、数据区间为2024年1月1日-2025年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w:t>
            </w:r>
          </w:p>
        </w:tc>
      </w:tr>
      <w:tr w14:paraId="36AA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886F3">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7AD88">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5A01B5DD">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5EC1B282">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53A71824">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14:paraId="42B6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FF55E">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D44C5">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5768511D">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6C61C066">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00B9600">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14:paraId="0BF3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4B115">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93103">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C2385A8">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24E061F7">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4E77DB1">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（2）筛选条件：选中“任意区间”，起止时间选择“2024年1月1日至2025年6月30日”，机构类型选择“</w:t>
            </w:r>
            <w:r>
              <w:rPr>
                <w:rFonts w:hint="eastAsia" w:ascii="宋体" w:hAnsi="宋体" w:cs="宋体"/>
                <w:i w:val="0"/>
                <w:iCs w:val="0"/>
                <w:color w:val="auto"/>
                <w:kern w:val="0"/>
                <w:sz w:val="21"/>
                <w:szCs w:val="21"/>
                <w:highlight w:val="none"/>
                <w:u w:val="none"/>
                <w:lang w:val="en-US" w:eastAsia="zh-CN" w:bidi="ar"/>
              </w:rPr>
              <w:t>证券</w:t>
            </w:r>
            <w:r>
              <w:rPr>
                <w:rFonts w:hint="eastAsia" w:ascii="宋体" w:hAnsi="宋体" w:eastAsia="宋体" w:cs="宋体"/>
                <w:i w:val="0"/>
                <w:iCs w:val="0"/>
                <w:color w:val="auto"/>
                <w:kern w:val="0"/>
                <w:sz w:val="21"/>
                <w:szCs w:val="21"/>
                <w:highlight w:val="none"/>
                <w:u w:val="none"/>
                <w:lang w:val="en-US" w:eastAsia="zh-CN" w:bidi="ar"/>
              </w:rPr>
              <w:t>”，债券分类选择“中期票据、短期融资券（含</w:t>
            </w:r>
            <w:r>
              <w:rPr>
                <w:rFonts w:hint="eastAsia" w:ascii="宋体" w:hAnsi="宋体" w:cs="宋体"/>
                <w:i w:val="0"/>
                <w:iCs w:val="0"/>
                <w:color w:val="auto"/>
                <w:kern w:val="0"/>
                <w:sz w:val="21"/>
                <w:szCs w:val="21"/>
                <w:highlight w:val="none"/>
                <w:u w:val="none"/>
                <w:lang w:val="en-US" w:eastAsia="zh-CN" w:bidi="ar"/>
              </w:rPr>
              <w:t>一般短期和</w:t>
            </w:r>
            <w:r>
              <w:rPr>
                <w:rFonts w:hint="eastAsia" w:ascii="宋体" w:hAnsi="宋体" w:eastAsia="宋体" w:cs="宋体"/>
                <w:i w:val="0"/>
                <w:iCs w:val="0"/>
                <w:color w:val="auto"/>
                <w:kern w:val="0"/>
                <w:sz w:val="21"/>
                <w:szCs w:val="21"/>
                <w:highlight w:val="none"/>
                <w:u w:val="none"/>
                <w:lang w:val="en-US" w:eastAsia="zh-CN" w:bidi="ar"/>
              </w:rPr>
              <w:t>超短期融资券）和定向工具”，“企业性质”选择“地方国有企业”“地域分类”选择“全国”，主体口径选择“穿透信用主体”，勾选“联主实际比例”，以“合并母子公司”数据为准。</w:t>
            </w:r>
          </w:p>
        </w:tc>
      </w:tr>
      <w:tr w14:paraId="730C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B4B74">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577A6">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719A58B">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1050ACCD">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0913506">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14:paraId="7986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1D831">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B07A1">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bottom w:val="single" w:color="auto" w:sz="4" w:space="0"/>
              <w:right w:val="single" w:color="000000" w:sz="4" w:space="0"/>
            </w:tcBorders>
            <w:noWrap w:val="0"/>
            <w:vAlign w:val="center"/>
          </w:tcPr>
          <w:p w14:paraId="057FC88D">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bottom w:val="single" w:color="auto" w:sz="4" w:space="0"/>
              <w:right w:val="single" w:color="000000" w:sz="4" w:space="0"/>
            </w:tcBorders>
            <w:noWrap w:val="0"/>
            <w:vAlign w:val="center"/>
          </w:tcPr>
          <w:p w14:paraId="37F5A8D4">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213170B">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14:paraId="3509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817F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A74B1">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auto" w:sz="4" w:space="0"/>
              <w:left w:val="single" w:color="000000" w:sz="4" w:space="0"/>
              <w:right w:val="single" w:color="000000" w:sz="4" w:space="0"/>
            </w:tcBorders>
            <w:noWrap w:val="0"/>
            <w:vAlign w:val="center"/>
          </w:tcPr>
          <w:p w14:paraId="1CBAEA8D">
            <w:pPr>
              <w:pStyle w:val="31"/>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全国范围内承销金只数</w:t>
            </w:r>
          </w:p>
          <w:p w14:paraId="0493E39B">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（2标段：券商类）</w:t>
            </w:r>
          </w:p>
        </w:tc>
        <w:tc>
          <w:tcPr>
            <w:tcW w:w="430" w:type="dxa"/>
            <w:vMerge w:val="restart"/>
            <w:tcBorders>
              <w:top w:val="single" w:color="auto" w:sz="4" w:space="0"/>
              <w:left w:val="single" w:color="000000" w:sz="4" w:space="0"/>
              <w:right w:val="single" w:color="000000" w:sz="4" w:space="0"/>
            </w:tcBorders>
            <w:noWrap w:val="0"/>
            <w:vAlign w:val="center"/>
          </w:tcPr>
          <w:p w14:paraId="6EE6CA2C">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31260B5">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承销全国范围内中期票据、短期融资券（含</w:t>
            </w:r>
            <w:r>
              <w:rPr>
                <w:rFonts w:hint="eastAsia" w:ascii="宋体" w:hAnsi="宋体" w:cs="宋体"/>
                <w:i w:val="0"/>
                <w:iCs w:val="0"/>
                <w:color w:val="auto"/>
                <w:kern w:val="0"/>
                <w:sz w:val="21"/>
                <w:szCs w:val="21"/>
                <w:highlight w:val="none"/>
                <w:u w:val="none"/>
                <w:lang w:val="en-US" w:eastAsia="zh-CN" w:bidi="ar"/>
              </w:rPr>
              <w:t>一般短期和</w:t>
            </w:r>
            <w:r>
              <w:rPr>
                <w:rFonts w:hint="eastAsia" w:ascii="宋体" w:hAnsi="宋体" w:eastAsia="宋体" w:cs="宋体"/>
                <w:i w:val="0"/>
                <w:iCs w:val="0"/>
                <w:color w:val="auto"/>
                <w:kern w:val="0"/>
                <w:sz w:val="21"/>
                <w:szCs w:val="21"/>
                <w:highlight w:val="none"/>
                <w:u w:val="none"/>
                <w:lang w:val="en-US" w:eastAsia="zh-CN" w:bidi="ar"/>
              </w:rPr>
              <w:t>超短期融资券）以及定向工具承销累计只数：承销只数≥</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00只得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0只≤承销只数＜</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00只得</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分，150只≤承销只数＜</w:t>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0只得</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分，1</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0只≤承销只数＜</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50只得</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承销只数＜</w:t>
            </w:r>
            <w:r>
              <w:rPr>
                <w:rFonts w:hint="eastAsia" w:ascii="宋体" w:hAnsi="宋体" w:cs="宋体"/>
                <w:i w:val="0"/>
                <w:iCs w:val="0"/>
                <w:color w:val="auto"/>
                <w:kern w:val="0"/>
                <w:sz w:val="21"/>
                <w:szCs w:val="21"/>
                <w:highlight w:val="none"/>
                <w:u w:val="none"/>
                <w:lang w:val="en-US" w:eastAsia="zh-CN" w:bidi="ar"/>
              </w:rPr>
              <w:t>120</w:t>
            </w:r>
            <w:r>
              <w:rPr>
                <w:rFonts w:hint="eastAsia" w:ascii="宋体" w:hAnsi="宋体" w:eastAsia="宋体" w:cs="宋体"/>
                <w:i w:val="0"/>
                <w:iCs w:val="0"/>
                <w:color w:val="auto"/>
                <w:kern w:val="0"/>
                <w:sz w:val="21"/>
                <w:szCs w:val="21"/>
                <w:highlight w:val="none"/>
                <w:u w:val="none"/>
                <w:lang w:val="en-US" w:eastAsia="zh-CN" w:bidi="ar"/>
              </w:rPr>
              <w:t>只得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14:paraId="63E8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922E3">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C6197">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F870B60">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10F94C1A">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A4D5BAC">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14:paraId="4531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FE7EF">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1A30B">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06C7A15D">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756280AA">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8BE268F">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1、数据区间为2024年1月1日-2025年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w:t>
            </w:r>
          </w:p>
        </w:tc>
      </w:tr>
      <w:tr w14:paraId="49B2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E8747">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5FBD2">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26277452">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02EB766F">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BD1A965">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14:paraId="0FC3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025EE">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F5984">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54173C81">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1A545A3A">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CA2A35E">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14:paraId="45FC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D5EB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0CD42">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755522D6">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20126FBD">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B4AD9EE">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年1月1日至202</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月30日”，机构类型选择“</w:t>
            </w:r>
            <w:r>
              <w:rPr>
                <w:rFonts w:hint="eastAsia" w:ascii="宋体" w:hAnsi="宋体" w:cs="宋体"/>
                <w:i w:val="0"/>
                <w:iCs w:val="0"/>
                <w:color w:val="auto"/>
                <w:kern w:val="0"/>
                <w:sz w:val="21"/>
                <w:szCs w:val="21"/>
                <w:highlight w:val="none"/>
                <w:u w:val="none"/>
                <w:lang w:val="en-US" w:eastAsia="zh-CN" w:bidi="ar"/>
              </w:rPr>
              <w:t>证券</w:t>
            </w:r>
            <w:r>
              <w:rPr>
                <w:rFonts w:hint="eastAsia" w:ascii="宋体" w:hAnsi="宋体" w:eastAsia="宋体" w:cs="宋体"/>
                <w:i w:val="0"/>
                <w:iCs w:val="0"/>
                <w:color w:val="auto"/>
                <w:kern w:val="0"/>
                <w:sz w:val="21"/>
                <w:szCs w:val="21"/>
                <w:highlight w:val="none"/>
                <w:u w:val="none"/>
                <w:lang w:val="en-US" w:eastAsia="zh-CN" w:bidi="ar"/>
              </w:rPr>
              <w:t>”，债券分类选择“中期票据、短期融资券和定向工具”，“企业性质”选择“地方国有企业”“地域分类”选择“全国”，主体口径选择“穿透信用主体”，勾选“联主实际比例”，以“合并母子公司”数据为准。</w:t>
            </w:r>
          </w:p>
        </w:tc>
      </w:tr>
      <w:tr w14:paraId="26B9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14092">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62A3A">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4FBC884">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right w:val="single" w:color="000000" w:sz="4" w:space="0"/>
            </w:tcBorders>
            <w:noWrap w:val="0"/>
            <w:vAlign w:val="center"/>
          </w:tcPr>
          <w:p w14:paraId="389DA2EF">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5BC930F">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14:paraId="43F9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4C02A">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18684">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bottom w:val="single" w:color="000000" w:sz="4" w:space="0"/>
              <w:right w:val="single" w:color="000000" w:sz="4" w:space="0"/>
            </w:tcBorders>
            <w:noWrap w:val="0"/>
            <w:vAlign w:val="center"/>
          </w:tcPr>
          <w:p w14:paraId="57142CC9">
            <w:pPr>
              <w:jc w:val="center"/>
              <w:rPr>
                <w:rFonts w:hint="eastAsia" w:ascii="宋体" w:hAnsi="宋体" w:eastAsia="宋体" w:cs="宋体"/>
                <w:i w:val="0"/>
                <w:iCs w:val="0"/>
                <w:color w:val="auto"/>
                <w:sz w:val="21"/>
                <w:szCs w:val="21"/>
                <w:highlight w:val="none"/>
                <w:u w:val="none"/>
              </w:rPr>
            </w:pPr>
          </w:p>
        </w:tc>
        <w:tc>
          <w:tcPr>
            <w:tcW w:w="430" w:type="dxa"/>
            <w:vMerge w:val="continue"/>
            <w:tcBorders>
              <w:left w:val="single" w:color="000000" w:sz="4" w:space="0"/>
              <w:bottom w:val="single" w:color="000000" w:sz="4" w:space="0"/>
              <w:right w:val="single" w:color="000000" w:sz="4" w:space="0"/>
            </w:tcBorders>
            <w:noWrap w:val="0"/>
            <w:vAlign w:val="center"/>
          </w:tcPr>
          <w:p w14:paraId="029EC24B">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4B4A806">
            <w:pPr>
              <w:keepNext w:val="0"/>
              <w:keepLines w:val="0"/>
              <w:pageBreakBefore w:val="0"/>
              <w:widowControl/>
              <w:suppressLineNumbers w:val="0"/>
              <w:kinsoku/>
              <w:wordWrap/>
              <w:overflowPunct/>
              <w:topLinePunct w:val="0"/>
              <w:autoSpaceDE/>
              <w:autoSpaceDN/>
              <w:bidi w:val="0"/>
              <w:snapToGrid w:val="0"/>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14:paraId="1594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44FE1">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64575">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42D63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被协会自律处分情况</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2F36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80E14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被中国银行间市场交易商协会自律处分情况：没有被处罚记录得10分，有被处罚记录的扣5分。</w:t>
            </w:r>
          </w:p>
        </w:tc>
      </w:tr>
      <w:tr w14:paraId="6EA6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2009B">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99A1D">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4DCAE">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142FB">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A1A0B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注：需附中国银行间市场交易商协会官网查询结果截图</w:t>
            </w:r>
          </w:p>
        </w:tc>
      </w:tr>
      <w:tr w14:paraId="047C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0AE27">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902BD">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C62FA">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291D5">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50B81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1、数据区间为2024年1月1日-2025年</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月30日。</w:t>
            </w:r>
          </w:p>
        </w:tc>
      </w:tr>
      <w:tr w14:paraId="02AA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1BFAA">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6B494">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5CA1C">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5CD75">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F304A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2、数据请通过中国银行间市场交易商协会官网查询，查询路径如下：</w:t>
            </w:r>
          </w:p>
        </w:tc>
      </w:tr>
      <w:tr w14:paraId="06F7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7FBF3">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0B5">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8DA1E">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6F50E">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55C80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（1）进入中国银行间市场交易商协会官网-选择自律-自律处分概览；</w:t>
            </w:r>
          </w:p>
        </w:tc>
      </w:tr>
      <w:tr w14:paraId="0D11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1DF57">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9E4B2">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A9DA8">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ECE29">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13F07B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（2）查询条件：选择“处分措施为全部”，起止时间选择“2024年1月1日至2025年6月30日”。</w:t>
            </w:r>
          </w:p>
        </w:tc>
      </w:tr>
      <w:tr w14:paraId="14C6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A2506">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CE63F">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B20D9">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AC225">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86AB6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（3）输入承销商机构名称，点击“查询”，可看到被处分情况。</w:t>
            </w:r>
          </w:p>
        </w:tc>
      </w:tr>
      <w:tr w14:paraId="0658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5557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服务方案部分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5D2D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40分</w:t>
            </w: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706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承销服务方案</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B05B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0C78F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根据本项目特点和发行要求，制定项目方案，包括但不限于政策环境分析、可行性分析、时间安排、相关保障服务（包括不限于余额包销和自主投资能力等）等进行综合评价。</w:t>
            </w:r>
          </w:p>
        </w:tc>
      </w:tr>
      <w:tr w14:paraId="342A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2419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EA4BB">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C8199">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DB9C3">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B3E6F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第一档方案详细完整、针对性强，可行性高、保障措施完备的，得8-10分；</w:t>
            </w:r>
          </w:p>
        </w:tc>
      </w:tr>
      <w:tr w14:paraId="10BF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4330C">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C8239">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58E8B">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82A33">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8B09E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第二档方案基本完整、针对性较强，可行性较高、保障措施较好的，得6-</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p>
        </w:tc>
      </w:tr>
      <w:tr w14:paraId="7110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81637">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52AB4">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D9665">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3F59D">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05386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第三档方案基本完整、针对性一般、可行性一般、保障措施一般的，得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14:paraId="0DCC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BF09B">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01C34">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E308C">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5B05B">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64E3C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缺项或</w:t>
            </w:r>
            <w:r>
              <w:rPr>
                <w:rFonts w:hint="eastAsia" w:ascii="宋体" w:hAnsi="宋体" w:eastAsia="宋体" w:cs="宋体"/>
                <w:i w:val="0"/>
                <w:iCs w:val="0"/>
                <w:color w:val="auto"/>
                <w:kern w:val="0"/>
                <w:sz w:val="21"/>
                <w:szCs w:val="21"/>
                <w:highlight w:val="none"/>
                <w:u w:val="none"/>
                <w:lang w:val="en-US" w:eastAsia="zh-CN" w:bidi="ar"/>
              </w:rPr>
              <w:t>方案有欠缺、针对性较差、可行性一般、保障措施不足的，得0分。</w:t>
            </w:r>
          </w:p>
        </w:tc>
      </w:tr>
      <w:tr w14:paraId="24FD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CC82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750CB">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9E27B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sz w:val="21"/>
                <w:szCs w:val="21"/>
                <w:highlight w:val="none"/>
              </w:rPr>
              <w:t>工作进度安排及保证措施</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70397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6C88FD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sz w:val="21"/>
                <w:szCs w:val="21"/>
                <w:highlight w:val="none"/>
              </w:rPr>
              <w:t>工作进度安排及保证措施</w:t>
            </w:r>
            <w:r>
              <w:rPr>
                <w:rFonts w:hint="eastAsia" w:ascii="宋体" w:hAnsi="宋体" w:eastAsia="宋体" w:cs="宋体"/>
                <w:i w:val="0"/>
                <w:iCs w:val="0"/>
                <w:color w:val="auto"/>
                <w:kern w:val="0"/>
                <w:sz w:val="21"/>
                <w:szCs w:val="21"/>
                <w:highlight w:val="none"/>
                <w:u w:val="none"/>
                <w:lang w:val="en-US" w:eastAsia="zh-CN" w:bidi="ar"/>
              </w:rPr>
              <w:t>：</w:t>
            </w:r>
          </w:p>
        </w:tc>
      </w:tr>
      <w:tr w14:paraId="584E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DC22E">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1137F">
            <w:pPr>
              <w:jc w:val="center"/>
              <w:rPr>
                <w:rFonts w:hint="eastAsia" w:ascii="宋体" w:hAnsi="宋体" w:eastAsia="宋体" w:cs="宋体"/>
                <w:i w:val="0"/>
                <w:iCs w:val="0"/>
                <w:color w:val="auto"/>
                <w:sz w:val="21"/>
                <w:szCs w:val="21"/>
                <w:highlight w:val="none"/>
                <w:u w:val="none"/>
              </w:rPr>
            </w:pPr>
          </w:p>
        </w:tc>
        <w:tc>
          <w:tcPr>
            <w:tcW w:w="1089" w:type="dxa"/>
            <w:vMerge w:val="continue"/>
            <w:tcBorders>
              <w:left w:val="single" w:color="000000" w:sz="4" w:space="0"/>
              <w:right w:val="single" w:color="000000" w:sz="4" w:space="0"/>
            </w:tcBorders>
            <w:noWrap w:val="0"/>
            <w:vAlign w:val="center"/>
          </w:tcPr>
          <w:p w14:paraId="11A42B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0" w:type="dxa"/>
            <w:vMerge w:val="continue"/>
            <w:tcBorders>
              <w:left w:val="single" w:color="000000" w:sz="4" w:space="0"/>
              <w:right w:val="single" w:color="000000" w:sz="4" w:space="0"/>
            </w:tcBorders>
            <w:noWrap w:val="0"/>
            <w:vAlign w:val="center"/>
          </w:tcPr>
          <w:p w14:paraId="0102C6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54A6CBCC">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工作进度计划及保证措施合理的，得</w:t>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 xml:space="preserve">分； </w:t>
            </w:r>
          </w:p>
          <w:p w14:paraId="6E20A84E">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工作进度计划及保证措施较合理的，得</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 xml:space="preserve">分； </w:t>
            </w:r>
          </w:p>
          <w:p w14:paraId="7734D6C1">
            <w:pPr>
              <w:pStyle w:val="6"/>
              <w:keepNext w:val="0"/>
              <w:keepLines w:val="0"/>
              <w:pageBreakBefore w:val="0"/>
              <w:kinsoku/>
              <w:wordWrap/>
              <w:overflowPunct/>
              <w:topLinePunct w:val="0"/>
              <w:autoSpaceDE/>
              <w:autoSpaceDN/>
              <w:bidi w:val="0"/>
              <w:adjustRightInd/>
              <w:snapToGrid w:val="0"/>
              <w:spacing w:line="320" w:lineRule="exac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工作进度计划及保证措施基本合理的，得</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分；</w:t>
            </w:r>
          </w:p>
          <w:p w14:paraId="0066CA4A">
            <w:pPr>
              <w:pStyle w:val="7"/>
              <w:keepNext w:val="0"/>
              <w:keepLines w:val="0"/>
              <w:pageBreakBefore w:val="0"/>
              <w:kinsoku/>
              <w:wordWrap/>
              <w:overflowPunct/>
              <w:topLinePunct w:val="0"/>
              <w:autoSpaceDE/>
              <w:autoSpaceDN/>
              <w:bidi w:val="0"/>
              <w:adjustRightInd/>
              <w:snapToGrid w:val="0"/>
              <w:spacing w:line="320" w:lineRule="exact"/>
              <w:rPr>
                <w:rFonts w:hint="eastAsia"/>
                <w:highlight w:val="none"/>
              </w:rPr>
            </w:pPr>
            <w:r>
              <w:rPr>
                <w:rFonts w:hint="eastAsia" w:ascii="宋体" w:hAnsi="宋体" w:eastAsia="宋体" w:cs="宋体"/>
                <w:sz w:val="21"/>
                <w:szCs w:val="21"/>
                <w:highlight w:val="none"/>
              </w:rPr>
              <w:t>缺项或合理性较差得0分</w:t>
            </w:r>
          </w:p>
        </w:tc>
      </w:tr>
      <w:tr w14:paraId="257F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599A8">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E920D">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64F95D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发行保障措施</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669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97B8D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发行保障措施：</w:t>
            </w:r>
          </w:p>
        </w:tc>
      </w:tr>
      <w:tr w14:paraId="3A11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F33C1">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8B3F6">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DB88F">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4A47E">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747E994">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对宏观市场分析，近期利率走势，本期债券定价，及余额包销能力相关措施</w:t>
            </w:r>
          </w:p>
          <w:p w14:paraId="61B02BB1">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1.措施完善、合理可行，能较好的满足本项目要求得8-10分；</w:t>
            </w:r>
          </w:p>
          <w:p w14:paraId="1701BED5">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2.较合理完善，可行性一般，能满足本项目要求得6-8分；</w:t>
            </w:r>
          </w:p>
          <w:p w14:paraId="603E9E8E">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3.合理性一般，可操作性一般得 6分。</w:t>
            </w:r>
          </w:p>
          <w:p w14:paraId="340807CB">
            <w:pPr>
              <w:pStyle w:val="13"/>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缺项或合理性较差得0分</w:t>
            </w:r>
          </w:p>
        </w:tc>
      </w:tr>
      <w:tr w14:paraId="1AD9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57C54">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7B97A">
            <w:pPr>
              <w:jc w:val="center"/>
              <w:rPr>
                <w:rFonts w:hint="eastAsia" w:ascii="宋体" w:hAnsi="宋体" w:eastAsia="宋体" w:cs="宋体"/>
                <w:i w:val="0"/>
                <w:iCs w:val="0"/>
                <w:color w:val="auto"/>
                <w:sz w:val="21"/>
                <w:szCs w:val="21"/>
                <w:highlight w:val="none"/>
                <w:u w:val="none"/>
              </w:rPr>
            </w:pPr>
          </w:p>
        </w:tc>
        <w:tc>
          <w:tcPr>
            <w:tcW w:w="1089" w:type="dxa"/>
            <w:vMerge w:val="restart"/>
            <w:tcBorders>
              <w:top w:val="single" w:color="000000" w:sz="4" w:space="0"/>
              <w:left w:val="single" w:color="000000" w:sz="4" w:space="0"/>
              <w:bottom w:val="single" w:color="000000" w:sz="4" w:space="0"/>
              <w:right w:val="single" w:color="000000" w:sz="4" w:space="0"/>
            </w:tcBorders>
            <w:noWrap w:val="0"/>
            <w:vAlign w:val="center"/>
          </w:tcPr>
          <w:p w14:paraId="7CA701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服务及存续期管理措施</w:t>
            </w:r>
          </w:p>
        </w:tc>
        <w:tc>
          <w:tcPr>
            <w:tcW w:w="4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038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FC518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服务及存续期管理措施：</w:t>
            </w:r>
          </w:p>
        </w:tc>
      </w:tr>
      <w:tr w14:paraId="6E75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F2EE6">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4EDB3">
            <w:pPr>
              <w:jc w:val="center"/>
              <w:rPr>
                <w:rFonts w:hint="eastAsia" w:ascii="宋体" w:hAnsi="宋体" w:eastAsia="宋体" w:cs="宋体"/>
                <w:i w:val="0"/>
                <w:iCs w:val="0"/>
                <w:color w:val="auto"/>
                <w:sz w:val="21"/>
                <w:szCs w:val="21"/>
                <w:highlight w:val="none"/>
                <w:u w:val="none"/>
              </w:rPr>
            </w:pPr>
          </w:p>
        </w:tc>
        <w:tc>
          <w:tcPr>
            <w:tcW w:w="10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01CAA">
            <w:pPr>
              <w:jc w:val="center"/>
              <w:rPr>
                <w:rFonts w:hint="eastAsia" w:ascii="宋体" w:hAnsi="宋体" w:eastAsia="宋体" w:cs="宋体"/>
                <w:i w:val="0"/>
                <w:iCs w:val="0"/>
                <w:color w:val="auto"/>
                <w:sz w:val="21"/>
                <w:szCs w:val="21"/>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2FB68">
            <w:pPr>
              <w:jc w:val="center"/>
              <w:rPr>
                <w:rFonts w:hint="eastAsia" w:ascii="宋体" w:hAnsi="宋体" w:eastAsia="宋体" w:cs="宋体"/>
                <w:i w:val="0"/>
                <w:iCs w:val="0"/>
                <w:color w:val="auto"/>
                <w:sz w:val="21"/>
                <w:szCs w:val="21"/>
                <w:highlight w:val="none"/>
                <w:u w:val="none"/>
              </w:rPr>
            </w:pP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0AC65E70">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1.措施完善、合理可行，能较好的满足本项目要求得8-10分；</w:t>
            </w:r>
          </w:p>
          <w:p w14:paraId="7E58F140">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2.较合理完善，可行性一般，能满足本项目要求得6-8分；</w:t>
            </w:r>
          </w:p>
          <w:p w14:paraId="2A24A083">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3.合理性欠佳，可操作性一般得6分。</w:t>
            </w:r>
          </w:p>
          <w:p w14:paraId="02A7D943">
            <w:pPr>
              <w:pStyle w:val="13"/>
              <w:ind w:left="0" w:leftChars="0" w:firstLine="0" w:firstLineChars="0"/>
              <w:rPr>
                <w:rFonts w:hint="eastAsia"/>
                <w:sz w:val="21"/>
                <w:szCs w:val="21"/>
                <w:highlight w:val="none"/>
              </w:rPr>
            </w:pPr>
            <w:r>
              <w:rPr>
                <w:rFonts w:hint="eastAsia"/>
                <w:sz w:val="21"/>
                <w:szCs w:val="21"/>
                <w:highlight w:val="none"/>
                <w:lang w:val="en-US" w:eastAsia="zh-CN"/>
              </w:rPr>
              <w:t>缺项或合理性较差得0分</w:t>
            </w:r>
          </w:p>
        </w:tc>
      </w:tr>
      <w:tr w14:paraId="3708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532E4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评标价</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09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0分</w:t>
            </w:r>
          </w:p>
        </w:tc>
        <w:tc>
          <w:tcPr>
            <w:tcW w:w="7899" w:type="dxa"/>
            <w:gridSpan w:val="3"/>
            <w:tcBorders>
              <w:top w:val="single" w:color="000000" w:sz="4" w:space="0"/>
              <w:left w:val="single" w:color="000000" w:sz="4" w:space="0"/>
              <w:bottom w:val="single" w:color="000000" w:sz="4" w:space="0"/>
              <w:right w:val="single" w:color="000000" w:sz="4" w:space="0"/>
            </w:tcBorders>
            <w:noWrap w:val="0"/>
            <w:vAlign w:val="center"/>
          </w:tcPr>
          <w:p w14:paraId="005986C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得分计算公式：</w:t>
            </w:r>
          </w:p>
          <w:p w14:paraId="46E72D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本次报价上限为不超过</w:t>
            </w:r>
            <w:r>
              <w:rPr>
                <w:rFonts w:hint="eastAsia" w:ascii="宋体" w:hAnsi="宋体" w:cs="宋体"/>
                <w:i w:val="0"/>
                <w:iCs w:val="0"/>
                <w:color w:val="auto"/>
                <w:kern w:val="0"/>
                <w:sz w:val="21"/>
                <w:szCs w:val="21"/>
                <w:highlight w:val="none"/>
                <w:u w:val="none"/>
                <w:lang w:val="en-US" w:eastAsia="zh-CN" w:bidi="ar"/>
              </w:rPr>
              <w:t>万分之</w:t>
            </w:r>
            <w:r>
              <w:rPr>
                <w:rFonts w:hint="eastAsia" w:ascii="宋体" w:hAnsi="宋体" w:cs="宋体"/>
                <w:i w:val="0"/>
                <w:iCs w:val="0"/>
                <w:color w:val="auto"/>
                <w:kern w:val="0"/>
                <w:sz w:val="21"/>
                <w:szCs w:val="21"/>
                <w:highlight w:val="none"/>
                <w:u w:val="single"/>
                <w:lang w:val="en-US" w:eastAsia="zh-CN" w:bidi="ar"/>
              </w:rPr>
              <w:t xml:space="preserve"> 5 </w:t>
            </w:r>
            <w:r>
              <w:rPr>
                <w:rFonts w:hint="eastAsia" w:ascii="宋体" w:hAnsi="宋体" w:eastAsia="宋体" w:cs="宋体"/>
                <w:i w:val="0"/>
                <w:iCs w:val="0"/>
                <w:color w:val="auto"/>
                <w:kern w:val="0"/>
                <w:sz w:val="21"/>
                <w:szCs w:val="21"/>
                <w:highlight w:val="none"/>
                <w:u w:val="none"/>
                <w:lang w:val="en-US" w:eastAsia="zh-CN" w:bidi="ar"/>
              </w:rPr>
              <w:t>/年，超过报价上限为无效报价。</w:t>
            </w:r>
          </w:p>
        </w:tc>
      </w:tr>
      <w:tr w14:paraId="75C2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FF34D">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7CFFF">
            <w:pPr>
              <w:jc w:val="center"/>
              <w:rPr>
                <w:rFonts w:hint="eastAsia" w:ascii="宋体" w:hAnsi="宋体" w:eastAsia="宋体" w:cs="宋体"/>
                <w:i w:val="0"/>
                <w:iCs w:val="0"/>
                <w:color w:val="auto"/>
                <w:sz w:val="21"/>
                <w:szCs w:val="21"/>
                <w:highlight w:val="none"/>
                <w:u w:val="none"/>
              </w:rPr>
            </w:pPr>
          </w:p>
        </w:tc>
        <w:tc>
          <w:tcPr>
            <w:tcW w:w="7899" w:type="dxa"/>
            <w:gridSpan w:val="3"/>
            <w:tcBorders>
              <w:top w:val="single" w:color="000000" w:sz="4" w:space="0"/>
              <w:left w:val="single" w:color="000000" w:sz="4" w:space="0"/>
              <w:bottom w:val="single" w:color="000000" w:sz="4" w:space="0"/>
              <w:right w:val="single" w:color="000000" w:sz="4" w:space="0"/>
            </w:tcBorders>
            <w:noWrap w:val="0"/>
            <w:vAlign w:val="center"/>
          </w:tcPr>
          <w:p w14:paraId="3BF3A0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（1）如果投标人的</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，则</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得分=F-（投标人</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）×10000×E1；</w:t>
            </w:r>
          </w:p>
        </w:tc>
      </w:tr>
      <w:tr w14:paraId="40CA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1412C">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35CBE">
            <w:pPr>
              <w:jc w:val="center"/>
              <w:rPr>
                <w:rFonts w:hint="eastAsia" w:ascii="宋体" w:hAnsi="宋体" w:eastAsia="宋体" w:cs="宋体"/>
                <w:i w:val="0"/>
                <w:iCs w:val="0"/>
                <w:color w:val="auto"/>
                <w:sz w:val="21"/>
                <w:szCs w:val="21"/>
                <w:highlight w:val="none"/>
                <w:u w:val="none"/>
              </w:rPr>
            </w:pPr>
          </w:p>
        </w:tc>
        <w:tc>
          <w:tcPr>
            <w:tcW w:w="7899" w:type="dxa"/>
            <w:gridSpan w:val="3"/>
            <w:tcBorders>
              <w:top w:val="single" w:color="000000" w:sz="4" w:space="0"/>
              <w:left w:val="single" w:color="000000" w:sz="4" w:space="0"/>
              <w:bottom w:val="single" w:color="000000" w:sz="4" w:space="0"/>
              <w:right w:val="single" w:color="000000" w:sz="4" w:space="0"/>
            </w:tcBorders>
            <w:noWrap w:val="0"/>
            <w:vAlign w:val="center"/>
          </w:tcPr>
          <w:p w14:paraId="372976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（2）如果投标人的</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，则</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得分=F+（投标人</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）×10000×E2。</w:t>
            </w:r>
          </w:p>
        </w:tc>
      </w:tr>
      <w:tr w14:paraId="5818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4E36F">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CC95B">
            <w:pPr>
              <w:jc w:val="center"/>
              <w:rPr>
                <w:rFonts w:hint="eastAsia" w:ascii="宋体" w:hAnsi="宋体" w:eastAsia="宋体" w:cs="宋体"/>
                <w:i w:val="0"/>
                <w:iCs w:val="0"/>
                <w:color w:val="auto"/>
                <w:sz w:val="21"/>
                <w:szCs w:val="21"/>
                <w:highlight w:val="none"/>
                <w:u w:val="none"/>
              </w:rPr>
            </w:pPr>
          </w:p>
        </w:tc>
        <w:tc>
          <w:tcPr>
            <w:tcW w:w="7899" w:type="dxa"/>
            <w:gridSpan w:val="3"/>
            <w:tcBorders>
              <w:top w:val="single" w:color="000000" w:sz="4" w:space="0"/>
              <w:left w:val="single" w:color="000000" w:sz="4" w:space="0"/>
              <w:bottom w:val="single" w:color="000000" w:sz="4" w:space="0"/>
              <w:right w:val="single" w:color="000000" w:sz="4" w:space="0"/>
            </w:tcBorders>
            <w:noWrap w:val="0"/>
            <w:vAlign w:val="center"/>
          </w:tcPr>
          <w:p w14:paraId="5DB1F55D">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其中，F=</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0；E1=0.</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；E2=0.</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；（报价不得违背《非金融企业债务融资工具承销机构自律公约》相关要求）</w:t>
            </w:r>
            <w:r>
              <w:rPr>
                <w:rFonts w:hint="eastAsia" w:ascii="宋体" w:hAnsi="宋体" w:cs="宋体"/>
                <w:i w:val="0"/>
                <w:iCs w:val="0"/>
                <w:color w:val="auto"/>
                <w:kern w:val="0"/>
                <w:sz w:val="21"/>
                <w:szCs w:val="21"/>
                <w:highlight w:val="none"/>
                <w:u w:val="none"/>
                <w:lang w:val="en-US" w:eastAsia="zh-CN" w:bidi="ar"/>
              </w:rPr>
              <w:t>。</w:t>
            </w:r>
          </w:p>
          <w:p w14:paraId="685231A7">
            <w:pPr>
              <w:pStyle w:val="29"/>
              <w:rPr>
                <w:rFonts w:hint="eastAsia"/>
                <w:color w:val="auto"/>
                <w:sz w:val="21"/>
                <w:szCs w:val="21"/>
                <w:highlight w:val="none"/>
              </w:rPr>
            </w:pPr>
            <w:r>
              <w:rPr>
                <w:rFonts w:hint="eastAsia" w:ascii="宋体" w:hAnsi="宋体" w:eastAsia="宋体" w:cs="宋体"/>
                <w:color w:val="auto"/>
                <w:sz w:val="21"/>
                <w:szCs w:val="21"/>
                <w:highlight w:val="none"/>
              </w:rPr>
              <w:t>评标价</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rPr>
              <w:t>保留小数点后两位，小数点后第三位四舍五入</w:t>
            </w:r>
          </w:p>
        </w:tc>
      </w:tr>
    </w:tbl>
    <w:p w14:paraId="1693FFB0">
      <w:pPr>
        <w:rPr>
          <w:sz w:val="24"/>
          <w:highlight w:val="none"/>
        </w:rPr>
      </w:pPr>
    </w:p>
    <w:p w14:paraId="3EEFFA61">
      <w:pPr>
        <w:rPr>
          <w:kern w:val="0"/>
          <w:sz w:val="21"/>
          <w:szCs w:val="21"/>
          <w:highlight w:val="none"/>
          <w:lang w:val="zh-CN"/>
        </w:rPr>
      </w:pPr>
      <w:r>
        <w:rPr>
          <w:kern w:val="0"/>
          <w:sz w:val="21"/>
          <w:szCs w:val="21"/>
          <w:highlight w:val="none"/>
          <w:lang w:val="zh-CN"/>
        </w:rPr>
        <w:t>注：1、</w:t>
      </w:r>
      <w:r>
        <w:rPr>
          <w:rFonts w:hint="eastAsia" w:ascii="宋体" w:hAnsi="宋体" w:eastAsia="宋体" w:cs="宋体"/>
          <w:i w:val="0"/>
          <w:iCs w:val="0"/>
          <w:color w:val="auto"/>
          <w:kern w:val="0"/>
          <w:sz w:val="21"/>
          <w:szCs w:val="21"/>
          <w:highlight w:val="none"/>
          <w:u w:val="none"/>
          <w:lang w:val="en-US" w:eastAsia="zh-CN" w:bidi="ar"/>
        </w:rPr>
        <w:t>服务方案部分</w:t>
      </w:r>
      <w:r>
        <w:rPr>
          <w:kern w:val="0"/>
          <w:sz w:val="21"/>
          <w:szCs w:val="21"/>
          <w:highlight w:val="none"/>
          <w:lang w:val="zh-CN"/>
        </w:rPr>
        <w:t>各评委打分保留1位小数，投标人该项得分以各评委打分平均值计算所得，保留两位小数，第三位小数四舍五入。</w:t>
      </w:r>
    </w:p>
    <w:p w14:paraId="1A81953B">
      <w:r>
        <w:rPr>
          <w:kern w:val="0"/>
          <w:sz w:val="21"/>
          <w:szCs w:val="21"/>
          <w:highlight w:val="none"/>
          <w:lang w:val="zh-CN"/>
        </w:rPr>
        <w:t>2、</w:t>
      </w:r>
      <w:r>
        <w:rPr>
          <w:rFonts w:hint="eastAsia" w:ascii="宋体" w:hAnsi="宋体" w:eastAsia="宋体" w:cs="宋体"/>
          <w:i w:val="0"/>
          <w:iCs w:val="0"/>
          <w:color w:val="auto"/>
          <w:kern w:val="0"/>
          <w:sz w:val="21"/>
          <w:szCs w:val="21"/>
          <w:highlight w:val="none"/>
          <w:u w:val="none"/>
          <w:lang w:val="en-US" w:eastAsia="zh-CN" w:bidi="ar"/>
        </w:rPr>
        <w:t>服务方案部分</w:t>
      </w:r>
      <w:r>
        <w:rPr>
          <w:kern w:val="0"/>
          <w:sz w:val="21"/>
          <w:szCs w:val="21"/>
          <w:highlight w:val="none"/>
          <w:lang w:val="zh-CN"/>
        </w:rPr>
        <w:t>评审因素</w:t>
      </w:r>
      <w:r>
        <w:rPr>
          <w:rFonts w:hint="eastAsia"/>
          <w:kern w:val="0"/>
          <w:sz w:val="21"/>
          <w:szCs w:val="21"/>
          <w:highlight w:val="none"/>
          <w:lang w:val="en-US" w:eastAsia="zh-CN"/>
        </w:rPr>
        <w:t>细分项</w:t>
      </w:r>
      <w:r>
        <w:rPr>
          <w:kern w:val="0"/>
          <w:sz w:val="21"/>
          <w:szCs w:val="21"/>
          <w:highlight w:val="none"/>
          <w:lang w:val="zh-CN"/>
        </w:rPr>
        <w:t>缺项则该项得0分。</w:t>
      </w:r>
    </w:p>
    <w:sectPr>
      <w:pgSz w:w="11906" w:h="16838"/>
      <w:pgMar w:top="1440" w:right="146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82838"/>
    <w:rsid w:val="2F8266AE"/>
    <w:rsid w:val="4CD073EF"/>
    <w:rsid w:val="62CD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99"/>
    <w:pPr>
      <w:spacing w:line="400" w:lineRule="exact"/>
      <w:ind w:firstLine="420" w:firstLineChars="200"/>
    </w:pPr>
    <w:rPr>
      <w:rFonts w:ascii="宋体" w:hAnsi="宋体" w:cs="宋体"/>
      <w:bCs/>
      <w:color w:val="000000"/>
      <w:sz w:val="21"/>
      <w:szCs w:val="21"/>
    </w:rPr>
  </w:style>
  <w:style w:type="paragraph" w:styleId="5">
    <w:name w:val="annotation text"/>
    <w:basedOn w:val="1"/>
    <w:next w:val="4"/>
    <w:qFormat/>
    <w:uiPriority w:val="0"/>
    <w:pPr>
      <w:jc w:val="left"/>
    </w:pPr>
  </w:style>
  <w:style w:type="paragraph" w:styleId="6">
    <w:name w:val="Body Text"/>
    <w:basedOn w:val="1"/>
    <w:next w:val="7"/>
    <w:qFormat/>
    <w:uiPriority w:val="0"/>
    <w:rPr>
      <w:kern w:val="2"/>
      <w:szCs w:val="24"/>
    </w:rPr>
  </w:style>
  <w:style w:type="paragraph" w:customStyle="1" w:styleId="7">
    <w:name w:val="正文部分 Char Char Char"/>
    <w:basedOn w:val="6"/>
    <w:next w:val="8"/>
    <w:qFormat/>
    <w:uiPriority w:val="0"/>
    <w:pPr>
      <w:spacing w:line="460" w:lineRule="exact"/>
      <w:textAlignment w:val="baseline"/>
    </w:pPr>
    <w:rPr>
      <w:rFonts w:ascii="等线" w:hAnsi="等线" w:eastAsia="等线"/>
    </w:rPr>
  </w:style>
  <w:style w:type="paragraph" w:customStyle="1" w:styleId="8">
    <w:name w:val="章标题"/>
    <w:basedOn w:val="9"/>
    <w:qFormat/>
    <w:uiPriority w:val="0"/>
    <w:rPr>
      <w:rFonts w:ascii="等线" w:hAnsi="等线"/>
    </w:rPr>
  </w:style>
  <w:style w:type="paragraph" w:styleId="9">
    <w:name w:val="Title"/>
    <w:basedOn w:val="1"/>
    <w:next w:val="1"/>
    <w:qFormat/>
    <w:uiPriority w:val="0"/>
    <w:pPr>
      <w:spacing w:before="240" w:after="60"/>
      <w:jc w:val="center"/>
      <w:outlineLvl w:val="0"/>
    </w:pPr>
    <w:rPr>
      <w:rFonts w:ascii="Arial" w:hAnsi="Arial" w:cs="Arial"/>
      <w:b/>
      <w:bCs/>
      <w:sz w:val="32"/>
      <w:szCs w:val="32"/>
    </w:rPr>
  </w:style>
  <w:style w:type="paragraph" w:styleId="10">
    <w:name w:val="Body Text Indent"/>
    <w:basedOn w:val="1"/>
    <w:next w:val="11"/>
    <w:qFormat/>
    <w:uiPriority w:val="0"/>
    <w:pPr>
      <w:ind w:firstLine="480"/>
    </w:pPr>
    <w:rPr>
      <w:kern w:val="2"/>
      <w:sz w:val="24"/>
    </w:rPr>
  </w:style>
  <w:style w:type="paragraph" w:styleId="11">
    <w:name w:val="toc 8"/>
    <w:basedOn w:val="1"/>
    <w:next w:val="1"/>
    <w:unhideWhenUsed/>
    <w:qFormat/>
    <w:uiPriority w:val="39"/>
    <w:pPr>
      <w:ind w:left="2940" w:leftChars="1400"/>
    </w:pPr>
    <w:rPr>
      <w:rFonts w:ascii="Calibri" w:hAnsi="Calibri" w:eastAsia="宋体" w:cs="Times New Roman"/>
      <w:kern w:val="2"/>
      <w:sz w:val="21"/>
      <w:szCs w:val="22"/>
    </w:rPr>
  </w:style>
  <w:style w:type="paragraph" w:styleId="12">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styleId="13">
    <w:name w:val="Body Text First Indent 2"/>
    <w:basedOn w:val="10"/>
    <w:next w:val="5"/>
    <w:qFormat/>
    <w:uiPriority w:val="0"/>
    <w:pPr>
      <w:widowControl w:val="0"/>
      <w:ind w:firstLine="420" w:firstLineChars="200"/>
      <w:jc w:val="both"/>
    </w:pPr>
    <w:rPr>
      <w:rFonts w:cs="Times New Roman"/>
      <w:kern w:val="2"/>
      <w:sz w:val="21"/>
      <w:szCs w:val="24"/>
    </w:rPr>
  </w:style>
  <w:style w:type="paragraph" w:customStyle="1" w:styleId="16">
    <w:name w:val="样式22"/>
    <w:basedOn w:val="17"/>
    <w:qFormat/>
    <w:uiPriority w:val="0"/>
    <w:pPr>
      <w:tabs>
        <w:tab w:val="left" w:pos="0"/>
      </w:tabs>
      <w:ind w:left="0" w:firstLine="200" w:firstLineChars="200"/>
    </w:pPr>
  </w:style>
  <w:style w:type="paragraph" w:customStyle="1" w:styleId="17">
    <w:name w:val="样式21"/>
    <w:basedOn w:val="3"/>
    <w:qFormat/>
    <w:uiPriority w:val="0"/>
    <w:pPr>
      <w:spacing w:before="0" w:after="0" w:line="360" w:lineRule="auto"/>
      <w:ind w:left="200" w:hanging="200" w:hangingChars="200"/>
    </w:pPr>
    <w:rPr>
      <w:sz w:val="24"/>
    </w:rPr>
  </w:style>
  <w:style w:type="paragraph" w:customStyle="1" w:styleId="18">
    <w:name w:val="样式23"/>
    <w:basedOn w:val="19"/>
    <w:qFormat/>
    <w:uiPriority w:val="0"/>
    <w:pPr>
      <w:tabs>
        <w:tab w:val="left" w:pos="0"/>
      </w:tabs>
    </w:pPr>
    <w:rPr>
      <w:sz w:val="24"/>
    </w:rPr>
  </w:style>
  <w:style w:type="paragraph" w:customStyle="1" w:styleId="19">
    <w:name w:val="样式17"/>
    <w:basedOn w:val="20"/>
    <w:qFormat/>
    <w:uiPriority w:val="0"/>
    <w:pPr>
      <w:tabs>
        <w:tab w:val="left" w:pos="0"/>
      </w:tabs>
      <w:ind w:firstLine="200" w:firstLineChars="200"/>
    </w:pPr>
  </w:style>
  <w:style w:type="paragraph" w:customStyle="1" w:styleId="20">
    <w:name w:val="样式16"/>
    <w:basedOn w:val="3"/>
    <w:qFormat/>
    <w:uiPriority w:val="0"/>
    <w:pPr>
      <w:spacing w:before="0" w:after="0" w:line="360" w:lineRule="auto"/>
    </w:pPr>
    <w:rPr>
      <w:sz w:val="28"/>
    </w:rPr>
  </w:style>
  <w:style w:type="paragraph" w:customStyle="1" w:styleId="21">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22">
    <w:name w:val="样式26"/>
    <w:basedOn w:val="23"/>
    <w:qFormat/>
    <w:uiPriority w:val="0"/>
    <w:pPr>
      <w:tabs>
        <w:tab w:val="left" w:pos="0"/>
      </w:tabs>
      <w:ind w:firstLine="562"/>
    </w:pPr>
    <w:rPr>
      <w:sz w:val="24"/>
    </w:rPr>
  </w:style>
  <w:style w:type="paragraph" w:customStyle="1" w:styleId="23">
    <w:name w:val="样式24"/>
    <w:basedOn w:val="3"/>
    <w:qFormat/>
    <w:uiPriority w:val="0"/>
    <w:pPr>
      <w:spacing w:before="0" w:after="0" w:line="360" w:lineRule="auto"/>
      <w:ind w:firstLine="200" w:firstLineChars="200"/>
    </w:pPr>
    <w:rPr>
      <w:sz w:val="28"/>
    </w:rPr>
  </w:style>
  <w:style w:type="paragraph" w:customStyle="1" w:styleId="24">
    <w:name w:val="样式25"/>
    <w:basedOn w:val="25"/>
    <w:qFormat/>
    <w:uiPriority w:val="0"/>
    <w:pPr>
      <w:tabs>
        <w:tab w:val="left" w:pos="0"/>
      </w:tabs>
    </w:pPr>
    <w:rPr>
      <w:sz w:val="24"/>
    </w:rPr>
  </w:style>
  <w:style w:type="paragraph" w:customStyle="1" w:styleId="25">
    <w:name w:val="样式20"/>
    <w:basedOn w:val="3"/>
    <w:qFormat/>
    <w:uiPriority w:val="0"/>
    <w:pPr>
      <w:spacing w:before="0" w:after="0" w:line="360" w:lineRule="auto"/>
      <w:ind w:firstLine="200" w:firstLineChars="200"/>
    </w:pPr>
  </w:style>
  <w:style w:type="paragraph" w:customStyle="1" w:styleId="26">
    <w:name w:val="样式27"/>
    <w:basedOn w:val="3"/>
    <w:qFormat/>
    <w:uiPriority w:val="0"/>
    <w:pPr>
      <w:spacing w:before="0" w:after="0" w:line="360" w:lineRule="auto"/>
      <w:ind w:firstLine="200" w:firstLineChars="200"/>
    </w:pPr>
    <w:rPr>
      <w:sz w:val="24"/>
    </w:rPr>
  </w:style>
  <w:style w:type="paragraph" w:customStyle="1" w:styleId="27">
    <w:name w:val="样式124"/>
    <w:basedOn w:val="3"/>
    <w:qFormat/>
    <w:uiPriority w:val="0"/>
    <w:pPr>
      <w:spacing w:before="0" w:after="0" w:line="360" w:lineRule="auto"/>
      <w:ind w:firstLine="200" w:firstLineChars="200"/>
    </w:pPr>
    <w:rPr>
      <w:sz w:val="24"/>
    </w:rPr>
  </w:style>
  <w:style w:type="paragraph" w:customStyle="1" w:styleId="28">
    <w:name w:val="样式30"/>
    <w:basedOn w:val="3"/>
    <w:qFormat/>
    <w:uiPriority w:val="0"/>
    <w:pPr>
      <w:spacing w:before="0" w:after="0" w:line="360" w:lineRule="auto"/>
      <w:ind w:firstLine="200" w:firstLineChars="200"/>
    </w:pPr>
    <w:rPr>
      <w:sz w:val="24"/>
    </w:rPr>
  </w:style>
  <w:style w:type="paragraph" w:customStyle="1" w:styleId="29">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0">
    <w:name w:val="样式54"/>
    <w:basedOn w:val="2"/>
    <w:qFormat/>
    <w:uiPriority w:val="0"/>
    <w:pPr>
      <w:spacing w:before="0" w:after="0" w:line="360" w:lineRule="auto"/>
      <w:jc w:val="center"/>
    </w:pPr>
  </w:style>
  <w:style w:type="paragraph" w:customStyle="1" w:styleId="31">
    <w:name w:val="Table Paragraph"/>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5672</Words>
  <Characters>6181</Characters>
  <Lines>0</Lines>
  <Paragraphs>0</Paragraphs>
  <TotalTime>4</TotalTime>
  <ScaleCrop>false</ScaleCrop>
  <LinksUpToDate>false</LinksUpToDate>
  <CharactersWithSpaces>6222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冯士峰</cp:lastModifiedBy>
  <dcterms:modified xsi:type="dcterms:W3CDTF">2025-10-21T01:36:16Z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CF58DBFDBD8A45269F9CDECC14BC5366_12</vt:lpwstr>
  </property>
  <property fmtid="{D5CDD505-2E9C-101B-9397-08002B2CF9AE}" pid="4" name="KSOTemplateDocerSaveRecord">
    <vt:lpwstr>eyJoZGlkIjoiMjNhMGNiNzBmYzRmYmU1YWU1ZDVjYzI3MTI0YTIzZjQiLCJ1c2VySWQiOiIxNjg3ODQzOTczIn0=</vt:lpwstr>
  </property>
</Properties>
</file>