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DE19C">
      <w:pPr>
        <w:rPr>
          <w:color w:val="auto"/>
          <w:sz w:val="21"/>
          <w:szCs w:val="21"/>
          <w:highlight w:val="none"/>
        </w:rPr>
      </w:pPr>
      <w:bookmarkStart w:id="2" w:name="_GoBack"/>
      <w:bookmarkEnd w:id="2"/>
      <w:r>
        <w:rPr>
          <w:rFonts w:hint="eastAsia" w:ascii="宋体" w:hAnsi="宋体" w:cs="宋体"/>
          <w:b/>
          <w:color w:val="auto"/>
          <w:sz w:val="21"/>
          <w:szCs w:val="21"/>
          <w:highlight w:val="none"/>
        </w:rPr>
        <w:t>附件1：资格审查条件</w:t>
      </w:r>
    </w:p>
    <w:p w14:paraId="670CB057">
      <w:pPr>
        <w:pStyle w:val="6"/>
        <w:rPr>
          <w:rFonts w:hint="eastAsia" w:ascii="宋体" w:hAnsi="宋体" w:cs="宋体"/>
          <w:b/>
          <w:color w:val="auto"/>
          <w:sz w:val="24"/>
          <w:highlight w:val="none"/>
        </w:rPr>
      </w:pPr>
    </w:p>
    <w:p w14:paraId="36807270">
      <w:pPr>
        <w:pStyle w:val="16"/>
        <w:adjustRightInd w:val="0"/>
        <w:snapToGrid w:val="0"/>
        <w:ind w:firstLine="422"/>
        <w:jc w:val="center"/>
        <w:rPr>
          <w:rFonts w:hint="eastAsia" w:ascii="宋体" w:hAnsi="宋体" w:cs="宋体"/>
          <w:b/>
          <w:color w:val="auto"/>
          <w:sz w:val="21"/>
          <w:szCs w:val="21"/>
          <w:highlight w:val="none"/>
          <w:shd w:val="clear" w:color="auto" w:fill="FFFFFF"/>
        </w:rPr>
      </w:pPr>
      <w:bookmarkStart w:id="0" w:name="_Hlk44947073"/>
      <w:r>
        <w:rPr>
          <w:rFonts w:hint="eastAsia" w:ascii="宋体" w:hAnsi="宋体" w:cs="宋体"/>
          <w:b/>
          <w:color w:val="auto"/>
          <w:sz w:val="21"/>
          <w:szCs w:val="21"/>
          <w:highlight w:val="none"/>
          <w:shd w:val="clear" w:color="auto" w:fill="FFFFFF"/>
        </w:rPr>
        <w:t>附录1  资格审查条件(资质最低条件)</w:t>
      </w:r>
    </w:p>
    <w:bookmarkEnd w:id="0"/>
    <w:tbl>
      <w:tblPr>
        <w:tblStyle w:val="14"/>
        <w:tblpPr w:leftFromText="180" w:rightFromText="180" w:vertAnchor="text" w:horzAnchor="page" w:tblpX="1407" w:tblpY="25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320"/>
      </w:tblGrid>
      <w:tr w14:paraId="3C25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89" w:hRule="atLeast"/>
          <w:tblHeader/>
        </w:trPr>
        <w:tc>
          <w:tcPr>
            <w:tcW w:w="9320" w:type="dxa"/>
            <w:vAlign w:val="center"/>
          </w:tcPr>
          <w:p w14:paraId="5F067144">
            <w:pPr>
              <w:wordWrap w:val="0"/>
              <w:adjustRightInd w:val="0"/>
              <w:snapToGrid w:val="0"/>
              <w:spacing w:line="360" w:lineRule="auto"/>
              <w:jc w:val="center"/>
              <w:rPr>
                <w:rFonts w:hint="eastAsia" w:ascii="宋体" w:hAnsi="宋体" w:cs="宋体"/>
                <w:b/>
                <w:bCs/>
                <w:color w:val="auto"/>
                <w:sz w:val="21"/>
                <w:szCs w:val="21"/>
                <w:highlight w:val="none"/>
                <w:shd w:val="clear" w:color="auto" w:fill="FFFFFF"/>
              </w:rPr>
            </w:pPr>
            <w:r>
              <w:rPr>
                <w:rFonts w:hint="eastAsia" w:ascii="宋体" w:hAnsi="宋体" w:cs="宋体"/>
                <w:b/>
                <w:bCs/>
                <w:color w:val="auto"/>
                <w:sz w:val="21"/>
                <w:szCs w:val="21"/>
                <w:highlight w:val="none"/>
                <w:shd w:val="clear" w:color="auto" w:fill="FFFFFF"/>
              </w:rPr>
              <w:t>资质要求</w:t>
            </w:r>
          </w:p>
        </w:tc>
      </w:tr>
      <w:tr w14:paraId="64504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22" w:hRule="atLeast"/>
        </w:trPr>
        <w:tc>
          <w:tcPr>
            <w:tcW w:w="9320" w:type="dxa"/>
            <w:tcBorders>
              <w:bottom w:val="single" w:color="auto" w:sz="4" w:space="0"/>
            </w:tcBorders>
            <w:vAlign w:val="center"/>
          </w:tcPr>
          <w:p w14:paraId="64CB85CD">
            <w:pPr>
              <w:numPr>
                <w:ilvl w:val="0"/>
                <w:numId w:val="0"/>
              </w:numPr>
              <w:adjustRightInd w:val="0"/>
              <w:snapToGrid w:val="0"/>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投标人应为</w:t>
            </w:r>
            <w:r>
              <w:rPr>
                <w:rFonts w:hint="eastAsia" w:ascii="宋体" w:hAnsi="宋体" w:cs="宋体"/>
                <w:color w:val="auto"/>
                <w:sz w:val="21"/>
                <w:szCs w:val="21"/>
                <w:highlight w:val="none"/>
              </w:rPr>
              <w:t>具有独立企业法人资格，持有有效企业营业执照</w:t>
            </w:r>
            <w:r>
              <w:rPr>
                <w:rFonts w:hint="eastAsia" w:ascii="宋体" w:hAnsi="宋体" w:cs="宋体"/>
                <w:color w:val="auto"/>
                <w:sz w:val="21"/>
                <w:szCs w:val="21"/>
                <w:highlight w:val="none"/>
                <w:lang w:val="en-US" w:eastAsia="zh-CN"/>
              </w:rPr>
              <w:t>的制造商</w:t>
            </w:r>
            <w:r>
              <w:rPr>
                <w:rFonts w:hint="eastAsia" w:ascii="宋体" w:hAnsi="宋体" w:cs="宋体"/>
                <w:color w:val="auto"/>
                <w:sz w:val="21"/>
                <w:szCs w:val="21"/>
                <w:highlight w:val="none"/>
              </w:rPr>
              <w:t>。</w:t>
            </w:r>
          </w:p>
        </w:tc>
      </w:tr>
    </w:tbl>
    <w:p w14:paraId="3265262F">
      <w:pPr>
        <w:pStyle w:val="16"/>
        <w:wordWrap w:val="0"/>
        <w:adjustRightInd w:val="0"/>
        <w:snapToGrid w:val="0"/>
        <w:ind w:firstLine="422"/>
        <w:rPr>
          <w:rFonts w:hint="eastAsia" w:ascii="宋体" w:hAnsi="宋体" w:cs="宋体"/>
          <w:b/>
          <w:color w:val="auto"/>
          <w:sz w:val="21"/>
          <w:szCs w:val="21"/>
          <w:highlight w:val="none"/>
          <w:shd w:val="clear" w:color="auto" w:fill="FFFFFF"/>
        </w:rPr>
      </w:pPr>
    </w:p>
    <w:p w14:paraId="594A45C3">
      <w:pPr>
        <w:pStyle w:val="16"/>
        <w:wordWrap w:val="0"/>
        <w:adjustRightInd w:val="0"/>
        <w:snapToGrid w:val="0"/>
        <w:ind w:firstLine="422"/>
        <w:rPr>
          <w:rFonts w:hint="eastAsia" w:ascii="宋体" w:hAnsi="宋体" w:cs="宋体"/>
          <w:b/>
          <w:color w:val="auto"/>
          <w:sz w:val="21"/>
          <w:szCs w:val="21"/>
          <w:highlight w:val="none"/>
          <w:shd w:val="clear" w:color="auto" w:fill="FFFFFF"/>
        </w:rPr>
      </w:pPr>
    </w:p>
    <w:p w14:paraId="4158E5F6">
      <w:pPr>
        <w:pStyle w:val="16"/>
        <w:wordWrap w:val="0"/>
        <w:adjustRightInd w:val="0"/>
        <w:snapToGrid w:val="0"/>
        <w:ind w:firstLine="422"/>
        <w:rPr>
          <w:rFonts w:hint="eastAsia" w:ascii="宋体" w:hAnsi="宋体" w:cs="宋体"/>
          <w:b/>
          <w:color w:val="auto"/>
          <w:sz w:val="21"/>
          <w:szCs w:val="21"/>
          <w:highlight w:val="none"/>
          <w:shd w:val="clear" w:color="auto" w:fill="FFFFFF"/>
        </w:rPr>
      </w:pPr>
    </w:p>
    <w:p w14:paraId="4C015318">
      <w:pPr>
        <w:jc w:val="center"/>
        <w:rPr>
          <w:rFonts w:hint="eastAsia"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附录2  资格审查条件(业绩最低要求)</w:t>
      </w:r>
    </w:p>
    <w:tbl>
      <w:tblPr>
        <w:tblStyle w:val="14"/>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7"/>
      </w:tblGrid>
      <w:tr w14:paraId="4C4B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9337" w:type="dxa"/>
            <w:vAlign w:val="center"/>
          </w:tcPr>
          <w:p w14:paraId="57B4D370">
            <w:pPr>
              <w:adjustRightInd w:val="0"/>
              <w:snapToGrid w:val="0"/>
              <w:jc w:val="center"/>
              <w:rPr>
                <w:rFonts w:hint="eastAsia"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业绩要求</w:t>
            </w:r>
          </w:p>
        </w:tc>
      </w:tr>
      <w:tr w14:paraId="3681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rPr>
        <w:tc>
          <w:tcPr>
            <w:tcW w:w="9337" w:type="dxa"/>
            <w:vAlign w:val="center"/>
          </w:tcPr>
          <w:p w14:paraId="1D5A45E0">
            <w:pPr>
              <w:adjustRightInd w:val="0"/>
              <w:snapToGrid w:val="0"/>
              <w:ind w:firstLine="420" w:firstLineChars="200"/>
              <w:rPr>
                <w:rFonts w:hint="eastAsia" w:ascii="宋体" w:hAnsi="宋体" w:eastAsia="宋体" w:cs="宋体"/>
                <w:bCs/>
                <w:color w:val="auto"/>
                <w:sz w:val="21"/>
                <w:szCs w:val="21"/>
                <w:highlight w:val="none"/>
                <w:shd w:val="clear" w:color="auto" w:fill="FFFFFF"/>
                <w:lang w:val="en-US" w:eastAsia="zh-CN"/>
              </w:rPr>
            </w:pPr>
            <w:r>
              <w:rPr>
                <w:rFonts w:hint="eastAsia" w:ascii="宋体" w:hAnsi="宋体" w:cs="宋体"/>
                <w:bCs/>
                <w:color w:val="auto"/>
                <w:sz w:val="21"/>
                <w:szCs w:val="21"/>
                <w:highlight w:val="none"/>
                <w:shd w:val="clear" w:color="auto" w:fill="FFFFFF"/>
              </w:rPr>
              <w:t>近3年（202</w:t>
            </w:r>
            <w:r>
              <w:rPr>
                <w:rFonts w:hint="eastAsia" w:ascii="宋体" w:hAnsi="宋体" w:cs="宋体"/>
                <w:bCs/>
                <w:color w:val="auto"/>
                <w:sz w:val="21"/>
                <w:szCs w:val="21"/>
                <w:highlight w:val="none"/>
                <w:shd w:val="clear" w:color="auto" w:fill="FFFFFF"/>
                <w:lang w:val="en-US" w:eastAsia="zh-CN"/>
              </w:rPr>
              <w:t>2</w:t>
            </w:r>
            <w:r>
              <w:rPr>
                <w:rFonts w:hint="eastAsia" w:ascii="宋体" w:hAnsi="宋体" w:cs="宋体"/>
                <w:bCs/>
                <w:color w:val="auto"/>
                <w:sz w:val="21"/>
                <w:szCs w:val="21"/>
                <w:highlight w:val="none"/>
                <w:shd w:val="clear" w:color="auto" w:fill="FFFFFF"/>
              </w:rPr>
              <w:t>年</w:t>
            </w:r>
            <w:r>
              <w:rPr>
                <w:rFonts w:hint="eastAsia" w:ascii="宋体" w:hAnsi="宋体" w:cs="宋体"/>
                <w:bCs/>
                <w:color w:val="auto"/>
                <w:sz w:val="21"/>
                <w:szCs w:val="21"/>
                <w:highlight w:val="none"/>
                <w:shd w:val="clear" w:color="auto" w:fill="FFFFFF"/>
                <w:lang w:val="en-US" w:eastAsia="zh-CN"/>
              </w:rPr>
              <w:t>9月</w:t>
            </w:r>
            <w:r>
              <w:rPr>
                <w:rFonts w:hint="eastAsia" w:ascii="宋体" w:hAnsi="宋体" w:cs="宋体"/>
                <w:bCs/>
                <w:color w:val="auto"/>
                <w:sz w:val="21"/>
                <w:szCs w:val="21"/>
                <w:highlight w:val="none"/>
                <w:shd w:val="clear" w:color="auto" w:fill="FFFFFF"/>
              </w:rPr>
              <w:t>1日至今，以合同签订时间为准）</w:t>
            </w:r>
            <w:r>
              <w:rPr>
                <w:rFonts w:hint="eastAsia" w:ascii="宋体" w:hAnsi="宋体" w:cs="宋体"/>
                <w:bCs/>
                <w:color w:val="auto"/>
                <w:sz w:val="21"/>
                <w:szCs w:val="21"/>
                <w:highlight w:val="none"/>
                <w:shd w:val="clear" w:color="auto" w:fill="FFFFFF"/>
                <w:lang w:val="en-US" w:eastAsia="zh-CN"/>
              </w:rPr>
              <w:t>累计供货合同金额不少于100万元的加油站油气回收在线监测设备供货</w:t>
            </w:r>
            <w:r>
              <w:rPr>
                <w:rFonts w:hint="eastAsia" w:ascii="宋体" w:hAnsi="宋体" w:cs="宋体"/>
                <w:bCs/>
                <w:color w:val="auto"/>
                <w:sz w:val="21"/>
                <w:szCs w:val="21"/>
                <w:highlight w:val="none"/>
                <w:shd w:val="clear" w:color="auto" w:fill="FFFFFF"/>
              </w:rPr>
              <w:t>业绩。</w:t>
            </w:r>
          </w:p>
        </w:tc>
      </w:tr>
    </w:tbl>
    <w:p w14:paraId="5F62AB73">
      <w:pPr>
        <w:rPr>
          <w:rFonts w:hint="eastAsia" w:ascii="宋体" w:hAnsi="宋体" w:cs="宋体"/>
          <w:color w:val="auto"/>
          <w:sz w:val="21"/>
          <w:szCs w:val="21"/>
          <w:highlight w:val="none"/>
        </w:rPr>
      </w:pPr>
    </w:p>
    <w:p w14:paraId="79B44513">
      <w:pPr>
        <w:rPr>
          <w:rFonts w:hint="eastAsia" w:ascii="宋体" w:hAnsi="宋体" w:cs="宋体"/>
          <w:color w:val="auto"/>
          <w:sz w:val="21"/>
          <w:szCs w:val="21"/>
          <w:highlight w:val="none"/>
        </w:rPr>
      </w:pPr>
    </w:p>
    <w:p w14:paraId="2EA8297A">
      <w:pPr>
        <w:rPr>
          <w:rFonts w:hint="eastAsia" w:ascii="宋体" w:hAnsi="宋体" w:cs="宋体"/>
          <w:color w:val="auto"/>
          <w:sz w:val="21"/>
          <w:szCs w:val="21"/>
          <w:highlight w:val="none"/>
        </w:rPr>
      </w:pPr>
    </w:p>
    <w:p w14:paraId="3DE2AE5C">
      <w:pPr>
        <w:jc w:val="center"/>
        <w:rPr>
          <w:rFonts w:hint="eastAsia"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附录3 资格审查条件(信誉最低要求)</w:t>
      </w:r>
    </w:p>
    <w:tbl>
      <w:tblPr>
        <w:tblStyle w:val="14"/>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0"/>
      </w:tblGrid>
      <w:tr w14:paraId="54ED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9360" w:type="dxa"/>
            <w:vAlign w:val="center"/>
          </w:tcPr>
          <w:p w14:paraId="499072BF">
            <w:pPr>
              <w:adjustRightInd w:val="0"/>
              <w:snapToGrid w:val="0"/>
              <w:jc w:val="center"/>
              <w:rPr>
                <w:rFonts w:hint="eastAsia"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信誉要求</w:t>
            </w:r>
          </w:p>
        </w:tc>
      </w:tr>
      <w:tr w14:paraId="262A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360" w:type="dxa"/>
            <w:vAlign w:val="center"/>
          </w:tcPr>
          <w:p w14:paraId="558A6509">
            <w:pPr>
              <w:adjustRightInd w:val="0"/>
              <w:snapToGrid w:val="0"/>
              <w:ind w:firstLine="420" w:firstLineChars="200"/>
              <w:rPr>
                <w:rFonts w:hint="eastAsia" w:ascii="宋体" w:hAnsi="宋体" w:cs="宋体"/>
                <w:b/>
                <w:color w:val="auto"/>
                <w:sz w:val="21"/>
                <w:szCs w:val="21"/>
                <w:highlight w:val="none"/>
                <w:shd w:val="clear" w:color="auto" w:fill="FFFFFF"/>
              </w:rPr>
            </w:pPr>
            <w:r>
              <w:rPr>
                <w:rFonts w:hint="eastAsia" w:ascii="宋体" w:hAnsi="宋体" w:cs="宋体"/>
                <w:color w:val="auto"/>
                <w:sz w:val="21"/>
                <w:szCs w:val="21"/>
                <w:highlight w:val="none"/>
              </w:rPr>
              <w:t>投标人在过去1年中(202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9月</w:t>
            </w:r>
            <w:r>
              <w:rPr>
                <w:rFonts w:hint="eastAsia" w:ascii="宋体" w:hAnsi="宋体" w:cs="宋体"/>
                <w:color w:val="auto"/>
                <w:sz w:val="21"/>
                <w:szCs w:val="21"/>
                <w:highlight w:val="none"/>
              </w:rPr>
              <w:t>1日至今)不曾在</w:t>
            </w:r>
            <w:r>
              <w:rPr>
                <w:rFonts w:hint="eastAsia" w:ascii="宋体" w:hAnsi="宋体" w:cs="宋体"/>
                <w:bCs/>
                <w:color w:val="auto"/>
                <w:sz w:val="21"/>
                <w:szCs w:val="21"/>
                <w:highlight w:val="none"/>
                <w:shd w:val="clear" w:color="auto" w:fill="FFFFFF"/>
                <w:lang w:val="en-US" w:eastAsia="zh-CN"/>
              </w:rPr>
              <w:t>加油站油气回收在线监测设备供货</w:t>
            </w:r>
            <w:r>
              <w:rPr>
                <w:rFonts w:hint="eastAsia" w:ascii="宋体" w:hAnsi="宋体" w:cs="宋体"/>
                <w:color w:val="auto"/>
                <w:sz w:val="21"/>
                <w:szCs w:val="21"/>
                <w:highlight w:val="none"/>
                <w:lang w:eastAsia="zh-CN"/>
              </w:rPr>
              <w:t>合同</w:t>
            </w:r>
            <w:r>
              <w:rPr>
                <w:rFonts w:hint="eastAsia" w:ascii="宋体" w:hAnsi="宋体" w:cs="宋体"/>
                <w:color w:val="auto"/>
                <w:sz w:val="21"/>
                <w:szCs w:val="21"/>
                <w:highlight w:val="none"/>
              </w:rPr>
              <w:t>中违约而被驱逐或因投标人自身的原因而使</w:t>
            </w:r>
            <w:r>
              <w:rPr>
                <w:rFonts w:hint="eastAsia" w:ascii="宋体" w:hAnsi="宋体" w:cs="宋体"/>
                <w:bCs/>
                <w:color w:val="auto"/>
                <w:sz w:val="21"/>
                <w:szCs w:val="21"/>
                <w:highlight w:val="none"/>
                <w:shd w:val="clear" w:color="auto" w:fill="FFFFFF"/>
                <w:lang w:val="en-US" w:eastAsia="zh-CN"/>
              </w:rPr>
              <w:t>加油站油气回收在线监测设备供货</w:t>
            </w:r>
            <w:r>
              <w:rPr>
                <w:rFonts w:hint="eastAsia" w:ascii="宋体" w:hAnsi="宋体" w:cs="宋体"/>
                <w:color w:val="auto"/>
                <w:sz w:val="21"/>
                <w:szCs w:val="21"/>
                <w:highlight w:val="none"/>
                <w:lang w:eastAsia="zh-CN"/>
              </w:rPr>
              <w:t>合同</w:t>
            </w:r>
            <w:r>
              <w:rPr>
                <w:rFonts w:hint="eastAsia" w:ascii="宋体" w:hAnsi="宋体" w:cs="宋体"/>
                <w:color w:val="auto"/>
                <w:sz w:val="21"/>
                <w:szCs w:val="21"/>
                <w:highlight w:val="none"/>
              </w:rPr>
              <w:t>被解除。</w:t>
            </w:r>
          </w:p>
        </w:tc>
      </w:tr>
    </w:tbl>
    <w:p w14:paraId="0B2A993E">
      <w:pPr>
        <w:pStyle w:val="17"/>
        <w:ind w:left="400"/>
        <w:rPr>
          <w:color w:val="auto"/>
          <w:highlight w:val="none"/>
        </w:rPr>
      </w:pPr>
    </w:p>
    <w:p w14:paraId="1052EA40">
      <w:pPr>
        <w:pStyle w:val="17"/>
        <w:pageBreakBefore/>
        <w:snapToGrid w:val="0"/>
        <w:spacing w:after="0" w:line="360" w:lineRule="auto"/>
        <w:ind w:left="0" w:firstLine="0"/>
        <w:rPr>
          <w:color w:val="auto"/>
          <w:szCs w:val="21"/>
          <w:highlight w:val="none"/>
        </w:rPr>
      </w:pPr>
      <w:r>
        <w:rPr>
          <w:rFonts w:hint="eastAsia" w:ascii="宋体" w:hAnsi="宋体" w:cs="宋体"/>
          <w:b/>
          <w:color w:val="auto"/>
          <w:szCs w:val="21"/>
          <w:highlight w:val="none"/>
        </w:rPr>
        <w:t>附件2：评标办法前附表</w:t>
      </w:r>
    </w:p>
    <w:p w14:paraId="50238E7E">
      <w:pPr>
        <w:widowControl w:val="0"/>
        <w:autoSpaceDE w:val="0"/>
        <w:autoSpaceDN w:val="0"/>
        <w:adjustRightInd w:val="0"/>
        <w:rPr>
          <w:rFonts w:ascii="宋体" w:hAnsi="宋体" w:cs="微软雅黑"/>
          <w:b/>
          <w:color w:val="auto"/>
          <w:sz w:val="21"/>
          <w:szCs w:val="21"/>
          <w:highlight w:val="none"/>
        </w:rPr>
      </w:pPr>
      <w:bookmarkStart w:id="1" w:name="__RefHeading___Toc22300259"/>
      <w:bookmarkEnd w:id="1"/>
      <w:r>
        <w:rPr>
          <w:rFonts w:hint="eastAsia" w:ascii="宋体" w:hAnsi="宋体" w:cs="微软雅黑"/>
          <w:b/>
          <w:color w:val="auto"/>
          <w:sz w:val="21"/>
          <w:szCs w:val="21"/>
          <w:highlight w:val="none"/>
        </w:rPr>
        <w:t>评标办法前附表</w:t>
      </w:r>
    </w:p>
    <w:tbl>
      <w:tblPr>
        <w:tblStyle w:val="14"/>
        <w:tblW w:w="9649" w:type="dxa"/>
        <w:tblInd w:w="5"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181"/>
        <w:gridCol w:w="2603"/>
        <w:gridCol w:w="4919"/>
      </w:tblGrid>
      <w:tr w14:paraId="2775D5DA">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27" w:type="dxa"/>
            <w:gridSpan w:val="2"/>
            <w:tcBorders>
              <w:tl2br w:val="nil"/>
              <w:tr2bl w:val="nil"/>
            </w:tcBorders>
            <w:vAlign w:val="center"/>
          </w:tcPr>
          <w:p w14:paraId="73D85E8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634"/>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603" w:type="dxa"/>
            <w:tcBorders>
              <w:tl2br w:val="nil"/>
              <w:tr2bl w:val="nil"/>
            </w:tcBorders>
            <w:vAlign w:val="center"/>
          </w:tcPr>
          <w:p w14:paraId="403E59FB">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919" w:type="dxa"/>
            <w:tcBorders>
              <w:tl2br w:val="nil"/>
              <w:tr2bl w:val="nil"/>
            </w:tcBorders>
            <w:vAlign w:val="center"/>
          </w:tcPr>
          <w:p w14:paraId="527A78EA">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109"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1757D49A">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tcBorders>
              <w:tl2br w:val="nil"/>
              <w:tr2bl w:val="nil"/>
            </w:tcBorders>
            <w:vAlign w:val="center"/>
          </w:tcPr>
          <w:p w14:paraId="0D81FCFF">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33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81" w:type="dxa"/>
            <w:tcBorders>
              <w:tl2br w:val="nil"/>
              <w:tr2bl w:val="nil"/>
            </w:tcBorders>
            <w:vAlign w:val="center"/>
          </w:tcPr>
          <w:p w14:paraId="7EFD1A75">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w:t>
            </w:r>
            <w:r>
              <w:rPr>
                <w:rFonts w:hint="eastAsia" w:ascii="宋体" w:hAnsi="宋体" w:eastAsia="宋体" w:cs="宋体"/>
                <w:color w:val="auto"/>
                <w:spacing w:val="-2"/>
                <w:sz w:val="21"/>
                <w:szCs w:val="21"/>
                <w:highlight w:val="none"/>
              </w:rPr>
              <w:t>方</w:t>
            </w:r>
            <w:r>
              <w:rPr>
                <w:rFonts w:hint="eastAsia" w:ascii="宋体" w:hAnsi="宋体" w:eastAsia="宋体" w:cs="宋体"/>
                <w:color w:val="auto"/>
                <w:sz w:val="21"/>
                <w:szCs w:val="21"/>
                <w:highlight w:val="none"/>
              </w:rPr>
              <w:t>法</w:t>
            </w:r>
          </w:p>
        </w:tc>
        <w:tc>
          <w:tcPr>
            <w:tcW w:w="2603" w:type="dxa"/>
            <w:tcBorders>
              <w:tl2br w:val="nil"/>
              <w:tr2bl w:val="nil"/>
            </w:tcBorders>
            <w:vAlign w:val="center"/>
          </w:tcPr>
          <w:p w14:paraId="459DF194">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w:t>
            </w:r>
            <w:r>
              <w:rPr>
                <w:rFonts w:hint="eastAsia" w:ascii="宋体" w:hAnsi="宋体" w:eastAsia="宋体" w:cs="宋体"/>
                <w:color w:val="auto"/>
                <w:spacing w:val="-2"/>
                <w:sz w:val="21"/>
                <w:szCs w:val="21"/>
                <w:highlight w:val="none"/>
              </w:rPr>
              <w:t>候</w:t>
            </w:r>
            <w:r>
              <w:rPr>
                <w:rFonts w:hint="eastAsia" w:ascii="宋体" w:hAnsi="宋体" w:eastAsia="宋体" w:cs="宋体"/>
                <w:color w:val="auto"/>
                <w:sz w:val="21"/>
                <w:szCs w:val="21"/>
                <w:highlight w:val="none"/>
              </w:rPr>
              <w:t>选</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排</w:t>
            </w:r>
            <w:r>
              <w:rPr>
                <w:rFonts w:hint="eastAsia" w:ascii="宋体" w:hAnsi="宋体" w:eastAsia="宋体" w:cs="宋体"/>
                <w:color w:val="auto"/>
                <w:spacing w:val="-2"/>
                <w:sz w:val="21"/>
                <w:szCs w:val="21"/>
                <w:highlight w:val="none"/>
              </w:rPr>
              <w:t>序</w:t>
            </w:r>
            <w:r>
              <w:rPr>
                <w:rFonts w:hint="eastAsia" w:ascii="宋体" w:hAnsi="宋体" w:eastAsia="宋体" w:cs="宋体"/>
                <w:color w:val="auto"/>
                <w:sz w:val="21"/>
                <w:szCs w:val="21"/>
                <w:highlight w:val="none"/>
              </w:rPr>
              <w:t>方法</w:t>
            </w:r>
          </w:p>
        </w:tc>
        <w:tc>
          <w:tcPr>
            <w:tcW w:w="4919" w:type="dxa"/>
            <w:tcBorders>
              <w:tl2br w:val="nil"/>
              <w:tr2bl w:val="nil"/>
            </w:tcBorders>
            <w:vAlign w:val="center"/>
          </w:tcPr>
          <w:p w14:paraId="068BA9F8">
            <w:pPr>
              <w:keepNext w:val="0"/>
              <w:keepLines w:val="0"/>
              <w:pageBreakBefore w:val="0"/>
              <w:widowControl w:val="0"/>
              <w:kinsoku/>
              <w:wordWrap/>
              <w:overflowPunct/>
              <w:topLinePunct w:val="0"/>
              <w:bidi w:val="0"/>
              <w:adjustRightInd/>
              <w:snapToGrid w:val="0"/>
              <w:spacing w:line="320" w:lineRule="exact"/>
              <w:ind w:left="20" w:leftChars="1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本条修改为：</w:t>
            </w:r>
          </w:p>
          <w:p w14:paraId="21D32A51">
            <w:pPr>
              <w:keepNext w:val="0"/>
              <w:keepLines w:val="0"/>
              <w:pageBreakBefore w:val="0"/>
              <w:kinsoku/>
              <w:wordWrap/>
              <w:overflowPunct/>
              <w:topLinePunct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本次评标采用经评审的最低投标价法。评标委员会对满足招标文件实质性要求的投标文件，</w:t>
            </w:r>
            <w:r>
              <w:rPr>
                <w:rFonts w:hint="eastAsia" w:ascii="宋体" w:hAnsi="宋体" w:eastAsia="宋体" w:cs="宋体"/>
                <w:spacing w:val="-1"/>
                <w:sz w:val="21"/>
                <w:szCs w:val="21"/>
                <w:highlight w:val="none"/>
              </w:rPr>
              <w:t>按</w:t>
            </w:r>
            <w:r>
              <w:rPr>
                <w:rFonts w:hint="eastAsia" w:ascii="宋体" w:hAnsi="宋体" w:eastAsia="宋体" w:cs="宋体"/>
                <w:spacing w:val="-2"/>
                <w:sz w:val="21"/>
                <w:szCs w:val="21"/>
                <w:highlight w:val="none"/>
              </w:rPr>
              <w:t>照经</w:t>
            </w:r>
            <w:r>
              <w:rPr>
                <w:rFonts w:hint="eastAsia" w:ascii="宋体" w:hAnsi="宋体" w:eastAsia="宋体" w:cs="宋体"/>
                <w:spacing w:val="-4"/>
                <w:sz w:val="21"/>
                <w:szCs w:val="21"/>
                <w:highlight w:val="none"/>
              </w:rPr>
              <w:t>评审的投标价由低到高的顺序推荐</w:t>
            </w:r>
            <w:r>
              <w:rPr>
                <w:rFonts w:hint="eastAsia" w:ascii="宋体" w:hAnsi="宋体" w:eastAsia="宋体" w:cs="宋体"/>
                <w:color w:val="auto"/>
                <w:sz w:val="21"/>
                <w:szCs w:val="21"/>
                <w:highlight w:val="none"/>
              </w:rPr>
              <w:t>1-3名中标候选人。</w:t>
            </w:r>
            <w:r>
              <w:rPr>
                <w:rFonts w:hint="eastAsia" w:ascii="宋体" w:hAnsi="宋体" w:eastAsia="宋体" w:cs="宋体"/>
                <w:spacing w:val="1"/>
                <w:sz w:val="21"/>
                <w:szCs w:val="21"/>
                <w:highlight w:val="none"/>
              </w:rPr>
              <w:t>经评审的投标价</w:t>
            </w:r>
            <w:r>
              <w:rPr>
                <w:rFonts w:hint="eastAsia" w:ascii="宋体" w:hAnsi="宋体" w:eastAsia="宋体" w:cs="宋体"/>
                <w:color w:val="auto"/>
                <w:sz w:val="21"/>
                <w:szCs w:val="21"/>
                <w:highlight w:val="none"/>
              </w:rPr>
              <w:t>相等时，评标委员会依次按照以下优先顺序推荐中标候选人：</w:t>
            </w:r>
          </w:p>
          <w:p w14:paraId="7CDB2170">
            <w:pPr>
              <w:keepNext w:val="0"/>
              <w:keepLines w:val="0"/>
              <w:pageBreakBefore w:val="0"/>
              <w:kinsoku/>
              <w:wordWrap/>
              <w:overflowPunct/>
              <w:topLinePunct w:val="0"/>
              <w:bidi w:val="0"/>
              <w:adjustRightInd/>
              <w:snapToGrid w:val="0"/>
              <w:spacing w:line="320" w:lineRule="exact"/>
              <w:ind w:left="20" w:leftChars="1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满足资格审查条件附录2（业绩最低要求）要求的累计</w:t>
            </w:r>
            <w:r>
              <w:rPr>
                <w:rFonts w:hint="eastAsia" w:ascii="宋体" w:hAnsi="宋体" w:cs="宋体"/>
                <w:color w:val="auto"/>
                <w:sz w:val="21"/>
                <w:szCs w:val="21"/>
                <w:highlight w:val="none"/>
                <w:lang w:val="en-US" w:eastAsia="zh-CN"/>
              </w:rPr>
              <w:t>合同金额高</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优先；</w:t>
            </w:r>
          </w:p>
        </w:tc>
      </w:tr>
      <w:tr w14:paraId="7A0A9D4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restart"/>
            <w:tcBorders>
              <w:tl2br w:val="nil"/>
              <w:tr2bl w:val="nil"/>
            </w:tcBorders>
            <w:vAlign w:val="center"/>
          </w:tcPr>
          <w:p w14:paraId="442BC771">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181" w:type="dxa"/>
            <w:vMerge w:val="restart"/>
            <w:tcBorders>
              <w:tl2br w:val="nil"/>
              <w:tr2bl w:val="nil"/>
            </w:tcBorders>
            <w:vAlign w:val="center"/>
          </w:tcPr>
          <w:p w14:paraId="11A4D085">
            <w:pPr>
              <w:keepNext w:val="0"/>
              <w:keepLines w:val="0"/>
              <w:pageBreakBefore w:val="0"/>
              <w:widowControl w:val="0"/>
              <w:kinsoku/>
              <w:wordWrap/>
              <w:overflowPunct/>
              <w:topLinePunct w:val="0"/>
              <w:autoSpaceDE w:val="0"/>
              <w:autoSpaceDN w:val="0"/>
              <w:bidi w:val="0"/>
              <w:adjustRightInd/>
              <w:snapToGrid w:val="0"/>
              <w:spacing w:line="320" w:lineRule="exact"/>
              <w:ind w:left="229" w:leftChars="10" w:right="60" w:hanging="20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r>
              <w:rPr>
                <w:rFonts w:hint="eastAsia" w:ascii="宋体" w:hAnsi="宋体" w:eastAsia="宋体" w:cs="宋体"/>
                <w:color w:val="auto"/>
                <w:spacing w:val="-2"/>
                <w:sz w:val="21"/>
                <w:szCs w:val="21"/>
                <w:highlight w:val="none"/>
              </w:rPr>
              <w:t>评</w:t>
            </w:r>
            <w:r>
              <w:rPr>
                <w:rFonts w:hint="eastAsia" w:ascii="宋体" w:hAnsi="宋体" w:eastAsia="宋体" w:cs="宋体"/>
                <w:color w:val="auto"/>
                <w:sz w:val="21"/>
                <w:szCs w:val="21"/>
                <w:highlight w:val="none"/>
              </w:rPr>
              <w:t>审标准</w:t>
            </w:r>
          </w:p>
        </w:tc>
        <w:tc>
          <w:tcPr>
            <w:tcW w:w="2603" w:type="dxa"/>
            <w:tcBorders>
              <w:tl2br w:val="nil"/>
              <w:tr2bl w:val="nil"/>
            </w:tcBorders>
            <w:vAlign w:val="center"/>
          </w:tcPr>
          <w:p w14:paraId="6D64DCE6">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名称</w:t>
            </w:r>
          </w:p>
        </w:tc>
        <w:tc>
          <w:tcPr>
            <w:tcW w:w="4919" w:type="dxa"/>
            <w:tcBorders>
              <w:tl2br w:val="nil"/>
              <w:tr2bl w:val="nil"/>
            </w:tcBorders>
            <w:vAlign w:val="center"/>
          </w:tcPr>
          <w:p w14:paraId="16CDAF0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w:t>
            </w:r>
            <w:r>
              <w:rPr>
                <w:rFonts w:hint="eastAsia" w:ascii="宋体" w:hAnsi="宋体" w:eastAsia="宋体" w:cs="宋体"/>
                <w:color w:val="auto"/>
                <w:spacing w:val="-2"/>
                <w:sz w:val="21"/>
                <w:szCs w:val="21"/>
                <w:highlight w:val="none"/>
              </w:rPr>
              <w:t>业</w:t>
            </w:r>
            <w:r>
              <w:rPr>
                <w:rFonts w:hint="eastAsia" w:ascii="宋体" w:hAnsi="宋体" w:eastAsia="宋体" w:cs="宋体"/>
                <w:color w:val="auto"/>
                <w:sz w:val="21"/>
                <w:szCs w:val="21"/>
                <w:highlight w:val="none"/>
              </w:rPr>
              <w:t>执</w:t>
            </w:r>
            <w:r>
              <w:rPr>
                <w:rFonts w:hint="eastAsia" w:ascii="宋体" w:hAnsi="宋体" w:eastAsia="宋体" w:cs="宋体"/>
                <w:color w:val="auto"/>
                <w:spacing w:val="-2"/>
                <w:sz w:val="21"/>
                <w:szCs w:val="21"/>
                <w:highlight w:val="none"/>
              </w:rPr>
              <w:t>照一</w:t>
            </w:r>
            <w:r>
              <w:rPr>
                <w:rFonts w:hint="eastAsia" w:ascii="宋体" w:hAnsi="宋体" w:eastAsia="宋体" w:cs="宋体"/>
                <w:color w:val="auto"/>
                <w:sz w:val="21"/>
                <w:szCs w:val="21"/>
                <w:highlight w:val="none"/>
              </w:rPr>
              <w:t>致</w:t>
            </w:r>
          </w:p>
        </w:tc>
      </w:tr>
      <w:tr w14:paraId="63CB07F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1FB2AFD8">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1DFD6864">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2618C6A1">
            <w:pPr>
              <w:keepNext w:val="0"/>
              <w:keepLines w:val="0"/>
              <w:pageBreakBefore w:val="0"/>
              <w:widowControl w:val="0"/>
              <w:kinsoku/>
              <w:wordWrap/>
              <w:overflowPunct/>
              <w:topLinePunct w:val="0"/>
              <w:bidi w:val="0"/>
              <w:adjustRightInd/>
              <w:snapToGrid w:val="0"/>
              <w:spacing w:line="320" w:lineRule="exact"/>
              <w:ind w:left="20" w:lef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投标文件签字盖章</w:t>
            </w:r>
          </w:p>
        </w:tc>
        <w:tc>
          <w:tcPr>
            <w:tcW w:w="4919" w:type="dxa"/>
            <w:tcBorders>
              <w:tl2br w:val="nil"/>
              <w:tr2bl w:val="nil"/>
            </w:tcBorders>
            <w:vAlign w:val="center"/>
          </w:tcPr>
          <w:p w14:paraId="0FBE3DE9">
            <w:pPr>
              <w:keepNext w:val="0"/>
              <w:keepLines w:val="0"/>
              <w:pageBreakBefore w:val="0"/>
              <w:widowControl w:val="0"/>
              <w:kinsoku/>
              <w:wordWrap/>
              <w:overflowPunct/>
              <w:topLinePunct w:val="0"/>
              <w:bidi w:val="0"/>
              <w:adjustRightInd/>
              <w:snapToGrid w:val="0"/>
              <w:spacing w:line="320" w:lineRule="exact"/>
              <w:ind w:left="20" w:leftChars="1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kern w:val="2"/>
                <w:sz w:val="21"/>
                <w:szCs w:val="21"/>
                <w:highlight w:val="none"/>
              </w:rPr>
              <w:t>第六章“投标文件格式”中要求盖单位章和（或）法定代表人或其委托代理人签字的地方，投标人均应使用CA数字证书加盖投标人的单位电子印章和（或）法定代表人或其委托代理人的个人电子印章或电子签名章，无需手签。</w:t>
            </w:r>
          </w:p>
        </w:tc>
      </w:tr>
      <w:tr w14:paraId="6257E576">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1AD0A03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43E8229B">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2C8E4D57">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pacing w:val="-2"/>
                <w:sz w:val="21"/>
                <w:szCs w:val="21"/>
                <w:highlight w:val="none"/>
              </w:rPr>
              <w:t>文</w:t>
            </w:r>
            <w:r>
              <w:rPr>
                <w:rFonts w:hint="eastAsia" w:ascii="宋体" w:hAnsi="宋体" w:eastAsia="宋体" w:cs="宋体"/>
                <w:color w:val="auto"/>
                <w:sz w:val="21"/>
                <w:szCs w:val="21"/>
                <w:highlight w:val="none"/>
              </w:rPr>
              <w:t>件</w:t>
            </w:r>
            <w:r>
              <w:rPr>
                <w:rFonts w:hint="eastAsia" w:ascii="宋体" w:hAnsi="宋体" w:eastAsia="宋体" w:cs="宋体"/>
                <w:color w:val="auto"/>
                <w:spacing w:val="-2"/>
                <w:sz w:val="21"/>
                <w:szCs w:val="21"/>
                <w:highlight w:val="none"/>
              </w:rPr>
              <w:t>格</w:t>
            </w:r>
            <w:r>
              <w:rPr>
                <w:rFonts w:hint="eastAsia" w:ascii="宋体" w:hAnsi="宋体" w:eastAsia="宋体" w:cs="宋体"/>
                <w:color w:val="auto"/>
                <w:sz w:val="21"/>
                <w:szCs w:val="21"/>
                <w:highlight w:val="none"/>
              </w:rPr>
              <w:t>式</w:t>
            </w:r>
          </w:p>
        </w:tc>
        <w:tc>
          <w:tcPr>
            <w:tcW w:w="4919" w:type="dxa"/>
            <w:tcBorders>
              <w:tl2br w:val="nil"/>
              <w:tr2bl w:val="nil"/>
            </w:tcBorders>
            <w:vAlign w:val="center"/>
          </w:tcPr>
          <w:p w14:paraId="4F30B3F1">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pacing w:val="-1"/>
                <w:kern w:val="2"/>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六</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文</w:t>
            </w:r>
            <w:r>
              <w:rPr>
                <w:rFonts w:hint="eastAsia" w:ascii="宋体" w:hAnsi="宋体" w:eastAsia="宋体" w:cs="宋体"/>
                <w:color w:val="auto"/>
                <w:sz w:val="21"/>
                <w:szCs w:val="21"/>
                <w:highlight w:val="none"/>
              </w:rPr>
              <w:t>件</w:t>
            </w:r>
            <w:r>
              <w:rPr>
                <w:rFonts w:hint="eastAsia" w:ascii="宋体" w:hAnsi="宋体" w:eastAsia="宋体" w:cs="宋体"/>
                <w:color w:val="auto"/>
                <w:spacing w:val="-2"/>
                <w:sz w:val="21"/>
                <w:szCs w:val="21"/>
                <w:highlight w:val="none"/>
              </w:rPr>
              <w:t>格</w:t>
            </w:r>
            <w:r>
              <w:rPr>
                <w:rFonts w:hint="eastAsia" w:ascii="宋体" w:hAnsi="宋体" w:eastAsia="宋体" w:cs="宋体"/>
                <w:color w:val="auto"/>
                <w:spacing w:val="-3"/>
                <w:sz w:val="21"/>
                <w:szCs w:val="21"/>
                <w:highlight w:val="none"/>
              </w:rPr>
              <w:t>式</w:t>
            </w:r>
            <w:r>
              <w:rPr>
                <w:rFonts w:hint="eastAsia" w:ascii="宋体" w:hAnsi="宋体" w:eastAsia="宋体" w:cs="宋体"/>
                <w:color w:val="auto"/>
                <w:sz w:val="21"/>
                <w:szCs w:val="21"/>
                <w:highlight w:val="none"/>
              </w:rPr>
              <w:t>”的</w:t>
            </w:r>
            <w:r>
              <w:rPr>
                <w:rFonts w:hint="eastAsia" w:ascii="宋体" w:hAnsi="宋体" w:eastAsia="宋体" w:cs="宋体"/>
                <w:color w:val="auto"/>
                <w:spacing w:val="-2"/>
                <w:sz w:val="21"/>
                <w:szCs w:val="21"/>
                <w:highlight w:val="none"/>
              </w:rPr>
              <w:t>规</w:t>
            </w:r>
            <w:r>
              <w:rPr>
                <w:rFonts w:hint="eastAsia" w:ascii="宋体" w:hAnsi="宋体" w:eastAsia="宋体" w:cs="宋体"/>
                <w:color w:val="auto"/>
                <w:sz w:val="21"/>
                <w:szCs w:val="21"/>
                <w:highlight w:val="none"/>
              </w:rPr>
              <w:t>定</w:t>
            </w:r>
          </w:p>
        </w:tc>
      </w:tr>
      <w:tr w14:paraId="78D838A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17F84F99">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0D7ED8D8">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70DFB01A">
            <w:pPr>
              <w:keepNext w:val="0"/>
              <w:keepLines w:val="0"/>
              <w:pageBreakBefore w:val="0"/>
              <w:widowControl w:val="0"/>
              <w:kinsoku/>
              <w:wordWrap/>
              <w:overflowPunct/>
              <w:topLinePunct w:val="0"/>
              <w:bidi w:val="0"/>
              <w:adjustRightInd/>
              <w:snapToGrid w:val="0"/>
              <w:spacing w:line="320" w:lineRule="exact"/>
              <w:ind w:left="20" w:lef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联合体投标人</w:t>
            </w:r>
          </w:p>
        </w:tc>
        <w:tc>
          <w:tcPr>
            <w:tcW w:w="4919" w:type="dxa"/>
            <w:tcBorders>
              <w:tl2br w:val="nil"/>
              <w:tr2bl w:val="nil"/>
            </w:tcBorders>
            <w:vAlign w:val="center"/>
          </w:tcPr>
          <w:p w14:paraId="7972FD37">
            <w:pPr>
              <w:keepNext w:val="0"/>
              <w:keepLines w:val="0"/>
              <w:pageBreakBefore w:val="0"/>
              <w:widowControl w:val="0"/>
              <w:kinsoku/>
              <w:wordWrap/>
              <w:overflowPunct/>
              <w:topLinePunct w:val="0"/>
              <w:bidi w:val="0"/>
              <w:adjustRightInd/>
              <w:snapToGrid w:val="0"/>
              <w:spacing w:line="320" w:lineRule="exact"/>
              <w:ind w:left="20" w:leftChars="1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未以联合体形式投标</w:t>
            </w:r>
          </w:p>
        </w:tc>
      </w:tr>
      <w:tr w14:paraId="78B82A5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00CF8BE4">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28F2A19D">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27DEC797">
            <w:pPr>
              <w:keepNext w:val="0"/>
              <w:keepLines w:val="0"/>
              <w:pageBreakBefore w:val="0"/>
              <w:widowControl w:val="0"/>
              <w:kinsoku/>
              <w:wordWrap/>
              <w:overflowPunct/>
              <w:topLinePunct w:val="0"/>
              <w:bidi w:val="0"/>
              <w:adjustRightInd/>
              <w:snapToGrid w:val="0"/>
              <w:spacing w:line="320" w:lineRule="exact"/>
              <w:ind w:left="20" w:lef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备选投标方案</w:t>
            </w:r>
          </w:p>
        </w:tc>
        <w:tc>
          <w:tcPr>
            <w:tcW w:w="4919" w:type="dxa"/>
            <w:tcBorders>
              <w:tl2br w:val="nil"/>
              <w:tr2bl w:val="nil"/>
            </w:tcBorders>
            <w:vAlign w:val="center"/>
          </w:tcPr>
          <w:p w14:paraId="30F84CE6">
            <w:pPr>
              <w:keepNext w:val="0"/>
              <w:keepLines w:val="0"/>
              <w:pageBreakBefore w:val="0"/>
              <w:widowControl w:val="0"/>
              <w:kinsoku/>
              <w:wordWrap/>
              <w:overflowPunct/>
              <w:topLinePunct w:val="0"/>
              <w:bidi w:val="0"/>
              <w:adjustRightInd/>
              <w:snapToGrid w:val="0"/>
              <w:spacing w:line="320" w:lineRule="exact"/>
              <w:ind w:left="20" w:leftChars="1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未提交备选投标方案</w:t>
            </w:r>
          </w:p>
        </w:tc>
      </w:tr>
      <w:tr w14:paraId="518C68F8">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03245E63">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4089"/>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04346084">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4089"/>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76A1B61A">
            <w:pPr>
              <w:keepNext w:val="0"/>
              <w:keepLines w:val="0"/>
              <w:pageBreakBefore w:val="0"/>
              <w:widowControl w:val="0"/>
              <w:kinsoku/>
              <w:wordWrap/>
              <w:overflowPunct/>
              <w:topLinePunct w:val="0"/>
              <w:autoSpaceDE w:val="0"/>
              <w:bidi w:val="0"/>
              <w:adjustRightInd/>
              <w:snapToGrid w:val="0"/>
              <w:spacing w:line="320" w:lineRule="exact"/>
              <w:ind w:left="20" w:lef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分包</w:t>
            </w:r>
          </w:p>
        </w:tc>
        <w:tc>
          <w:tcPr>
            <w:tcW w:w="4919" w:type="dxa"/>
            <w:tcBorders>
              <w:tl2br w:val="nil"/>
              <w:tr2bl w:val="nil"/>
            </w:tcBorders>
            <w:vAlign w:val="center"/>
          </w:tcPr>
          <w:p w14:paraId="2EC21B34">
            <w:pPr>
              <w:keepNext w:val="0"/>
              <w:keepLines w:val="0"/>
              <w:pageBreakBefore w:val="0"/>
              <w:widowControl w:val="0"/>
              <w:kinsoku/>
              <w:wordWrap/>
              <w:overflowPunct/>
              <w:topLinePunct w:val="0"/>
              <w:autoSpaceDE w:val="0"/>
              <w:bidi w:val="0"/>
              <w:adjustRightInd/>
              <w:snapToGrid w:val="0"/>
              <w:spacing w:line="320" w:lineRule="exact"/>
              <w:ind w:left="20" w:leftChars="1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投标人未对本项目提出分包计划</w:t>
            </w:r>
          </w:p>
        </w:tc>
      </w:tr>
      <w:tr w14:paraId="6B79EB3B">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restart"/>
            <w:tcBorders>
              <w:tl2br w:val="nil"/>
              <w:tr2bl w:val="nil"/>
            </w:tcBorders>
            <w:vAlign w:val="center"/>
          </w:tcPr>
          <w:p w14:paraId="29B385A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181" w:type="dxa"/>
            <w:vMerge w:val="restart"/>
            <w:tcBorders>
              <w:tl2br w:val="nil"/>
              <w:tr2bl w:val="nil"/>
            </w:tcBorders>
            <w:vAlign w:val="center"/>
          </w:tcPr>
          <w:p w14:paraId="6A81C9F9">
            <w:pPr>
              <w:keepNext w:val="0"/>
              <w:keepLines w:val="0"/>
              <w:pageBreakBefore w:val="0"/>
              <w:widowControl w:val="0"/>
              <w:kinsoku/>
              <w:wordWrap/>
              <w:overflowPunct/>
              <w:topLinePunct w:val="0"/>
              <w:autoSpaceDE w:val="0"/>
              <w:autoSpaceDN w:val="0"/>
              <w:bidi w:val="0"/>
              <w:adjustRightInd/>
              <w:snapToGrid w:val="0"/>
              <w:spacing w:line="320" w:lineRule="exact"/>
              <w:ind w:left="229" w:leftChars="10" w:right="60" w:hanging="209"/>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r>
              <w:rPr>
                <w:rFonts w:hint="eastAsia" w:ascii="宋体" w:hAnsi="宋体" w:eastAsia="宋体" w:cs="宋体"/>
                <w:color w:val="auto"/>
                <w:spacing w:val="-2"/>
                <w:sz w:val="21"/>
                <w:szCs w:val="21"/>
                <w:highlight w:val="none"/>
              </w:rPr>
              <w:t>评</w:t>
            </w:r>
            <w:r>
              <w:rPr>
                <w:rFonts w:hint="eastAsia" w:ascii="宋体" w:hAnsi="宋体" w:eastAsia="宋体" w:cs="宋体"/>
                <w:color w:val="auto"/>
                <w:sz w:val="21"/>
                <w:szCs w:val="21"/>
                <w:highlight w:val="none"/>
              </w:rPr>
              <w:t>审标准</w:t>
            </w:r>
          </w:p>
        </w:tc>
        <w:tc>
          <w:tcPr>
            <w:tcW w:w="2603" w:type="dxa"/>
            <w:tcBorders>
              <w:tl2br w:val="nil"/>
              <w:tr2bl w:val="nil"/>
            </w:tcBorders>
            <w:vAlign w:val="center"/>
          </w:tcPr>
          <w:p w14:paraId="37BA725D">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资质要求</w:t>
            </w:r>
          </w:p>
        </w:tc>
        <w:tc>
          <w:tcPr>
            <w:tcW w:w="4919" w:type="dxa"/>
            <w:tcBorders>
              <w:tl2br w:val="nil"/>
              <w:tr2bl w:val="nil"/>
            </w:tcBorders>
            <w:vAlign w:val="center"/>
          </w:tcPr>
          <w:p w14:paraId="2912F2AB">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二</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须知</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1.4</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规定</w:t>
            </w:r>
          </w:p>
        </w:tc>
      </w:tr>
      <w:tr w14:paraId="28904D6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6814DD00">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6BE54B64">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6F3F4C3A">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r>
              <w:rPr>
                <w:rFonts w:hint="eastAsia" w:ascii="宋体" w:hAnsi="宋体" w:eastAsia="宋体" w:cs="宋体"/>
                <w:color w:val="auto"/>
                <w:spacing w:val="-2"/>
                <w:sz w:val="21"/>
                <w:szCs w:val="21"/>
                <w:highlight w:val="none"/>
              </w:rPr>
              <w:t>要</w:t>
            </w:r>
            <w:r>
              <w:rPr>
                <w:rFonts w:hint="eastAsia" w:ascii="宋体" w:hAnsi="宋体" w:eastAsia="宋体" w:cs="宋体"/>
                <w:color w:val="auto"/>
                <w:sz w:val="21"/>
                <w:szCs w:val="21"/>
                <w:highlight w:val="none"/>
              </w:rPr>
              <w:t>求</w:t>
            </w:r>
          </w:p>
        </w:tc>
        <w:tc>
          <w:tcPr>
            <w:tcW w:w="4919" w:type="dxa"/>
            <w:tcBorders>
              <w:tl2br w:val="nil"/>
              <w:tr2bl w:val="nil"/>
            </w:tcBorders>
            <w:vAlign w:val="center"/>
          </w:tcPr>
          <w:p w14:paraId="5CD5D5ED">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二</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须知</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1.4</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规定</w:t>
            </w:r>
          </w:p>
        </w:tc>
      </w:tr>
      <w:tr w14:paraId="043B48D7">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43F14228">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661F3165">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77170BC8">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4919" w:type="dxa"/>
            <w:tcBorders>
              <w:tl2br w:val="nil"/>
              <w:tr2bl w:val="nil"/>
            </w:tcBorders>
            <w:vAlign w:val="center"/>
          </w:tcPr>
          <w:p w14:paraId="7ADD728A">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二</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须知</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1.4</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规定</w:t>
            </w:r>
          </w:p>
        </w:tc>
      </w:tr>
      <w:tr w14:paraId="3697841A">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62738952">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797EA1D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06908313">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w:t>
            </w:r>
            <w:r>
              <w:rPr>
                <w:rFonts w:hint="eastAsia" w:ascii="宋体" w:hAnsi="宋体" w:eastAsia="宋体" w:cs="宋体"/>
                <w:color w:val="auto"/>
                <w:spacing w:val="-2"/>
                <w:sz w:val="21"/>
                <w:szCs w:val="21"/>
                <w:highlight w:val="none"/>
              </w:rPr>
              <w:t>在</w:t>
            </w:r>
            <w:r>
              <w:rPr>
                <w:rFonts w:hint="eastAsia" w:ascii="宋体" w:hAnsi="宋体" w:eastAsia="宋体" w:cs="宋体"/>
                <w:color w:val="auto"/>
                <w:sz w:val="21"/>
                <w:szCs w:val="21"/>
                <w:highlight w:val="none"/>
              </w:rPr>
              <w:t>禁</w:t>
            </w:r>
            <w:r>
              <w:rPr>
                <w:rFonts w:hint="eastAsia" w:ascii="宋体" w:hAnsi="宋体" w:eastAsia="宋体" w:cs="宋体"/>
                <w:color w:val="auto"/>
                <w:spacing w:val="-2"/>
                <w:sz w:val="21"/>
                <w:szCs w:val="21"/>
                <w:highlight w:val="none"/>
              </w:rPr>
              <w:t>止</w:t>
            </w:r>
            <w:r>
              <w:rPr>
                <w:rFonts w:hint="eastAsia" w:ascii="宋体" w:hAnsi="宋体" w:eastAsia="宋体" w:cs="宋体"/>
                <w:color w:val="auto"/>
                <w:sz w:val="21"/>
                <w:szCs w:val="21"/>
                <w:highlight w:val="none"/>
              </w:rPr>
              <w:t>投</w:t>
            </w:r>
            <w:r>
              <w:rPr>
                <w:rFonts w:hint="eastAsia" w:ascii="宋体" w:hAnsi="宋体" w:eastAsia="宋体" w:cs="宋体"/>
                <w:color w:val="auto"/>
                <w:spacing w:val="-2"/>
                <w:sz w:val="21"/>
                <w:szCs w:val="21"/>
                <w:highlight w:val="none"/>
              </w:rPr>
              <w:t>标</w:t>
            </w:r>
            <w:r>
              <w:rPr>
                <w:rFonts w:hint="eastAsia" w:ascii="宋体" w:hAnsi="宋体" w:eastAsia="宋体" w:cs="宋体"/>
                <w:color w:val="auto"/>
                <w:sz w:val="21"/>
                <w:szCs w:val="21"/>
                <w:highlight w:val="none"/>
              </w:rPr>
              <w:t>的</w:t>
            </w:r>
            <w:r>
              <w:rPr>
                <w:rFonts w:hint="eastAsia" w:ascii="宋体" w:hAnsi="宋体" w:eastAsia="宋体" w:cs="宋体"/>
                <w:color w:val="auto"/>
                <w:spacing w:val="-2"/>
                <w:sz w:val="21"/>
                <w:szCs w:val="21"/>
                <w:highlight w:val="none"/>
              </w:rPr>
              <w:t>情</w:t>
            </w:r>
            <w:r>
              <w:rPr>
                <w:rFonts w:hint="eastAsia" w:ascii="宋体" w:hAnsi="宋体" w:eastAsia="宋体" w:cs="宋体"/>
                <w:color w:val="auto"/>
                <w:sz w:val="21"/>
                <w:szCs w:val="21"/>
                <w:highlight w:val="none"/>
              </w:rPr>
              <w:t>形</w:t>
            </w:r>
          </w:p>
        </w:tc>
        <w:tc>
          <w:tcPr>
            <w:tcW w:w="4919" w:type="dxa"/>
            <w:tcBorders>
              <w:tl2br w:val="nil"/>
              <w:tr2bl w:val="nil"/>
            </w:tcBorders>
            <w:vAlign w:val="center"/>
          </w:tcPr>
          <w:p w14:paraId="19871F0B">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w:t>
            </w:r>
            <w:r>
              <w:rPr>
                <w:rFonts w:hint="eastAsia" w:ascii="宋体" w:hAnsi="宋体" w:eastAsia="宋体" w:cs="宋体"/>
                <w:color w:val="auto"/>
                <w:spacing w:val="-2"/>
                <w:sz w:val="21"/>
                <w:szCs w:val="21"/>
                <w:highlight w:val="none"/>
              </w:rPr>
              <w:t>在</w:t>
            </w:r>
            <w:r>
              <w:rPr>
                <w:rFonts w:hint="eastAsia" w:ascii="宋体" w:hAnsi="宋体" w:eastAsia="宋体" w:cs="宋体"/>
                <w:color w:val="auto"/>
                <w:sz w:val="21"/>
                <w:szCs w:val="21"/>
                <w:highlight w:val="none"/>
              </w:rPr>
              <w:t>第</w:t>
            </w:r>
            <w:r>
              <w:rPr>
                <w:rFonts w:hint="eastAsia" w:ascii="宋体" w:hAnsi="宋体" w:eastAsia="宋体" w:cs="宋体"/>
                <w:color w:val="auto"/>
                <w:spacing w:val="-2"/>
                <w:sz w:val="21"/>
                <w:szCs w:val="21"/>
                <w:highlight w:val="none"/>
              </w:rPr>
              <w:t>二</w:t>
            </w:r>
            <w:r>
              <w:rPr>
                <w:rFonts w:hint="eastAsia" w:ascii="宋体" w:hAnsi="宋体" w:eastAsia="宋体" w:cs="宋体"/>
                <w:color w:val="auto"/>
                <w:sz w:val="21"/>
                <w:szCs w:val="21"/>
                <w:highlight w:val="none"/>
              </w:rPr>
              <w:t>章</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投</w:t>
            </w:r>
            <w:r>
              <w:rPr>
                <w:rFonts w:hint="eastAsia" w:ascii="宋体" w:hAnsi="宋体" w:eastAsia="宋体" w:cs="宋体"/>
                <w:color w:val="auto"/>
                <w:spacing w:val="-2"/>
                <w:sz w:val="21"/>
                <w:szCs w:val="21"/>
                <w:highlight w:val="none"/>
              </w:rPr>
              <w:t>标</w:t>
            </w:r>
            <w:r>
              <w:rPr>
                <w:rFonts w:hint="eastAsia" w:ascii="宋体" w:hAnsi="宋体" w:eastAsia="宋体" w:cs="宋体"/>
                <w:color w:val="auto"/>
                <w:sz w:val="21"/>
                <w:szCs w:val="21"/>
                <w:highlight w:val="none"/>
              </w:rPr>
              <w:t>人</w:t>
            </w:r>
            <w:r>
              <w:rPr>
                <w:rFonts w:hint="eastAsia" w:ascii="宋体" w:hAnsi="宋体" w:eastAsia="宋体" w:cs="宋体"/>
                <w:color w:val="auto"/>
                <w:spacing w:val="-2"/>
                <w:sz w:val="21"/>
                <w:szCs w:val="21"/>
                <w:highlight w:val="none"/>
              </w:rPr>
              <w:t>须</w:t>
            </w:r>
            <w:r>
              <w:rPr>
                <w:rFonts w:hint="eastAsia" w:ascii="宋体" w:hAnsi="宋体" w:eastAsia="宋体" w:cs="宋体"/>
                <w:color w:val="auto"/>
                <w:spacing w:val="-3"/>
                <w:sz w:val="21"/>
                <w:szCs w:val="21"/>
                <w:highlight w:val="none"/>
              </w:rPr>
              <w:t>知</w:t>
            </w:r>
            <w:r>
              <w:rPr>
                <w:rFonts w:hint="eastAsia" w:ascii="宋体" w:hAnsi="宋体" w:eastAsia="宋体" w:cs="宋体"/>
                <w:color w:val="auto"/>
                <w:sz w:val="21"/>
                <w:szCs w:val="21"/>
                <w:highlight w:val="none"/>
              </w:rPr>
              <w:t>”第1.4.3项</w:t>
            </w:r>
            <w:r>
              <w:rPr>
                <w:rFonts w:hint="eastAsia" w:ascii="宋体" w:hAnsi="宋体" w:eastAsia="宋体" w:cs="宋体"/>
                <w:color w:val="auto"/>
                <w:spacing w:val="-2"/>
                <w:sz w:val="21"/>
                <w:szCs w:val="21"/>
                <w:highlight w:val="none"/>
              </w:rPr>
              <w:t>规</w:t>
            </w:r>
            <w:r>
              <w:rPr>
                <w:rFonts w:hint="eastAsia" w:ascii="宋体" w:hAnsi="宋体" w:eastAsia="宋体" w:cs="宋体"/>
                <w:color w:val="auto"/>
                <w:sz w:val="21"/>
                <w:szCs w:val="21"/>
                <w:highlight w:val="none"/>
              </w:rPr>
              <w:t>定</w:t>
            </w:r>
            <w:r>
              <w:rPr>
                <w:rFonts w:hint="eastAsia" w:ascii="宋体" w:hAnsi="宋体" w:eastAsia="宋体" w:cs="宋体"/>
                <w:color w:val="auto"/>
                <w:spacing w:val="-2"/>
                <w:sz w:val="21"/>
                <w:szCs w:val="21"/>
                <w:highlight w:val="none"/>
              </w:rPr>
              <w:t>的</w:t>
            </w:r>
            <w:r>
              <w:rPr>
                <w:rFonts w:hint="eastAsia" w:ascii="宋体" w:hAnsi="宋体" w:eastAsia="宋体" w:cs="宋体"/>
                <w:color w:val="auto"/>
                <w:sz w:val="21"/>
                <w:szCs w:val="21"/>
                <w:highlight w:val="none"/>
              </w:rPr>
              <w:t>任何一种</w:t>
            </w:r>
            <w:r>
              <w:rPr>
                <w:rFonts w:hint="eastAsia" w:ascii="宋体" w:hAnsi="宋体" w:eastAsia="宋体" w:cs="宋体"/>
                <w:color w:val="auto"/>
                <w:spacing w:val="-2"/>
                <w:sz w:val="21"/>
                <w:szCs w:val="21"/>
                <w:highlight w:val="none"/>
              </w:rPr>
              <w:t>情</w:t>
            </w:r>
            <w:r>
              <w:rPr>
                <w:rFonts w:hint="eastAsia" w:ascii="宋体" w:hAnsi="宋体" w:eastAsia="宋体" w:cs="宋体"/>
                <w:color w:val="auto"/>
                <w:sz w:val="21"/>
                <w:szCs w:val="21"/>
                <w:highlight w:val="none"/>
              </w:rPr>
              <w:t>形</w:t>
            </w:r>
          </w:p>
        </w:tc>
      </w:tr>
      <w:tr w14:paraId="7948D27C">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946" w:type="dxa"/>
            <w:vMerge w:val="restart"/>
            <w:tcBorders>
              <w:tl2br w:val="nil"/>
              <w:tr2bl w:val="nil"/>
            </w:tcBorders>
            <w:vAlign w:val="center"/>
          </w:tcPr>
          <w:p w14:paraId="10525B7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181" w:type="dxa"/>
            <w:vMerge w:val="restart"/>
            <w:tcBorders>
              <w:tl2br w:val="nil"/>
              <w:tr2bl w:val="nil"/>
            </w:tcBorders>
            <w:vAlign w:val="center"/>
          </w:tcPr>
          <w:p w14:paraId="1FE0B6BB">
            <w:pPr>
              <w:keepNext w:val="0"/>
              <w:keepLines w:val="0"/>
              <w:pageBreakBefore w:val="0"/>
              <w:widowControl w:val="0"/>
              <w:kinsoku/>
              <w:wordWrap/>
              <w:overflowPunct/>
              <w:topLinePunct w:val="0"/>
              <w:autoSpaceDE w:val="0"/>
              <w:autoSpaceDN w:val="0"/>
              <w:bidi w:val="0"/>
              <w:adjustRightInd/>
              <w:snapToGrid w:val="0"/>
              <w:spacing w:line="320" w:lineRule="exact"/>
              <w:ind w:left="123" w:leftChars="10" w:right="60" w:hanging="103"/>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pacing w:val="-2"/>
                <w:sz w:val="21"/>
                <w:szCs w:val="21"/>
                <w:highlight w:val="none"/>
              </w:rPr>
              <w:t>性</w:t>
            </w:r>
            <w:r>
              <w:rPr>
                <w:rFonts w:hint="eastAsia" w:ascii="宋体" w:hAnsi="宋体" w:eastAsia="宋体" w:cs="宋体"/>
                <w:color w:val="auto"/>
                <w:sz w:val="21"/>
                <w:szCs w:val="21"/>
                <w:highlight w:val="none"/>
              </w:rPr>
              <w:t>评审标准</w:t>
            </w:r>
          </w:p>
        </w:tc>
        <w:tc>
          <w:tcPr>
            <w:tcW w:w="2603" w:type="dxa"/>
            <w:tcBorders>
              <w:tl2br w:val="nil"/>
              <w:tr2bl w:val="nil"/>
            </w:tcBorders>
            <w:shd w:val="clear" w:color="auto" w:fill="auto"/>
            <w:vAlign w:val="center"/>
          </w:tcPr>
          <w:p w14:paraId="0E6828F3">
            <w:pPr>
              <w:keepNext w:val="0"/>
              <w:keepLines w:val="0"/>
              <w:pageBreakBefore w:val="0"/>
              <w:widowControl w:val="0"/>
              <w:kinsoku/>
              <w:wordWrap/>
              <w:overflowPunct/>
              <w:topLinePunct w:val="0"/>
              <w:bidi w:val="0"/>
              <w:adjustRightInd/>
              <w:snapToGrid w:val="0"/>
              <w:spacing w:line="320" w:lineRule="exact"/>
              <w:ind w:left="20" w:leftChars="1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投标报价</w:t>
            </w:r>
          </w:p>
        </w:tc>
        <w:tc>
          <w:tcPr>
            <w:tcW w:w="4919" w:type="dxa"/>
            <w:tcBorders>
              <w:tl2br w:val="nil"/>
              <w:tr2bl w:val="nil"/>
            </w:tcBorders>
            <w:shd w:val="clear" w:color="auto" w:fill="auto"/>
            <w:vAlign w:val="center"/>
          </w:tcPr>
          <w:p w14:paraId="235418C1">
            <w:pPr>
              <w:keepNext w:val="0"/>
              <w:keepLines w:val="0"/>
              <w:pageBreakBefore w:val="0"/>
              <w:widowControl w:val="0"/>
              <w:kinsoku/>
              <w:wordWrap/>
              <w:overflowPunct/>
              <w:topLinePunct w:val="0"/>
              <w:bidi w:val="0"/>
              <w:adjustRightInd/>
              <w:snapToGrid w:val="0"/>
              <w:spacing w:line="320" w:lineRule="exact"/>
              <w:ind w:left="20" w:leftChars="1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符合第二章“投标人须知”第 3.2 款规定。</w:t>
            </w:r>
          </w:p>
        </w:tc>
      </w:tr>
      <w:tr w14:paraId="6DA7FD6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946" w:type="dxa"/>
            <w:vMerge w:val="continue"/>
            <w:tcBorders>
              <w:tl2br w:val="nil"/>
              <w:tr2bl w:val="nil"/>
            </w:tcBorders>
            <w:vAlign w:val="center"/>
          </w:tcPr>
          <w:p w14:paraId="3C87D35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50825F71">
            <w:pPr>
              <w:keepNext w:val="0"/>
              <w:keepLines w:val="0"/>
              <w:pageBreakBefore w:val="0"/>
              <w:widowControl w:val="0"/>
              <w:kinsoku/>
              <w:wordWrap/>
              <w:overflowPunct/>
              <w:topLinePunct w:val="0"/>
              <w:autoSpaceDE w:val="0"/>
              <w:autoSpaceDN w:val="0"/>
              <w:bidi w:val="0"/>
              <w:adjustRightInd/>
              <w:snapToGrid w:val="0"/>
              <w:spacing w:line="320" w:lineRule="exact"/>
              <w:ind w:left="123" w:leftChars="10" w:right="60" w:hanging="103"/>
              <w:jc w:val="both"/>
              <w:textAlignment w:val="auto"/>
              <w:rPr>
                <w:rFonts w:hint="eastAsia" w:ascii="宋体" w:hAnsi="宋体" w:eastAsia="宋体" w:cs="宋体"/>
                <w:color w:val="auto"/>
                <w:sz w:val="21"/>
                <w:szCs w:val="21"/>
                <w:highlight w:val="none"/>
              </w:rPr>
            </w:pPr>
          </w:p>
        </w:tc>
        <w:tc>
          <w:tcPr>
            <w:tcW w:w="2603" w:type="dxa"/>
            <w:tcBorders>
              <w:tl2br w:val="nil"/>
              <w:tr2bl w:val="nil"/>
            </w:tcBorders>
            <w:shd w:val="clear" w:color="auto" w:fill="auto"/>
            <w:vAlign w:val="center"/>
          </w:tcPr>
          <w:p w14:paraId="46F82F70">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pacing w:val="-2"/>
                <w:sz w:val="21"/>
                <w:szCs w:val="21"/>
                <w:highlight w:val="none"/>
              </w:rPr>
              <w:t>内</w:t>
            </w:r>
            <w:r>
              <w:rPr>
                <w:rFonts w:hint="eastAsia" w:ascii="宋体" w:hAnsi="宋体" w:eastAsia="宋体" w:cs="宋体"/>
                <w:color w:val="auto"/>
                <w:sz w:val="21"/>
                <w:szCs w:val="21"/>
                <w:highlight w:val="none"/>
              </w:rPr>
              <w:t>容</w:t>
            </w:r>
          </w:p>
        </w:tc>
        <w:tc>
          <w:tcPr>
            <w:tcW w:w="4919" w:type="dxa"/>
            <w:tcBorders>
              <w:tl2br w:val="nil"/>
              <w:tr2bl w:val="nil"/>
            </w:tcBorders>
            <w:shd w:val="clear" w:color="auto" w:fill="auto"/>
            <w:vAlign w:val="center"/>
          </w:tcPr>
          <w:p w14:paraId="60CC9C41">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二</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须知</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1.3</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规定</w:t>
            </w:r>
          </w:p>
        </w:tc>
      </w:tr>
      <w:tr w14:paraId="0DE10B0D">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13652041">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62D55A0D">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3C399393">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交货期</w:t>
            </w:r>
          </w:p>
        </w:tc>
        <w:tc>
          <w:tcPr>
            <w:tcW w:w="4919" w:type="dxa"/>
            <w:tcBorders>
              <w:tl2br w:val="nil"/>
              <w:tr2bl w:val="nil"/>
            </w:tcBorders>
            <w:vAlign w:val="center"/>
          </w:tcPr>
          <w:p w14:paraId="59BB24A7">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二</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须知</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1.3</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2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规定</w:t>
            </w:r>
          </w:p>
        </w:tc>
      </w:tr>
      <w:tr w14:paraId="42F3B14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3DDC6815">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0C7ED428">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2CCCCCBB">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eastAsia="宋体" w:cs="宋体"/>
                <w:color w:val="auto"/>
                <w:spacing w:val="-2"/>
                <w:sz w:val="21"/>
                <w:szCs w:val="21"/>
                <w:highlight w:val="none"/>
              </w:rPr>
              <w:t>地</w:t>
            </w:r>
            <w:r>
              <w:rPr>
                <w:rFonts w:hint="eastAsia" w:ascii="宋体" w:hAnsi="宋体" w:eastAsia="宋体" w:cs="宋体"/>
                <w:color w:val="auto"/>
                <w:sz w:val="21"/>
                <w:szCs w:val="21"/>
                <w:highlight w:val="none"/>
              </w:rPr>
              <w:t>点</w:t>
            </w:r>
          </w:p>
        </w:tc>
        <w:tc>
          <w:tcPr>
            <w:tcW w:w="4919" w:type="dxa"/>
            <w:tcBorders>
              <w:tl2br w:val="nil"/>
              <w:tr2bl w:val="nil"/>
            </w:tcBorders>
            <w:vAlign w:val="center"/>
          </w:tcPr>
          <w:p w14:paraId="6E8CCCBE">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二</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须知</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1.3</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规定</w:t>
            </w:r>
          </w:p>
        </w:tc>
      </w:tr>
      <w:tr w14:paraId="79DD248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01FE04BD">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5BEEDA48">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28DCFA3D">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r>
              <w:rPr>
                <w:rFonts w:hint="eastAsia" w:ascii="宋体" w:hAnsi="宋体" w:eastAsia="宋体" w:cs="宋体"/>
                <w:color w:val="auto"/>
                <w:spacing w:val="-2"/>
                <w:sz w:val="21"/>
                <w:szCs w:val="21"/>
                <w:highlight w:val="none"/>
              </w:rPr>
              <w:t>要求</w:t>
            </w:r>
          </w:p>
        </w:tc>
        <w:tc>
          <w:tcPr>
            <w:tcW w:w="4919" w:type="dxa"/>
            <w:tcBorders>
              <w:tl2br w:val="nil"/>
              <w:tr2bl w:val="nil"/>
            </w:tcBorders>
            <w:vAlign w:val="center"/>
          </w:tcPr>
          <w:p w14:paraId="4EDE4438">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二</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须知</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1.3</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规定</w:t>
            </w:r>
          </w:p>
        </w:tc>
      </w:tr>
      <w:tr w14:paraId="7ED74A2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37C07A97">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428F1C4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68F4C0A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安全目标</w:t>
            </w:r>
          </w:p>
        </w:tc>
        <w:tc>
          <w:tcPr>
            <w:tcW w:w="4919" w:type="dxa"/>
            <w:tcBorders>
              <w:tl2br w:val="nil"/>
              <w:tr2bl w:val="nil"/>
            </w:tcBorders>
            <w:vAlign w:val="center"/>
          </w:tcPr>
          <w:p w14:paraId="27BD5352">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二</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须知</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1.3</w:t>
            </w:r>
            <w:r>
              <w:rPr>
                <w:rFonts w:hint="eastAsia" w:ascii="宋体" w:hAnsi="宋体" w:eastAsia="宋体" w:cs="宋体"/>
                <w:color w:val="auto"/>
                <w:spacing w:val="-2"/>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规定</w:t>
            </w:r>
          </w:p>
        </w:tc>
      </w:tr>
      <w:tr w14:paraId="28377DC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0CBDCAE7">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3D220186">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6F57DD35">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pacing w:val="-2"/>
                <w:sz w:val="21"/>
                <w:szCs w:val="21"/>
                <w:highlight w:val="none"/>
              </w:rPr>
              <w:t>有</w:t>
            </w:r>
            <w:r>
              <w:rPr>
                <w:rFonts w:hint="eastAsia" w:ascii="宋体" w:hAnsi="宋体" w:eastAsia="宋体" w:cs="宋体"/>
                <w:color w:val="auto"/>
                <w:sz w:val="21"/>
                <w:szCs w:val="21"/>
                <w:highlight w:val="none"/>
              </w:rPr>
              <w:t>效期</w:t>
            </w:r>
          </w:p>
        </w:tc>
        <w:tc>
          <w:tcPr>
            <w:tcW w:w="4919" w:type="dxa"/>
            <w:tcBorders>
              <w:tl2br w:val="nil"/>
              <w:tr2bl w:val="nil"/>
            </w:tcBorders>
            <w:vAlign w:val="center"/>
          </w:tcPr>
          <w:p w14:paraId="117636E6">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二</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须知</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3.3</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规定</w:t>
            </w:r>
          </w:p>
        </w:tc>
      </w:tr>
      <w:tr w14:paraId="1C8B106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2262C476">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752DFA64">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32994D3A">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pacing w:val="-2"/>
                <w:sz w:val="21"/>
                <w:szCs w:val="21"/>
                <w:highlight w:val="none"/>
              </w:rPr>
              <w:t>保</w:t>
            </w:r>
            <w:r>
              <w:rPr>
                <w:rFonts w:hint="eastAsia" w:ascii="宋体" w:hAnsi="宋体" w:eastAsia="宋体" w:cs="宋体"/>
                <w:color w:val="auto"/>
                <w:sz w:val="21"/>
                <w:szCs w:val="21"/>
                <w:highlight w:val="none"/>
              </w:rPr>
              <w:t>证金</w:t>
            </w:r>
          </w:p>
        </w:tc>
        <w:tc>
          <w:tcPr>
            <w:tcW w:w="4919" w:type="dxa"/>
            <w:tcBorders>
              <w:tl2br w:val="nil"/>
              <w:tr2bl w:val="nil"/>
            </w:tcBorders>
            <w:vAlign w:val="center"/>
          </w:tcPr>
          <w:p w14:paraId="6273F163">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pacing w:val="-2"/>
                <w:sz w:val="21"/>
                <w:szCs w:val="21"/>
                <w:highlight w:val="none"/>
              </w:rPr>
              <w:t>第</w:t>
            </w:r>
            <w:r>
              <w:rPr>
                <w:rFonts w:hint="eastAsia" w:ascii="宋体" w:hAnsi="宋体" w:eastAsia="宋体" w:cs="宋体"/>
                <w:color w:val="auto"/>
                <w:sz w:val="21"/>
                <w:szCs w:val="21"/>
                <w:highlight w:val="none"/>
              </w:rPr>
              <w:t>二</w:t>
            </w:r>
            <w:r>
              <w:rPr>
                <w:rFonts w:hint="eastAsia" w:ascii="宋体" w:hAnsi="宋体" w:eastAsia="宋体" w:cs="宋体"/>
                <w:color w:val="auto"/>
                <w:spacing w:val="-2"/>
                <w:sz w:val="21"/>
                <w:szCs w:val="21"/>
                <w:highlight w:val="none"/>
              </w:rPr>
              <w:t>章</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2"/>
                <w:sz w:val="21"/>
                <w:szCs w:val="21"/>
                <w:highlight w:val="none"/>
              </w:rPr>
              <w:t>人</w:t>
            </w:r>
            <w:r>
              <w:rPr>
                <w:rFonts w:hint="eastAsia" w:ascii="宋体" w:hAnsi="宋体" w:eastAsia="宋体" w:cs="宋体"/>
                <w:color w:val="auto"/>
                <w:sz w:val="21"/>
                <w:szCs w:val="21"/>
                <w:highlight w:val="none"/>
              </w:rPr>
              <w:t>须知</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3.4</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pacing w:val="-2"/>
                <w:sz w:val="21"/>
                <w:szCs w:val="21"/>
                <w:highlight w:val="none"/>
              </w:rPr>
              <w:t>项</w:t>
            </w:r>
            <w:r>
              <w:rPr>
                <w:rFonts w:hint="eastAsia" w:ascii="宋体" w:hAnsi="宋体" w:eastAsia="宋体" w:cs="宋体"/>
                <w:color w:val="auto"/>
                <w:sz w:val="21"/>
                <w:szCs w:val="21"/>
                <w:highlight w:val="none"/>
              </w:rPr>
              <w:t>规定</w:t>
            </w:r>
          </w:p>
        </w:tc>
      </w:tr>
      <w:tr w14:paraId="151380A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0DD35D20">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139A3CF0">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2E7D3E33">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rightChars="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权利义务</w:t>
            </w:r>
          </w:p>
        </w:tc>
        <w:tc>
          <w:tcPr>
            <w:tcW w:w="4919" w:type="dxa"/>
            <w:tcBorders>
              <w:tl2br w:val="nil"/>
              <w:tr2bl w:val="nil"/>
            </w:tcBorders>
            <w:vAlign w:val="center"/>
          </w:tcPr>
          <w:p w14:paraId="0ED947B8">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a.投标人应接受招标文件规定的风险划分原则，未提出新的风险划分办法；</w:t>
            </w:r>
          </w:p>
          <w:p w14:paraId="6593A0D4">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b.投标人未增加发包人的责任范围，或减少投标人义务；</w:t>
            </w:r>
          </w:p>
          <w:p w14:paraId="08F3FAA3">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c.投标人未提出不同的支付办法；</w:t>
            </w:r>
          </w:p>
          <w:p w14:paraId="59E70BE8">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d.投标人对合同纠纷、事故处理办法未提出异议；</w:t>
            </w:r>
          </w:p>
          <w:p w14:paraId="2C33D9F7">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e.投标人在投标活动中无欺诈行为；</w:t>
            </w:r>
          </w:p>
          <w:p w14:paraId="6E05C2F6">
            <w:pPr>
              <w:tabs>
                <w:tab w:val="left" w:pos="3060"/>
              </w:tabs>
              <w:snapToGrid w:val="0"/>
              <w:spacing w:line="320" w:lineRule="exact"/>
              <w:ind w:firstLine="210" w:firstLineChars="100"/>
              <w:rPr>
                <w:rFonts w:hint="eastAsia" w:ascii="宋体" w:hAnsi="宋体" w:eastAsia="宋体" w:cs="宋体"/>
                <w:strike w:val="0"/>
                <w:color w:val="auto"/>
                <w:sz w:val="21"/>
                <w:szCs w:val="21"/>
                <w:highlight w:val="none"/>
                <w:lang w:eastAsia="zh-CN"/>
              </w:rPr>
            </w:pPr>
            <w:r>
              <w:rPr>
                <w:rFonts w:ascii="宋体" w:hAnsi="宋体"/>
                <w:sz w:val="21"/>
                <w:szCs w:val="21"/>
                <w:highlight w:val="none"/>
              </w:rPr>
              <w:t>f.投标人未对合同条款有重要保留。</w:t>
            </w:r>
          </w:p>
        </w:tc>
      </w:tr>
      <w:tr w14:paraId="5A51CDC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2F1595E3">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58D71229">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58C4A687">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rightChars="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货物</w:t>
            </w:r>
            <w:r>
              <w:rPr>
                <w:rFonts w:hint="eastAsia" w:ascii="宋体" w:hAnsi="宋体" w:eastAsia="宋体" w:cs="宋体"/>
                <w:strike w:val="0"/>
                <w:color w:val="auto"/>
                <w:spacing w:val="-2"/>
                <w:sz w:val="21"/>
                <w:szCs w:val="21"/>
                <w:highlight w:val="none"/>
              </w:rPr>
              <w:t>及</w:t>
            </w:r>
            <w:r>
              <w:rPr>
                <w:rFonts w:hint="eastAsia" w:ascii="宋体" w:hAnsi="宋体" w:eastAsia="宋体" w:cs="宋体"/>
                <w:strike w:val="0"/>
                <w:color w:val="auto"/>
                <w:sz w:val="21"/>
                <w:szCs w:val="21"/>
                <w:highlight w:val="none"/>
              </w:rPr>
              <w:t>技术服务和质保期服务</w:t>
            </w:r>
          </w:p>
        </w:tc>
        <w:tc>
          <w:tcPr>
            <w:tcW w:w="4919" w:type="dxa"/>
            <w:tcBorders>
              <w:tl2br w:val="nil"/>
              <w:tr2bl w:val="nil"/>
            </w:tcBorders>
            <w:vAlign w:val="center"/>
          </w:tcPr>
          <w:p w14:paraId="74C90A2E">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rightChars="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符合</w:t>
            </w:r>
            <w:r>
              <w:rPr>
                <w:rFonts w:hint="eastAsia" w:ascii="宋体" w:hAnsi="宋体" w:eastAsia="宋体" w:cs="宋体"/>
                <w:strike w:val="0"/>
                <w:color w:val="auto"/>
                <w:spacing w:val="-2"/>
                <w:sz w:val="21"/>
                <w:szCs w:val="21"/>
                <w:highlight w:val="none"/>
              </w:rPr>
              <w:t>第</w:t>
            </w:r>
            <w:r>
              <w:rPr>
                <w:rFonts w:hint="eastAsia" w:ascii="宋体" w:hAnsi="宋体" w:eastAsia="宋体" w:cs="宋体"/>
                <w:strike w:val="0"/>
                <w:color w:val="auto"/>
                <w:sz w:val="21"/>
                <w:szCs w:val="21"/>
                <w:highlight w:val="none"/>
              </w:rPr>
              <w:t>五</w:t>
            </w:r>
            <w:r>
              <w:rPr>
                <w:rFonts w:hint="eastAsia" w:ascii="宋体" w:hAnsi="宋体" w:eastAsia="宋体" w:cs="宋体"/>
                <w:strike w:val="0"/>
                <w:color w:val="auto"/>
                <w:spacing w:val="-2"/>
                <w:sz w:val="21"/>
                <w:szCs w:val="21"/>
                <w:highlight w:val="none"/>
              </w:rPr>
              <w:t>章</w:t>
            </w:r>
            <w:r>
              <w:rPr>
                <w:rFonts w:hint="eastAsia" w:ascii="宋体" w:hAnsi="宋体" w:eastAsia="宋体" w:cs="宋体"/>
                <w:strike w:val="0"/>
                <w:color w:val="auto"/>
                <w:sz w:val="21"/>
                <w:szCs w:val="21"/>
                <w:highlight w:val="none"/>
              </w:rPr>
              <w:t>“</w:t>
            </w:r>
            <w:r>
              <w:rPr>
                <w:rFonts w:hint="eastAsia" w:ascii="宋体" w:hAnsi="宋体" w:eastAsia="宋体" w:cs="宋体"/>
                <w:strike w:val="0"/>
                <w:color w:val="auto"/>
                <w:spacing w:val="-2"/>
                <w:sz w:val="21"/>
                <w:szCs w:val="21"/>
                <w:highlight w:val="none"/>
              </w:rPr>
              <w:t>供</w:t>
            </w:r>
            <w:r>
              <w:rPr>
                <w:rFonts w:hint="eastAsia" w:ascii="宋体" w:hAnsi="宋体" w:eastAsia="宋体" w:cs="宋体"/>
                <w:strike w:val="0"/>
                <w:color w:val="auto"/>
                <w:sz w:val="21"/>
                <w:szCs w:val="21"/>
                <w:highlight w:val="none"/>
              </w:rPr>
              <w:t>货</w:t>
            </w:r>
            <w:r>
              <w:rPr>
                <w:rFonts w:hint="eastAsia" w:ascii="宋体" w:hAnsi="宋体" w:eastAsia="宋体" w:cs="宋体"/>
                <w:strike w:val="0"/>
                <w:color w:val="auto"/>
                <w:spacing w:val="-2"/>
                <w:sz w:val="21"/>
                <w:szCs w:val="21"/>
                <w:highlight w:val="none"/>
              </w:rPr>
              <w:t>要</w:t>
            </w:r>
            <w:r>
              <w:rPr>
                <w:rFonts w:hint="eastAsia" w:ascii="宋体" w:hAnsi="宋体" w:eastAsia="宋体" w:cs="宋体"/>
                <w:strike w:val="0"/>
                <w:color w:val="auto"/>
                <w:sz w:val="21"/>
                <w:szCs w:val="21"/>
                <w:highlight w:val="none"/>
              </w:rPr>
              <w:t>求”</w:t>
            </w:r>
            <w:r>
              <w:rPr>
                <w:rFonts w:hint="eastAsia" w:ascii="宋体" w:hAnsi="宋体" w:eastAsia="宋体" w:cs="宋体"/>
                <w:strike w:val="0"/>
                <w:color w:val="auto"/>
                <w:spacing w:val="-2"/>
                <w:sz w:val="21"/>
                <w:szCs w:val="21"/>
                <w:highlight w:val="none"/>
              </w:rPr>
              <w:t>中</w:t>
            </w:r>
            <w:r>
              <w:rPr>
                <w:rFonts w:hint="eastAsia" w:ascii="宋体" w:hAnsi="宋体" w:eastAsia="宋体" w:cs="宋体"/>
                <w:strike w:val="0"/>
                <w:color w:val="auto"/>
                <w:sz w:val="21"/>
                <w:szCs w:val="21"/>
                <w:highlight w:val="none"/>
              </w:rPr>
              <w:t>的实质性要求和条件</w:t>
            </w:r>
          </w:p>
        </w:tc>
      </w:tr>
      <w:tr w14:paraId="19DBAF4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156F177E">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06E90C98">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21627098">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strike w:val="0"/>
                <w:color w:val="auto"/>
                <w:sz w:val="21"/>
                <w:szCs w:val="21"/>
                <w:highlight w:val="none"/>
                <w:lang w:val="en-US" w:eastAsia="zh-CN"/>
              </w:rPr>
            </w:pPr>
            <w:r>
              <w:rPr>
                <w:rFonts w:hint="eastAsia" w:ascii="宋体" w:hAnsi="宋体" w:cs="宋体"/>
                <w:color w:val="auto"/>
                <w:sz w:val="21"/>
                <w:szCs w:val="21"/>
                <w:highlight w:val="none"/>
              </w:rPr>
              <w:t>实质性要求和条件</w:t>
            </w:r>
          </w:p>
        </w:tc>
        <w:tc>
          <w:tcPr>
            <w:tcW w:w="4919" w:type="dxa"/>
            <w:tcBorders>
              <w:tl2br w:val="nil"/>
              <w:tr2bl w:val="nil"/>
            </w:tcBorders>
            <w:vAlign w:val="center"/>
          </w:tcPr>
          <w:p w14:paraId="25B5846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投标文件对招标文件的实质性要求和条件（</w:t>
            </w:r>
            <w:r>
              <w:rPr>
                <w:rFonts w:hint="eastAsia" w:ascii="宋体" w:hAnsi="宋体" w:cs="宋体"/>
                <w:color w:val="auto"/>
                <w:sz w:val="21"/>
                <w:szCs w:val="21"/>
                <w:highlight w:val="none"/>
                <w:lang w:val="en-US" w:eastAsia="zh-CN"/>
              </w:rPr>
              <w:t>供货要求</w:t>
            </w:r>
            <w:r>
              <w:rPr>
                <w:rFonts w:hint="eastAsia" w:ascii="宋体" w:hAnsi="宋体" w:cs="宋体"/>
                <w:color w:val="auto"/>
                <w:sz w:val="21"/>
                <w:szCs w:val="21"/>
                <w:highlight w:val="none"/>
              </w:rPr>
              <w:t>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的条款）作出响应，满足招标文件的要求</w:t>
            </w:r>
          </w:p>
        </w:tc>
      </w:tr>
      <w:tr w14:paraId="4A9F52E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vMerge w:val="continue"/>
            <w:tcBorders>
              <w:tl2br w:val="nil"/>
              <w:tr2bl w:val="nil"/>
            </w:tcBorders>
            <w:vAlign w:val="center"/>
          </w:tcPr>
          <w:p w14:paraId="5E3505F5">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1181" w:type="dxa"/>
            <w:vMerge w:val="continue"/>
            <w:tcBorders>
              <w:tl2br w:val="nil"/>
              <w:tr2bl w:val="nil"/>
            </w:tcBorders>
            <w:vAlign w:val="center"/>
          </w:tcPr>
          <w:p w14:paraId="04BDA0B5">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color w:val="auto"/>
                <w:sz w:val="21"/>
                <w:szCs w:val="21"/>
                <w:highlight w:val="none"/>
              </w:rPr>
            </w:pPr>
          </w:p>
        </w:tc>
        <w:tc>
          <w:tcPr>
            <w:tcW w:w="2603" w:type="dxa"/>
            <w:tcBorders>
              <w:tl2br w:val="nil"/>
              <w:tr2bl w:val="nil"/>
            </w:tcBorders>
            <w:vAlign w:val="center"/>
          </w:tcPr>
          <w:p w14:paraId="23A65872">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default" w:ascii="宋体" w:hAnsi="宋体" w:eastAsia="宋体" w:cs="宋体"/>
                <w:strike w:val="0"/>
                <w:color w:val="auto"/>
                <w:sz w:val="21"/>
                <w:szCs w:val="21"/>
                <w:highlight w:val="none"/>
                <w:lang w:val="en-US" w:eastAsia="zh-CN"/>
              </w:rPr>
            </w:pPr>
            <w:r>
              <w:rPr>
                <w:rFonts w:hint="eastAsia" w:ascii="宋体" w:hAnsi="宋体" w:eastAsia="宋体" w:cs="宋体"/>
                <w:strike w:val="0"/>
                <w:color w:val="auto"/>
                <w:sz w:val="21"/>
                <w:szCs w:val="21"/>
                <w:highlight w:val="none"/>
                <w:lang w:val="en-US" w:eastAsia="zh-CN"/>
              </w:rPr>
              <w:t>技术支持资料</w:t>
            </w:r>
          </w:p>
        </w:tc>
        <w:tc>
          <w:tcPr>
            <w:tcW w:w="4919" w:type="dxa"/>
            <w:tcBorders>
              <w:tl2br w:val="nil"/>
              <w:tr2bl w:val="nil"/>
            </w:tcBorders>
            <w:vAlign w:val="center"/>
          </w:tcPr>
          <w:p w14:paraId="0A1E173B">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eastAsia="宋体" w:cs="宋体"/>
                <w:strike w:val="0"/>
                <w:color w:val="auto"/>
                <w:sz w:val="21"/>
                <w:szCs w:val="21"/>
                <w:highlight w:val="none"/>
              </w:rPr>
            </w:pPr>
            <w:r>
              <w:rPr>
                <w:rFonts w:hint="eastAsia" w:ascii="宋体" w:hAnsi="宋体" w:cs="宋体"/>
                <w:color w:val="auto"/>
                <w:sz w:val="21"/>
                <w:szCs w:val="21"/>
                <w:highlight w:val="none"/>
              </w:rPr>
              <w:t>符合第二章“投标人须知”第 1.11.3 项规定</w:t>
            </w:r>
          </w:p>
        </w:tc>
      </w:tr>
      <w:tr w14:paraId="7EB72ECA">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27" w:type="dxa"/>
            <w:gridSpan w:val="2"/>
            <w:tcBorders>
              <w:tl2br w:val="nil"/>
              <w:tr2bl w:val="nil"/>
            </w:tcBorders>
            <w:vAlign w:val="center"/>
          </w:tcPr>
          <w:p w14:paraId="7FF68AD7">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603" w:type="dxa"/>
            <w:tcBorders>
              <w:tl2br w:val="nil"/>
              <w:tr2bl w:val="nil"/>
            </w:tcBorders>
            <w:vAlign w:val="center"/>
          </w:tcPr>
          <w:p w14:paraId="1B7793C0">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default" w:ascii="宋体" w:hAnsi="宋体" w:eastAsia="宋体" w:cs="宋体"/>
                <w:b/>
                <w:bCs/>
                <w:strike w:val="0"/>
                <w:color w:val="auto"/>
                <w:sz w:val="21"/>
                <w:szCs w:val="21"/>
                <w:highlight w:val="none"/>
                <w:lang w:val="en-US" w:eastAsia="zh-CN"/>
              </w:rPr>
            </w:pPr>
            <w:r>
              <w:rPr>
                <w:rFonts w:hint="eastAsia" w:ascii="宋体" w:hAnsi="宋体" w:eastAsia="宋体" w:cs="宋体"/>
                <w:b/>
                <w:bCs/>
                <w:strike w:val="0"/>
                <w:color w:val="auto"/>
                <w:sz w:val="21"/>
                <w:szCs w:val="21"/>
                <w:highlight w:val="none"/>
                <w:lang w:val="en-US" w:eastAsia="zh-CN"/>
              </w:rPr>
              <w:t>量化因素</w:t>
            </w:r>
          </w:p>
        </w:tc>
        <w:tc>
          <w:tcPr>
            <w:tcW w:w="4919" w:type="dxa"/>
            <w:tcBorders>
              <w:tl2br w:val="nil"/>
              <w:tr2bl w:val="nil"/>
            </w:tcBorders>
            <w:vAlign w:val="center"/>
          </w:tcPr>
          <w:p w14:paraId="16D30DD6">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量化标准</w:t>
            </w:r>
          </w:p>
        </w:tc>
      </w:tr>
      <w:tr w14:paraId="66D84BD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6" w:type="dxa"/>
            <w:tcBorders>
              <w:tl2br w:val="nil"/>
              <w:tr2bl w:val="nil"/>
            </w:tcBorders>
            <w:vAlign w:val="center"/>
          </w:tcPr>
          <w:p w14:paraId="233D30A2">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181" w:type="dxa"/>
            <w:tcBorders>
              <w:tl2br w:val="nil"/>
              <w:tr2bl w:val="nil"/>
            </w:tcBorders>
            <w:vAlign w:val="center"/>
          </w:tcPr>
          <w:p w14:paraId="4E5D413E">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详细评审标准</w:t>
            </w:r>
          </w:p>
        </w:tc>
        <w:tc>
          <w:tcPr>
            <w:tcW w:w="2603" w:type="dxa"/>
            <w:tcBorders>
              <w:tl2br w:val="nil"/>
              <w:tr2bl w:val="nil"/>
            </w:tcBorders>
            <w:vAlign w:val="center"/>
          </w:tcPr>
          <w:p w14:paraId="6FDB331C">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center"/>
              <w:textAlignment w:val="auto"/>
              <w:rPr>
                <w:rFonts w:hint="default" w:ascii="宋体" w:hAnsi="宋体" w:eastAsia="宋体" w:cs="宋体"/>
                <w:strike w:val="0"/>
                <w:color w:val="auto"/>
                <w:sz w:val="21"/>
                <w:szCs w:val="21"/>
                <w:highlight w:val="none"/>
                <w:lang w:val="en-US" w:eastAsia="zh-CN"/>
              </w:rPr>
            </w:pPr>
            <w:r>
              <w:rPr>
                <w:rFonts w:hint="eastAsia" w:ascii="宋体" w:hAnsi="宋体" w:eastAsia="宋体" w:cs="宋体"/>
                <w:strike w:val="0"/>
                <w:color w:val="auto"/>
                <w:sz w:val="21"/>
                <w:szCs w:val="21"/>
                <w:highlight w:val="none"/>
                <w:lang w:val="en-US" w:eastAsia="zh-CN"/>
              </w:rPr>
              <w:t>评标价计算</w:t>
            </w:r>
          </w:p>
        </w:tc>
        <w:tc>
          <w:tcPr>
            <w:tcW w:w="4919" w:type="dxa"/>
            <w:tcBorders>
              <w:tl2br w:val="nil"/>
              <w:tr2bl w:val="nil"/>
            </w:tcBorders>
            <w:vAlign w:val="center"/>
          </w:tcPr>
          <w:p w14:paraId="1E30DE47">
            <w:pPr>
              <w:keepNext w:val="0"/>
              <w:keepLines w:val="0"/>
              <w:pageBreakBefore w:val="0"/>
              <w:widowControl w:val="0"/>
              <w:kinsoku/>
              <w:wordWrap/>
              <w:overflowPunct/>
              <w:topLinePunct w:val="0"/>
              <w:autoSpaceDE w:val="0"/>
              <w:autoSpaceDN w:val="0"/>
              <w:bidi w:val="0"/>
              <w:adjustRightInd/>
              <w:snapToGrid w:val="0"/>
              <w:spacing w:line="320" w:lineRule="exact"/>
              <w:ind w:left="20" w:leftChars="10" w:right="-20"/>
              <w:jc w:val="both"/>
              <w:textAlignment w:val="auto"/>
              <w:rPr>
                <w:rFonts w:hint="eastAsia" w:ascii="宋体" w:hAnsi="宋体" w:cs="宋体"/>
                <w:color w:val="auto"/>
                <w:sz w:val="21"/>
                <w:szCs w:val="21"/>
                <w:highlight w:val="none"/>
              </w:rPr>
            </w:pPr>
            <w:r>
              <w:rPr>
                <w:rFonts w:hint="eastAsia" w:ascii="宋体" w:hAnsi="宋体" w:cs="宋体"/>
                <w:sz w:val="21"/>
                <w:szCs w:val="21"/>
                <w:highlight w:val="none"/>
                <w:lang w:val="en-US" w:eastAsia="zh-CN"/>
              </w:rPr>
              <w:t>经评审的投标价（</w:t>
            </w:r>
            <w:r>
              <w:rPr>
                <w:rFonts w:hint="eastAsia" w:ascii="宋体" w:hAnsi="宋体" w:cs="宋体"/>
                <w:sz w:val="21"/>
                <w:szCs w:val="21"/>
                <w:highlight w:val="none"/>
              </w:rPr>
              <w:t>评标价</w:t>
            </w:r>
            <w:r>
              <w:rPr>
                <w:rFonts w:hint="eastAsia" w:ascii="宋体" w:hAnsi="宋体" w:cs="宋体"/>
                <w:sz w:val="21"/>
                <w:szCs w:val="21"/>
                <w:highlight w:val="none"/>
                <w:lang w:eastAsia="zh-CN"/>
              </w:rPr>
              <w:t>）</w:t>
            </w:r>
            <w:r>
              <w:rPr>
                <w:rFonts w:hint="eastAsia" w:ascii="宋体" w:hAnsi="宋体" w:cs="宋体"/>
                <w:sz w:val="21"/>
                <w:szCs w:val="21"/>
                <w:highlight w:val="none"/>
              </w:rPr>
              <w:t>=修正后的投标报价。</w:t>
            </w:r>
          </w:p>
        </w:tc>
      </w:tr>
      <w:tr w14:paraId="12F3995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49" w:type="dxa"/>
            <w:gridSpan w:val="4"/>
            <w:tcBorders>
              <w:tl2br w:val="nil"/>
              <w:tr2bl w:val="nil"/>
            </w:tcBorders>
            <w:vAlign w:val="center"/>
          </w:tcPr>
          <w:p w14:paraId="675F2451">
            <w:pPr>
              <w:keepNext w:val="0"/>
              <w:keepLines w:val="0"/>
              <w:pageBreakBefore w:val="0"/>
              <w:kinsoku/>
              <w:wordWrap/>
              <w:overflowPunct/>
              <w:topLinePunct w:val="0"/>
              <w:bidi w:val="0"/>
              <w:adjustRightInd w:val="0"/>
              <w:snapToGrid w:val="0"/>
              <w:spacing w:line="320" w:lineRule="exact"/>
              <w:jc w:val="both"/>
              <w:textAlignment w:val="auto"/>
              <w:rPr>
                <w:rFonts w:hint="eastAsia" w:ascii="宋体" w:hAnsi="宋体" w:eastAsia="宋体" w:cs="宋体"/>
                <w: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增加：</w:t>
            </w:r>
            <w:r>
              <w:rPr>
                <w:rFonts w:hint="eastAsia" w:ascii="宋体" w:hAnsi="宋体" w:cs="宋体"/>
                <w:color w:val="auto"/>
                <w:sz w:val="21"/>
                <w:szCs w:val="21"/>
                <w:highlight w:val="none"/>
              </w:rPr>
              <w:t>信息查询</w:t>
            </w:r>
          </w:p>
          <w:p w14:paraId="5C9B0748">
            <w:pPr>
              <w:keepNext w:val="0"/>
              <w:keepLines w:val="0"/>
              <w:pageBreakBefore w:val="0"/>
              <w:kinsoku/>
              <w:wordWrap/>
              <w:overflowPunct/>
              <w:topLinePunct w:val="0"/>
              <w:bidi w:val="0"/>
              <w:snapToGrid w:val="0"/>
              <w:spacing w:line="32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在评标过程中，评标委员会应对以下信息进行查询：</w:t>
            </w:r>
          </w:p>
          <w:p w14:paraId="5414615E">
            <w:pPr>
              <w:keepNext w:val="0"/>
              <w:keepLines w:val="0"/>
              <w:pageBreakBefore w:val="0"/>
              <w:kinsoku/>
              <w:wordWrap/>
              <w:overflowPunct/>
              <w:topLinePunct w:val="0"/>
              <w:bidi w:val="0"/>
              <w:snapToGrid w:val="0"/>
              <w:spacing w:line="320" w:lineRule="exact"/>
              <w:ind w:firstLine="327" w:firstLineChars="15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（1）投标人信用情况网页截图内容与在“国家企业信用信息公示系统”中严重违法失信名单（黑名单）信息（不含分公司）或在“信用中国”网站“中失信被执行人、经营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活动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异常名录、重大税收违法失信主体、</w:t>
            </w:r>
            <w:r>
              <w:rPr>
                <w:rFonts w:hint="eastAsia" w:ascii="宋体" w:hAnsi="宋体" w:cs="宋体"/>
                <w:color w:val="auto"/>
                <w:sz w:val="21"/>
                <w:szCs w:val="21"/>
                <w:highlight w:val="none"/>
                <w:lang w:eastAsia="zh-CN"/>
              </w:rPr>
              <w:t>政府采购严重违法失信行为记录名单、安全生产严重失信主体名单（法人）</w:t>
            </w:r>
            <w:r>
              <w:rPr>
                <w:rFonts w:hint="eastAsia" w:ascii="宋体" w:hAnsi="宋体" w:cs="宋体"/>
                <w:color w:val="auto"/>
                <w:sz w:val="21"/>
                <w:szCs w:val="21"/>
                <w:highlight w:val="none"/>
              </w:rPr>
              <w:t>（均不含分公司）的复核结果一致。</w:t>
            </w:r>
          </w:p>
          <w:p w14:paraId="77F3645F">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如投标人未提供相关网页截图或所附截图与复核结果不一致导致不能满足资格评审要求的，评标委员会应否决其投标。</w:t>
            </w:r>
          </w:p>
          <w:p w14:paraId="570B9E07">
            <w:pPr>
              <w:keepNext w:val="0"/>
              <w:keepLines w:val="0"/>
              <w:pageBreakBefore w:val="0"/>
              <w:kinsoku/>
              <w:wordWrap/>
              <w:overflowPunct/>
              <w:topLinePunct w:val="0"/>
              <w:autoSpaceDE w:val="0"/>
              <w:autoSpaceDN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tc>
      </w:tr>
    </w:tbl>
    <w:p w14:paraId="4BFACEFA"/>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50C"/>
    <w:multiLevelType w:val="multilevel"/>
    <w:tmpl w:val="4C6E650C"/>
    <w:lvl w:ilvl="0" w:tentative="0">
      <w:start w:val="1"/>
      <w:numFmt w:val="decimal"/>
      <w:pStyle w:val="3"/>
      <w:suff w:val="space"/>
      <w:lvlText w:val="%1."/>
      <w:lvlJc w:val="left"/>
      <w:pPr>
        <w:tabs>
          <w:tab w:val="left" w:pos="0"/>
        </w:tabs>
        <w:ind w:left="0" w:firstLine="0"/>
      </w:pPr>
      <w:rPr>
        <w:rFonts w:hint="default" w:ascii="Times New Roman" w:hAnsi="Times New Roman" w:eastAsia="宋体"/>
        <w:b/>
        <w:i w:val="0"/>
        <w:sz w:val="21"/>
        <w:szCs w:val="21"/>
      </w:rPr>
    </w:lvl>
    <w:lvl w:ilvl="1" w:tentative="0">
      <w:start w:val="1"/>
      <w:numFmt w:val="decimal"/>
      <w:pStyle w:val="2"/>
      <w:suff w:val="space"/>
      <w:lvlText w:val="%1.%2"/>
      <w:lvlJc w:val="left"/>
      <w:pPr>
        <w:tabs>
          <w:tab w:val="left" w:pos="0"/>
        </w:tabs>
        <w:ind w:left="240" w:firstLine="0"/>
      </w:pPr>
      <w:rPr>
        <w:rFonts w:hint="default" w:ascii="Times New Roman" w:hAnsi="Times New Roman" w:eastAsia="宋体"/>
        <w:b/>
        <w:i w:val="0"/>
        <w:sz w:val="21"/>
        <w:szCs w:val="21"/>
      </w:rPr>
    </w:lvl>
    <w:lvl w:ilvl="2" w:tentative="0">
      <w:start w:val="1"/>
      <w:numFmt w:val="decimal"/>
      <w:suff w:val="space"/>
      <w:lvlText w:val="%1.%2.%3"/>
      <w:lvlJc w:val="left"/>
      <w:pPr>
        <w:ind w:left="993" w:firstLine="0"/>
      </w:pPr>
      <w:rPr>
        <w:rFonts w:hint="default" w:ascii="Times New Roman" w:hAnsi="Times New Roman" w:eastAsia="宋体"/>
        <w:b/>
        <w:i w:val="0"/>
        <w:sz w:val="32"/>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42C4"/>
    <w:rsid w:val="104A6951"/>
    <w:rsid w:val="130C6140"/>
    <w:rsid w:val="16C14DE4"/>
    <w:rsid w:val="178F7340"/>
    <w:rsid w:val="221557F3"/>
    <w:rsid w:val="258129BE"/>
    <w:rsid w:val="2F8266AE"/>
    <w:rsid w:val="31AF3360"/>
    <w:rsid w:val="34533777"/>
    <w:rsid w:val="37166CDE"/>
    <w:rsid w:val="37F232A7"/>
    <w:rsid w:val="3B3B4F65"/>
    <w:rsid w:val="3E2E7003"/>
    <w:rsid w:val="44DC3315"/>
    <w:rsid w:val="4FB07878"/>
    <w:rsid w:val="575153F3"/>
    <w:rsid w:val="59513E7A"/>
    <w:rsid w:val="5E8E5228"/>
    <w:rsid w:val="67191D4F"/>
    <w:rsid w:val="6A7F45BF"/>
    <w:rsid w:val="719E357C"/>
    <w:rsid w:val="73F4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rPr>
      <w:rFonts w:ascii="Times New Roman" w:hAnsi="Times New Roman" w:eastAsia="宋体" w:cs="Arial"/>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4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0"/>
        <w:numId w:val="1"/>
      </w:numPr>
      <w:spacing w:before="50" w:after="50" w:line="416" w:lineRule="auto"/>
      <w:outlineLvl w:val="2"/>
    </w:pPr>
    <w:rPr>
      <w:rFonts w:ascii="宋体" w:hAnsi="宋体" w:eastAsia="宋体" w:cs="Times New Roman"/>
      <w:b/>
      <w:bCs/>
      <w:sz w:val="21"/>
      <w:szCs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99"/>
    <w:pPr>
      <w:ind w:left="420" w:leftChars="200"/>
    </w:pPr>
  </w:style>
  <w:style w:type="paragraph" w:styleId="5">
    <w:name w:val="annotation text"/>
    <w:basedOn w:val="1"/>
    <w:next w:val="4"/>
    <w:qFormat/>
    <w:uiPriority w:val="0"/>
    <w:rPr>
      <w:szCs w:val="24"/>
    </w:rPr>
  </w:style>
  <w:style w:type="paragraph" w:styleId="6">
    <w:name w:val="Body Text"/>
    <w:basedOn w:val="1"/>
    <w:next w:val="7"/>
    <w:qFormat/>
    <w:uiPriority w:val="1"/>
    <w:pPr>
      <w:widowControl w:val="0"/>
      <w:spacing w:after="120"/>
      <w:jc w:val="both"/>
    </w:pPr>
    <w:rPr>
      <w:rFonts w:cs="Times New Roman"/>
      <w:kern w:val="2"/>
      <w:sz w:val="21"/>
      <w:szCs w:val="24"/>
    </w:rPr>
  </w:style>
  <w:style w:type="paragraph" w:customStyle="1" w:styleId="7">
    <w:name w:val="正文部分 Char Char Char"/>
    <w:basedOn w:val="6"/>
    <w:next w:val="8"/>
    <w:autoRedefine/>
    <w:qFormat/>
    <w:uiPriority w:val="0"/>
    <w:pPr>
      <w:spacing w:line="460" w:lineRule="exact"/>
      <w:textAlignment w:val="baseline"/>
    </w:pPr>
    <w:rPr>
      <w:sz w:val="24"/>
    </w:rPr>
  </w:style>
  <w:style w:type="paragraph" w:customStyle="1" w:styleId="8">
    <w:name w:val="章标题"/>
    <w:basedOn w:val="9"/>
    <w:autoRedefine/>
    <w:qFormat/>
    <w:uiPriority w:val="0"/>
    <w:pPr>
      <w:spacing w:line="360" w:lineRule="auto"/>
    </w:pPr>
  </w:style>
  <w:style w:type="paragraph" w:styleId="9">
    <w:name w:val="Title"/>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styleId="10">
    <w:name w:val="Body Text Indent"/>
    <w:basedOn w:val="1"/>
    <w:next w:val="11"/>
    <w:qFormat/>
    <w:uiPriority w:val="0"/>
    <w:pPr>
      <w:spacing w:after="120"/>
      <w:ind w:left="420" w:leftChars="200"/>
    </w:pPr>
  </w:style>
  <w:style w:type="paragraph" w:styleId="11">
    <w:name w:val="toc 8"/>
    <w:basedOn w:val="1"/>
    <w:next w:val="1"/>
    <w:qFormat/>
    <w:uiPriority w:val="39"/>
    <w:pPr>
      <w:ind w:left="1470"/>
    </w:pPr>
    <w:rPr>
      <w:sz w:val="18"/>
      <w:szCs w:val="18"/>
    </w:rPr>
  </w:style>
  <w:style w:type="paragraph" w:styleId="12">
    <w:name w:val="Body Text 2"/>
    <w:basedOn w:val="1"/>
    <w:next w:val="1"/>
    <w:qFormat/>
    <w:uiPriority w:val="0"/>
    <w:rPr>
      <w:sz w:val="28"/>
    </w:rPr>
  </w:style>
  <w:style w:type="paragraph" w:styleId="13">
    <w:name w:val="Body Text First Indent 2"/>
    <w:basedOn w:val="10"/>
    <w:next w:val="5"/>
    <w:qFormat/>
    <w:uiPriority w:val="0"/>
    <w:pPr>
      <w:widowControl w:val="0"/>
      <w:ind w:firstLine="420" w:firstLineChars="200"/>
      <w:jc w:val="both"/>
    </w:pPr>
    <w:rPr>
      <w:rFonts w:cs="Times New Roman"/>
      <w:kern w:val="2"/>
      <w:sz w:val="21"/>
      <w:szCs w:val="24"/>
    </w:rPr>
  </w:style>
  <w:style w:type="paragraph" w:styleId="16">
    <w:name w:val="List Paragraph"/>
    <w:basedOn w:val="1"/>
    <w:autoRedefine/>
    <w:qFormat/>
    <w:uiPriority w:val="0"/>
    <w:pPr>
      <w:ind w:firstLine="420"/>
    </w:pPr>
  </w:style>
  <w:style w:type="paragraph" w:customStyle="1" w:styleId="17">
    <w:name w:val="正文首行缩进 21"/>
    <w:basedOn w:val="18"/>
    <w:autoRedefine/>
    <w:qFormat/>
    <w:uiPriority w:val="0"/>
    <w:pPr>
      <w:widowControl w:val="0"/>
      <w:ind w:firstLine="420"/>
      <w:jc w:val="both"/>
    </w:pPr>
    <w:rPr>
      <w:rFonts w:cs="Times New Roman"/>
      <w:kern w:val="2"/>
      <w:sz w:val="21"/>
      <w:szCs w:val="24"/>
    </w:rPr>
  </w:style>
  <w:style w:type="paragraph" w:customStyle="1" w:styleId="18">
    <w:name w:val="正文文本缩进1"/>
    <w:basedOn w:val="1"/>
    <w:autoRedefine/>
    <w:qFormat/>
    <w:uiPriority w:val="0"/>
    <w:pPr>
      <w:spacing w:after="120"/>
      <w:ind w:left="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3574</Words>
  <Characters>4046</Characters>
  <Lines>0</Lines>
  <Paragraphs>0</Paragraphs>
  <TotalTime>0</TotalTime>
  <ScaleCrop>false</ScaleCrop>
  <LinksUpToDate>false</LinksUpToDate>
  <CharactersWithSpaces>4129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2025-07-30T08:06:00Z</dcterms:created>
  <dc:creator>zjyd-2</dc:creator>
  <cp:lastModifiedBy>冯士峰</cp:lastModifiedBy>
  <dcterms:modified xsi:type="dcterms:W3CDTF">2025-09-30T05:50:01Z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CF58DBFDBD8A45269F9CDECC14BC5366_12</vt:lpwstr>
  </property>
  <property fmtid="{D5CDD505-2E9C-101B-9397-08002B2CF9AE}" pid="4" name="KSOTemplateDocerSaveRecord">
    <vt:lpwstr>eyJoZGlkIjoiMjNhMGNiNzBmYzRmYmU1YWU1ZDVjYzI3MTI0YTIzZjQiLCJ1c2VySWQiOiIxNjg3ODQzOTczIn0=</vt:lpwstr>
  </property>
</Properties>
</file>