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33FE5">
      <w:pPr>
        <w:adjustRightInd w:val="0"/>
        <w:spacing w:line="400" w:lineRule="atLeast"/>
        <w:ind w:firstLine="420" w:firstLineChars="175"/>
        <w:rPr>
          <w:rFonts w:hint="eastAsia" w:ascii="宋体" w:hAnsi="宋体"/>
          <w:sz w:val="24"/>
          <w:szCs w:val="24"/>
        </w:rPr>
      </w:pPr>
      <w:r>
        <w:rPr>
          <w:rFonts w:hint="eastAsia" w:ascii="宋体" w:hAnsi="宋体"/>
          <w:sz w:val="24"/>
          <w:szCs w:val="24"/>
        </w:rPr>
        <w:t>附件2：评标办法</w:t>
      </w:r>
    </w:p>
    <w:p w14:paraId="7832D6D9">
      <w:pPr>
        <w:rPr>
          <w:rFonts w:hint="eastAsia" w:ascii="宋体" w:hAnsi="宋体"/>
          <w:bCs/>
          <w:kern w:val="0"/>
          <w:sz w:val="30"/>
          <w:szCs w:val="30"/>
        </w:rPr>
      </w:pPr>
      <w:r>
        <w:rPr>
          <w:rFonts w:hint="eastAsia" w:ascii="宋体" w:hAnsi="宋体"/>
        </w:rPr>
        <w:t>评标办法前附表</w:t>
      </w:r>
      <w:r>
        <w:rPr>
          <w:rFonts w:hint="eastAsia" w:ascii="宋体" w:hAnsi="宋体"/>
          <w:szCs w:val="21"/>
        </w:rPr>
        <w:t xml:space="preserve"> </w:t>
      </w:r>
    </w:p>
    <w:tbl>
      <w:tblPr>
        <w:tblStyle w:val="4"/>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6"/>
        <w:gridCol w:w="989"/>
        <w:gridCol w:w="7775"/>
      </w:tblGrid>
      <w:tr w14:paraId="2BBC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Header/>
          <w:jc w:val="center"/>
        </w:trPr>
        <w:tc>
          <w:tcPr>
            <w:tcW w:w="836" w:type="dxa"/>
            <w:tcBorders>
              <w:top w:val="single" w:color="auto" w:sz="4" w:space="0"/>
              <w:left w:val="single" w:color="auto" w:sz="4" w:space="0"/>
              <w:bottom w:val="single" w:color="auto" w:sz="4" w:space="0"/>
              <w:right w:val="single" w:color="auto" w:sz="4" w:space="0"/>
            </w:tcBorders>
            <w:vAlign w:val="center"/>
          </w:tcPr>
          <w:p w14:paraId="0E8FCA30">
            <w:pPr>
              <w:spacing w:before="100" w:beforeAutospacing="1" w:after="100" w:afterAutospacing="1"/>
              <w:jc w:val="center"/>
              <w:rPr>
                <w:rFonts w:hint="eastAsia" w:ascii="宋体" w:hAnsi="宋体"/>
                <w:szCs w:val="21"/>
              </w:rPr>
            </w:pPr>
            <w:bookmarkStart w:id="0" w:name="OLE_LINK2"/>
            <w:r>
              <w:rPr>
                <w:rFonts w:hint="eastAsia" w:ascii="宋体" w:hAnsi="宋体"/>
                <w:szCs w:val="21"/>
              </w:rPr>
              <w:t xml:space="preserve">条款号 </w:t>
            </w:r>
          </w:p>
        </w:tc>
        <w:tc>
          <w:tcPr>
            <w:tcW w:w="989" w:type="dxa"/>
            <w:tcBorders>
              <w:top w:val="single" w:color="auto" w:sz="4" w:space="0"/>
              <w:left w:val="single" w:color="auto" w:sz="4" w:space="0"/>
              <w:bottom w:val="single" w:color="auto" w:sz="4" w:space="0"/>
              <w:right w:val="single" w:color="auto" w:sz="4" w:space="0"/>
            </w:tcBorders>
            <w:vAlign w:val="center"/>
          </w:tcPr>
          <w:p w14:paraId="5A85FBBE">
            <w:pPr>
              <w:spacing w:before="100" w:beforeAutospacing="1" w:after="100" w:afterAutospacing="1"/>
              <w:jc w:val="center"/>
              <w:rPr>
                <w:rFonts w:hint="eastAsia" w:ascii="宋体" w:hAnsi="宋体"/>
                <w:szCs w:val="21"/>
              </w:rPr>
            </w:pPr>
            <w:r>
              <w:rPr>
                <w:rFonts w:hint="eastAsia" w:ascii="宋体" w:hAnsi="宋体"/>
                <w:szCs w:val="21"/>
              </w:rPr>
              <w:t xml:space="preserve">条款名称 </w:t>
            </w:r>
          </w:p>
        </w:tc>
        <w:tc>
          <w:tcPr>
            <w:tcW w:w="7775" w:type="dxa"/>
            <w:tcBorders>
              <w:top w:val="single" w:color="auto" w:sz="4" w:space="0"/>
              <w:left w:val="single" w:color="auto" w:sz="4" w:space="0"/>
              <w:bottom w:val="single" w:color="auto" w:sz="4" w:space="0"/>
              <w:right w:val="single" w:color="auto" w:sz="4" w:space="0"/>
            </w:tcBorders>
            <w:vAlign w:val="center"/>
          </w:tcPr>
          <w:p w14:paraId="1158BEDF">
            <w:pPr>
              <w:spacing w:before="100" w:beforeAutospacing="1" w:after="100" w:afterAutospacing="1"/>
              <w:jc w:val="center"/>
              <w:rPr>
                <w:rFonts w:hint="eastAsia" w:ascii="宋体" w:hAnsi="宋体"/>
                <w:szCs w:val="21"/>
              </w:rPr>
            </w:pPr>
            <w:r>
              <w:rPr>
                <w:rFonts w:hint="eastAsia" w:ascii="宋体" w:hAnsi="宋体"/>
                <w:szCs w:val="21"/>
              </w:rPr>
              <w:t xml:space="preserve">评审因素与评审标准 </w:t>
            </w:r>
          </w:p>
        </w:tc>
      </w:tr>
      <w:tr w14:paraId="728D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6"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AFF7C71">
            <w:pPr>
              <w:spacing w:before="100" w:beforeAutospacing="1" w:after="100" w:afterAutospacing="1"/>
              <w:jc w:val="center"/>
              <w:rPr>
                <w:rFonts w:hint="eastAsia" w:ascii="宋体" w:hAnsi="宋体"/>
                <w:szCs w:val="21"/>
              </w:rPr>
            </w:pPr>
            <w:r>
              <w:rPr>
                <w:rFonts w:hint="eastAsia" w:ascii="宋体" w:hAnsi="宋体"/>
                <w:szCs w:val="21"/>
              </w:rPr>
              <w:t xml:space="preserve">1 </w:t>
            </w:r>
          </w:p>
        </w:tc>
        <w:tc>
          <w:tcPr>
            <w:tcW w:w="989" w:type="dxa"/>
            <w:tcBorders>
              <w:top w:val="single" w:color="auto" w:sz="4" w:space="0"/>
              <w:left w:val="single" w:color="auto" w:sz="4" w:space="0"/>
              <w:bottom w:val="single" w:color="auto" w:sz="4" w:space="0"/>
              <w:right w:val="single" w:color="auto" w:sz="4" w:space="0"/>
            </w:tcBorders>
            <w:vAlign w:val="center"/>
          </w:tcPr>
          <w:p w14:paraId="4CE57EBB">
            <w:pPr>
              <w:spacing w:before="100" w:beforeAutospacing="1" w:after="100" w:afterAutospacing="1"/>
              <w:jc w:val="center"/>
              <w:rPr>
                <w:rFonts w:hint="eastAsia" w:ascii="宋体" w:hAnsi="宋体"/>
                <w:szCs w:val="21"/>
              </w:rPr>
            </w:pPr>
            <w:r>
              <w:rPr>
                <w:rFonts w:hint="eastAsia" w:ascii="宋体" w:hAnsi="宋体"/>
                <w:szCs w:val="21"/>
              </w:rPr>
              <w:t xml:space="preserve">评标办法 </w:t>
            </w:r>
          </w:p>
        </w:tc>
        <w:tc>
          <w:tcPr>
            <w:tcW w:w="7775" w:type="dxa"/>
            <w:tcBorders>
              <w:top w:val="single" w:color="auto" w:sz="4" w:space="0"/>
              <w:left w:val="single" w:color="auto" w:sz="4" w:space="0"/>
              <w:bottom w:val="single" w:color="auto" w:sz="4" w:space="0"/>
              <w:right w:val="single" w:color="auto" w:sz="4" w:space="0"/>
            </w:tcBorders>
            <w:vAlign w:val="center"/>
          </w:tcPr>
          <w:p w14:paraId="3DAE308A">
            <w:pPr>
              <w:widowControl/>
              <w:spacing w:line="360" w:lineRule="exact"/>
              <w:ind w:firstLine="420" w:firstLineChars="200"/>
              <w:jc w:val="left"/>
              <w:rPr>
                <w:rFonts w:hint="eastAsia" w:ascii="宋体" w:hAnsi="宋体"/>
                <w:szCs w:val="21"/>
              </w:rPr>
            </w:pPr>
            <w:r>
              <w:rPr>
                <w:rFonts w:hint="eastAsia" w:ascii="宋体" w:hAnsi="宋体"/>
                <w:szCs w:val="21"/>
              </w:rPr>
              <w:t>本次评标采用综合评估法，评标委员会对满足招标文件实质性要求的投标文件，按照本章第2.2款规定的评分标准进行打分，并按得分由高到低顺序推荐1-</w:t>
            </w:r>
            <w:r>
              <w:rPr>
                <w:rFonts w:ascii="宋体" w:hAnsi="宋体"/>
                <w:szCs w:val="21"/>
              </w:rPr>
              <w:t>3</w:t>
            </w:r>
            <w:r>
              <w:rPr>
                <w:rFonts w:hint="eastAsia" w:ascii="宋体" w:hAnsi="宋体"/>
                <w:szCs w:val="21"/>
              </w:rPr>
              <w:t>名中标候选人；综合评分相等时，评标委员会依次按照以下优先顺序推荐中标候选人：</w:t>
            </w:r>
          </w:p>
          <w:p w14:paraId="668C1ECA">
            <w:pPr>
              <w:widowControl/>
              <w:spacing w:line="360" w:lineRule="exact"/>
              <w:ind w:firstLine="420" w:firstLineChars="200"/>
              <w:jc w:val="left"/>
              <w:rPr>
                <w:rFonts w:hint="eastAsia" w:ascii="宋体" w:hAnsi="宋体"/>
                <w:szCs w:val="21"/>
              </w:rPr>
            </w:pPr>
            <w:r>
              <w:rPr>
                <w:rFonts w:hint="eastAsia" w:ascii="宋体" w:hAnsi="宋体"/>
                <w:szCs w:val="21"/>
              </w:rPr>
              <w:t>（1）评标价低的投标人优先；</w:t>
            </w:r>
          </w:p>
          <w:p w14:paraId="433259D2">
            <w:pPr>
              <w:widowControl/>
              <w:spacing w:line="360" w:lineRule="exact"/>
              <w:ind w:firstLine="420" w:firstLineChars="200"/>
              <w:jc w:val="left"/>
              <w:rPr>
                <w:rFonts w:hint="eastAsia" w:ascii="宋体" w:hAnsi="宋体"/>
                <w:szCs w:val="21"/>
              </w:rPr>
            </w:pPr>
            <w:r>
              <w:rPr>
                <w:rFonts w:hint="eastAsia" w:ascii="宋体" w:hAnsi="宋体"/>
                <w:szCs w:val="21"/>
              </w:rPr>
              <w:t>（2）技术得分较高的投标人优先；</w:t>
            </w:r>
          </w:p>
          <w:p w14:paraId="304F5517">
            <w:pPr>
              <w:widowControl/>
              <w:spacing w:line="360" w:lineRule="exact"/>
              <w:ind w:firstLine="420" w:firstLineChars="200"/>
              <w:jc w:val="left"/>
              <w:rPr>
                <w:rFonts w:hint="eastAsia" w:ascii="宋体" w:hAnsi="宋体"/>
                <w:szCs w:val="21"/>
              </w:rPr>
            </w:pPr>
            <w:r>
              <w:rPr>
                <w:rFonts w:hint="eastAsia" w:ascii="宋体" w:hAnsi="宋体"/>
                <w:szCs w:val="21"/>
              </w:rPr>
              <w:t>（3）满足资格审查条件(业绩最低要求)的</w:t>
            </w:r>
            <w:r>
              <w:rPr>
                <w:rFonts w:hint="eastAsia" w:ascii="宋体" w:hAnsi="宋体" w:cs="宋体"/>
                <w:bCs/>
                <w:szCs w:val="21"/>
              </w:rPr>
              <w:t>业绩</w:t>
            </w:r>
            <w:r>
              <w:rPr>
                <w:rFonts w:hint="eastAsia" w:ascii="宋体" w:hAnsi="宋体"/>
                <w:szCs w:val="21"/>
              </w:rPr>
              <w:t xml:space="preserve">累计金额高的优先。 </w:t>
            </w:r>
          </w:p>
        </w:tc>
      </w:tr>
      <w:tr w14:paraId="2E01B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1B6B1BAA">
            <w:pPr>
              <w:spacing w:before="100" w:beforeAutospacing="1" w:after="100" w:afterAutospacing="1"/>
              <w:jc w:val="center"/>
              <w:rPr>
                <w:rFonts w:hint="eastAsia" w:ascii="宋体" w:hAnsi="宋体"/>
                <w:szCs w:val="21"/>
              </w:rPr>
            </w:pPr>
            <w:r>
              <w:rPr>
                <w:rFonts w:hint="eastAsia" w:ascii="宋体" w:hAnsi="宋体"/>
                <w:szCs w:val="21"/>
              </w:rPr>
              <w:t>2.1.1</w:t>
            </w:r>
          </w:p>
          <w:p w14:paraId="60D96636">
            <w:pPr>
              <w:spacing w:before="100" w:beforeAutospacing="1" w:after="100" w:afterAutospacing="1"/>
              <w:jc w:val="center"/>
              <w:rPr>
                <w:rFonts w:hint="eastAsia" w:ascii="宋体" w:hAnsi="宋体"/>
                <w:szCs w:val="21"/>
              </w:rPr>
            </w:pPr>
            <w:r>
              <w:rPr>
                <w:rFonts w:hint="eastAsia" w:ascii="宋体" w:hAnsi="宋体"/>
                <w:szCs w:val="21"/>
              </w:rPr>
              <w:t>2.1.</w:t>
            </w:r>
            <w:r>
              <w:rPr>
                <w:rFonts w:ascii="宋体" w:hAnsi="宋体"/>
                <w:szCs w:val="21"/>
              </w:rPr>
              <w:t>3</w:t>
            </w:r>
            <w:r>
              <w:rPr>
                <w:rFonts w:hint="eastAsia" w:ascii="宋体" w:hAnsi="宋体"/>
                <w:szCs w:val="21"/>
              </w:rPr>
              <w:t xml:space="preserve"> </w:t>
            </w:r>
          </w:p>
        </w:tc>
        <w:tc>
          <w:tcPr>
            <w:tcW w:w="989" w:type="dxa"/>
            <w:tcBorders>
              <w:top w:val="single" w:color="auto" w:sz="4" w:space="0"/>
              <w:left w:val="single" w:color="auto" w:sz="4" w:space="0"/>
              <w:bottom w:val="single" w:color="auto" w:sz="4" w:space="0"/>
              <w:right w:val="single" w:color="auto" w:sz="4" w:space="0"/>
            </w:tcBorders>
            <w:vAlign w:val="center"/>
          </w:tcPr>
          <w:p w14:paraId="4D53363D">
            <w:pPr>
              <w:spacing w:before="100" w:beforeAutospacing="1" w:after="100" w:afterAutospacing="1"/>
              <w:jc w:val="center"/>
              <w:rPr>
                <w:rFonts w:hint="eastAsia" w:ascii="宋体" w:hAnsi="宋体"/>
                <w:szCs w:val="21"/>
              </w:rPr>
            </w:pPr>
            <w:r>
              <w:rPr>
                <w:rFonts w:hint="eastAsia" w:ascii="宋体" w:hAnsi="宋体"/>
                <w:szCs w:val="21"/>
              </w:rPr>
              <w:t xml:space="preserve">形式评审与响应性评审标准 </w:t>
            </w:r>
          </w:p>
        </w:tc>
        <w:tc>
          <w:tcPr>
            <w:tcW w:w="7775" w:type="dxa"/>
            <w:tcBorders>
              <w:top w:val="single" w:color="auto" w:sz="4" w:space="0"/>
              <w:left w:val="single" w:color="auto" w:sz="4" w:space="0"/>
              <w:bottom w:val="single" w:color="auto" w:sz="4" w:space="0"/>
              <w:right w:val="single" w:color="auto" w:sz="4" w:space="0"/>
            </w:tcBorders>
            <w:vAlign w:val="center"/>
          </w:tcPr>
          <w:p w14:paraId="2381BC16">
            <w:pPr>
              <w:tabs>
                <w:tab w:val="left" w:pos="3060"/>
              </w:tabs>
              <w:spacing w:line="320" w:lineRule="exact"/>
              <w:rPr>
                <w:rFonts w:hint="eastAsia" w:ascii="宋体" w:hAnsi="宋体"/>
                <w:b/>
                <w:szCs w:val="21"/>
              </w:rPr>
            </w:pPr>
            <w:r>
              <w:rPr>
                <w:rFonts w:hint="eastAsia" w:ascii="宋体" w:hAnsi="宋体"/>
                <w:b/>
                <w:szCs w:val="21"/>
              </w:rPr>
              <w:t>第一个信封（商务及技术文件）评审标准:</w:t>
            </w:r>
          </w:p>
          <w:p w14:paraId="7155BFA3">
            <w:pPr>
              <w:widowControl/>
              <w:spacing w:line="360" w:lineRule="exact"/>
              <w:ind w:firstLine="420" w:firstLineChars="200"/>
              <w:jc w:val="left"/>
              <w:rPr>
                <w:rFonts w:hint="eastAsia" w:ascii="宋体" w:hAnsi="宋体"/>
                <w:szCs w:val="21"/>
              </w:rPr>
            </w:pPr>
            <w:r>
              <w:rPr>
                <w:rFonts w:hint="eastAsia" w:ascii="宋体" w:hAnsi="宋体"/>
                <w:szCs w:val="21"/>
              </w:rPr>
              <w:t>（1）投标文件按照招标文件规定的格式、内容填写，字迹清晰可辨：</w:t>
            </w:r>
          </w:p>
          <w:p w14:paraId="047742B9">
            <w:pPr>
              <w:widowControl/>
              <w:spacing w:line="360" w:lineRule="exact"/>
              <w:ind w:firstLine="420" w:firstLineChars="200"/>
              <w:jc w:val="left"/>
              <w:rPr>
                <w:rFonts w:hint="eastAsia" w:ascii="宋体" w:hAnsi="宋体"/>
                <w:szCs w:val="21"/>
              </w:rPr>
            </w:pPr>
            <w:r>
              <w:rPr>
                <w:rFonts w:hint="eastAsia" w:ascii="宋体" w:hAnsi="宋体"/>
                <w:szCs w:val="21"/>
              </w:rPr>
              <w:t>a．投标函按招标文件规定填报了项目名称、补遗书编号（如有）、服务期限、质量要求；</w:t>
            </w:r>
          </w:p>
          <w:p w14:paraId="755323ED">
            <w:pPr>
              <w:widowControl/>
              <w:spacing w:line="360" w:lineRule="exact"/>
              <w:ind w:firstLine="420" w:firstLineChars="200"/>
              <w:jc w:val="left"/>
              <w:rPr>
                <w:rFonts w:hint="eastAsia" w:ascii="宋体" w:hAnsi="宋体"/>
                <w:szCs w:val="21"/>
              </w:rPr>
            </w:pPr>
            <w:r>
              <w:rPr>
                <w:rFonts w:hint="eastAsia" w:ascii="宋体" w:hAnsi="宋体"/>
                <w:szCs w:val="21"/>
              </w:rPr>
              <w:t>b．投标文件组成齐全完整，内容均按规定填写。</w:t>
            </w:r>
          </w:p>
          <w:p w14:paraId="7BEF34D1">
            <w:pPr>
              <w:widowControl/>
              <w:spacing w:line="360" w:lineRule="exact"/>
              <w:ind w:firstLine="420" w:firstLineChars="200"/>
              <w:jc w:val="left"/>
              <w:rPr>
                <w:rFonts w:hint="eastAsia" w:ascii="宋体" w:hAnsi="宋体"/>
                <w:szCs w:val="21"/>
              </w:rPr>
            </w:pPr>
            <w:r>
              <w:rPr>
                <w:rFonts w:hint="eastAsia" w:ascii="宋体" w:hAnsi="宋体"/>
                <w:szCs w:val="21"/>
              </w:rPr>
              <w:t>（2）投标文件上法定代表人或其委托代理人的签字、投标人的单位章盖章齐全，符合招标文件规定。</w:t>
            </w:r>
          </w:p>
          <w:p w14:paraId="39F6F17E">
            <w:pPr>
              <w:tabs>
                <w:tab w:val="left" w:pos="3060"/>
              </w:tabs>
              <w:spacing w:line="320" w:lineRule="exact"/>
              <w:ind w:firstLine="420" w:firstLineChars="200"/>
              <w:rPr>
                <w:rFonts w:hint="eastAsia" w:ascii="宋体" w:hAnsi="宋体"/>
                <w:szCs w:val="21"/>
              </w:rPr>
            </w:pPr>
            <w:r>
              <w:rPr>
                <w:rFonts w:hint="eastAsia" w:ascii="宋体" w:hAnsi="宋体"/>
                <w:szCs w:val="21"/>
              </w:rPr>
              <w:t>（3）投标人按照招标文件规定的金额、形式、时效和内容提供了投标保证金，并符合投标人须知前附表3.4.1项的相关规定。</w:t>
            </w:r>
          </w:p>
          <w:p w14:paraId="00FE2A95">
            <w:pPr>
              <w:tabs>
                <w:tab w:val="left" w:pos="3060"/>
              </w:tabs>
              <w:spacing w:line="360" w:lineRule="exact"/>
              <w:ind w:firstLine="525" w:firstLineChars="250"/>
              <w:rPr>
                <w:rFonts w:hint="eastAsia" w:ascii="宋体" w:hAnsi="宋体"/>
                <w:szCs w:val="21"/>
              </w:rPr>
            </w:pPr>
            <w:r>
              <w:rPr>
                <w:rFonts w:hint="eastAsia" w:ascii="宋体" w:hAnsi="宋体"/>
                <w:szCs w:val="21"/>
              </w:rPr>
              <w:t>（4）投标人法定代表人授权委托代理人签署投标文件的，须提交授权委托书，且授权人和被授权人均在授权书上签名。</w:t>
            </w:r>
          </w:p>
          <w:p w14:paraId="5E00B680">
            <w:pPr>
              <w:tabs>
                <w:tab w:val="left" w:pos="3060"/>
              </w:tabs>
              <w:spacing w:line="360" w:lineRule="exact"/>
              <w:ind w:firstLine="525" w:firstLineChars="250"/>
              <w:rPr>
                <w:rFonts w:hint="eastAsia" w:ascii="宋体" w:hAnsi="宋体"/>
                <w:szCs w:val="21"/>
              </w:rPr>
            </w:pPr>
            <w:r>
              <w:rPr>
                <w:rFonts w:hint="eastAsia" w:ascii="宋体" w:hAnsi="宋体"/>
                <w:szCs w:val="21"/>
              </w:rPr>
              <w:t>（5）投标人法定代表人亲自签署投标文件的，提供了法定代表人身份证明，且法定代表人在法定代表人身份证明上签名。</w:t>
            </w:r>
          </w:p>
          <w:p w14:paraId="3D2B6945">
            <w:pPr>
              <w:tabs>
                <w:tab w:val="left" w:pos="3060"/>
              </w:tabs>
              <w:spacing w:line="360" w:lineRule="exact"/>
              <w:ind w:firstLine="525" w:firstLineChars="250"/>
              <w:rPr>
                <w:rFonts w:hint="eastAsia" w:ascii="宋体" w:hAnsi="宋体"/>
                <w:szCs w:val="21"/>
              </w:rPr>
            </w:pPr>
            <w:r>
              <w:rPr>
                <w:rFonts w:hint="eastAsia" w:ascii="宋体" w:hAnsi="宋体"/>
                <w:szCs w:val="21"/>
              </w:rPr>
              <w:t>（6）投标人未以联合体形式投标。</w:t>
            </w:r>
          </w:p>
          <w:p w14:paraId="70C78FBF">
            <w:pPr>
              <w:tabs>
                <w:tab w:val="left" w:pos="3060"/>
              </w:tabs>
              <w:spacing w:line="360" w:lineRule="exact"/>
              <w:ind w:firstLine="525" w:firstLineChars="250"/>
              <w:rPr>
                <w:rFonts w:hint="eastAsia" w:ascii="宋体" w:hAnsi="宋体"/>
                <w:szCs w:val="21"/>
              </w:rPr>
            </w:pPr>
            <w:r>
              <w:rPr>
                <w:rFonts w:hint="eastAsia" w:ascii="宋体" w:hAnsi="宋体"/>
                <w:szCs w:val="21"/>
              </w:rPr>
              <w:t>（7）同一投标人未提交两个以上不同的投标文件。</w:t>
            </w:r>
          </w:p>
          <w:p w14:paraId="0099EDFC">
            <w:pPr>
              <w:tabs>
                <w:tab w:val="left" w:pos="3060"/>
              </w:tabs>
              <w:spacing w:line="360" w:lineRule="exact"/>
              <w:ind w:firstLine="525" w:firstLineChars="250"/>
              <w:rPr>
                <w:rFonts w:hint="eastAsia" w:ascii="宋体" w:hAnsi="宋体"/>
                <w:szCs w:val="21"/>
              </w:rPr>
            </w:pPr>
            <w:r>
              <w:rPr>
                <w:rFonts w:hint="eastAsia" w:ascii="宋体" w:hAnsi="宋体"/>
                <w:szCs w:val="21"/>
              </w:rPr>
              <w:t>（</w:t>
            </w:r>
            <w:r>
              <w:rPr>
                <w:rFonts w:ascii="宋体" w:hAnsi="宋体"/>
                <w:szCs w:val="21"/>
              </w:rPr>
              <w:t>8</w:t>
            </w:r>
            <w:r>
              <w:rPr>
                <w:rFonts w:hint="eastAsia" w:ascii="宋体" w:hAnsi="宋体"/>
                <w:szCs w:val="21"/>
              </w:rPr>
              <w:t>）投标文件中未出现有关投标报价的内容。</w:t>
            </w:r>
          </w:p>
          <w:p w14:paraId="06ADDADB">
            <w:pPr>
              <w:tabs>
                <w:tab w:val="left" w:pos="3060"/>
              </w:tabs>
              <w:spacing w:line="360" w:lineRule="exact"/>
              <w:ind w:firstLine="525" w:firstLineChars="250"/>
              <w:rPr>
                <w:rFonts w:hint="eastAsia" w:ascii="宋体" w:hAnsi="宋体"/>
                <w:szCs w:val="21"/>
              </w:rPr>
            </w:pPr>
            <w:r>
              <w:rPr>
                <w:rFonts w:hint="eastAsia" w:ascii="宋体" w:hAnsi="宋体"/>
                <w:szCs w:val="21"/>
              </w:rPr>
              <w:t>（</w:t>
            </w:r>
            <w:r>
              <w:rPr>
                <w:rFonts w:ascii="宋体" w:hAnsi="宋体"/>
                <w:szCs w:val="21"/>
              </w:rPr>
              <w:t>9</w:t>
            </w:r>
            <w:r>
              <w:rPr>
                <w:rFonts w:hint="eastAsia" w:ascii="宋体" w:hAnsi="宋体"/>
                <w:szCs w:val="21"/>
              </w:rPr>
              <w:t>）投标文件载明的招标项目完成期限符合招标文件规定的时限。</w:t>
            </w:r>
          </w:p>
          <w:p w14:paraId="77C55E7E">
            <w:pPr>
              <w:tabs>
                <w:tab w:val="left" w:pos="3060"/>
              </w:tabs>
              <w:spacing w:line="360" w:lineRule="exact"/>
              <w:ind w:firstLine="525" w:firstLineChars="250"/>
              <w:rPr>
                <w:rFonts w:hint="eastAsia" w:ascii="宋体" w:hAnsi="宋体"/>
                <w:szCs w:val="21"/>
              </w:rPr>
            </w:pPr>
            <w:r>
              <w:rPr>
                <w:rFonts w:hint="eastAsia" w:ascii="宋体" w:hAnsi="宋体"/>
                <w:szCs w:val="21"/>
              </w:rPr>
              <w:t>（</w:t>
            </w:r>
            <w:r>
              <w:rPr>
                <w:rFonts w:ascii="宋体" w:hAnsi="宋体"/>
                <w:szCs w:val="21"/>
              </w:rPr>
              <w:t>10</w:t>
            </w:r>
            <w:r>
              <w:rPr>
                <w:rFonts w:hint="eastAsia" w:ascii="宋体" w:hAnsi="宋体"/>
                <w:szCs w:val="21"/>
              </w:rPr>
              <w:t>）投标人未对本项目提出分包计划。</w:t>
            </w:r>
          </w:p>
          <w:p w14:paraId="6828A02A">
            <w:pPr>
              <w:tabs>
                <w:tab w:val="left" w:pos="3060"/>
              </w:tabs>
              <w:spacing w:line="360" w:lineRule="exact"/>
              <w:ind w:firstLine="525" w:firstLineChars="25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）投标文件对招标文件的实质性要求和条件作出响应。</w:t>
            </w:r>
          </w:p>
          <w:p w14:paraId="77E2E700">
            <w:pPr>
              <w:tabs>
                <w:tab w:val="left" w:pos="3060"/>
              </w:tabs>
              <w:spacing w:line="360" w:lineRule="exact"/>
              <w:ind w:firstLine="525" w:firstLineChars="25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）权利义务符合招标文件规定：</w:t>
            </w:r>
          </w:p>
          <w:p w14:paraId="40BEA30B">
            <w:pPr>
              <w:tabs>
                <w:tab w:val="left" w:pos="3060"/>
              </w:tabs>
              <w:spacing w:line="360" w:lineRule="exact"/>
              <w:ind w:firstLine="420" w:firstLineChars="200"/>
              <w:rPr>
                <w:rFonts w:hint="eastAsia" w:ascii="宋体" w:hAnsi="宋体"/>
                <w:szCs w:val="21"/>
              </w:rPr>
            </w:pPr>
            <w:r>
              <w:rPr>
                <w:rFonts w:hint="eastAsia" w:ascii="宋体" w:hAnsi="宋体"/>
                <w:szCs w:val="21"/>
              </w:rPr>
              <w:t>a.投标人应接受招标文件规定的风险划分原则，未提出新的风险划分办法；</w:t>
            </w:r>
          </w:p>
          <w:p w14:paraId="63D11411">
            <w:pPr>
              <w:tabs>
                <w:tab w:val="left" w:pos="3060"/>
              </w:tabs>
              <w:spacing w:line="360" w:lineRule="exact"/>
              <w:ind w:firstLine="420" w:firstLineChars="200"/>
              <w:rPr>
                <w:rFonts w:hint="eastAsia" w:ascii="宋体" w:hAnsi="宋体"/>
                <w:szCs w:val="21"/>
              </w:rPr>
            </w:pPr>
            <w:r>
              <w:rPr>
                <w:rFonts w:hint="eastAsia" w:ascii="宋体" w:hAnsi="宋体"/>
                <w:szCs w:val="21"/>
              </w:rPr>
              <w:t>b.投标人未增加发包人的责任范围，或减少投标人义务；</w:t>
            </w:r>
          </w:p>
          <w:p w14:paraId="7538D71B">
            <w:pPr>
              <w:tabs>
                <w:tab w:val="left" w:pos="3060"/>
              </w:tabs>
              <w:spacing w:line="360" w:lineRule="exact"/>
              <w:ind w:firstLine="420" w:firstLineChars="200"/>
              <w:rPr>
                <w:rFonts w:hint="eastAsia" w:ascii="宋体" w:hAnsi="宋体"/>
                <w:szCs w:val="21"/>
              </w:rPr>
            </w:pPr>
            <w:r>
              <w:rPr>
                <w:rFonts w:hint="eastAsia" w:ascii="宋体" w:hAnsi="宋体"/>
                <w:szCs w:val="21"/>
              </w:rPr>
              <w:t>c.投标人未提出不同的支付办法；</w:t>
            </w:r>
          </w:p>
          <w:p w14:paraId="331D77BB">
            <w:pPr>
              <w:tabs>
                <w:tab w:val="left" w:pos="3060"/>
              </w:tabs>
              <w:spacing w:line="360" w:lineRule="exact"/>
              <w:ind w:firstLine="420" w:firstLineChars="200"/>
              <w:rPr>
                <w:rFonts w:hint="eastAsia" w:ascii="宋体" w:hAnsi="宋体"/>
                <w:szCs w:val="21"/>
              </w:rPr>
            </w:pPr>
            <w:r>
              <w:rPr>
                <w:rFonts w:hint="eastAsia" w:ascii="宋体" w:hAnsi="宋体"/>
                <w:szCs w:val="21"/>
              </w:rPr>
              <w:t>d.投标人对合同纠纷、事故处理办法未提出异议；</w:t>
            </w:r>
          </w:p>
          <w:p w14:paraId="0C5A16B0">
            <w:pPr>
              <w:tabs>
                <w:tab w:val="left" w:pos="3060"/>
              </w:tabs>
              <w:spacing w:line="360" w:lineRule="exact"/>
              <w:ind w:firstLine="420" w:firstLineChars="200"/>
              <w:rPr>
                <w:rFonts w:hint="eastAsia" w:ascii="宋体" w:hAnsi="宋体"/>
                <w:szCs w:val="21"/>
              </w:rPr>
            </w:pPr>
            <w:r>
              <w:rPr>
                <w:rFonts w:hint="eastAsia" w:ascii="宋体" w:hAnsi="宋体"/>
                <w:szCs w:val="21"/>
              </w:rPr>
              <w:t>e.投标人在投标活动中无欺诈行为；</w:t>
            </w:r>
          </w:p>
          <w:p w14:paraId="16D52EB1">
            <w:pPr>
              <w:tabs>
                <w:tab w:val="left" w:pos="3060"/>
              </w:tabs>
              <w:spacing w:line="360" w:lineRule="exact"/>
              <w:ind w:firstLine="420" w:firstLineChars="200"/>
              <w:rPr>
                <w:rFonts w:hint="eastAsia" w:ascii="宋体" w:hAnsi="宋体"/>
                <w:szCs w:val="21"/>
              </w:rPr>
            </w:pPr>
            <w:r>
              <w:rPr>
                <w:rFonts w:hint="eastAsia" w:ascii="宋体" w:hAnsi="宋体"/>
                <w:szCs w:val="21"/>
              </w:rPr>
              <w:t>f.投标人未对合同条款有重要保留。</w:t>
            </w:r>
          </w:p>
          <w:p w14:paraId="70CC6B13">
            <w:pPr>
              <w:tabs>
                <w:tab w:val="left" w:pos="3060"/>
              </w:tabs>
              <w:spacing w:line="320" w:lineRule="exact"/>
              <w:rPr>
                <w:rFonts w:hint="eastAsia" w:ascii="宋体" w:hAnsi="宋体"/>
                <w:b/>
                <w:szCs w:val="21"/>
              </w:rPr>
            </w:pPr>
            <w:r>
              <w:rPr>
                <w:rFonts w:hint="eastAsia" w:ascii="宋体" w:hAnsi="宋体"/>
                <w:b/>
                <w:szCs w:val="21"/>
              </w:rPr>
              <w:t>第二个信封（报价文件）评审标准：</w:t>
            </w:r>
          </w:p>
          <w:p w14:paraId="0738412B">
            <w:pPr>
              <w:tabs>
                <w:tab w:val="left" w:pos="3060"/>
              </w:tabs>
              <w:spacing w:line="360" w:lineRule="exact"/>
              <w:ind w:firstLine="420" w:firstLineChars="200"/>
              <w:rPr>
                <w:rFonts w:hint="eastAsia" w:ascii="宋体" w:hAnsi="宋体"/>
                <w:bCs/>
                <w:szCs w:val="21"/>
              </w:rPr>
            </w:pPr>
            <w:r>
              <w:rPr>
                <w:rFonts w:hint="eastAsia" w:ascii="宋体" w:hAnsi="宋体"/>
                <w:bCs/>
                <w:szCs w:val="21"/>
              </w:rPr>
              <w:t>（1）投标文件按照招标文件规定的格式、内容填写，字迹清晰可辨：</w:t>
            </w:r>
          </w:p>
          <w:p w14:paraId="682BAB0C">
            <w:pPr>
              <w:tabs>
                <w:tab w:val="left" w:pos="3060"/>
              </w:tabs>
              <w:spacing w:line="360" w:lineRule="exact"/>
              <w:ind w:firstLine="420" w:firstLineChars="200"/>
              <w:rPr>
                <w:rFonts w:hint="eastAsia" w:ascii="宋体" w:hAnsi="宋体"/>
                <w:bCs/>
                <w:szCs w:val="21"/>
              </w:rPr>
            </w:pPr>
            <w:r>
              <w:rPr>
                <w:rFonts w:hint="eastAsia" w:ascii="宋体" w:hAnsi="宋体"/>
                <w:bCs/>
                <w:szCs w:val="21"/>
              </w:rPr>
              <w:t>a.投标函按招标文件规定填报了项目名称、补遗书编号（如有）、投标价（包括大写金额和小写金额）；</w:t>
            </w:r>
          </w:p>
          <w:p w14:paraId="6C9DCDEC">
            <w:pPr>
              <w:tabs>
                <w:tab w:val="left" w:pos="3060"/>
              </w:tabs>
              <w:spacing w:line="360" w:lineRule="exact"/>
              <w:ind w:firstLine="420" w:firstLineChars="200"/>
              <w:rPr>
                <w:rFonts w:hint="eastAsia" w:ascii="宋体" w:hAnsi="宋体"/>
                <w:bCs/>
                <w:szCs w:val="21"/>
              </w:rPr>
            </w:pPr>
            <w:r>
              <w:rPr>
                <w:rFonts w:hint="eastAsia" w:ascii="宋体" w:hAnsi="宋体"/>
                <w:bCs/>
                <w:szCs w:val="21"/>
              </w:rPr>
              <w:t>b．投标文件组成齐全完整，内容均按规定填写。</w:t>
            </w:r>
          </w:p>
          <w:p w14:paraId="7A52FBEA">
            <w:pPr>
              <w:tabs>
                <w:tab w:val="left" w:pos="3060"/>
              </w:tabs>
              <w:spacing w:line="360" w:lineRule="exact"/>
              <w:ind w:firstLine="420" w:firstLineChars="200"/>
              <w:rPr>
                <w:rFonts w:hint="eastAsia" w:ascii="宋体" w:hAnsi="宋体"/>
                <w:szCs w:val="21"/>
              </w:rPr>
            </w:pPr>
            <w:r>
              <w:rPr>
                <w:rFonts w:hint="eastAsia" w:ascii="宋体" w:hAnsi="宋体"/>
                <w:bCs/>
                <w:szCs w:val="21"/>
              </w:rPr>
              <w:t>（2）投标</w:t>
            </w:r>
            <w:r>
              <w:rPr>
                <w:rFonts w:hint="eastAsia" w:ascii="宋体" w:hAnsi="宋体"/>
                <w:szCs w:val="21"/>
              </w:rPr>
              <w:t>文件</w:t>
            </w:r>
            <w:r>
              <w:rPr>
                <w:rFonts w:hint="eastAsia" w:ascii="宋体" w:hAnsi="宋体"/>
                <w:bCs/>
                <w:szCs w:val="21"/>
              </w:rPr>
              <w:t>上法定代表人或其授权代理人的签字、投标人的单位章盖章齐全，符合招标文件规定。</w:t>
            </w:r>
          </w:p>
          <w:p w14:paraId="12EC7D1B">
            <w:pPr>
              <w:tabs>
                <w:tab w:val="left" w:pos="3060"/>
              </w:tabs>
              <w:spacing w:line="360" w:lineRule="exact"/>
              <w:ind w:firstLine="420" w:firstLineChars="200"/>
              <w:rPr>
                <w:rFonts w:hint="eastAsia" w:ascii="宋体" w:hAnsi="宋体"/>
                <w:szCs w:val="21"/>
              </w:rPr>
            </w:pPr>
            <w:r>
              <w:rPr>
                <w:rFonts w:hint="eastAsia" w:ascii="宋体" w:hAnsi="宋体"/>
                <w:szCs w:val="21"/>
              </w:rPr>
              <w:t>（3）投标报价中的报价未超过招标文件设定的最高投标限价。</w:t>
            </w:r>
          </w:p>
          <w:p w14:paraId="1EBA68E1">
            <w:pPr>
              <w:tabs>
                <w:tab w:val="left" w:pos="3060"/>
              </w:tabs>
              <w:spacing w:line="360" w:lineRule="exact"/>
              <w:ind w:firstLine="420" w:firstLineChars="200"/>
              <w:rPr>
                <w:rFonts w:hint="eastAsia" w:ascii="宋体" w:hAnsi="宋体"/>
                <w:szCs w:val="21"/>
              </w:rPr>
            </w:pPr>
            <w:r>
              <w:rPr>
                <w:rFonts w:hint="eastAsia" w:ascii="宋体" w:hAnsi="宋体"/>
                <w:szCs w:val="21"/>
              </w:rPr>
              <w:t>（4）投标报价中报价的大写金额能够确定具体数值。</w:t>
            </w:r>
          </w:p>
          <w:p w14:paraId="2B2D4BDD">
            <w:pPr>
              <w:tabs>
                <w:tab w:val="left" w:pos="3060"/>
              </w:tabs>
              <w:spacing w:line="360" w:lineRule="exact"/>
              <w:ind w:firstLine="420" w:firstLineChars="200"/>
              <w:rPr>
                <w:rFonts w:hint="eastAsia" w:ascii="宋体" w:hAnsi="宋体"/>
                <w:szCs w:val="21"/>
              </w:rPr>
            </w:pPr>
            <w:r>
              <w:rPr>
                <w:rFonts w:hint="eastAsia" w:ascii="宋体" w:hAnsi="宋体"/>
                <w:szCs w:val="21"/>
              </w:rPr>
              <w:t>（5）同一投标人未提交两个以上不同的投标报价。</w:t>
            </w:r>
          </w:p>
          <w:p w14:paraId="201ADDD4">
            <w:pPr>
              <w:pStyle w:val="2"/>
              <w:ind w:firstLine="230" w:firstLineChars="100"/>
              <w:rPr>
                <w:rFonts w:hint="eastAsia"/>
                <w:lang w:eastAsia="zh-CN"/>
              </w:rPr>
            </w:pPr>
            <w:r>
              <w:rPr>
                <w:rFonts w:hint="eastAsia"/>
                <w:szCs w:val="21"/>
                <w:lang w:eastAsia="zh-CN"/>
              </w:rPr>
              <w:t>（6）</w:t>
            </w:r>
            <w:r>
              <w:rPr>
                <w:rFonts w:hint="eastAsia"/>
                <w:bCs/>
                <w:szCs w:val="21"/>
                <w:lang w:eastAsia="zh-CN"/>
              </w:rPr>
              <w:t>已</w:t>
            </w:r>
            <w:r>
              <w:rPr>
                <w:rFonts w:hint="eastAsia"/>
                <w:szCs w:val="21"/>
                <w:lang w:eastAsia="zh-CN"/>
              </w:rPr>
              <w:t>标价清单中的投标报价和投标函大写金额报价一致。</w:t>
            </w:r>
          </w:p>
        </w:tc>
      </w:tr>
      <w:tr w14:paraId="1463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4DFEF096">
            <w:pPr>
              <w:spacing w:before="100" w:beforeAutospacing="1" w:after="100" w:afterAutospacing="1"/>
              <w:jc w:val="center"/>
              <w:rPr>
                <w:rFonts w:hint="eastAsia" w:ascii="宋体" w:hAnsi="宋体"/>
                <w:szCs w:val="21"/>
              </w:rPr>
            </w:pPr>
            <w:r>
              <w:rPr>
                <w:rFonts w:hint="eastAsia" w:ascii="宋体" w:hAnsi="宋体"/>
                <w:szCs w:val="21"/>
              </w:rPr>
              <w:t xml:space="preserve">2.1.2 </w:t>
            </w:r>
          </w:p>
        </w:tc>
        <w:tc>
          <w:tcPr>
            <w:tcW w:w="989" w:type="dxa"/>
            <w:tcBorders>
              <w:top w:val="single" w:color="auto" w:sz="4" w:space="0"/>
              <w:left w:val="single" w:color="auto" w:sz="4" w:space="0"/>
              <w:bottom w:val="single" w:color="auto" w:sz="4" w:space="0"/>
              <w:right w:val="single" w:color="auto" w:sz="4" w:space="0"/>
            </w:tcBorders>
            <w:vAlign w:val="center"/>
          </w:tcPr>
          <w:p w14:paraId="3200F2BB">
            <w:pPr>
              <w:spacing w:before="100" w:beforeAutospacing="1" w:after="100" w:afterAutospacing="1"/>
              <w:jc w:val="center"/>
              <w:rPr>
                <w:rFonts w:hint="eastAsia" w:ascii="宋体" w:hAnsi="宋体"/>
                <w:szCs w:val="21"/>
              </w:rPr>
            </w:pPr>
            <w:r>
              <w:rPr>
                <w:rFonts w:hint="eastAsia" w:ascii="宋体" w:hAnsi="宋体"/>
                <w:szCs w:val="21"/>
              </w:rPr>
              <w:t xml:space="preserve">资格评审标准 </w:t>
            </w:r>
          </w:p>
        </w:tc>
        <w:tc>
          <w:tcPr>
            <w:tcW w:w="7775" w:type="dxa"/>
            <w:tcBorders>
              <w:top w:val="single" w:color="auto" w:sz="4" w:space="0"/>
              <w:left w:val="single" w:color="auto" w:sz="4" w:space="0"/>
              <w:bottom w:val="single" w:color="auto" w:sz="4" w:space="0"/>
              <w:right w:val="single" w:color="auto" w:sz="4" w:space="0"/>
            </w:tcBorders>
            <w:vAlign w:val="center"/>
          </w:tcPr>
          <w:p w14:paraId="4F18D712">
            <w:pPr>
              <w:tabs>
                <w:tab w:val="left" w:pos="3060"/>
              </w:tabs>
              <w:spacing w:line="360" w:lineRule="exact"/>
              <w:ind w:firstLine="420" w:firstLineChars="200"/>
              <w:rPr>
                <w:rFonts w:hint="eastAsia" w:ascii="宋体" w:hAnsi="宋体"/>
                <w:szCs w:val="21"/>
              </w:rPr>
            </w:pPr>
            <w:r>
              <w:rPr>
                <w:rFonts w:hint="eastAsia" w:ascii="宋体" w:hAnsi="宋体"/>
                <w:szCs w:val="21"/>
              </w:rPr>
              <w:t>（1）投标人具有有效营业执照，具有中国银行保险监督管理委员会颁发的《保险许可证》，投标人为分支机构的，需持有其具备《保险许可证》的总公司开具的唯一授权书。</w:t>
            </w:r>
          </w:p>
          <w:p w14:paraId="63651859">
            <w:pPr>
              <w:tabs>
                <w:tab w:val="left" w:pos="3060"/>
              </w:tabs>
              <w:spacing w:line="360" w:lineRule="exact"/>
              <w:ind w:firstLine="420" w:firstLineChars="20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）投标人的业绩符合招标文件规定。</w:t>
            </w:r>
          </w:p>
          <w:p w14:paraId="154B7814">
            <w:pPr>
              <w:tabs>
                <w:tab w:val="left" w:pos="3060"/>
              </w:tabs>
              <w:spacing w:line="360" w:lineRule="exact"/>
              <w:ind w:firstLine="420" w:firstLineChars="200"/>
              <w:rPr>
                <w:rFonts w:hint="eastAsia" w:ascii="宋体" w:hAnsi="宋体"/>
                <w:szCs w:val="21"/>
              </w:rPr>
            </w:pPr>
            <w:r>
              <w:rPr>
                <w:rFonts w:hint="eastAsia" w:ascii="宋体" w:hAnsi="宋体"/>
                <w:szCs w:val="21"/>
              </w:rPr>
              <w:t>（</w:t>
            </w:r>
            <w:r>
              <w:rPr>
                <w:rFonts w:ascii="宋体" w:hAnsi="宋体"/>
                <w:szCs w:val="21"/>
              </w:rPr>
              <w:t>3</w:t>
            </w:r>
            <w:r>
              <w:rPr>
                <w:rFonts w:hint="eastAsia" w:ascii="宋体" w:hAnsi="宋体"/>
                <w:szCs w:val="21"/>
              </w:rPr>
              <w:t>）投标人的信誉符合招标文件规定。</w:t>
            </w:r>
          </w:p>
          <w:p w14:paraId="631D39F0">
            <w:pPr>
              <w:tabs>
                <w:tab w:val="left" w:pos="3060"/>
              </w:tabs>
              <w:spacing w:line="360" w:lineRule="exact"/>
              <w:ind w:firstLine="420" w:firstLineChars="200"/>
              <w:rPr>
                <w:rFonts w:hint="eastAsia"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）投标人不存在第二章“投标人须知”第1.4.3项或1.4.4项规定的任何一种情形。</w:t>
            </w:r>
          </w:p>
        </w:tc>
      </w:tr>
      <w:tr w14:paraId="35FD6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09323FAC">
            <w:pPr>
              <w:spacing w:before="100" w:beforeAutospacing="1" w:after="100" w:afterAutospacing="1"/>
              <w:jc w:val="center"/>
              <w:rPr>
                <w:rFonts w:hint="eastAsia" w:ascii="宋体" w:hAnsi="宋体"/>
                <w:szCs w:val="21"/>
              </w:rPr>
            </w:pPr>
            <w:r>
              <w:rPr>
                <w:rFonts w:hint="eastAsia" w:ascii="宋体" w:hAnsi="宋体"/>
                <w:szCs w:val="21"/>
              </w:rPr>
              <w:t xml:space="preserve">2.2.1 </w:t>
            </w:r>
          </w:p>
        </w:tc>
        <w:tc>
          <w:tcPr>
            <w:tcW w:w="989" w:type="dxa"/>
            <w:tcBorders>
              <w:top w:val="single" w:color="auto" w:sz="4" w:space="0"/>
              <w:left w:val="single" w:color="auto" w:sz="4" w:space="0"/>
              <w:bottom w:val="single" w:color="auto" w:sz="4" w:space="0"/>
              <w:right w:val="single" w:color="auto" w:sz="4" w:space="0"/>
            </w:tcBorders>
            <w:vAlign w:val="center"/>
          </w:tcPr>
          <w:p w14:paraId="4D32C4AF">
            <w:pPr>
              <w:spacing w:before="100" w:beforeAutospacing="1" w:after="100" w:afterAutospacing="1"/>
              <w:jc w:val="center"/>
              <w:rPr>
                <w:rFonts w:hint="eastAsia" w:ascii="宋体" w:hAnsi="宋体"/>
                <w:szCs w:val="21"/>
              </w:rPr>
            </w:pPr>
            <w:r>
              <w:rPr>
                <w:rFonts w:hint="eastAsia" w:ascii="宋体" w:hAnsi="宋体"/>
                <w:szCs w:val="21"/>
              </w:rPr>
              <w:t xml:space="preserve">分值构成（总分100分） </w:t>
            </w:r>
          </w:p>
        </w:tc>
        <w:tc>
          <w:tcPr>
            <w:tcW w:w="7775" w:type="dxa"/>
            <w:tcBorders>
              <w:top w:val="single" w:color="auto" w:sz="4" w:space="0"/>
              <w:left w:val="single" w:color="auto" w:sz="4" w:space="0"/>
              <w:bottom w:val="single" w:color="auto" w:sz="4" w:space="0"/>
              <w:right w:val="single" w:color="auto" w:sz="4" w:space="0"/>
            </w:tcBorders>
            <w:vAlign w:val="center"/>
          </w:tcPr>
          <w:p w14:paraId="2DA6303F">
            <w:pPr>
              <w:spacing w:line="360" w:lineRule="exact"/>
              <w:rPr>
                <w:rFonts w:hint="eastAsia" w:ascii="宋体" w:hAnsi="宋体"/>
                <w:szCs w:val="21"/>
              </w:rPr>
            </w:pPr>
            <w:r>
              <w:rPr>
                <w:rFonts w:hint="eastAsia" w:ascii="宋体" w:hAnsi="宋体"/>
                <w:b/>
                <w:szCs w:val="21"/>
              </w:rPr>
              <w:t>第一个信封（商务及技术文件）评分分值构成：</w:t>
            </w:r>
          </w:p>
          <w:p w14:paraId="15D530D4">
            <w:pPr>
              <w:spacing w:line="360" w:lineRule="exact"/>
              <w:ind w:firstLine="420" w:firstLineChars="200"/>
              <w:rPr>
                <w:rFonts w:hint="eastAsia" w:ascii="宋体" w:hAnsi="宋体"/>
                <w:szCs w:val="21"/>
              </w:rPr>
            </w:pPr>
            <w:r>
              <w:rPr>
                <w:rFonts w:hint="eastAsia" w:ascii="宋体" w:hAnsi="宋体"/>
                <w:szCs w:val="21"/>
              </w:rPr>
              <w:t xml:space="preserve">业 </w:t>
            </w:r>
            <w:r>
              <w:rPr>
                <w:rFonts w:ascii="宋体" w:hAnsi="宋体"/>
                <w:szCs w:val="21"/>
              </w:rPr>
              <w:t xml:space="preserve">   </w:t>
            </w:r>
            <w:r>
              <w:rPr>
                <w:rFonts w:hint="eastAsia" w:ascii="宋体" w:hAnsi="宋体"/>
                <w:szCs w:val="21"/>
              </w:rPr>
              <w:t>绩：       3</w:t>
            </w:r>
            <w:r>
              <w:rPr>
                <w:rFonts w:ascii="宋体" w:hAnsi="宋体"/>
                <w:szCs w:val="21"/>
              </w:rPr>
              <w:t>0</w:t>
            </w:r>
            <w:r>
              <w:rPr>
                <w:rFonts w:hint="eastAsia" w:ascii="宋体" w:hAnsi="宋体"/>
                <w:szCs w:val="21"/>
              </w:rPr>
              <w:t>分</w:t>
            </w:r>
          </w:p>
          <w:p w14:paraId="24E5B757">
            <w:pPr>
              <w:spacing w:line="360" w:lineRule="exact"/>
              <w:ind w:firstLine="420" w:firstLineChars="200"/>
              <w:rPr>
                <w:rFonts w:hint="eastAsia" w:ascii="宋体" w:hAnsi="宋体"/>
                <w:szCs w:val="21"/>
              </w:rPr>
            </w:pPr>
            <w:r>
              <w:rPr>
                <w:rFonts w:hint="eastAsia" w:ascii="宋体" w:hAnsi="宋体"/>
                <w:szCs w:val="21"/>
              </w:rPr>
              <w:t>服务方案：       4</w:t>
            </w:r>
            <w:r>
              <w:rPr>
                <w:rFonts w:ascii="宋体" w:hAnsi="宋体"/>
                <w:szCs w:val="21"/>
              </w:rPr>
              <w:t>0</w:t>
            </w:r>
            <w:r>
              <w:rPr>
                <w:rFonts w:hint="eastAsia" w:ascii="宋体" w:hAnsi="宋体"/>
                <w:szCs w:val="21"/>
              </w:rPr>
              <w:t>分</w:t>
            </w:r>
          </w:p>
          <w:p w14:paraId="517FCEF8">
            <w:pPr>
              <w:spacing w:line="360" w:lineRule="exact"/>
              <w:rPr>
                <w:rFonts w:hint="eastAsia" w:ascii="宋体" w:hAnsi="宋体"/>
                <w:szCs w:val="21"/>
              </w:rPr>
            </w:pPr>
            <w:r>
              <w:rPr>
                <w:rFonts w:hint="eastAsia" w:ascii="宋体" w:hAnsi="宋体"/>
                <w:b/>
                <w:szCs w:val="21"/>
              </w:rPr>
              <w:t>第二个信封（报价文件）评分分值构成：</w:t>
            </w:r>
          </w:p>
          <w:p w14:paraId="1583AAB2">
            <w:pPr>
              <w:spacing w:line="360" w:lineRule="exact"/>
              <w:ind w:firstLine="420" w:firstLineChars="200"/>
              <w:rPr>
                <w:rFonts w:hint="eastAsia" w:ascii="宋体" w:hAnsi="宋体"/>
                <w:szCs w:val="21"/>
              </w:rPr>
            </w:pPr>
            <w:r>
              <w:rPr>
                <w:rFonts w:hint="eastAsia" w:ascii="宋体" w:hAnsi="宋体"/>
                <w:szCs w:val="21"/>
              </w:rPr>
              <w:t>评 标 价：       30分</w:t>
            </w:r>
          </w:p>
        </w:tc>
      </w:tr>
      <w:tr w14:paraId="32F6A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2DCE7CA9">
            <w:pPr>
              <w:spacing w:before="100" w:beforeAutospacing="1" w:after="100" w:afterAutospacing="1"/>
              <w:jc w:val="center"/>
              <w:rPr>
                <w:rFonts w:hint="eastAsia" w:ascii="宋体" w:hAnsi="宋体"/>
                <w:szCs w:val="21"/>
              </w:rPr>
            </w:pPr>
            <w:r>
              <w:rPr>
                <w:rFonts w:hint="eastAsia" w:ascii="宋体" w:hAnsi="宋体"/>
                <w:szCs w:val="21"/>
              </w:rPr>
              <w:t xml:space="preserve">2.2.2 </w:t>
            </w:r>
          </w:p>
        </w:tc>
        <w:tc>
          <w:tcPr>
            <w:tcW w:w="989" w:type="dxa"/>
            <w:tcBorders>
              <w:top w:val="single" w:color="auto" w:sz="4" w:space="0"/>
              <w:left w:val="single" w:color="auto" w:sz="4" w:space="0"/>
              <w:bottom w:val="single" w:color="auto" w:sz="4" w:space="0"/>
              <w:right w:val="single" w:color="auto" w:sz="4" w:space="0"/>
            </w:tcBorders>
            <w:vAlign w:val="center"/>
          </w:tcPr>
          <w:p w14:paraId="360E5C9F">
            <w:pPr>
              <w:spacing w:before="100" w:beforeAutospacing="1" w:after="100" w:afterAutospacing="1"/>
              <w:jc w:val="center"/>
              <w:rPr>
                <w:rFonts w:hint="eastAsia" w:ascii="宋体" w:hAnsi="宋体"/>
                <w:szCs w:val="21"/>
              </w:rPr>
            </w:pPr>
            <w:r>
              <w:rPr>
                <w:rFonts w:hint="eastAsia" w:ascii="宋体" w:hAnsi="宋体"/>
                <w:szCs w:val="21"/>
              </w:rPr>
              <w:t xml:space="preserve">评标基准价计算方法 </w:t>
            </w:r>
          </w:p>
        </w:tc>
        <w:tc>
          <w:tcPr>
            <w:tcW w:w="7775" w:type="dxa"/>
            <w:tcBorders>
              <w:top w:val="single" w:color="auto" w:sz="4" w:space="0"/>
              <w:left w:val="single" w:color="auto" w:sz="4" w:space="0"/>
              <w:bottom w:val="single" w:color="auto" w:sz="4" w:space="0"/>
              <w:right w:val="single" w:color="auto" w:sz="4" w:space="0"/>
            </w:tcBorders>
            <w:vAlign w:val="center"/>
          </w:tcPr>
          <w:p w14:paraId="1043A7A5">
            <w:pPr>
              <w:spacing w:line="360" w:lineRule="exact"/>
              <w:rPr>
                <w:rFonts w:hint="eastAsia" w:ascii="宋体" w:hAnsi="宋体"/>
                <w:szCs w:val="21"/>
              </w:rPr>
            </w:pPr>
            <w:r>
              <w:rPr>
                <w:rFonts w:hint="eastAsia" w:ascii="宋体" w:hAnsi="宋体"/>
                <w:szCs w:val="21"/>
              </w:rPr>
              <w:t xml:space="preserve">评标基准价的计算： </w:t>
            </w:r>
          </w:p>
          <w:p w14:paraId="5013F876">
            <w:pPr>
              <w:tabs>
                <w:tab w:val="left" w:pos="3060"/>
              </w:tabs>
              <w:spacing w:line="360" w:lineRule="exact"/>
              <w:ind w:firstLine="420" w:firstLineChars="200"/>
              <w:rPr>
                <w:rFonts w:hint="eastAsia" w:ascii="宋体" w:hAnsi="宋体"/>
                <w:szCs w:val="21"/>
              </w:rPr>
            </w:pPr>
            <w:r>
              <w:rPr>
                <w:rFonts w:hint="eastAsia" w:ascii="宋体" w:hAnsi="宋体"/>
                <w:szCs w:val="21"/>
              </w:rPr>
              <w:t>(1)评标价的确定：</w:t>
            </w:r>
          </w:p>
          <w:p w14:paraId="166A4186">
            <w:pPr>
              <w:spacing w:line="360" w:lineRule="exact"/>
              <w:ind w:firstLine="420" w:firstLineChars="200"/>
              <w:rPr>
                <w:rFonts w:hint="eastAsia" w:ascii="宋体" w:hAnsi="宋体"/>
                <w:szCs w:val="21"/>
              </w:rPr>
            </w:pPr>
            <w:r>
              <w:rPr>
                <w:rFonts w:hint="eastAsia" w:ascii="宋体" w:hAnsi="宋体"/>
                <w:szCs w:val="21"/>
              </w:rPr>
              <w:t>评标价=投标函文字报价</w:t>
            </w:r>
          </w:p>
          <w:p w14:paraId="597E56FC">
            <w:pPr>
              <w:spacing w:line="360" w:lineRule="exact"/>
              <w:ind w:firstLine="420" w:firstLineChars="200"/>
              <w:rPr>
                <w:rFonts w:hint="eastAsia" w:ascii="宋体" w:hAnsi="宋体"/>
                <w:szCs w:val="21"/>
              </w:rPr>
            </w:pPr>
            <w:r>
              <w:rPr>
                <w:rFonts w:hint="eastAsia" w:ascii="宋体" w:hAnsi="宋体"/>
                <w:szCs w:val="21"/>
              </w:rPr>
              <w:t>(2)评标价平均值的计算：</w:t>
            </w:r>
          </w:p>
          <w:p w14:paraId="25BACBAA">
            <w:pPr>
              <w:spacing w:line="360" w:lineRule="exact"/>
              <w:ind w:firstLine="420" w:firstLineChars="200"/>
              <w:rPr>
                <w:rFonts w:hint="eastAsia" w:ascii="宋体" w:hAnsi="宋体"/>
                <w:szCs w:val="21"/>
              </w:rPr>
            </w:pPr>
            <w:r>
              <w:rPr>
                <w:rFonts w:hint="eastAsia" w:ascii="宋体" w:hAnsi="宋体"/>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1526925E">
            <w:pPr>
              <w:spacing w:line="360" w:lineRule="exact"/>
              <w:ind w:firstLine="420" w:firstLineChars="200"/>
              <w:rPr>
                <w:rFonts w:hint="eastAsia" w:ascii="宋体" w:hAnsi="宋体"/>
                <w:szCs w:val="21"/>
              </w:rPr>
            </w:pPr>
            <w:r>
              <w:rPr>
                <w:rFonts w:hint="eastAsia" w:ascii="宋体" w:hAnsi="宋体"/>
                <w:szCs w:val="21"/>
              </w:rPr>
              <w:t>(3)评标基准价的确定：</w:t>
            </w:r>
          </w:p>
          <w:p w14:paraId="1F15EB52">
            <w:pPr>
              <w:spacing w:line="360" w:lineRule="exact"/>
              <w:ind w:firstLine="420" w:firstLineChars="200"/>
              <w:rPr>
                <w:rFonts w:hint="eastAsia" w:ascii="宋体" w:hAnsi="宋体"/>
                <w:szCs w:val="21"/>
              </w:rPr>
            </w:pPr>
            <w:r>
              <w:rPr>
                <w:rFonts w:hint="eastAsia" w:ascii="宋体" w:hAnsi="宋体"/>
                <w:szCs w:val="21"/>
              </w:rPr>
              <w:t>评标价平均值直接作为评标基准价。</w:t>
            </w:r>
          </w:p>
          <w:p w14:paraId="3C4CBF16">
            <w:pPr>
              <w:spacing w:line="360" w:lineRule="exact"/>
              <w:ind w:firstLine="420" w:firstLineChars="200"/>
              <w:rPr>
                <w:rFonts w:hint="eastAsia" w:ascii="宋体" w:hAnsi="宋体"/>
                <w:szCs w:val="21"/>
              </w:rPr>
            </w:pPr>
            <w:r>
              <w:rPr>
                <w:rFonts w:hint="eastAsia" w:ascii="宋体" w:hAnsi="宋体"/>
                <w:szCs w:val="21"/>
              </w:rPr>
              <w:t>评标基准价保留小数点后两位，小数点后第三位四舍五入。</w:t>
            </w:r>
          </w:p>
          <w:p w14:paraId="1CD02642">
            <w:pPr>
              <w:spacing w:line="360" w:lineRule="exact"/>
              <w:ind w:firstLine="420" w:firstLineChars="200"/>
              <w:rPr>
                <w:rFonts w:hint="eastAsia" w:ascii="宋体" w:hAnsi="宋体"/>
                <w:szCs w:val="21"/>
              </w:rPr>
            </w:pPr>
            <w:r>
              <w:rPr>
                <w:rFonts w:hint="eastAsia" w:ascii="宋体" w:hAnsi="宋体"/>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59AC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14C17C7E">
            <w:pPr>
              <w:rPr>
                <w:rFonts w:hint="eastAsia" w:ascii="宋体" w:hAnsi="宋体"/>
                <w:szCs w:val="21"/>
              </w:rPr>
            </w:pPr>
            <w:r>
              <w:rPr>
                <w:rFonts w:hint="eastAsia" w:ascii="宋体" w:hAnsi="宋体"/>
                <w:szCs w:val="21"/>
              </w:rPr>
              <w:t xml:space="preserve">2.2.3 </w:t>
            </w:r>
          </w:p>
        </w:tc>
        <w:tc>
          <w:tcPr>
            <w:tcW w:w="989" w:type="dxa"/>
            <w:tcBorders>
              <w:top w:val="single" w:color="auto" w:sz="4" w:space="0"/>
              <w:left w:val="single" w:color="auto" w:sz="4" w:space="0"/>
              <w:bottom w:val="single" w:color="auto" w:sz="4" w:space="0"/>
              <w:right w:val="single" w:color="auto" w:sz="4" w:space="0"/>
            </w:tcBorders>
            <w:vAlign w:val="center"/>
          </w:tcPr>
          <w:p w14:paraId="5030ED37">
            <w:pPr>
              <w:jc w:val="center"/>
              <w:rPr>
                <w:rFonts w:hint="eastAsia" w:ascii="宋体" w:hAnsi="宋体"/>
                <w:szCs w:val="21"/>
              </w:rPr>
            </w:pPr>
            <w:r>
              <w:rPr>
                <w:rFonts w:hint="eastAsia" w:ascii="宋体" w:hAnsi="宋体"/>
                <w:szCs w:val="21"/>
              </w:rPr>
              <w:t>评标价的偏差率计算公式</w:t>
            </w:r>
          </w:p>
        </w:tc>
        <w:tc>
          <w:tcPr>
            <w:tcW w:w="7775" w:type="dxa"/>
            <w:tcBorders>
              <w:top w:val="single" w:color="auto" w:sz="4" w:space="0"/>
              <w:left w:val="single" w:color="auto" w:sz="4" w:space="0"/>
              <w:bottom w:val="single" w:color="auto" w:sz="4" w:space="0"/>
              <w:right w:val="single" w:color="auto" w:sz="4" w:space="0"/>
            </w:tcBorders>
            <w:vAlign w:val="center"/>
          </w:tcPr>
          <w:p w14:paraId="7899D7C0">
            <w:pPr>
              <w:spacing w:line="360" w:lineRule="exact"/>
              <w:ind w:firstLine="420" w:firstLineChars="200"/>
              <w:rPr>
                <w:rFonts w:hint="eastAsia" w:ascii="宋体" w:hAnsi="宋体"/>
                <w:szCs w:val="21"/>
              </w:rPr>
            </w:pPr>
            <w:r>
              <w:rPr>
                <w:rFonts w:hint="eastAsia" w:ascii="宋体" w:hAnsi="宋体"/>
                <w:szCs w:val="21"/>
              </w:rPr>
              <w:t>偏差率=100%×(投标人评标价-评标基准价)/评标基准价</w:t>
            </w:r>
          </w:p>
        </w:tc>
      </w:tr>
      <w:tr w14:paraId="05909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AF82317">
            <w:pPr>
              <w:rPr>
                <w:rFonts w:hint="eastAsia" w:ascii="宋体" w:hAnsi="宋体"/>
                <w:szCs w:val="21"/>
              </w:rPr>
            </w:pPr>
            <w:r>
              <w:rPr>
                <w:rFonts w:hint="eastAsia" w:ascii="宋体" w:hAnsi="宋体"/>
                <w:szCs w:val="21"/>
              </w:rPr>
              <w:t>3</w:t>
            </w:r>
            <w:r>
              <w:rPr>
                <w:rFonts w:ascii="宋体" w:hAnsi="宋体"/>
                <w:szCs w:val="21"/>
              </w:rPr>
              <w:t>.6.1</w:t>
            </w:r>
          </w:p>
        </w:tc>
        <w:tc>
          <w:tcPr>
            <w:tcW w:w="989" w:type="dxa"/>
            <w:tcBorders>
              <w:top w:val="single" w:color="auto" w:sz="4" w:space="0"/>
              <w:left w:val="single" w:color="auto" w:sz="4" w:space="0"/>
              <w:bottom w:val="single" w:color="auto" w:sz="4" w:space="0"/>
              <w:right w:val="single" w:color="auto" w:sz="4" w:space="0"/>
            </w:tcBorders>
            <w:vAlign w:val="center"/>
          </w:tcPr>
          <w:p w14:paraId="1D70AB90">
            <w:pPr>
              <w:jc w:val="center"/>
              <w:rPr>
                <w:rFonts w:hint="eastAsia" w:ascii="宋体" w:hAnsi="宋体"/>
                <w:szCs w:val="21"/>
              </w:rPr>
            </w:pPr>
            <w:r>
              <w:rPr>
                <w:rFonts w:hint="eastAsia" w:ascii="宋体" w:hAnsi="宋体"/>
                <w:szCs w:val="21"/>
              </w:rPr>
              <w:t>投标文件相关信息的核查</w:t>
            </w:r>
          </w:p>
        </w:tc>
        <w:tc>
          <w:tcPr>
            <w:tcW w:w="7775" w:type="dxa"/>
            <w:tcBorders>
              <w:top w:val="single" w:color="auto" w:sz="4" w:space="0"/>
              <w:left w:val="single" w:color="auto" w:sz="4" w:space="0"/>
              <w:bottom w:val="single" w:color="auto" w:sz="4" w:space="0"/>
              <w:right w:val="single" w:color="auto" w:sz="4" w:space="0"/>
            </w:tcBorders>
            <w:vAlign w:val="center"/>
          </w:tcPr>
          <w:p w14:paraId="1244A5C6">
            <w:pPr>
              <w:adjustRightInd w:val="0"/>
              <w:snapToGrid w:val="0"/>
              <w:spacing w:line="300" w:lineRule="exact"/>
              <w:rPr>
                <w:rFonts w:hint="eastAsia" w:ascii="宋体" w:hAnsi="宋体"/>
              </w:rPr>
            </w:pPr>
            <w:r>
              <w:rPr>
                <w:rFonts w:hint="eastAsia" w:ascii="宋体" w:hAnsi="宋体"/>
              </w:rPr>
              <w:t>在评标过程中，评标委员会应对以下信息进行查询：</w:t>
            </w:r>
          </w:p>
          <w:p w14:paraId="3104A90A">
            <w:pPr>
              <w:ind w:firstLine="420" w:firstLineChars="20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）评标委员会评标时在“国家企业信用信息公示系统（http://www.gsxt.gov.cn/)”对投标人的信用情况进行查询，若投标人存在被列入“严重违法失信企业名单”情形的（不含分公司），评标委员会应否决其投标。</w:t>
            </w:r>
          </w:p>
          <w:p w14:paraId="53049D54">
            <w:pPr>
              <w:spacing w:line="360" w:lineRule="exact"/>
              <w:ind w:firstLine="420" w:firstLineChars="20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评标委员会评标时在“信用中国网站（http://www.creditchina.gov.cn/)”进行查询，若投标人存在被列入“失信被执行人（或中国执行信息公开网http://zxgk.court.gov.cn/shixin/被执行人查询）、经营异常名录信息查询、重大税收违法失信主体、政府采购严重违法失信行为记录名单”情形的（均不含分公司），评标委员会应否决其投标。</w:t>
            </w:r>
          </w:p>
          <w:p w14:paraId="60834A50">
            <w:pPr>
              <w:spacing w:line="360" w:lineRule="exact"/>
              <w:ind w:firstLine="420" w:firstLineChars="200"/>
            </w:pPr>
            <w:r>
              <w:rPr>
                <w:rFonts w:hint="eastAsia" w:ascii="宋体" w:hAnsi="宋体"/>
                <w:szCs w:val="21"/>
              </w:rPr>
              <w:t>（</w:t>
            </w:r>
            <w:r>
              <w:rPr>
                <w:rFonts w:ascii="宋体" w:hAnsi="宋体"/>
                <w:szCs w:val="21"/>
              </w:rPr>
              <w:t>3</w:t>
            </w:r>
            <w:r>
              <w:rPr>
                <w:rFonts w:hint="eastAsia" w:ascii="宋体" w:hAnsi="宋体"/>
                <w:szCs w:val="21"/>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14:paraId="12E2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9600" w:type="dxa"/>
            <w:gridSpan w:val="3"/>
            <w:tcBorders>
              <w:top w:val="single" w:color="auto" w:sz="4" w:space="0"/>
              <w:left w:val="single" w:color="auto" w:sz="4" w:space="0"/>
              <w:bottom w:val="single" w:color="auto" w:sz="4" w:space="0"/>
              <w:right w:val="single" w:color="auto" w:sz="4" w:space="0"/>
            </w:tcBorders>
            <w:vAlign w:val="center"/>
          </w:tcPr>
          <w:p w14:paraId="3F14C0C2">
            <w:pPr>
              <w:rPr>
                <w:rFonts w:hint="eastAsia" w:ascii="宋体" w:hAnsi="宋体"/>
                <w:szCs w:val="21"/>
              </w:rPr>
            </w:pPr>
            <w:r>
              <w:rPr>
                <w:rFonts w:hint="eastAsia" w:ascii="宋体" w:hAnsi="宋体"/>
                <w:szCs w:val="21"/>
              </w:rPr>
              <w:t>需要补充的其他内容：无</w:t>
            </w:r>
          </w:p>
        </w:tc>
      </w:tr>
    </w:tbl>
    <w:p w14:paraId="4B107C22">
      <w:pPr>
        <w:jc w:val="left"/>
        <w:rPr>
          <w:rFonts w:hint="eastAsia" w:ascii="宋体" w:hAnsi="宋体"/>
          <w:szCs w:val="21"/>
        </w:rPr>
      </w:pPr>
      <w:r>
        <w:rPr>
          <w:rFonts w:ascii="宋体" w:hAnsi="宋体"/>
          <w:szCs w:val="21"/>
        </w:rPr>
        <w:br w:type="page"/>
      </w:r>
      <w:r>
        <w:rPr>
          <w:rFonts w:hint="eastAsia" w:ascii="宋体" w:hAnsi="宋体"/>
          <w:szCs w:val="21"/>
        </w:rPr>
        <w:t>具体评分标准如下：</w:t>
      </w:r>
    </w:p>
    <w:tbl>
      <w:tblPr>
        <w:tblStyle w:val="4"/>
        <w:tblW w:w="9710"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57" w:type="dxa"/>
          <w:bottom w:w="0" w:type="dxa"/>
          <w:right w:w="57" w:type="dxa"/>
        </w:tblCellMar>
      </w:tblPr>
      <w:tblGrid>
        <w:gridCol w:w="735"/>
        <w:gridCol w:w="1030"/>
        <w:gridCol w:w="1124"/>
        <w:gridCol w:w="843"/>
        <w:gridCol w:w="5978"/>
      </w:tblGrid>
      <w:tr w14:paraId="36199E0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1" w:hRule="atLeast"/>
          <w:jc w:val="center"/>
        </w:trPr>
        <w:tc>
          <w:tcPr>
            <w:tcW w:w="735" w:type="dxa"/>
            <w:vAlign w:val="center"/>
          </w:tcPr>
          <w:p w14:paraId="4B3E3485">
            <w:pPr>
              <w:jc w:val="center"/>
              <w:rPr>
                <w:rFonts w:hint="eastAsia" w:ascii="宋体" w:hAnsi="宋体"/>
                <w:szCs w:val="21"/>
              </w:rPr>
            </w:pPr>
            <w:r>
              <w:rPr>
                <w:rFonts w:hint="eastAsia" w:ascii="宋体" w:hAnsi="宋体"/>
                <w:szCs w:val="21"/>
              </w:rPr>
              <w:t>序号</w:t>
            </w:r>
          </w:p>
        </w:tc>
        <w:tc>
          <w:tcPr>
            <w:tcW w:w="2154" w:type="dxa"/>
            <w:gridSpan w:val="2"/>
            <w:vAlign w:val="center"/>
          </w:tcPr>
          <w:p w14:paraId="0D3374D6">
            <w:pPr>
              <w:jc w:val="center"/>
              <w:rPr>
                <w:rFonts w:hint="eastAsia" w:ascii="宋体" w:hAnsi="宋体"/>
                <w:szCs w:val="21"/>
              </w:rPr>
            </w:pPr>
            <w:r>
              <w:rPr>
                <w:rFonts w:hint="eastAsia" w:ascii="宋体" w:hAnsi="宋体"/>
                <w:szCs w:val="21"/>
              </w:rPr>
              <w:t>评审项目</w:t>
            </w:r>
          </w:p>
        </w:tc>
        <w:tc>
          <w:tcPr>
            <w:tcW w:w="843" w:type="dxa"/>
            <w:vAlign w:val="center"/>
          </w:tcPr>
          <w:p w14:paraId="6C9CEBD1">
            <w:pPr>
              <w:jc w:val="center"/>
              <w:rPr>
                <w:rFonts w:hint="eastAsia" w:ascii="宋体" w:hAnsi="宋体"/>
                <w:szCs w:val="21"/>
              </w:rPr>
            </w:pPr>
            <w:r>
              <w:rPr>
                <w:rFonts w:hint="eastAsia" w:ascii="宋体" w:hAnsi="宋体"/>
                <w:szCs w:val="21"/>
              </w:rPr>
              <w:t>标准分</w:t>
            </w:r>
          </w:p>
        </w:tc>
        <w:tc>
          <w:tcPr>
            <w:tcW w:w="5978" w:type="dxa"/>
            <w:vAlign w:val="center"/>
          </w:tcPr>
          <w:p w14:paraId="23234BB6">
            <w:pPr>
              <w:jc w:val="center"/>
              <w:rPr>
                <w:rFonts w:hint="eastAsia" w:ascii="宋体" w:hAnsi="宋体"/>
                <w:szCs w:val="21"/>
              </w:rPr>
            </w:pPr>
            <w:r>
              <w:rPr>
                <w:rFonts w:hint="eastAsia" w:ascii="宋体" w:hAnsi="宋体"/>
                <w:szCs w:val="21"/>
              </w:rPr>
              <w:t>评</w:t>
            </w:r>
            <w:r>
              <w:rPr>
                <w:rFonts w:ascii="宋体" w:hAnsi="宋体"/>
                <w:szCs w:val="21"/>
              </w:rPr>
              <w:t xml:space="preserve">     </w:t>
            </w:r>
            <w:r>
              <w:rPr>
                <w:rFonts w:hint="eastAsia" w:ascii="宋体" w:hAnsi="宋体"/>
                <w:szCs w:val="21"/>
              </w:rPr>
              <w:t>分</w:t>
            </w:r>
            <w:r>
              <w:rPr>
                <w:rFonts w:ascii="宋体" w:hAnsi="宋体"/>
                <w:szCs w:val="21"/>
              </w:rPr>
              <w:t xml:space="preserve">     </w:t>
            </w:r>
            <w:r>
              <w:rPr>
                <w:rFonts w:hint="eastAsia" w:ascii="宋体" w:hAnsi="宋体"/>
                <w:szCs w:val="21"/>
              </w:rPr>
              <w:t>标</w:t>
            </w:r>
            <w:r>
              <w:rPr>
                <w:rFonts w:ascii="宋体" w:hAnsi="宋体"/>
                <w:szCs w:val="21"/>
              </w:rPr>
              <w:t xml:space="preserve">     </w:t>
            </w:r>
            <w:r>
              <w:rPr>
                <w:rFonts w:hint="eastAsia" w:ascii="宋体" w:hAnsi="宋体"/>
                <w:szCs w:val="21"/>
              </w:rPr>
              <w:t>准</w:t>
            </w:r>
          </w:p>
        </w:tc>
      </w:tr>
      <w:tr w14:paraId="0EAB530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735" w:type="dxa"/>
            <w:vAlign w:val="center"/>
          </w:tcPr>
          <w:p w14:paraId="65A165F2">
            <w:pPr>
              <w:snapToGrid w:val="0"/>
              <w:jc w:val="center"/>
              <w:rPr>
                <w:rFonts w:hint="eastAsia" w:ascii="宋体" w:hAnsi="宋体" w:cs="宋体"/>
                <w:bCs/>
                <w:w w:val="90"/>
                <w:szCs w:val="21"/>
              </w:rPr>
            </w:pPr>
            <w:r>
              <w:rPr>
                <w:rFonts w:ascii="宋体" w:hAnsi="宋体" w:cs="宋体"/>
                <w:bCs/>
                <w:w w:val="90"/>
                <w:szCs w:val="21"/>
              </w:rPr>
              <w:t>2.2.4</w:t>
            </w:r>
            <w:r>
              <w:rPr>
                <w:rFonts w:hint="eastAsia" w:ascii="宋体" w:hAnsi="宋体" w:cs="宋体"/>
                <w:bCs/>
                <w:w w:val="90"/>
                <w:szCs w:val="21"/>
              </w:rPr>
              <w:t>（1）</w:t>
            </w:r>
          </w:p>
        </w:tc>
        <w:tc>
          <w:tcPr>
            <w:tcW w:w="2154" w:type="dxa"/>
            <w:gridSpan w:val="2"/>
            <w:vAlign w:val="center"/>
          </w:tcPr>
          <w:p w14:paraId="77E5FC5E">
            <w:pPr>
              <w:snapToGrid w:val="0"/>
              <w:jc w:val="center"/>
              <w:rPr>
                <w:rFonts w:hint="eastAsia" w:ascii="宋体" w:hAnsi="宋体" w:cs="宋体"/>
                <w:bCs/>
                <w:szCs w:val="21"/>
              </w:rPr>
            </w:pPr>
            <w:r>
              <w:rPr>
                <w:rFonts w:hint="eastAsia" w:ascii="宋体" w:hAnsi="宋体" w:cs="宋体"/>
                <w:bCs/>
                <w:szCs w:val="21"/>
              </w:rPr>
              <w:t>业绩</w:t>
            </w:r>
          </w:p>
        </w:tc>
        <w:tc>
          <w:tcPr>
            <w:tcW w:w="843" w:type="dxa"/>
            <w:vAlign w:val="center"/>
          </w:tcPr>
          <w:p w14:paraId="0C2F132E">
            <w:pPr>
              <w:snapToGrid w:val="0"/>
              <w:jc w:val="center"/>
              <w:rPr>
                <w:rFonts w:hint="eastAsia" w:ascii="宋体" w:hAnsi="宋体" w:cs="宋体"/>
                <w:bCs/>
                <w:szCs w:val="21"/>
              </w:rPr>
            </w:pPr>
            <w:r>
              <w:rPr>
                <w:rFonts w:hint="eastAsia" w:ascii="宋体" w:hAnsi="宋体" w:cs="宋体"/>
                <w:bCs/>
                <w:szCs w:val="21"/>
              </w:rPr>
              <w:t>3</w:t>
            </w:r>
            <w:r>
              <w:rPr>
                <w:rFonts w:ascii="宋体" w:hAnsi="宋体" w:cs="宋体"/>
                <w:bCs/>
                <w:szCs w:val="21"/>
              </w:rPr>
              <w:t>0</w:t>
            </w:r>
            <w:r>
              <w:rPr>
                <w:rFonts w:hint="eastAsia" w:ascii="宋体" w:hAnsi="宋体" w:cs="宋体"/>
                <w:bCs/>
                <w:szCs w:val="21"/>
              </w:rPr>
              <w:t>分</w:t>
            </w:r>
          </w:p>
        </w:tc>
        <w:tc>
          <w:tcPr>
            <w:tcW w:w="5978" w:type="dxa"/>
            <w:vAlign w:val="center"/>
          </w:tcPr>
          <w:p w14:paraId="3A8E45A5">
            <w:pPr>
              <w:snapToGrid w:val="0"/>
              <w:rPr>
                <w:rFonts w:hint="eastAsia" w:ascii="宋体" w:hAnsi="宋体"/>
                <w:szCs w:val="21"/>
              </w:rPr>
            </w:pPr>
            <w:r>
              <w:rPr>
                <w:rFonts w:hint="eastAsia" w:ascii="宋体" w:hAnsi="宋体"/>
                <w:szCs w:val="21"/>
              </w:rPr>
              <w:t>满足资格审查条件(业绩最低要求)得18分；</w:t>
            </w:r>
          </w:p>
          <w:p w14:paraId="57D36AE4">
            <w:pPr>
              <w:snapToGrid w:val="0"/>
              <w:rPr>
                <w:rFonts w:hint="eastAsia" w:ascii="宋体" w:hAnsi="宋体" w:cs="宋体"/>
                <w:bCs/>
                <w:szCs w:val="21"/>
              </w:rPr>
            </w:pPr>
            <w:r>
              <w:rPr>
                <w:rFonts w:hint="eastAsia" w:ascii="宋体" w:hAnsi="宋体"/>
                <w:szCs w:val="21"/>
              </w:rPr>
              <w:t>近5年（2020年9月1日至今，以合同签订时间为准）每增加1个公众责任险和1个团体意外伤害保险的承保服务业绩</w:t>
            </w:r>
            <w:r>
              <w:rPr>
                <w:rFonts w:hint="eastAsia" w:ascii="宋体" w:hAnsi="宋体" w:cs="宋体"/>
                <w:bCs/>
                <w:szCs w:val="21"/>
              </w:rPr>
              <w:t>加6分，最高加12分。（如一份业绩合同中同时体现公众责任险和团体意外伤害保险，则视为各具备一个公众责任险和团体意外伤害保险业绩）</w:t>
            </w:r>
          </w:p>
        </w:tc>
      </w:tr>
      <w:tr w14:paraId="6B223DE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308" w:hRule="exact"/>
          <w:jc w:val="center"/>
        </w:trPr>
        <w:tc>
          <w:tcPr>
            <w:tcW w:w="735" w:type="dxa"/>
            <w:vMerge w:val="restart"/>
            <w:tcBorders>
              <w:right w:val="single" w:color="auto" w:sz="2" w:space="0"/>
            </w:tcBorders>
            <w:vAlign w:val="center"/>
          </w:tcPr>
          <w:p w14:paraId="5EFC02CB">
            <w:pPr>
              <w:snapToGrid w:val="0"/>
              <w:jc w:val="center"/>
              <w:rPr>
                <w:rFonts w:hint="eastAsia" w:ascii="宋体" w:hAnsi="宋体" w:cs="宋体"/>
                <w:bCs/>
                <w:w w:val="90"/>
                <w:szCs w:val="21"/>
              </w:rPr>
            </w:pPr>
            <w:r>
              <w:rPr>
                <w:rFonts w:ascii="宋体" w:hAnsi="宋体" w:cs="宋体"/>
                <w:bCs/>
                <w:w w:val="90"/>
                <w:szCs w:val="21"/>
              </w:rPr>
              <w:t>2.2.4</w:t>
            </w:r>
            <w:r>
              <w:rPr>
                <w:rFonts w:hint="eastAsia" w:ascii="宋体" w:hAnsi="宋体" w:cs="宋体"/>
                <w:bCs/>
                <w:w w:val="90"/>
                <w:szCs w:val="21"/>
              </w:rPr>
              <w:t>（</w:t>
            </w:r>
            <w:r>
              <w:rPr>
                <w:rFonts w:ascii="宋体" w:hAnsi="宋体" w:cs="宋体"/>
                <w:bCs/>
                <w:w w:val="90"/>
                <w:szCs w:val="21"/>
              </w:rPr>
              <w:t>2</w:t>
            </w:r>
            <w:r>
              <w:rPr>
                <w:rFonts w:hint="eastAsia" w:ascii="宋体" w:hAnsi="宋体" w:cs="宋体"/>
                <w:bCs/>
                <w:w w:val="90"/>
                <w:szCs w:val="21"/>
              </w:rPr>
              <w:t>）</w:t>
            </w:r>
          </w:p>
        </w:tc>
        <w:tc>
          <w:tcPr>
            <w:tcW w:w="1030" w:type="dxa"/>
            <w:vMerge w:val="restart"/>
            <w:tcBorders>
              <w:left w:val="single" w:color="auto" w:sz="2" w:space="0"/>
              <w:right w:val="single" w:color="auto" w:sz="2" w:space="0"/>
            </w:tcBorders>
            <w:vAlign w:val="center"/>
          </w:tcPr>
          <w:p w14:paraId="432D6EDB">
            <w:pPr>
              <w:snapToGrid w:val="0"/>
              <w:spacing w:before="120" w:beforeLines="50" w:after="120" w:afterLines="50"/>
              <w:jc w:val="center"/>
              <w:rPr>
                <w:rFonts w:hint="eastAsia" w:ascii="宋体" w:hAnsi="宋体" w:cs="宋体"/>
                <w:bCs/>
                <w:szCs w:val="21"/>
              </w:rPr>
            </w:pPr>
            <w:r>
              <w:rPr>
                <w:rFonts w:hint="eastAsia" w:ascii="宋体" w:hAnsi="宋体" w:cs="宋体"/>
                <w:bCs/>
                <w:szCs w:val="21"/>
              </w:rPr>
              <w:t>服务方案</w:t>
            </w:r>
          </w:p>
          <w:p w14:paraId="2335AA9A">
            <w:pPr>
              <w:snapToGrid w:val="0"/>
              <w:spacing w:before="120" w:beforeLines="50" w:after="120" w:afterLines="50"/>
              <w:jc w:val="center"/>
              <w:rPr>
                <w:rFonts w:hint="eastAsia" w:ascii="宋体" w:hAnsi="宋体" w:cs="宋体"/>
                <w:bCs/>
                <w:szCs w:val="21"/>
              </w:rPr>
            </w:pPr>
            <w:r>
              <w:rPr>
                <w:rFonts w:hint="eastAsia" w:ascii="宋体" w:hAnsi="宋体" w:cs="宋体"/>
                <w:bCs/>
                <w:szCs w:val="21"/>
              </w:rPr>
              <w:t>（4</w:t>
            </w:r>
            <w:r>
              <w:rPr>
                <w:rFonts w:ascii="宋体" w:hAnsi="宋体" w:cs="宋体"/>
                <w:bCs/>
                <w:szCs w:val="21"/>
              </w:rPr>
              <w:t>0</w:t>
            </w:r>
            <w:r>
              <w:rPr>
                <w:rFonts w:hint="eastAsia" w:ascii="宋体" w:hAnsi="宋体" w:cs="宋体"/>
                <w:bCs/>
                <w:szCs w:val="21"/>
              </w:rPr>
              <w:t>分）</w:t>
            </w:r>
          </w:p>
        </w:tc>
        <w:tc>
          <w:tcPr>
            <w:tcW w:w="1124" w:type="dxa"/>
            <w:tcBorders>
              <w:left w:val="single" w:color="auto" w:sz="2" w:space="0"/>
            </w:tcBorders>
            <w:vAlign w:val="center"/>
          </w:tcPr>
          <w:p w14:paraId="3923C1D7">
            <w:pPr>
              <w:snapToGrid w:val="0"/>
              <w:spacing w:before="120" w:beforeLines="50" w:after="120" w:afterLines="50"/>
              <w:jc w:val="center"/>
              <w:rPr>
                <w:rFonts w:hint="eastAsia" w:ascii="宋体" w:hAnsi="宋体" w:cs="宋体"/>
                <w:bCs/>
                <w:szCs w:val="21"/>
              </w:rPr>
            </w:pPr>
            <w:r>
              <w:rPr>
                <w:rFonts w:hint="eastAsia" w:ascii="宋体" w:hAnsi="宋体" w:cs="宋体"/>
                <w:bCs/>
                <w:szCs w:val="21"/>
              </w:rPr>
              <w:t>总体服务方案</w:t>
            </w:r>
          </w:p>
        </w:tc>
        <w:tc>
          <w:tcPr>
            <w:tcW w:w="843" w:type="dxa"/>
            <w:vAlign w:val="center"/>
          </w:tcPr>
          <w:p w14:paraId="69991B14">
            <w:pPr>
              <w:snapToGrid w:val="0"/>
              <w:jc w:val="center"/>
              <w:rPr>
                <w:rFonts w:hint="eastAsia" w:ascii="宋体" w:hAnsi="宋体" w:cs="宋体"/>
                <w:bCs/>
                <w:szCs w:val="21"/>
              </w:rPr>
            </w:pPr>
            <w:r>
              <w:rPr>
                <w:rFonts w:ascii="宋体" w:hAnsi="宋体" w:cs="宋体"/>
                <w:bCs/>
                <w:szCs w:val="21"/>
              </w:rPr>
              <w:t>10</w:t>
            </w:r>
            <w:r>
              <w:rPr>
                <w:rFonts w:hint="eastAsia" w:ascii="宋体" w:hAnsi="宋体" w:cs="宋体"/>
                <w:bCs/>
                <w:szCs w:val="21"/>
              </w:rPr>
              <w:t>分</w:t>
            </w:r>
          </w:p>
        </w:tc>
        <w:tc>
          <w:tcPr>
            <w:tcW w:w="5978" w:type="dxa"/>
            <w:vAlign w:val="center"/>
          </w:tcPr>
          <w:p w14:paraId="1E11776B">
            <w:pPr>
              <w:snapToGrid w:val="0"/>
              <w:rPr>
                <w:rFonts w:hint="eastAsia" w:ascii="宋体" w:hAnsi="宋体" w:cs="宋体"/>
                <w:bCs/>
                <w:szCs w:val="21"/>
              </w:rPr>
            </w:pPr>
            <w:r>
              <w:rPr>
                <w:rFonts w:hint="eastAsia" w:ascii="宋体" w:hAnsi="宋体" w:cs="宋体"/>
                <w:bCs/>
                <w:szCs w:val="21"/>
              </w:rPr>
              <w:t>第一档，总体服务方案完整、内容齐全，有针对性，得8-10分；</w:t>
            </w:r>
          </w:p>
          <w:p w14:paraId="56948932">
            <w:pPr>
              <w:snapToGrid w:val="0"/>
              <w:rPr>
                <w:rFonts w:hint="eastAsia" w:ascii="宋体" w:hAnsi="宋体" w:cs="宋体"/>
                <w:bCs/>
                <w:szCs w:val="21"/>
              </w:rPr>
            </w:pPr>
            <w:r>
              <w:rPr>
                <w:rFonts w:hint="eastAsia" w:ascii="宋体" w:hAnsi="宋体" w:cs="宋体"/>
                <w:bCs/>
                <w:szCs w:val="21"/>
              </w:rPr>
              <w:t>第二档，总体服务方案、较科学合理，得</w:t>
            </w:r>
            <w:r>
              <w:rPr>
                <w:rFonts w:ascii="宋体" w:hAnsi="宋体" w:cs="宋体"/>
                <w:bCs/>
                <w:szCs w:val="21"/>
              </w:rPr>
              <w:t>6-8</w:t>
            </w:r>
            <w:r>
              <w:rPr>
                <w:rFonts w:hint="eastAsia" w:ascii="宋体" w:hAnsi="宋体" w:cs="宋体"/>
                <w:bCs/>
                <w:szCs w:val="21"/>
              </w:rPr>
              <w:t>分；</w:t>
            </w:r>
          </w:p>
          <w:p w14:paraId="360292E6">
            <w:pPr>
              <w:snapToGrid w:val="0"/>
              <w:rPr>
                <w:rFonts w:hint="eastAsia" w:ascii="宋体" w:hAnsi="宋体" w:cs="宋体"/>
                <w:bCs/>
                <w:szCs w:val="21"/>
              </w:rPr>
            </w:pPr>
            <w:r>
              <w:rPr>
                <w:rFonts w:hint="eastAsia" w:ascii="宋体" w:hAnsi="宋体" w:cs="宋体"/>
                <w:bCs/>
                <w:szCs w:val="21"/>
              </w:rPr>
              <w:t>第三档，总体服务方案、基本合理，总体方案过于简单，得</w:t>
            </w:r>
            <w:r>
              <w:rPr>
                <w:rFonts w:ascii="宋体" w:hAnsi="宋体" w:cs="宋体"/>
                <w:bCs/>
                <w:szCs w:val="21"/>
              </w:rPr>
              <w:t>6</w:t>
            </w:r>
            <w:r>
              <w:rPr>
                <w:rFonts w:hint="eastAsia" w:ascii="宋体" w:hAnsi="宋体" w:cs="宋体"/>
                <w:bCs/>
                <w:szCs w:val="21"/>
              </w:rPr>
              <w:t>分。</w:t>
            </w:r>
          </w:p>
        </w:tc>
      </w:tr>
      <w:tr w14:paraId="0EA0455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2702" w:hRule="exact"/>
          <w:jc w:val="center"/>
        </w:trPr>
        <w:tc>
          <w:tcPr>
            <w:tcW w:w="735" w:type="dxa"/>
            <w:vMerge w:val="continue"/>
            <w:tcBorders>
              <w:right w:val="single" w:color="auto" w:sz="2" w:space="0"/>
            </w:tcBorders>
            <w:vAlign w:val="center"/>
          </w:tcPr>
          <w:p w14:paraId="10D43BEE">
            <w:pPr>
              <w:snapToGrid w:val="0"/>
              <w:jc w:val="center"/>
              <w:rPr>
                <w:rFonts w:hint="eastAsia" w:ascii="宋体" w:hAnsi="宋体" w:cs="宋体"/>
                <w:bCs/>
                <w:w w:val="90"/>
                <w:szCs w:val="21"/>
              </w:rPr>
            </w:pPr>
          </w:p>
        </w:tc>
        <w:tc>
          <w:tcPr>
            <w:tcW w:w="1030" w:type="dxa"/>
            <w:vMerge w:val="continue"/>
            <w:tcBorders>
              <w:left w:val="single" w:color="auto" w:sz="2" w:space="0"/>
              <w:right w:val="single" w:color="auto" w:sz="2" w:space="0"/>
            </w:tcBorders>
            <w:vAlign w:val="center"/>
          </w:tcPr>
          <w:p w14:paraId="299780D9">
            <w:pPr>
              <w:snapToGrid w:val="0"/>
              <w:jc w:val="center"/>
              <w:rPr>
                <w:rFonts w:hint="eastAsia" w:ascii="宋体" w:hAnsi="宋体" w:cs="宋体"/>
                <w:bCs/>
                <w:szCs w:val="21"/>
              </w:rPr>
            </w:pPr>
          </w:p>
        </w:tc>
        <w:tc>
          <w:tcPr>
            <w:tcW w:w="1124" w:type="dxa"/>
            <w:tcBorders>
              <w:left w:val="single" w:color="auto" w:sz="2" w:space="0"/>
            </w:tcBorders>
            <w:vAlign w:val="center"/>
          </w:tcPr>
          <w:p w14:paraId="43ECEF9F">
            <w:pPr>
              <w:jc w:val="center"/>
              <w:rPr>
                <w:rFonts w:hint="eastAsia" w:ascii="宋体" w:hAnsi="宋体" w:cs="宋体"/>
                <w:bCs/>
                <w:szCs w:val="21"/>
              </w:rPr>
            </w:pPr>
            <w:r>
              <w:rPr>
                <w:rFonts w:hint="eastAsia" w:ascii="宋体" w:hAnsi="宋体" w:cs="宋体"/>
                <w:bCs/>
                <w:szCs w:val="21"/>
              </w:rPr>
              <w:t>理赔流程及时效</w:t>
            </w:r>
          </w:p>
          <w:p w14:paraId="67E252C9">
            <w:pPr>
              <w:snapToGrid w:val="0"/>
              <w:jc w:val="center"/>
              <w:rPr>
                <w:rFonts w:hint="eastAsia" w:ascii="宋体" w:hAnsi="宋体" w:cs="宋体"/>
                <w:bCs/>
                <w:szCs w:val="21"/>
              </w:rPr>
            </w:pPr>
          </w:p>
        </w:tc>
        <w:tc>
          <w:tcPr>
            <w:tcW w:w="843" w:type="dxa"/>
            <w:vAlign w:val="center"/>
          </w:tcPr>
          <w:p w14:paraId="561B931F">
            <w:pPr>
              <w:snapToGrid w:val="0"/>
              <w:jc w:val="center"/>
              <w:rPr>
                <w:rFonts w:hint="eastAsia" w:ascii="宋体" w:hAnsi="宋体" w:cs="宋体"/>
                <w:bCs/>
                <w:szCs w:val="21"/>
              </w:rPr>
            </w:pPr>
            <w:r>
              <w:rPr>
                <w:rFonts w:ascii="宋体" w:hAnsi="宋体" w:cs="宋体"/>
                <w:bCs/>
                <w:szCs w:val="21"/>
              </w:rPr>
              <w:t>10</w:t>
            </w:r>
            <w:r>
              <w:rPr>
                <w:rFonts w:hint="eastAsia" w:ascii="宋体" w:hAnsi="宋体" w:cs="宋体"/>
                <w:bCs/>
                <w:szCs w:val="21"/>
              </w:rPr>
              <w:t>分</w:t>
            </w:r>
          </w:p>
        </w:tc>
        <w:tc>
          <w:tcPr>
            <w:tcW w:w="5978" w:type="dxa"/>
            <w:vAlign w:val="center"/>
          </w:tcPr>
          <w:p w14:paraId="097A0C7B">
            <w:pPr>
              <w:snapToGrid w:val="0"/>
              <w:rPr>
                <w:rFonts w:hint="eastAsia" w:ascii="宋体" w:hAnsi="宋体" w:cs="宋体"/>
                <w:bCs/>
                <w:szCs w:val="21"/>
              </w:rPr>
            </w:pPr>
            <w:r>
              <w:rPr>
                <w:rFonts w:hint="eastAsia" w:ascii="宋体" w:hAnsi="宋体" w:cs="宋体"/>
                <w:bCs/>
                <w:szCs w:val="21"/>
              </w:rPr>
              <w:t>第一档，对照项目实际，依据国家、地方相关规定，理赔流程、理赔时效保证措施完善的，能够有效保障招标人合法权益的，得得8-10分；</w:t>
            </w:r>
          </w:p>
          <w:p w14:paraId="76B9E104">
            <w:pPr>
              <w:snapToGrid w:val="0"/>
              <w:rPr>
                <w:rFonts w:hint="eastAsia" w:ascii="宋体" w:hAnsi="宋体" w:cs="宋体"/>
                <w:bCs/>
                <w:szCs w:val="21"/>
              </w:rPr>
            </w:pPr>
            <w:r>
              <w:rPr>
                <w:rFonts w:hint="eastAsia" w:ascii="宋体" w:hAnsi="宋体" w:cs="宋体"/>
                <w:bCs/>
                <w:szCs w:val="21"/>
              </w:rPr>
              <w:t>第二档，对照项目实际，依据国家、地方相关规定，理赔流程、理赔时效保证措施较好的，能够较为全面保障招标人合法权益的，得</w:t>
            </w:r>
            <w:r>
              <w:rPr>
                <w:rFonts w:ascii="宋体" w:hAnsi="宋体" w:cs="宋体"/>
                <w:bCs/>
                <w:szCs w:val="21"/>
              </w:rPr>
              <w:t>6-8</w:t>
            </w:r>
            <w:r>
              <w:rPr>
                <w:rFonts w:hint="eastAsia" w:ascii="宋体" w:hAnsi="宋体" w:cs="宋体"/>
                <w:bCs/>
                <w:szCs w:val="21"/>
              </w:rPr>
              <w:t>分；</w:t>
            </w:r>
          </w:p>
          <w:p w14:paraId="0085A5FB">
            <w:pPr>
              <w:snapToGrid w:val="0"/>
              <w:rPr>
                <w:rFonts w:hint="eastAsia" w:ascii="宋体" w:hAnsi="宋体" w:cs="宋体"/>
                <w:bCs/>
                <w:szCs w:val="21"/>
              </w:rPr>
            </w:pPr>
            <w:r>
              <w:rPr>
                <w:rFonts w:hint="eastAsia" w:ascii="宋体" w:hAnsi="宋体" w:cs="宋体"/>
                <w:bCs/>
                <w:szCs w:val="21"/>
              </w:rPr>
              <w:t>第三档，对照项目实际，依据国家、地方相关规定，理赔流程、理赔时效保证措施一般的，基本能够保障招标人合法权益的，得</w:t>
            </w:r>
            <w:r>
              <w:rPr>
                <w:rFonts w:ascii="宋体" w:hAnsi="宋体" w:cs="宋体"/>
                <w:bCs/>
                <w:szCs w:val="21"/>
              </w:rPr>
              <w:t>6</w:t>
            </w:r>
            <w:r>
              <w:rPr>
                <w:rFonts w:hint="eastAsia" w:ascii="宋体" w:hAnsi="宋体" w:cs="宋体"/>
                <w:bCs/>
                <w:szCs w:val="21"/>
              </w:rPr>
              <w:t>分。</w:t>
            </w:r>
          </w:p>
        </w:tc>
      </w:tr>
      <w:tr w14:paraId="329558F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847" w:hRule="exact"/>
          <w:jc w:val="center"/>
        </w:trPr>
        <w:tc>
          <w:tcPr>
            <w:tcW w:w="735" w:type="dxa"/>
            <w:vMerge w:val="continue"/>
            <w:tcBorders>
              <w:right w:val="single" w:color="auto" w:sz="2" w:space="0"/>
            </w:tcBorders>
            <w:vAlign w:val="center"/>
          </w:tcPr>
          <w:p w14:paraId="2B98E2C4">
            <w:pPr>
              <w:snapToGrid w:val="0"/>
              <w:jc w:val="center"/>
              <w:rPr>
                <w:rFonts w:hint="eastAsia" w:ascii="宋体" w:hAnsi="宋体" w:cs="宋体"/>
                <w:bCs/>
                <w:w w:val="90"/>
                <w:szCs w:val="21"/>
              </w:rPr>
            </w:pPr>
          </w:p>
        </w:tc>
        <w:tc>
          <w:tcPr>
            <w:tcW w:w="1030" w:type="dxa"/>
            <w:vMerge w:val="continue"/>
            <w:tcBorders>
              <w:left w:val="single" w:color="auto" w:sz="2" w:space="0"/>
              <w:right w:val="single" w:color="auto" w:sz="2" w:space="0"/>
            </w:tcBorders>
            <w:vAlign w:val="center"/>
          </w:tcPr>
          <w:p w14:paraId="5D849F51">
            <w:pPr>
              <w:snapToGrid w:val="0"/>
              <w:jc w:val="center"/>
              <w:rPr>
                <w:rFonts w:hint="eastAsia" w:ascii="宋体" w:hAnsi="宋体" w:cs="宋体"/>
                <w:bCs/>
                <w:szCs w:val="21"/>
              </w:rPr>
            </w:pPr>
          </w:p>
        </w:tc>
        <w:tc>
          <w:tcPr>
            <w:tcW w:w="1124" w:type="dxa"/>
            <w:tcBorders>
              <w:left w:val="single" w:color="auto" w:sz="2" w:space="0"/>
            </w:tcBorders>
            <w:vAlign w:val="center"/>
          </w:tcPr>
          <w:p w14:paraId="3E85FC2C">
            <w:pPr>
              <w:snapToGrid w:val="0"/>
              <w:jc w:val="center"/>
              <w:rPr>
                <w:rFonts w:hint="eastAsia" w:ascii="宋体" w:hAnsi="宋体" w:cs="宋体"/>
                <w:bCs/>
                <w:szCs w:val="21"/>
              </w:rPr>
            </w:pPr>
            <w:r>
              <w:rPr>
                <w:rFonts w:hint="eastAsia" w:ascii="宋体" w:hAnsi="宋体" w:cs="宋体"/>
                <w:bCs/>
                <w:szCs w:val="21"/>
              </w:rPr>
              <w:t>服务团队设置</w:t>
            </w:r>
          </w:p>
        </w:tc>
        <w:tc>
          <w:tcPr>
            <w:tcW w:w="843" w:type="dxa"/>
            <w:vAlign w:val="center"/>
          </w:tcPr>
          <w:p w14:paraId="1D049A4B">
            <w:pPr>
              <w:snapToGrid w:val="0"/>
              <w:jc w:val="center"/>
              <w:rPr>
                <w:rFonts w:hint="eastAsia" w:ascii="宋体" w:hAnsi="宋体" w:cs="宋体"/>
                <w:bCs/>
                <w:szCs w:val="21"/>
              </w:rPr>
            </w:pPr>
            <w:r>
              <w:rPr>
                <w:rFonts w:ascii="宋体" w:hAnsi="宋体" w:cs="宋体"/>
                <w:bCs/>
                <w:szCs w:val="21"/>
              </w:rPr>
              <w:t>10</w:t>
            </w:r>
            <w:r>
              <w:rPr>
                <w:rFonts w:hint="eastAsia" w:ascii="宋体" w:hAnsi="宋体" w:cs="宋体"/>
                <w:bCs/>
                <w:szCs w:val="21"/>
              </w:rPr>
              <w:t>分</w:t>
            </w:r>
          </w:p>
        </w:tc>
        <w:tc>
          <w:tcPr>
            <w:tcW w:w="5978" w:type="dxa"/>
            <w:vAlign w:val="center"/>
          </w:tcPr>
          <w:p w14:paraId="2257DB69">
            <w:pPr>
              <w:snapToGrid w:val="0"/>
              <w:rPr>
                <w:rFonts w:hint="eastAsia" w:ascii="宋体" w:hAnsi="宋体" w:cs="宋体"/>
                <w:bCs/>
                <w:szCs w:val="21"/>
              </w:rPr>
            </w:pPr>
            <w:r>
              <w:rPr>
                <w:rFonts w:hint="eastAsia" w:ascii="宋体" w:hAnsi="宋体" w:cs="宋体"/>
                <w:bCs/>
                <w:szCs w:val="21"/>
              </w:rPr>
              <w:t>第一档，有专门的服务团队，组织、结构、人员构成完善，得8-10分；</w:t>
            </w:r>
          </w:p>
          <w:p w14:paraId="5FE0B7F1">
            <w:pPr>
              <w:snapToGrid w:val="0"/>
              <w:rPr>
                <w:rFonts w:hint="eastAsia" w:ascii="宋体" w:hAnsi="宋体" w:cs="宋体"/>
                <w:bCs/>
                <w:szCs w:val="21"/>
              </w:rPr>
            </w:pPr>
            <w:r>
              <w:rPr>
                <w:rFonts w:hint="eastAsia" w:ascii="宋体" w:hAnsi="宋体" w:cs="宋体"/>
                <w:bCs/>
                <w:szCs w:val="21"/>
              </w:rPr>
              <w:t>第二档，有专门的服务团队，组织、结构、人员构成较好，得</w:t>
            </w:r>
            <w:r>
              <w:rPr>
                <w:rFonts w:ascii="宋体" w:hAnsi="宋体" w:cs="宋体"/>
                <w:bCs/>
                <w:szCs w:val="21"/>
              </w:rPr>
              <w:t>6-8</w:t>
            </w:r>
            <w:r>
              <w:rPr>
                <w:rFonts w:hint="eastAsia" w:ascii="宋体" w:hAnsi="宋体" w:cs="宋体"/>
                <w:bCs/>
                <w:szCs w:val="21"/>
              </w:rPr>
              <w:t>分；</w:t>
            </w:r>
          </w:p>
          <w:p w14:paraId="2CDF1CA2">
            <w:pPr>
              <w:snapToGrid w:val="0"/>
              <w:rPr>
                <w:rFonts w:hint="eastAsia" w:ascii="宋体" w:hAnsi="宋体" w:cs="宋体"/>
                <w:bCs/>
                <w:szCs w:val="21"/>
              </w:rPr>
            </w:pPr>
            <w:r>
              <w:rPr>
                <w:rFonts w:hint="eastAsia" w:ascii="宋体" w:hAnsi="宋体" w:cs="宋体"/>
                <w:bCs/>
                <w:szCs w:val="21"/>
              </w:rPr>
              <w:t>第三档，有专门的服务团队，组织、结构、人员构成一般，得</w:t>
            </w:r>
            <w:r>
              <w:rPr>
                <w:rFonts w:ascii="宋体" w:hAnsi="宋体" w:cs="宋体"/>
                <w:bCs/>
                <w:szCs w:val="21"/>
              </w:rPr>
              <w:t>6</w:t>
            </w:r>
            <w:r>
              <w:rPr>
                <w:rFonts w:hint="eastAsia" w:ascii="宋体" w:hAnsi="宋体" w:cs="宋体"/>
                <w:bCs/>
                <w:szCs w:val="21"/>
              </w:rPr>
              <w:t>分。</w:t>
            </w:r>
          </w:p>
        </w:tc>
      </w:tr>
      <w:tr w14:paraId="10544C3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446" w:hRule="exact"/>
          <w:jc w:val="center"/>
        </w:trPr>
        <w:tc>
          <w:tcPr>
            <w:tcW w:w="735" w:type="dxa"/>
            <w:vMerge w:val="continue"/>
            <w:tcBorders>
              <w:right w:val="single" w:color="auto" w:sz="2" w:space="0"/>
            </w:tcBorders>
            <w:vAlign w:val="center"/>
          </w:tcPr>
          <w:p w14:paraId="3EC28753">
            <w:pPr>
              <w:snapToGrid w:val="0"/>
              <w:jc w:val="center"/>
              <w:rPr>
                <w:rFonts w:hint="eastAsia" w:ascii="宋体" w:hAnsi="宋体" w:cs="宋体"/>
                <w:bCs/>
                <w:w w:val="90"/>
                <w:szCs w:val="21"/>
              </w:rPr>
            </w:pPr>
          </w:p>
        </w:tc>
        <w:tc>
          <w:tcPr>
            <w:tcW w:w="1030" w:type="dxa"/>
            <w:vMerge w:val="continue"/>
            <w:tcBorders>
              <w:left w:val="single" w:color="auto" w:sz="2" w:space="0"/>
              <w:right w:val="single" w:color="auto" w:sz="2" w:space="0"/>
            </w:tcBorders>
            <w:vAlign w:val="center"/>
          </w:tcPr>
          <w:p w14:paraId="588ABB52">
            <w:pPr>
              <w:snapToGrid w:val="0"/>
              <w:jc w:val="center"/>
              <w:rPr>
                <w:rFonts w:hint="eastAsia" w:ascii="宋体" w:hAnsi="宋体" w:cs="宋体"/>
                <w:bCs/>
                <w:szCs w:val="21"/>
              </w:rPr>
            </w:pPr>
          </w:p>
        </w:tc>
        <w:tc>
          <w:tcPr>
            <w:tcW w:w="1124" w:type="dxa"/>
            <w:tcBorders>
              <w:left w:val="single" w:color="auto" w:sz="2" w:space="0"/>
            </w:tcBorders>
            <w:vAlign w:val="center"/>
          </w:tcPr>
          <w:p w14:paraId="1A963351">
            <w:pPr>
              <w:snapToGrid w:val="0"/>
              <w:jc w:val="center"/>
              <w:rPr>
                <w:rFonts w:hint="eastAsia" w:ascii="宋体" w:hAnsi="宋体" w:cs="宋体"/>
                <w:bCs/>
                <w:szCs w:val="21"/>
              </w:rPr>
            </w:pPr>
            <w:r>
              <w:rPr>
                <w:rFonts w:hint="eastAsia" w:ascii="宋体" w:hAnsi="宋体" w:cs="宋体"/>
                <w:bCs/>
                <w:szCs w:val="21"/>
              </w:rPr>
              <w:t>应急保证能力服务方案</w:t>
            </w:r>
          </w:p>
        </w:tc>
        <w:tc>
          <w:tcPr>
            <w:tcW w:w="843" w:type="dxa"/>
            <w:vAlign w:val="center"/>
          </w:tcPr>
          <w:p w14:paraId="518A1DFA">
            <w:pPr>
              <w:snapToGrid w:val="0"/>
              <w:jc w:val="center"/>
              <w:rPr>
                <w:rFonts w:hint="eastAsia" w:ascii="宋体" w:hAnsi="宋体" w:cs="宋体"/>
                <w:bCs/>
                <w:szCs w:val="21"/>
              </w:rPr>
            </w:pPr>
            <w:r>
              <w:rPr>
                <w:rFonts w:hint="eastAsia" w:ascii="宋体" w:hAnsi="宋体" w:cs="宋体"/>
                <w:bCs/>
                <w:szCs w:val="21"/>
              </w:rPr>
              <w:t>5分</w:t>
            </w:r>
          </w:p>
        </w:tc>
        <w:tc>
          <w:tcPr>
            <w:tcW w:w="5978" w:type="dxa"/>
            <w:vAlign w:val="center"/>
          </w:tcPr>
          <w:p w14:paraId="31DD8CBD">
            <w:pPr>
              <w:snapToGrid w:val="0"/>
              <w:rPr>
                <w:rFonts w:hint="eastAsia" w:ascii="宋体" w:hAnsi="宋体" w:cs="宋体"/>
                <w:bCs/>
                <w:szCs w:val="21"/>
              </w:rPr>
            </w:pPr>
            <w:r>
              <w:rPr>
                <w:rFonts w:hint="eastAsia" w:ascii="宋体" w:hAnsi="宋体" w:cs="宋体"/>
                <w:bCs/>
                <w:szCs w:val="21"/>
              </w:rPr>
              <w:t>第一档，科学合理、完善可行、有针对性，得4</w:t>
            </w:r>
            <w:r>
              <w:rPr>
                <w:rFonts w:ascii="宋体" w:hAnsi="宋体" w:cs="宋体"/>
                <w:bCs/>
                <w:szCs w:val="21"/>
              </w:rPr>
              <w:t>-</w:t>
            </w:r>
            <w:r>
              <w:rPr>
                <w:rFonts w:hint="eastAsia" w:ascii="宋体" w:hAnsi="宋体" w:cs="宋体"/>
                <w:bCs/>
                <w:szCs w:val="21"/>
              </w:rPr>
              <w:t>5分；</w:t>
            </w:r>
          </w:p>
          <w:p w14:paraId="45BCE975">
            <w:pPr>
              <w:snapToGrid w:val="0"/>
              <w:rPr>
                <w:rFonts w:hint="eastAsia" w:ascii="宋体" w:hAnsi="宋体" w:cs="宋体"/>
                <w:bCs/>
                <w:szCs w:val="21"/>
              </w:rPr>
            </w:pPr>
            <w:r>
              <w:rPr>
                <w:rFonts w:hint="eastAsia" w:ascii="宋体" w:hAnsi="宋体" w:cs="宋体"/>
                <w:bCs/>
                <w:szCs w:val="21"/>
              </w:rPr>
              <w:t>第二档，较科学、较完善可行、较有针对性，得3</w:t>
            </w:r>
            <w:r>
              <w:rPr>
                <w:rFonts w:ascii="宋体" w:hAnsi="宋体" w:cs="宋体"/>
                <w:bCs/>
                <w:szCs w:val="21"/>
              </w:rPr>
              <w:t>-</w:t>
            </w:r>
            <w:r>
              <w:rPr>
                <w:rFonts w:hint="eastAsia" w:ascii="宋体" w:hAnsi="宋体" w:cs="宋体"/>
                <w:bCs/>
                <w:szCs w:val="21"/>
              </w:rPr>
              <w:t>4分；</w:t>
            </w:r>
          </w:p>
          <w:p w14:paraId="4C18AF95">
            <w:pPr>
              <w:snapToGrid w:val="0"/>
              <w:rPr>
                <w:rFonts w:hint="eastAsia" w:ascii="宋体" w:hAnsi="宋体" w:cs="宋体"/>
                <w:bCs/>
                <w:szCs w:val="21"/>
              </w:rPr>
            </w:pPr>
            <w:r>
              <w:rPr>
                <w:rFonts w:hint="eastAsia" w:ascii="宋体" w:hAnsi="宋体" w:cs="宋体"/>
                <w:bCs/>
                <w:szCs w:val="21"/>
              </w:rPr>
              <w:t>第三档，保证措施一般，得3分。</w:t>
            </w:r>
          </w:p>
        </w:tc>
      </w:tr>
      <w:tr w14:paraId="27012FA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2553" w:hRule="exact"/>
          <w:jc w:val="center"/>
        </w:trPr>
        <w:tc>
          <w:tcPr>
            <w:tcW w:w="735" w:type="dxa"/>
            <w:vMerge w:val="continue"/>
            <w:tcBorders>
              <w:right w:val="single" w:color="auto" w:sz="2" w:space="0"/>
            </w:tcBorders>
            <w:vAlign w:val="center"/>
          </w:tcPr>
          <w:p w14:paraId="62CA435F">
            <w:pPr>
              <w:snapToGrid w:val="0"/>
              <w:jc w:val="center"/>
              <w:rPr>
                <w:rFonts w:hint="eastAsia" w:ascii="宋体" w:hAnsi="宋体" w:cs="宋体"/>
                <w:bCs/>
                <w:w w:val="90"/>
                <w:szCs w:val="21"/>
              </w:rPr>
            </w:pPr>
          </w:p>
        </w:tc>
        <w:tc>
          <w:tcPr>
            <w:tcW w:w="1030" w:type="dxa"/>
            <w:vMerge w:val="continue"/>
            <w:tcBorders>
              <w:left w:val="single" w:color="auto" w:sz="2" w:space="0"/>
              <w:right w:val="single" w:color="auto" w:sz="2" w:space="0"/>
            </w:tcBorders>
            <w:vAlign w:val="center"/>
          </w:tcPr>
          <w:p w14:paraId="2338038B">
            <w:pPr>
              <w:snapToGrid w:val="0"/>
              <w:jc w:val="center"/>
              <w:rPr>
                <w:rFonts w:hint="eastAsia" w:ascii="宋体" w:hAnsi="宋体" w:cs="宋体"/>
                <w:bCs/>
                <w:szCs w:val="21"/>
              </w:rPr>
            </w:pPr>
          </w:p>
        </w:tc>
        <w:tc>
          <w:tcPr>
            <w:tcW w:w="1124" w:type="dxa"/>
            <w:tcBorders>
              <w:left w:val="single" w:color="auto" w:sz="2" w:space="0"/>
            </w:tcBorders>
            <w:vAlign w:val="center"/>
          </w:tcPr>
          <w:p w14:paraId="558F85E2">
            <w:pPr>
              <w:snapToGrid w:val="0"/>
              <w:jc w:val="center"/>
              <w:rPr>
                <w:rFonts w:hint="eastAsia" w:ascii="宋体" w:hAnsi="宋体" w:cs="宋体"/>
                <w:bCs/>
                <w:szCs w:val="21"/>
              </w:rPr>
            </w:pPr>
            <w:r>
              <w:rPr>
                <w:rFonts w:hint="eastAsia" w:ascii="宋体" w:hAnsi="宋体" w:cs="宋体"/>
                <w:bCs/>
                <w:szCs w:val="21"/>
              </w:rPr>
              <w:t>服务承诺</w:t>
            </w:r>
          </w:p>
        </w:tc>
        <w:tc>
          <w:tcPr>
            <w:tcW w:w="843" w:type="dxa"/>
            <w:vAlign w:val="center"/>
          </w:tcPr>
          <w:p w14:paraId="00883D93">
            <w:pPr>
              <w:snapToGrid w:val="0"/>
              <w:jc w:val="center"/>
              <w:rPr>
                <w:rFonts w:hint="eastAsia" w:ascii="宋体" w:hAnsi="宋体" w:cs="宋体"/>
                <w:bCs/>
                <w:szCs w:val="21"/>
              </w:rPr>
            </w:pPr>
            <w:r>
              <w:rPr>
                <w:rFonts w:hint="eastAsia" w:ascii="宋体" w:hAnsi="宋体" w:cs="宋体"/>
                <w:bCs/>
                <w:szCs w:val="21"/>
              </w:rPr>
              <w:t>5分</w:t>
            </w:r>
          </w:p>
        </w:tc>
        <w:tc>
          <w:tcPr>
            <w:tcW w:w="5978" w:type="dxa"/>
            <w:vAlign w:val="center"/>
          </w:tcPr>
          <w:p w14:paraId="0191B84D">
            <w:pPr>
              <w:snapToGrid w:val="0"/>
              <w:rPr>
                <w:rFonts w:hint="eastAsia" w:ascii="宋体" w:hAnsi="宋体" w:cs="宋体"/>
                <w:bCs/>
                <w:szCs w:val="21"/>
              </w:rPr>
            </w:pPr>
            <w:r>
              <w:rPr>
                <w:rFonts w:hint="eastAsia" w:ascii="宋体" w:hAnsi="宋体" w:cs="宋体"/>
                <w:bCs/>
                <w:szCs w:val="21"/>
              </w:rPr>
              <w:t>第一档，报案即刻受理，现场勘查4小时以内完成，理赔审核、反馈1个工作日以内，保险赔付3个工作日内完成的，得4-5分；</w:t>
            </w:r>
          </w:p>
          <w:p w14:paraId="021EF159">
            <w:pPr>
              <w:snapToGrid w:val="0"/>
              <w:rPr>
                <w:rFonts w:hint="eastAsia" w:ascii="宋体" w:hAnsi="宋体" w:cs="宋体"/>
                <w:bCs/>
                <w:szCs w:val="21"/>
              </w:rPr>
            </w:pPr>
            <w:r>
              <w:rPr>
                <w:rFonts w:hint="eastAsia" w:ascii="宋体" w:hAnsi="宋体" w:cs="宋体"/>
                <w:bCs/>
                <w:szCs w:val="21"/>
              </w:rPr>
              <w:t>第二档，报案2小时内受理，现场勘查12小时以内完成，理赔审核、反馈2个工作日以内，保险赔付5个工作日内完成的，得3-4分；</w:t>
            </w:r>
          </w:p>
          <w:p w14:paraId="5AABE70E">
            <w:pPr>
              <w:snapToGrid w:val="0"/>
              <w:rPr>
                <w:rFonts w:hint="eastAsia" w:ascii="宋体" w:hAnsi="宋体" w:cs="宋体"/>
                <w:bCs/>
                <w:szCs w:val="21"/>
              </w:rPr>
            </w:pPr>
            <w:r>
              <w:rPr>
                <w:rFonts w:hint="eastAsia" w:ascii="宋体" w:hAnsi="宋体" w:cs="宋体"/>
                <w:bCs/>
                <w:szCs w:val="21"/>
              </w:rPr>
              <w:t>第三档，报案受理超过2小时，现场勘查完成超过12小时，理赔审核、反馈超过2个工作日，保险赔付超过5个工作日的，得3分。</w:t>
            </w:r>
          </w:p>
        </w:tc>
      </w:tr>
      <w:tr w14:paraId="1A6DCE5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763" w:hRule="atLeast"/>
          <w:jc w:val="center"/>
        </w:trPr>
        <w:tc>
          <w:tcPr>
            <w:tcW w:w="735" w:type="dxa"/>
            <w:tcBorders>
              <w:right w:val="single" w:color="auto" w:sz="2" w:space="0"/>
            </w:tcBorders>
            <w:vAlign w:val="center"/>
          </w:tcPr>
          <w:p w14:paraId="07BAC991">
            <w:pPr>
              <w:jc w:val="center"/>
              <w:rPr>
                <w:rFonts w:hint="eastAsia" w:ascii="宋体" w:hAnsi="宋体" w:cs="宋体"/>
                <w:bCs/>
                <w:szCs w:val="21"/>
              </w:rPr>
            </w:pPr>
            <w:r>
              <w:rPr>
                <w:rFonts w:ascii="宋体" w:hAnsi="宋体" w:cs="宋体"/>
                <w:bCs/>
                <w:w w:val="90"/>
                <w:szCs w:val="21"/>
              </w:rPr>
              <w:t>2.2.4</w:t>
            </w:r>
            <w:r>
              <w:rPr>
                <w:rFonts w:hint="eastAsia" w:ascii="宋体" w:hAnsi="宋体" w:cs="宋体"/>
                <w:bCs/>
                <w:w w:val="90"/>
                <w:szCs w:val="21"/>
              </w:rPr>
              <w:t>（</w:t>
            </w:r>
            <w:r>
              <w:rPr>
                <w:rFonts w:ascii="宋体" w:hAnsi="宋体" w:cs="宋体"/>
                <w:bCs/>
                <w:w w:val="90"/>
                <w:szCs w:val="21"/>
              </w:rPr>
              <w:t>3</w:t>
            </w:r>
            <w:r>
              <w:rPr>
                <w:rFonts w:hint="eastAsia" w:ascii="宋体" w:hAnsi="宋体" w:cs="宋体"/>
                <w:bCs/>
                <w:w w:val="90"/>
                <w:szCs w:val="21"/>
              </w:rPr>
              <w:t>）</w:t>
            </w:r>
          </w:p>
        </w:tc>
        <w:tc>
          <w:tcPr>
            <w:tcW w:w="2154" w:type="dxa"/>
            <w:gridSpan w:val="2"/>
            <w:tcBorders>
              <w:left w:val="single" w:color="auto" w:sz="2" w:space="0"/>
            </w:tcBorders>
            <w:vAlign w:val="center"/>
          </w:tcPr>
          <w:p w14:paraId="11012DB6">
            <w:pPr>
              <w:jc w:val="center"/>
              <w:rPr>
                <w:rFonts w:hint="eastAsia" w:ascii="宋体" w:hAnsi="宋体" w:cs="宋体"/>
                <w:bCs/>
                <w:szCs w:val="21"/>
              </w:rPr>
            </w:pPr>
            <w:r>
              <w:rPr>
                <w:rFonts w:hint="eastAsia" w:ascii="宋体" w:hAnsi="宋体" w:cs="宋体"/>
                <w:bCs/>
                <w:szCs w:val="21"/>
              </w:rPr>
              <w:t>评标价</w:t>
            </w:r>
          </w:p>
        </w:tc>
        <w:tc>
          <w:tcPr>
            <w:tcW w:w="843" w:type="dxa"/>
            <w:vAlign w:val="center"/>
          </w:tcPr>
          <w:p w14:paraId="70B9ADC2">
            <w:pPr>
              <w:jc w:val="center"/>
              <w:rPr>
                <w:rFonts w:hint="eastAsia" w:ascii="宋体" w:hAnsi="宋体" w:cs="宋体"/>
                <w:bCs/>
                <w:szCs w:val="21"/>
              </w:rPr>
            </w:pPr>
            <w:r>
              <w:rPr>
                <w:rFonts w:hint="eastAsia" w:ascii="宋体" w:hAnsi="宋体" w:cs="宋体"/>
                <w:bCs/>
                <w:szCs w:val="21"/>
              </w:rPr>
              <w:t>3</w:t>
            </w:r>
            <w:r>
              <w:rPr>
                <w:rFonts w:ascii="宋体" w:hAnsi="宋体" w:cs="宋体"/>
                <w:bCs/>
                <w:szCs w:val="21"/>
              </w:rPr>
              <w:t>0</w:t>
            </w:r>
            <w:r>
              <w:rPr>
                <w:rFonts w:hint="eastAsia" w:ascii="宋体" w:hAnsi="宋体" w:cs="宋体"/>
                <w:bCs/>
                <w:szCs w:val="21"/>
              </w:rPr>
              <w:t>分</w:t>
            </w:r>
          </w:p>
        </w:tc>
        <w:tc>
          <w:tcPr>
            <w:tcW w:w="5978" w:type="dxa"/>
            <w:vAlign w:val="center"/>
          </w:tcPr>
          <w:p w14:paraId="12D47B90">
            <w:pPr>
              <w:rPr>
                <w:rFonts w:hint="eastAsia" w:ascii="宋体" w:hAnsi="宋体"/>
                <w:szCs w:val="21"/>
              </w:rPr>
            </w:pPr>
            <w:r>
              <w:rPr>
                <w:rFonts w:hint="eastAsia" w:ascii="宋体" w:hAnsi="宋体"/>
                <w:szCs w:val="21"/>
              </w:rPr>
              <w:t>评标价得分计算公式示例：</w:t>
            </w:r>
          </w:p>
          <w:p w14:paraId="1D8292FA">
            <w:pPr>
              <w:ind w:firstLine="243" w:firstLineChars="116"/>
              <w:rPr>
                <w:rFonts w:hint="eastAsia" w:ascii="宋体" w:hAnsi="宋体"/>
                <w:szCs w:val="21"/>
              </w:rPr>
            </w:pPr>
            <w:r>
              <w:rPr>
                <w:rFonts w:hint="eastAsia" w:ascii="宋体" w:hAnsi="宋体"/>
                <w:szCs w:val="21"/>
              </w:rPr>
              <w:t>（1）如果投标人的评标价＞评标基准价，则评标价得分=F-（投标人评标价-评标基准价）/评标基准价×100×E1；</w:t>
            </w:r>
          </w:p>
          <w:p w14:paraId="16D09166">
            <w:pPr>
              <w:ind w:firstLine="243" w:firstLineChars="116"/>
              <w:rPr>
                <w:rFonts w:hint="eastAsia" w:ascii="宋体" w:hAnsi="宋体"/>
                <w:szCs w:val="21"/>
              </w:rPr>
            </w:pPr>
            <w:r>
              <w:rPr>
                <w:rFonts w:hint="eastAsia" w:ascii="宋体" w:hAnsi="宋体"/>
                <w:szCs w:val="21"/>
              </w:rPr>
              <w:t>（2）如果投标人的评标价≤评标基准价，则评标价得分=F+(投标人评标价-评标基准价)/评标基准价×100×E2。</w:t>
            </w:r>
          </w:p>
          <w:p w14:paraId="6AB0AC79">
            <w:pPr>
              <w:ind w:firstLine="243" w:firstLineChars="116"/>
              <w:rPr>
                <w:rFonts w:hint="eastAsia" w:ascii="宋体" w:hAnsi="宋体"/>
                <w:szCs w:val="21"/>
              </w:rPr>
            </w:pPr>
            <w:r>
              <w:rPr>
                <w:rFonts w:hint="eastAsia" w:ascii="宋体" w:hAnsi="宋体"/>
                <w:szCs w:val="21"/>
              </w:rPr>
              <w:t>其中，F=30；E1=0.</w:t>
            </w:r>
            <w:r>
              <w:rPr>
                <w:rFonts w:ascii="宋体" w:hAnsi="宋体"/>
                <w:szCs w:val="21"/>
              </w:rPr>
              <w:t>2</w:t>
            </w:r>
            <w:r>
              <w:rPr>
                <w:rFonts w:hint="eastAsia" w:ascii="宋体" w:hAnsi="宋体"/>
                <w:szCs w:val="21"/>
              </w:rPr>
              <w:t>；E2=0.</w:t>
            </w:r>
            <w:r>
              <w:rPr>
                <w:rFonts w:ascii="宋体" w:hAnsi="宋体"/>
                <w:szCs w:val="21"/>
              </w:rPr>
              <w:t>1</w:t>
            </w:r>
            <w:r>
              <w:rPr>
                <w:rFonts w:hint="eastAsia" w:ascii="宋体" w:hAnsi="宋体"/>
                <w:szCs w:val="21"/>
              </w:rPr>
              <w:t>。</w:t>
            </w:r>
          </w:p>
          <w:p w14:paraId="258F1B28">
            <w:pPr>
              <w:pStyle w:val="2"/>
              <w:rPr>
                <w:rFonts w:hint="eastAsia"/>
                <w:lang w:eastAsia="zh-CN"/>
              </w:rPr>
            </w:pPr>
            <w:r>
              <w:rPr>
                <w:rFonts w:hint="eastAsia"/>
                <w:szCs w:val="21"/>
                <w:lang w:eastAsia="zh-CN"/>
              </w:rPr>
              <w:t>评标价最低得分为0分，评标价得分保留两位小数，第三位四舍五入。</w:t>
            </w:r>
          </w:p>
        </w:tc>
      </w:tr>
      <w:tr w14:paraId="6CC836B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2889" w:type="dxa"/>
            <w:gridSpan w:val="3"/>
            <w:vAlign w:val="center"/>
          </w:tcPr>
          <w:p w14:paraId="6E615D1C">
            <w:pPr>
              <w:jc w:val="center"/>
              <w:rPr>
                <w:rFonts w:hint="eastAsia" w:ascii="宋体" w:hAnsi="宋体" w:cs="宋体"/>
                <w:bCs/>
                <w:szCs w:val="21"/>
              </w:rPr>
            </w:pPr>
            <w:r>
              <w:rPr>
                <w:rFonts w:hint="eastAsia" w:ascii="宋体" w:hAnsi="宋体" w:cs="宋体"/>
                <w:bCs/>
                <w:szCs w:val="21"/>
              </w:rPr>
              <w:t>合计</w:t>
            </w:r>
          </w:p>
        </w:tc>
        <w:tc>
          <w:tcPr>
            <w:tcW w:w="843" w:type="dxa"/>
            <w:vAlign w:val="center"/>
          </w:tcPr>
          <w:p w14:paraId="18F55183">
            <w:pPr>
              <w:jc w:val="center"/>
              <w:rPr>
                <w:rFonts w:hint="eastAsia" w:ascii="宋体" w:hAnsi="宋体" w:cs="宋体"/>
                <w:bCs/>
                <w:szCs w:val="21"/>
              </w:rPr>
            </w:pPr>
            <w:r>
              <w:rPr>
                <w:rFonts w:ascii="宋体" w:hAnsi="宋体" w:cs="宋体"/>
                <w:bCs/>
                <w:szCs w:val="21"/>
              </w:rPr>
              <w:t>100</w:t>
            </w:r>
            <w:r>
              <w:rPr>
                <w:rFonts w:hint="eastAsia" w:ascii="宋体" w:hAnsi="宋体" w:cs="宋体"/>
                <w:bCs/>
                <w:szCs w:val="21"/>
              </w:rPr>
              <w:t>分</w:t>
            </w:r>
          </w:p>
        </w:tc>
        <w:tc>
          <w:tcPr>
            <w:tcW w:w="5978" w:type="dxa"/>
            <w:vAlign w:val="center"/>
          </w:tcPr>
          <w:p w14:paraId="193D9956">
            <w:pPr>
              <w:jc w:val="center"/>
              <w:rPr>
                <w:rFonts w:hint="eastAsia" w:ascii="宋体" w:hAnsi="宋体" w:cs="宋体"/>
                <w:bCs/>
                <w:szCs w:val="21"/>
              </w:rPr>
            </w:pPr>
          </w:p>
        </w:tc>
      </w:tr>
    </w:tbl>
    <w:p w14:paraId="54FE0336">
      <w:pPr>
        <w:spacing w:line="312" w:lineRule="auto"/>
        <w:rPr>
          <w:rFonts w:hint="eastAsia" w:ascii="宋体" w:hAnsi="宋体"/>
          <w:szCs w:val="21"/>
        </w:rPr>
      </w:pPr>
      <w:r>
        <w:rPr>
          <w:rFonts w:hint="eastAsia" w:ascii="宋体" w:hAnsi="宋体"/>
          <w:szCs w:val="21"/>
        </w:rPr>
        <w:t>注：1、各分项得分为各评委打分算术平均值，评委打分平均值保留两位小数，第三位四舍五入。</w:t>
      </w:r>
    </w:p>
    <w:p w14:paraId="20F50253">
      <w:pPr>
        <w:spacing w:line="312" w:lineRule="auto"/>
        <w:ind w:firstLine="420" w:firstLineChars="200"/>
        <w:rPr>
          <w:rFonts w:hint="eastAsia" w:ascii="宋体" w:hAnsi="宋体"/>
          <w:sz w:val="20"/>
          <w:szCs w:val="20"/>
        </w:rPr>
      </w:pPr>
      <w:r>
        <w:rPr>
          <w:rFonts w:hint="eastAsia" w:ascii="宋体" w:hAnsi="宋体"/>
          <w:szCs w:val="21"/>
        </w:rPr>
        <w:t>2、服务方案缺项则该项得0分。</w:t>
      </w:r>
    </w:p>
    <w:bookmarkEnd w:id="0"/>
    <w:p w14:paraId="7FF72B3F">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DA5E65"/>
    <w:rsid w:val="51C16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ind w:left="153"/>
      <w:jc w:val="left"/>
    </w:pPr>
    <w:rPr>
      <w:rFonts w:ascii="宋体" w:hAnsi="宋体"/>
      <w:kern w:val="0"/>
      <w:sz w:val="23"/>
      <w:szCs w:val="20"/>
      <w:lang w:eastAsia="en-US"/>
    </w:rPr>
  </w:style>
  <w:style w:type="paragraph" w:styleId="3">
    <w:name w:val="Body Text 2"/>
    <w:basedOn w:val="1"/>
    <w:qFormat/>
    <w:uiPriority w:val="0"/>
    <w:pPr>
      <w:spacing w:after="120" w:line="480" w:lineRule="auto"/>
    </w:pPr>
    <w:rPr>
      <w:sz w:val="2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3021</Words>
  <Characters>3254</Characters>
  <Lines>0</Lines>
  <Paragraphs>0</Paragraphs>
  <TotalTime>0</TotalTime>
  <ScaleCrop>false</ScaleCrop>
  <LinksUpToDate>false</LinksUpToDate>
  <CharactersWithSpaces>3313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2025-09-28T07:16:00Z</dcterms:created>
  <dc:creator>dell</dc:creator>
  <cp:lastModifiedBy>张欢</cp:lastModifiedBy>
  <dcterms:modified xsi:type="dcterms:W3CDTF">2025-09-28T09:02:25Z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eyJoZGlkIjoiNWY3YTc3OWU1MTFjODAwYjljOGE1NTEzYWU2ZDBhNmUiLCJ1c2VySWQiOiIxNjYxODkxMDE1In0=</vt:lpwstr>
  </property>
  <property fmtid="{D5CDD505-2E9C-101B-9397-08002B2CF9AE}" pid="4" name="ICV">
    <vt:lpwstr>BC5824372FCA41C7ADFF8639DE8D1B41_12</vt:lpwstr>
  </property>
</Properties>
</file>