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14223">
      <w:pPr>
        <w:adjustRightInd w:val="0"/>
        <w:snapToGrid w:val="0"/>
        <w:spacing w:line="360" w:lineRule="auto"/>
        <w:ind w:firstLine="482" w:firstLineChars="200"/>
        <w:rPr>
          <w:rFonts w:ascii="宋体" w:hAnsi="宋体"/>
          <w:b/>
          <w:kern w:val="28"/>
          <w:sz w:val="24"/>
          <w:szCs w:val="20"/>
          <w:highlight w:val="none"/>
        </w:rPr>
      </w:pPr>
      <w:bookmarkStart w:id="1" w:name="_GoBack"/>
      <w:bookmarkEnd w:id="1"/>
      <w:r>
        <w:rPr>
          <w:rFonts w:hint="eastAsia" w:ascii="宋体" w:hAnsi="宋体"/>
          <w:b/>
          <w:kern w:val="28"/>
          <w:sz w:val="24"/>
          <w:szCs w:val="20"/>
          <w:highlight w:val="none"/>
        </w:rPr>
        <w:t>附件</w:t>
      </w:r>
      <w:r>
        <w:rPr>
          <w:rFonts w:ascii="宋体" w:hAnsi="宋体"/>
          <w:b/>
          <w:kern w:val="28"/>
          <w:sz w:val="24"/>
          <w:szCs w:val="20"/>
          <w:highlight w:val="none"/>
        </w:rPr>
        <w:t xml:space="preserve">1： </w:t>
      </w:r>
      <w:r>
        <w:rPr>
          <w:rFonts w:hint="eastAsia" w:ascii="宋体" w:hAnsi="宋体"/>
          <w:b/>
          <w:kern w:val="28"/>
          <w:sz w:val="24"/>
          <w:szCs w:val="20"/>
          <w:highlight w:val="none"/>
        </w:rPr>
        <w:t>资格审查条件</w:t>
      </w:r>
    </w:p>
    <w:p w14:paraId="532B44BC">
      <w:pPr>
        <w:spacing w:line="360" w:lineRule="auto"/>
        <w:jc w:val="center"/>
        <w:rPr>
          <w:rStyle w:val="13"/>
          <w:rFonts w:ascii="宋体" w:hAnsi="宋体" w:eastAsia="宋体"/>
          <w:b/>
          <w:highlight w:val="none"/>
        </w:rPr>
      </w:pPr>
      <w:r>
        <w:rPr>
          <w:rStyle w:val="13"/>
          <w:rFonts w:hint="eastAsia" w:ascii="宋体" w:hAnsi="宋体" w:eastAsia="宋体"/>
          <w:b/>
          <w:highlight w:val="none"/>
        </w:rPr>
        <w:t>附录1  资格审查条件（资质最低条件）</w:t>
      </w:r>
    </w:p>
    <w:tbl>
      <w:tblPr>
        <w:tblStyle w:val="9"/>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14:paraId="63BDFE3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9322" w:type="dxa"/>
            <w:tcBorders>
              <w:top w:val="single" w:color="auto" w:sz="2" w:space="0"/>
              <w:left w:val="single" w:color="auto" w:sz="2" w:space="0"/>
              <w:bottom w:val="single" w:color="auto" w:sz="6" w:space="0"/>
              <w:right w:val="single" w:color="auto" w:sz="2" w:space="0"/>
            </w:tcBorders>
            <w:noWrap w:val="0"/>
            <w:vAlign w:val="center"/>
          </w:tcPr>
          <w:p w14:paraId="034F9136">
            <w:pPr>
              <w:spacing w:line="360" w:lineRule="auto"/>
              <w:jc w:val="center"/>
              <w:rPr>
                <w:rFonts w:ascii="宋体" w:hAnsi="宋体"/>
                <w:szCs w:val="21"/>
                <w:highlight w:val="none"/>
              </w:rPr>
            </w:pPr>
            <w:r>
              <w:rPr>
                <w:rFonts w:hint="eastAsia" w:ascii="宋体" w:hAnsi="宋体"/>
                <w:szCs w:val="21"/>
                <w:highlight w:val="none"/>
              </w:rPr>
              <w:t>资 质 要 求</w:t>
            </w:r>
          </w:p>
        </w:tc>
      </w:tr>
      <w:tr w14:paraId="4F6C926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9322" w:type="dxa"/>
            <w:tcBorders>
              <w:top w:val="single" w:color="auto" w:sz="2" w:space="0"/>
              <w:left w:val="single" w:color="auto" w:sz="2" w:space="0"/>
              <w:bottom w:val="single" w:color="auto" w:sz="2" w:space="0"/>
              <w:right w:val="single" w:color="auto" w:sz="2" w:space="0"/>
            </w:tcBorders>
            <w:noWrap w:val="0"/>
            <w:vAlign w:val="center"/>
          </w:tcPr>
          <w:p w14:paraId="5F1A5F3B">
            <w:pPr>
              <w:spacing w:line="360" w:lineRule="auto"/>
              <w:ind w:firstLine="283" w:firstLineChars="135"/>
              <w:jc w:val="left"/>
              <w:rPr>
                <w:rFonts w:ascii="宋体" w:hAnsi="宋体"/>
                <w:szCs w:val="21"/>
                <w:highlight w:val="none"/>
              </w:rPr>
            </w:pPr>
            <w:r>
              <w:rPr>
                <w:rFonts w:hint="eastAsia" w:ascii="宋体" w:hAnsi="宋体"/>
                <w:szCs w:val="21"/>
                <w:highlight w:val="none"/>
              </w:rPr>
              <w:t>具</w:t>
            </w:r>
            <w:r>
              <w:rPr>
                <w:rFonts w:hint="eastAsia" w:ascii="宋体" w:hAnsi="宋体"/>
                <w:szCs w:val="21"/>
                <w:highlight w:val="none"/>
                <w:lang w:val="en-US" w:eastAsia="zh-CN"/>
              </w:rPr>
              <w:t>备</w:t>
            </w:r>
            <w:r>
              <w:rPr>
                <w:rFonts w:hint="eastAsia" w:ascii="宋体" w:hAnsi="宋体"/>
                <w:szCs w:val="21"/>
                <w:highlight w:val="none"/>
              </w:rPr>
              <w:t>独立法人资格，</w:t>
            </w:r>
            <w:r>
              <w:rPr>
                <w:rFonts w:hint="eastAsia" w:ascii="宋体" w:hAnsi="宋体"/>
                <w:szCs w:val="21"/>
                <w:highlight w:val="none"/>
                <w:lang w:val="en-US" w:eastAsia="zh-CN"/>
              </w:rPr>
              <w:t>持</w:t>
            </w:r>
            <w:r>
              <w:rPr>
                <w:rFonts w:hint="eastAsia" w:ascii="宋体" w:hAnsi="宋体"/>
                <w:szCs w:val="21"/>
                <w:highlight w:val="none"/>
              </w:rPr>
              <w:t>有有效的营业执照或事业单位法人证书。</w:t>
            </w:r>
          </w:p>
        </w:tc>
      </w:tr>
    </w:tbl>
    <w:p w14:paraId="68B7C2D3">
      <w:pPr>
        <w:jc w:val="center"/>
        <w:rPr>
          <w:rStyle w:val="14"/>
          <w:rFonts w:hint="eastAsia" w:ascii="宋体" w:hAnsi="宋体" w:eastAsia="宋体"/>
          <w:b/>
          <w:highlight w:val="none"/>
        </w:rPr>
      </w:pPr>
    </w:p>
    <w:p w14:paraId="6CFD94DB">
      <w:pPr>
        <w:jc w:val="center"/>
        <w:rPr>
          <w:rStyle w:val="14"/>
          <w:rFonts w:ascii="宋体" w:hAnsi="宋体" w:eastAsia="宋体"/>
          <w:b/>
          <w:sz w:val="18"/>
          <w:szCs w:val="18"/>
          <w:highlight w:val="none"/>
        </w:rPr>
      </w:pPr>
      <w:r>
        <w:rPr>
          <w:rStyle w:val="14"/>
          <w:rFonts w:hint="eastAsia" w:ascii="宋体" w:hAnsi="宋体" w:eastAsia="宋体"/>
          <w:b/>
          <w:highlight w:val="none"/>
        </w:rPr>
        <w:t>附录</w:t>
      </w:r>
      <w:r>
        <w:rPr>
          <w:rStyle w:val="14"/>
          <w:rFonts w:ascii="宋体" w:hAnsi="宋体" w:eastAsia="宋体"/>
          <w:b/>
          <w:highlight w:val="none"/>
        </w:rPr>
        <w:t xml:space="preserve">2 </w:t>
      </w:r>
      <w:r>
        <w:rPr>
          <w:rStyle w:val="14"/>
          <w:rFonts w:hint="eastAsia" w:ascii="宋体" w:hAnsi="宋体" w:eastAsia="宋体"/>
          <w:b/>
          <w:highlight w:val="none"/>
        </w:rPr>
        <w:t xml:space="preserve"> 资格审查条件（</w:t>
      </w:r>
      <w:r>
        <w:rPr>
          <w:rFonts w:hint="eastAsia" w:ascii="宋体" w:hAnsi="宋体"/>
          <w:b/>
          <w:sz w:val="24"/>
          <w:highlight w:val="none"/>
        </w:rPr>
        <w:t>业绩最低条件</w:t>
      </w:r>
      <w:r>
        <w:rPr>
          <w:rStyle w:val="14"/>
          <w:rFonts w:hint="eastAsia" w:ascii="宋体" w:hAnsi="宋体" w:eastAsia="宋体"/>
          <w:b/>
          <w:highlight w:val="none"/>
        </w:rPr>
        <w:t>）</w:t>
      </w:r>
    </w:p>
    <w:p w14:paraId="38ABFDBF">
      <w:pPr>
        <w:rPr>
          <w:rFonts w:ascii="宋体" w:hAnsi="宋体"/>
          <w:b/>
          <w:sz w:val="18"/>
          <w:szCs w:val="18"/>
          <w:highlight w:val="none"/>
        </w:rPr>
      </w:pPr>
    </w:p>
    <w:tbl>
      <w:tblPr>
        <w:tblStyle w:val="9"/>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14:paraId="1F7C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9322" w:type="dxa"/>
            <w:noWrap w:val="0"/>
            <w:vAlign w:val="center"/>
          </w:tcPr>
          <w:p w14:paraId="2FA298E3">
            <w:pPr>
              <w:jc w:val="center"/>
              <w:rPr>
                <w:rFonts w:ascii="宋体" w:hAnsi="宋体"/>
                <w:szCs w:val="21"/>
                <w:highlight w:val="none"/>
              </w:rPr>
            </w:pPr>
            <w:r>
              <w:rPr>
                <w:rFonts w:hint="eastAsia" w:ascii="宋体" w:hAnsi="宋体"/>
                <w:szCs w:val="21"/>
                <w:highlight w:val="none"/>
              </w:rPr>
              <w:t>业绩要求</w:t>
            </w:r>
          </w:p>
        </w:tc>
      </w:tr>
      <w:tr w14:paraId="1CDD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9322" w:type="dxa"/>
            <w:noWrap w:val="0"/>
            <w:vAlign w:val="center"/>
          </w:tcPr>
          <w:p w14:paraId="4FA49E1D">
            <w:pPr>
              <w:widowControl/>
              <w:snapToGrid w:val="0"/>
              <w:ind w:firstLine="420" w:firstLineChars="200"/>
              <w:jc w:val="both"/>
              <w:rPr>
                <w:rFonts w:hint="default"/>
                <w:highlight w:val="none"/>
                <w:lang w:val="en-US" w:eastAsia="zh-CN"/>
              </w:rPr>
            </w:pPr>
            <w:r>
              <w:rPr>
                <w:rFonts w:hint="eastAsia"/>
                <w:highlight w:val="none"/>
              </w:rPr>
              <w:t>近</w:t>
            </w:r>
            <w:r>
              <w:rPr>
                <w:rFonts w:hint="eastAsia"/>
                <w:highlight w:val="none"/>
                <w:lang w:val="en-US" w:eastAsia="zh-CN"/>
              </w:rPr>
              <w:t>5</w:t>
            </w:r>
            <w:r>
              <w:rPr>
                <w:rFonts w:hint="eastAsia"/>
                <w:highlight w:val="none"/>
              </w:rPr>
              <w:t>年内（202</w:t>
            </w:r>
            <w:r>
              <w:rPr>
                <w:rFonts w:hint="eastAsia"/>
                <w:highlight w:val="none"/>
                <w:lang w:val="en-US" w:eastAsia="zh-CN"/>
              </w:rPr>
              <w:t>0</w:t>
            </w:r>
            <w:r>
              <w:rPr>
                <w:rFonts w:hint="eastAsia"/>
                <w:highlight w:val="none"/>
              </w:rPr>
              <w:t>年</w:t>
            </w:r>
            <w:r>
              <w:rPr>
                <w:rFonts w:hint="eastAsia"/>
                <w:highlight w:val="none"/>
                <w:lang w:val="en-US" w:eastAsia="zh-CN"/>
              </w:rPr>
              <w:t>9月</w:t>
            </w:r>
            <w:r>
              <w:rPr>
                <w:rFonts w:hint="eastAsia"/>
                <w:highlight w:val="none"/>
              </w:rPr>
              <w:t>1日至今，以</w:t>
            </w:r>
            <w:r>
              <w:rPr>
                <w:rFonts w:hint="eastAsia"/>
                <w:highlight w:val="none"/>
                <w:lang w:val="en-US" w:eastAsia="zh-CN"/>
              </w:rPr>
              <w:t>合同或任务书签订</w:t>
            </w:r>
            <w:r>
              <w:rPr>
                <w:rFonts w:hint="eastAsia"/>
                <w:highlight w:val="none"/>
              </w:rPr>
              <w:t>时间为准）至少</w:t>
            </w:r>
            <w:r>
              <w:rPr>
                <w:rFonts w:hint="eastAsia"/>
                <w:highlight w:val="none"/>
                <w:lang w:val="en-US" w:eastAsia="zh-CN"/>
              </w:rPr>
              <w:t>承担</w:t>
            </w:r>
            <w:r>
              <w:rPr>
                <w:rFonts w:hint="eastAsia"/>
                <w:highlight w:val="none"/>
              </w:rPr>
              <w:t>过1项</w:t>
            </w:r>
            <w:r>
              <w:rPr>
                <w:rFonts w:hint="eastAsia"/>
                <w:highlight w:val="none"/>
                <w:lang w:val="en-US" w:eastAsia="zh-CN"/>
              </w:rPr>
              <w:t>交通运输部科技项目的科研业绩或交通运输部官方发布的科技项目的科研业绩或交通运输部官方发布的试点示范类项目的咨询业绩；</w:t>
            </w:r>
          </w:p>
          <w:p w14:paraId="4211F012">
            <w:pPr>
              <w:keepNext w:val="0"/>
              <w:keepLines w:val="0"/>
              <w:pageBreakBefore w:val="0"/>
              <w:widowControl/>
              <w:kinsoku/>
              <w:wordWrap/>
              <w:overflowPunct/>
              <w:topLinePunct w:val="0"/>
              <w:autoSpaceDE/>
              <w:autoSpaceDN/>
              <w:bidi w:val="0"/>
              <w:adjustRightInd/>
              <w:snapToGrid w:val="0"/>
              <w:spacing w:before="157" w:beforeLines="50"/>
              <w:jc w:val="left"/>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注：1.交通运输部科技项目的科研业绩：投标人作为项目受托方与交通运输部直接签订合同</w:t>
            </w:r>
          </w:p>
          <w:p w14:paraId="65C5EEDD">
            <w:pPr>
              <w:widowControl/>
              <w:snapToGrid w:val="0"/>
              <w:ind w:firstLine="420" w:firstLineChars="200"/>
              <w:jc w:val="left"/>
              <w:rPr>
                <w:rFonts w:hint="eastAsia"/>
                <w:highlight w:val="none"/>
              </w:rPr>
            </w:pPr>
            <w:r>
              <w:rPr>
                <w:rFonts w:hint="eastAsia"/>
                <w:b w:val="0"/>
                <w:bCs w:val="0"/>
                <w:sz w:val="21"/>
                <w:szCs w:val="21"/>
                <w:highlight w:val="none"/>
                <w:lang w:val="en-US" w:eastAsia="zh-CN"/>
              </w:rPr>
              <w:t>2.交通运输部官方发布的科技项目的科研业绩：投标人需为该项目的承担单位</w:t>
            </w:r>
          </w:p>
        </w:tc>
      </w:tr>
    </w:tbl>
    <w:p w14:paraId="035F2F42">
      <w:pPr>
        <w:jc w:val="center"/>
        <w:rPr>
          <w:rFonts w:ascii="宋体" w:hAnsi="宋体"/>
          <w:b/>
          <w:sz w:val="24"/>
          <w:highlight w:val="none"/>
        </w:rPr>
      </w:pPr>
    </w:p>
    <w:p w14:paraId="57ECEB9B">
      <w:pPr>
        <w:spacing w:line="360" w:lineRule="auto"/>
        <w:jc w:val="center"/>
        <w:rPr>
          <w:rFonts w:ascii="宋体" w:hAnsi="宋体"/>
          <w:b/>
          <w:sz w:val="24"/>
          <w:highlight w:val="none"/>
        </w:rPr>
      </w:pPr>
      <w:r>
        <w:rPr>
          <w:rFonts w:hint="eastAsia" w:ascii="宋体" w:hAnsi="宋体"/>
          <w:b/>
          <w:sz w:val="24"/>
          <w:highlight w:val="none"/>
        </w:rPr>
        <w:t>附录3  资格审查条件（信誉最低条件）</w:t>
      </w:r>
    </w:p>
    <w:tbl>
      <w:tblPr>
        <w:tblStyle w:val="9"/>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14:paraId="2C43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43" w:type="dxa"/>
            <w:noWrap w:val="0"/>
            <w:vAlign w:val="center"/>
          </w:tcPr>
          <w:p w14:paraId="363A9F51">
            <w:pPr>
              <w:spacing w:line="360" w:lineRule="auto"/>
              <w:jc w:val="center"/>
              <w:rPr>
                <w:rFonts w:ascii="宋体" w:hAnsi="宋体"/>
                <w:szCs w:val="21"/>
                <w:highlight w:val="none"/>
              </w:rPr>
            </w:pPr>
            <w:r>
              <w:rPr>
                <w:rFonts w:hint="eastAsia" w:ascii="宋体" w:hAnsi="宋体"/>
                <w:szCs w:val="21"/>
                <w:highlight w:val="none"/>
              </w:rPr>
              <w:t>信 誉 要 求</w:t>
            </w:r>
          </w:p>
        </w:tc>
      </w:tr>
      <w:tr w14:paraId="012C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343" w:type="dxa"/>
            <w:noWrap w:val="0"/>
            <w:vAlign w:val="center"/>
          </w:tcPr>
          <w:p w14:paraId="073F983F">
            <w:pPr>
              <w:ind w:firstLine="420" w:firstLineChars="200"/>
              <w:jc w:val="left"/>
              <w:rPr>
                <w:rFonts w:ascii="宋体" w:hAnsi="宋体"/>
                <w:szCs w:val="21"/>
                <w:highlight w:val="none"/>
              </w:rPr>
            </w:pPr>
            <w:r>
              <w:rPr>
                <w:rFonts w:hint="eastAsia" w:ascii="宋体" w:hAnsi="宋体"/>
                <w:szCs w:val="21"/>
                <w:highlight w:val="none"/>
              </w:rPr>
              <w:t>过去1年（2024年</w:t>
            </w:r>
            <w:r>
              <w:rPr>
                <w:rFonts w:hint="eastAsia" w:ascii="宋体" w:hAnsi="宋体"/>
                <w:szCs w:val="21"/>
                <w:highlight w:val="none"/>
                <w:lang w:val="en-US" w:eastAsia="zh-CN"/>
              </w:rPr>
              <w:t>9月</w:t>
            </w:r>
            <w:r>
              <w:rPr>
                <w:rFonts w:hint="eastAsia" w:ascii="宋体" w:hAnsi="宋体"/>
                <w:szCs w:val="21"/>
                <w:highlight w:val="none"/>
              </w:rPr>
              <w:t>1日至今）不曾在科研</w:t>
            </w:r>
            <w:r>
              <w:rPr>
                <w:rFonts w:hint="eastAsia" w:ascii="宋体" w:hAnsi="宋体"/>
                <w:szCs w:val="21"/>
                <w:highlight w:val="none"/>
                <w:lang w:val="en-US" w:eastAsia="zh-CN"/>
              </w:rPr>
              <w:t>或咨询合同</w:t>
            </w:r>
            <w:r>
              <w:rPr>
                <w:rFonts w:hint="eastAsia" w:ascii="宋体" w:hAnsi="宋体"/>
                <w:szCs w:val="21"/>
                <w:highlight w:val="none"/>
              </w:rPr>
              <w:t>中违约而被驱逐或因投标人自身的原因使科研</w:t>
            </w:r>
            <w:r>
              <w:rPr>
                <w:rFonts w:hint="eastAsia" w:ascii="宋体" w:hAnsi="宋体"/>
                <w:szCs w:val="21"/>
                <w:highlight w:val="none"/>
                <w:lang w:val="en-US" w:eastAsia="zh-CN"/>
              </w:rPr>
              <w:t>或咨询</w:t>
            </w:r>
            <w:r>
              <w:rPr>
                <w:rFonts w:hint="eastAsia" w:ascii="宋体" w:hAnsi="宋体"/>
                <w:szCs w:val="21"/>
                <w:highlight w:val="none"/>
              </w:rPr>
              <w:t>合同被解除。</w:t>
            </w:r>
          </w:p>
        </w:tc>
      </w:tr>
    </w:tbl>
    <w:p w14:paraId="0CA70577">
      <w:pPr>
        <w:tabs>
          <w:tab w:val="left" w:pos="3300"/>
        </w:tabs>
        <w:spacing w:line="360" w:lineRule="auto"/>
        <w:rPr>
          <w:rFonts w:ascii="宋体" w:hAnsi="宋体"/>
          <w:b/>
          <w:sz w:val="24"/>
          <w:highlight w:val="none"/>
        </w:rPr>
      </w:pPr>
    </w:p>
    <w:p w14:paraId="704EAE63">
      <w:pPr>
        <w:spacing w:line="360" w:lineRule="auto"/>
        <w:jc w:val="center"/>
        <w:rPr>
          <w:rFonts w:ascii="宋体" w:hAnsi="宋体"/>
          <w:b/>
          <w:sz w:val="24"/>
          <w:highlight w:val="none"/>
        </w:rPr>
      </w:pPr>
      <w:r>
        <w:rPr>
          <w:rFonts w:hint="eastAsia" w:ascii="宋体" w:hAnsi="宋体"/>
          <w:b/>
          <w:sz w:val="24"/>
          <w:highlight w:val="none"/>
        </w:rPr>
        <w:t>附录4  资格审查条件（</w:t>
      </w:r>
      <w:r>
        <w:rPr>
          <w:rFonts w:hint="eastAsia" w:ascii="宋体" w:hAnsi="宋体"/>
          <w:b/>
          <w:sz w:val="24"/>
          <w:highlight w:val="none"/>
          <w:lang w:eastAsia="zh-CN"/>
        </w:rPr>
        <w:t>项目负责人</w:t>
      </w:r>
      <w:r>
        <w:rPr>
          <w:rFonts w:hint="eastAsia" w:ascii="宋体" w:hAnsi="宋体"/>
          <w:b/>
          <w:sz w:val="24"/>
          <w:highlight w:val="none"/>
        </w:rPr>
        <w:t>最低要求）</w:t>
      </w:r>
    </w:p>
    <w:tbl>
      <w:tblPr>
        <w:tblStyle w:val="9"/>
        <w:tblpPr w:leftFromText="180" w:rightFromText="180" w:vertAnchor="text" w:horzAnchor="margin" w:tblpXSpec="center" w:tblpY="2"/>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975"/>
        <w:gridCol w:w="6652"/>
      </w:tblGrid>
      <w:tr w14:paraId="2F79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3" w:type="dxa"/>
            <w:noWrap w:val="0"/>
            <w:vAlign w:val="center"/>
          </w:tcPr>
          <w:p w14:paraId="42918EA1">
            <w:pPr>
              <w:jc w:val="center"/>
              <w:rPr>
                <w:rFonts w:hint="eastAsia" w:ascii="宋体" w:hAnsi="宋体"/>
                <w:szCs w:val="21"/>
                <w:highlight w:val="none"/>
              </w:rPr>
            </w:pPr>
            <w:r>
              <w:rPr>
                <w:rFonts w:hint="eastAsia" w:ascii="宋体" w:hAnsi="宋体"/>
                <w:szCs w:val="21"/>
                <w:highlight w:val="none"/>
              </w:rPr>
              <w:t>人员</w:t>
            </w:r>
          </w:p>
        </w:tc>
        <w:tc>
          <w:tcPr>
            <w:tcW w:w="975" w:type="dxa"/>
            <w:noWrap w:val="0"/>
            <w:vAlign w:val="center"/>
          </w:tcPr>
          <w:p w14:paraId="324F9EF6">
            <w:pPr>
              <w:jc w:val="center"/>
              <w:rPr>
                <w:rFonts w:hint="eastAsia" w:ascii="宋体" w:hAnsi="宋体"/>
                <w:szCs w:val="21"/>
                <w:highlight w:val="none"/>
              </w:rPr>
            </w:pPr>
            <w:r>
              <w:rPr>
                <w:rFonts w:hint="eastAsia" w:ascii="宋体" w:hAnsi="宋体"/>
                <w:szCs w:val="21"/>
                <w:highlight w:val="none"/>
              </w:rPr>
              <w:t>数量</w:t>
            </w:r>
          </w:p>
        </w:tc>
        <w:tc>
          <w:tcPr>
            <w:tcW w:w="6652" w:type="dxa"/>
            <w:noWrap w:val="0"/>
            <w:vAlign w:val="center"/>
          </w:tcPr>
          <w:p w14:paraId="577F5384">
            <w:pPr>
              <w:jc w:val="center"/>
              <w:rPr>
                <w:rFonts w:ascii="宋体" w:hAnsi="宋体"/>
                <w:szCs w:val="21"/>
                <w:highlight w:val="none"/>
              </w:rPr>
            </w:pPr>
            <w:r>
              <w:rPr>
                <w:rFonts w:hint="eastAsia" w:ascii="宋体" w:hAnsi="宋体"/>
                <w:szCs w:val="21"/>
                <w:highlight w:val="none"/>
              </w:rPr>
              <w:t>资格要求</w:t>
            </w:r>
          </w:p>
        </w:tc>
      </w:tr>
      <w:tr w14:paraId="79D5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1763" w:type="dxa"/>
            <w:noWrap w:val="0"/>
            <w:vAlign w:val="center"/>
          </w:tcPr>
          <w:p w14:paraId="0556C54D">
            <w:pPr>
              <w:snapToGrid w:val="0"/>
              <w:jc w:val="center"/>
              <w:rPr>
                <w:rFonts w:hint="eastAsia" w:ascii="宋体" w:hAnsi="宋体" w:cs="宋体"/>
                <w:bCs/>
                <w:szCs w:val="21"/>
                <w:highlight w:val="none"/>
              </w:rPr>
            </w:pPr>
            <w:r>
              <w:rPr>
                <w:rFonts w:hint="eastAsia" w:ascii="宋体" w:hAnsi="宋体" w:cs="宋体"/>
                <w:bCs/>
                <w:szCs w:val="21"/>
                <w:highlight w:val="none"/>
              </w:rPr>
              <w:t>项目负责人</w:t>
            </w:r>
          </w:p>
        </w:tc>
        <w:tc>
          <w:tcPr>
            <w:tcW w:w="975" w:type="dxa"/>
            <w:noWrap w:val="0"/>
            <w:vAlign w:val="center"/>
          </w:tcPr>
          <w:p w14:paraId="17DE4EB4">
            <w:pPr>
              <w:snapToGrid w:val="0"/>
              <w:jc w:val="center"/>
              <w:rPr>
                <w:rFonts w:hint="eastAsia" w:ascii="宋体" w:hAnsi="宋体" w:cs="宋体"/>
                <w:bCs/>
                <w:szCs w:val="21"/>
                <w:highlight w:val="none"/>
              </w:rPr>
            </w:pPr>
            <w:r>
              <w:rPr>
                <w:rFonts w:hint="eastAsia" w:ascii="宋体" w:hAnsi="宋体" w:cs="宋体"/>
                <w:bCs/>
                <w:szCs w:val="21"/>
                <w:highlight w:val="none"/>
              </w:rPr>
              <w:t>1人</w:t>
            </w:r>
          </w:p>
        </w:tc>
        <w:tc>
          <w:tcPr>
            <w:tcW w:w="6652" w:type="dxa"/>
            <w:noWrap w:val="0"/>
            <w:vAlign w:val="center"/>
          </w:tcPr>
          <w:p w14:paraId="4F3E8ECE">
            <w:pPr>
              <w:widowControl/>
              <w:ind w:firstLine="420" w:firstLineChars="200"/>
              <w:jc w:val="both"/>
              <w:rPr>
                <w:rFonts w:hint="eastAsia"/>
                <w:highlight w:val="none"/>
              </w:rPr>
            </w:pPr>
            <w:r>
              <w:rPr>
                <w:rFonts w:hint="eastAsia" w:ascii="宋体" w:hAnsi="宋体" w:cs="宋体"/>
                <w:kern w:val="0"/>
                <w:szCs w:val="21"/>
                <w:highlight w:val="none"/>
                <w:lang w:val="en-US" w:eastAsia="zh-CN" w:bidi="ar"/>
              </w:rPr>
              <w:t>正</w:t>
            </w:r>
            <w:r>
              <w:rPr>
                <w:rFonts w:hint="eastAsia" w:ascii="宋体" w:hAnsi="宋体" w:cs="宋体"/>
                <w:kern w:val="0"/>
                <w:szCs w:val="21"/>
                <w:highlight w:val="none"/>
                <w:lang w:bidi="ar"/>
              </w:rPr>
              <w:t>高级</w:t>
            </w:r>
            <w:r>
              <w:rPr>
                <w:rFonts w:hint="eastAsia" w:ascii="宋体" w:hAnsi="宋体" w:cs="宋体"/>
                <w:kern w:val="0"/>
                <w:szCs w:val="21"/>
                <w:highlight w:val="none"/>
                <w:lang w:val="en-US" w:eastAsia="zh-CN" w:bidi="ar"/>
              </w:rPr>
              <w:t>职称</w:t>
            </w:r>
            <w:r>
              <w:rPr>
                <w:rFonts w:hint="eastAsia" w:ascii="宋体" w:hAnsi="宋体" w:cs="宋体"/>
                <w:kern w:val="0"/>
                <w:szCs w:val="21"/>
                <w:highlight w:val="none"/>
                <w:lang w:bidi="ar"/>
              </w:rPr>
              <w:t>，</w:t>
            </w:r>
            <w:r>
              <w:rPr>
                <w:rFonts w:hint="eastAsia"/>
                <w:highlight w:val="none"/>
              </w:rPr>
              <w:t>近</w:t>
            </w:r>
            <w:r>
              <w:rPr>
                <w:rFonts w:hint="eastAsia"/>
                <w:highlight w:val="none"/>
                <w:lang w:val="en-US" w:eastAsia="zh-CN"/>
              </w:rPr>
              <w:t>5</w:t>
            </w:r>
            <w:r>
              <w:rPr>
                <w:rFonts w:hint="eastAsia"/>
                <w:highlight w:val="none"/>
              </w:rPr>
              <w:t>年内（202</w:t>
            </w:r>
            <w:r>
              <w:rPr>
                <w:rFonts w:hint="eastAsia"/>
                <w:highlight w:val="none"/>
                <w:lang w:val="en-US" w:eastAsia="zh-CN"/>
              </w:rPr>
              <w:t>0</w:t>
            </w:r>
            <w:r>
              <w:rPr>
                <w:rFonts w:hint="eastAsia"/>
                <w:highlight w:val="none"/>
              </w:rPr>
              <w:t>年</w:t>
            </w:r>
            <w:r>
              <w:rPr>
                <w:rFonts w:hint="eastAsia"/>
                <w:highlight w:val="none"/>
                <w:lang w:val="en-US" w:eastAsia="zh-CN"/>
              </w:rPr>
              <w:t>9月</w:t>
            </w:r>
            <w:r>
              <w:rPr>
                <w:rFonts w:hint="eastAsia"/>
                <w:highlight w:val="none"/>
              </w:rPr>
              <w:t>1日至今，以</w:t>
            </w:r>
            <w:r>
              <w:rPr>
                <w:rFonts w:hint="eastAsia"/>
                <w:highlight w:val="none"/>
                <w:lang w:val="en-US" w:eastAsia="zh-CN"/>
              </w:rPr>
              <w:t>合同或任务书签订</w:t>
            </w:r>
            <w:r>
              <w:rPr>
                <w:rFonts w:hint="eastAsia"/>
                <w:highlight w:val="none"/>
              </w:rPr>
              <w:t>时间为准）至少</w:t>
            </w:r>
            <w:r>
              <w:rPr>
                <w:rFonts w:hint="eastAsia" w:ascii="宋体" w:hAnsi="宋体" w:cs="宋体"/>
                <w:kern w:val="0"/>
                <w:szCs w:val="21"/>
                <w:highlight w:val="none"/>
                <w:lang w:val="en-US" w:eastAsia="zh-CN" w:bidi="ar"/>
              </w:rPr>
              <w:t>担任</w:t>
            </w:r>
            <w:r>
              <w:rPr>
                <w:rFonts w:hint="eastAsia" w:ascii="宋体" w:hAnsi="宋体" w:cs="宋体"/>
                <w:kern w:val="0"/>
                <w:szCs w:val="21"/>
                <w:highlight w:val="none"/>
                <w:lang w:bidi="ar"/>
              </w:rPr>
              <w:t>过</w:t>
            </w:r>
            <w:r>
              <w:rPr>
                <w:rFonts w:hint="eastAsia"/>
                <w:highlight w:val="none"/>
              </w:rPr>
              <w:t>1项</w:t>
            </w:r>
            <w:r>
              <w:rPr>
                <w:rFonts w:hint="eastAsia"/>
                <w:highlight w:val="none"/>
                <w:lang w:val="en-US" w:eastAsia="zh-CN"/>
              </w:rPr>
              <w:t>交通运输部科技项目的科研业绩或交通运输部官方发布的科技项目的科研业绩或交通运输部官方发布的试点示范类项目的咨询业绩的</w:t>
            </w:r>
            <w:r>
              <w:rPr>
                <w:rFonts w:hint="eastAsia" w:ascii="宋体" w:hAnsi="宋体" w:cs="宋体"/>
                <w:kern w:val="0"/>
                <w:szCs w:val="21"/>
                <w:highlight w:val="none"/>
                <w:lang w:bidi="ar"/>
              </w:rPr>
              <w:t>项目负责人（或技术负责人）</w:t>
            </w:r>
            <w:r>
              <w:rPr>
                <w:rFonts w:hint="eastAsia"/>
                <w:highlight w:val="none"/>
              </w:rPr>
              <w:t>。</w:t>
            </w:r>
          </w:p>
          <w:p w14:paraId="5A5CC68B">
            <w:pPr>
              <w:keepNext w:val="0"/>
              <w:keepLines w:val="0"/>
              <w:pageBreakBefore w:val="0"/>
              <w:widowControl/>
              <w:kinsoku/>
              <w:wordWrap/>
              <w:overflowPunct/>
              <w:topLinePunct w:val="0"/>
              <w:autoSpaceDE/>
              <w:autoSpaceDN/>
              <w:bidi w:val="0"/>
              <w:adjustRightInd/>
              <w:snapToGrid w:val="0"/>
              <w:spacing w:before="157" w:beforeLines="50"/>
              <w:jc w:val="left"/>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注：1.交通运输部科技项目的科研业绩：投标人作为项目受托方与交通运输部直接签订合同</w:t>
            </w:r>
          </w:p>
          <w:p w14:paraId="72512CE5">
            <w:pPr>
              <w:widowControl/>
              <w:ind w:firstLine="420" w:firstLineChars="200"/>
              <w:jc w:val="left"/>
              <w:rPr>
                <w:rFonts w:hint="default"/>
                <w:highlight w:val="none"/>
                <w:lang w:val="en-US" w:eastAsia="zh-CN"/>
              </w:rPr>
            </w:pPr>
            <w:r>
              <w:rPr>
                <w:rFonts w:hint="eastAsia"/>
                <w:b w:val="0"/>
                <w:bCs w:val="0"/>
                <w:sz w:val="21"/>
                <w:szCs w:val="21"/>
                <w:highlight w:val="none"/>
                <w:lang w:val="en-US" w:eastAsia="zh-CN"/>
              </w:rPr>
              <w:t>2.交通运输部官方发布的科技项目的科研业绩：投标人需为该项目的承担单位</w:t>
            </w:r>
          </w:p>
        </w:tc>
      </w:tr>
    </w:tbl>
    <w:p w14:paraId="0E422741">
      <w:pPr>
        <w:spacing w:line="360" w:lineRule="auto"/>
        <w:jc w:val="center"/>
        <w:rPr>
          <w:rFonts w:hint="eastAsia" w:ascii="宋体" w:hAnsi="宋体"/>
          <w:b/>
          <w:sz w:val="24"/>
          <w:highlight w:val="none"/>
        </w:rPr>
      </w:pPr>
    </w:p>
    <w:p w14:paraId="4AE3702A">
      <w:pPr>
        <w:spacing w:line="360" w:lineRule="auto"/>
        <w:jc w:val="center"/>
        <w:rPr>
          <w:rFonts w:ascii="宋体" w:hAnsi="宋体"/>
          <w:b/>
          <w:sz w:val="24"/>
          <w:highlight w:val="none"/>
        </w:rPr>
      </w:pPr>
      <w:r>
        <w:rPr>
          <w:rFonts w:hint="eastAsia" w:ascii="宋体" w:hAnsi="宋体"/>
          <w:b/>
          <w:sz w:val="24"/>
          <w:highlight w:val="none"/>
        </w:rPr>
        <w:t>附录</w:t>
      </w:r>
      <w:r>
        <w:rPr>
          <w:rFonts w:hint="eastAsia" w:ascii="宋体" w:hAnsi="宋体"/>
          <w:b/>
          <w:sz w:val="24"/>
          <w:highlight w:val="none"/>
          <w:lang w:val="en-US" w:eastAsia="zh-CN"/>
        </w:rPr>
        <w:t>5</w:t>
      </w:r>
      <w:r>
        <w:rPr>
          <w:rFonts w:hint="eastAsia" w:ascii="宋体" w:hAnsi="宋体"/>
          <w:b/>
          <w:sz w:val="24"/>
          <w:highlight w:val="none"/>
        </w:rPr>
        <w:t xml:space="preserve">  资格审查条件（</w:t>
      </w:r>
      <w:r>
        <w:rPr>
          <w:rFonts w:hint="eastAsia" w:ascii="宋体" w:hAnsi="宋体"/>
          <w:b/>
          <w:sz w:val="24"/>
          <w:highlight w:val="none"/>
          <w:lang w:val="en-US" w:eastAsia="zh-CN"/>
        </w:rPr>
        <w:t>其他人员</w:t>
      </w:r>
      <w:r>
        <w:rPr>
          <w:rFonts w:hint="eastAsia" w:ascii="宋体" w:hAnsi="宋体"/>
          <w:b/>
          <w:sz w:val="24"/>
          <w:highlight w:val="none"/>
        </w:rPr>
        <w:t>最低要求）</w:t>
      </w:r>
    </w:p>
    <w:tbl>
      <w:tblPr>
        <w:tblStyle w:val="9"/>
        <w:tblpPr w:leftFromText="180" w:rightFromText="180" w:vertAnchor="text" w:horzAnchor="margin" w:tblpXSpec="center" w:tblpY="2"/>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975"/>
        <w:gridCol w:w="6652"/>
      </w:tblGrid>
      <w:tr w14:paraId="1CBC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3" w:type="dxa"/>
            <w:noWrap w:val="0"/>
            <w:vAlign w:val="center"/>
          </w:tcPr>
          <w:p w14:paraId="66FB6C75">
            <w:pPr>
              <w:jc w:val="center"/>
              <w:rPr>
                <w:rFonts w:hint="eastAsia" w:ascii="宋体" w:hAnsi="宋体"/>
                <w:szCs w:val="21"/>
                <w:highlight w:val="none"/>
              </w:rPr>
            </w:pPr>
            <w:r>
              <w:rPr>
                <w:rFonts w:hint="eastAsia" w:ascii="宋体" w:hAnsi="宋体"/>
                <w:szCs w:val="21"/>
                <w:highlight w:val="none"/>
              </w:rPr>
              <w:t>人员</w:t>
            </w:r>
          </w:p>
        </w:tc>
        <w:tc>
          <w:tcPr>
            <w:tcW w:w="975" w:type="dxa"/>
            <w:noWrap w:val="0"/>
            <w:vAlign w:val="center"/>
          </w:tcPr>
          <w:p w14:paraId="6C74C228">
            <w:pPr>
              <w:jc w:val="center"/>
              <w:rPr>
                <w:rFonts w:hint="eastAsia" w:ascii="宋体" w:hAnsi="宋体"/>
                <w:szCs w:val="21"/>
                <w:highlight w:val="none"/>
              </w:rPr>
            </w:pPr>
            <w:r>
              <w:rPr>
                <w:rFonts w:hint="eastAsia" w:ascii="宋体" w:hAnsi="宋体"/>
                <w:szCs w:val="21"/>
                <w:highlight w:val="none"/>
              </w:rPr>
              <w:t>数量</w:t>
            </w:r>
          </w:p>
        </w:tc>
        <w:tc>
          <w:tcPr>
            <w:tcW w:w="6652" w:type="dxa"/>
            <w:noWrap w:val="0"/>
            <w:vAlign w:val="center"/>
          </w:tcPr>
          <w:p w14:paraId="64DD4E07">
            <w:pPr>
              <w:jc w:val="center"/>
              <w:rPr>
                <w:rFonts w:ascii="宋体" w:hAnsi="宋体"/>
                <w:szCs w:val="21"/>
                <w:highlight w:val="none"/>
              </w:rPr>
            </w:pPr>
            <w:r>
              <w:rPr>
                <w:rFonts w:hint="eastAsia" w:ascii="宋体" w:hAnsi="宋体"/>
                <w:szCs w:val="21"/>
                <w:highlight w:val="none"/>
              </w:rPr>
              <w:t>资格要求</w:t>
            </w:r>
          </w:p>
        </w:tc>
      </w:tr>
      <w:tr w14:paraId="65DE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63" w:type="dxa"/>
            <w:noWrap w:val="0"/>
            <w:vAlign w:val="center"/>
          </w:tcPr>
          <w:p w14:paraId="2FE6942A">
            <w:pPr>
              <w:snapToGrid w:val="0"/>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其他人员</w:t>
            </w:r>
          </w:p>
        </w:tc>
        <w:tc>
          <w:tcPr>
            <w:tcW w:w="975" w:type="dxa"/>
            <w:noWrap w:val="0"/>
            <w:vAlign w:val="center"/>
          </w:tcPr>
          <w:p w14:paraId="3C6D169B">
            <w:pPr>
              <w:snapToGrid w:val="0"/>
              <w:jc w:val="center"/>
              <w:rPr>
                <w:rFonts w:hint="eastAsia" w:ascii="宋体" w:hAnsi="宋体" w:cs="宋体"/>
                <w:bCs/>
                <w:szCs w:val="21"/>
                <w:highlight w:val="none"/>
              </w:rPr>
            </w:pPr>
            <w:r>
              <w:rPr>
                <w:rFonts w:hint="eastAsia" w:ascii="宋体" w:hAnsi="宋体" w:cs="宋体"/>
                <w:bCs/>
                <w:szCs w:val="21"/>
                <w:highlight w:val="none"/>
                <w:lang w:val="en-US" w:eastAsia="zh-CN"/>
              </w:rPr>
              <w:t>11</w:t>
            </w:r>
            <w:r>
              <w:rPr>
                <w:rFonts w:hint="eastAsia" w:ascii="宋体" w:hAnsi="宋体" w:cs="宋体"/>
                <w:bCs/>
                <w:szCs w:val="21"/>
                <w:highlight w:val="none"/>
              </w:rPr>
              <w:t>人</w:t>
            </w:r>
          </w:p>
        </w:tc>
        <w:tc>
          <w:tcPr>
            <w:tcW w:w="6652" w:type="dxa"/>
            <w:noWrap w:val="0"/>
            <w:vAlign w:val="center"/>
          </w:tcPr>
          <w:p w14:paraId="6370DA99">
            <w:pPr>
              <w:widowControl/>
              <w:jc w:val="left"/>
              <w:rPr>
                <w:rFonts w:hint="eastAsia" w:ascii="宋体" w:hAnsi="宋体" w:cs="宋体"/>
                <w:kern w:val="0"/>
                <w:szCs w:val="21"/>
                <w:highlight w:val="none"/>
                <w:lang w:bidi="ar"/>
              </w:rPr>
            </w:pPr>
            <w:r>
              <w:rPr>
                <w:rFonts w:hint="eastAsia" w:ascii="宋体" w:hAnsi="宋体" w:cs="宋体"/>
                <w:kern w:val="0"/>
                <w:szCs w:val="21"/>
                <w:highlight w:val="none"/>
                <w:lang w:val="en-US" w:eastAsia="zh-CN" w:bidi="ar"/>
              </w:rPr>
              <w:t>其中至少3人为高级及以上职称</w:t>
            </w:r>
            <w:r>
              <w:rPr>
                <w:rFonts w:hint="eastAsia" w:ascii="宋体" w:hAnsi="宋体" w:cs="宋体"/>
                <w:kern w:val="0"/>
                <w:szCs w:val="21"/>
                <w:highlight w:val="none"/>
                <w:lang w:bidi="ar"/>
              </w:rPr>
              <w:t>。</w:t>
            </w:r>
          </w:p>
        </w:tc>
      </w:tr>
    </w:tbl>
    <w:p w14:paraId="36B3B6A4">
      <w:pPr>
        <w:spacing w:line="360" w:lineRule="auto"/>
        <w:jc w:val="left"/>
        <w:rPr>
          <w:rFonts w:ascii="宋体" w:hAnsi="宋体"/>
          <w:b/>
          <w:sz w:val="24"/>
          <w:highlight w:val="none"/>
        </w:rPr>
      </w:pPr>
      <w:r>
        <w:rPr>
          <w:rFonts w:hint="eastAsia" w:ascii="宋体" w:hAnsi="宋体"/>
          <w:b/>
          <w:kern w:val="28"/>
          <w:sz w:val="24"/>
          <w:szCs w:val="24"/>
          <w:highlight w:val="none"/>
        </w:rPr>
        <w:br w:type="page"/>
      </w:r>
      <w:r>
        <w:rPr>
          <w:rFonts w:hint="eastAsia" w:ascii="宋体" w:hAnsi="宋体"/>
          <w:b/>
          <w:kern w:val="28"/>
          <w:sz w:val="24"/>
          <w:szCs w:val="24"/>
          <w:highlight w:val="none"/>
        </w:rPr>
        <w:t>附件2</w:t>
      </w:r>
      <w:r>
        <w:rPr>
          <w:rFonts w:ascii="宋体" w:hAnsi="宋体"/>
          <w:b/>
          <w:kern w:val="28"/>
          <w:sz w:val="24"/>
          <w:szCs w:val="24"/>
          <w:highlight w:val="none"/>
        </w:rPr>
        <w:t>：</w:t>
      </w:r>
      <w:bookmarkStart w:id="0" w:name="_Hlk98099424"/>
      <w:r>
        <w:rPr>
          <w:rFonts w:hint="eastAsia" w:ascii="宋体" w:hAnsi="宋体"/>
          <w:b/>
          <w:sz w:val="24"/>
          <w:highlight w:val="none"/>
        </w:rPr>
        <w:t>评标办法前附表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14:paraId="07BE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noWrap w:val="0"/>
            <w:vAlign w:val="center"/>
          </w:tcPr>
          <w:p w14:paraId="3D88FF9E">
            <w:pPr>
              <w:adjustRightInd w:val="0"/>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条款号</w:t>
            </w:r>
          </w:p>
        </w:tc>
        <w:tc>
          <w:tcPr>
            <w:tcW w:w="7197" w:type="dxa"/>
            <w:noWrap w:val="0"/>
            <w:vAlign w:val="center"/>
          </w:tcPr>
          <w:p w14:paraId="4018C852">
            <w:pPr>
              <w:adjustRightInd w:val="0"/>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评审因素与评审标准</w:t>
            </w:r>
          </w:p>
        </w:tc>
      </w:tr>
      <w:tr w14:paraId="1F9D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4" w:hRule="atLeast"/>
          <w:jc w:val="center"/>
        </w:trPr>
        <w:tc>
          <w:tcPr>
            <w:tcW w:w="1143" w:type="dxa"/>
            <w:noWrap w:val="0"/>
            <w:vAlign w:val="center"/>
          </w:tcPr>
          <w:p w14:paraId="228C0EB4">
            <w:pPr>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1</w:t>
            </w:r>
          </w:p>
        </w:tc>
        <w:tc>
          <w:tcPr>
            <w:tcW w:w="1317" w:type="dxa"/>
            <w:noWrap w:val="0"/>
            <w:vAlign w:val="center"/>
          </w:tcPr>
          <w:p w14:paraId="25672E6F">
            <w:pPr>
              <w:snapToGrid w:val="0"/>
              <w:spacing w:line="320" w:lineRule="exact"/>
              <w:jc w:val="center"/>
              <w:rPr>
                <w:rFonts w:hint="eastAsia" w:ascii="宋体" w:hAnsi="宋体" w:cs="宋体"/>
                <w:b/>
                <w:szCs w:val="21"/>
                <w:highlight w:val="none"/>
              </w:rPr>
            </w:pPr>
            <w:r>
              <w:rPr>
                <w:rFonts w:hint="eastAsia" w:ascii="宋体" w:hAnsi="宋体" w:cs="宋体"/>
                <w:szCs w:val="21"/>
                <w:highlight w:val="none"/>
              </w:rPr>
              <w:t>评标办法</w:t>
            </w:r>
          </w:p>
        </w:tc>
        <w:tc>
          <w:tcPr>
            <w:tcW w:w="7197" w:type="dxa"/>
            <w:noWrap w:val="0"/>
            <w:vAlign w:val="center"/>
          </w:tcPr>
          <w:p w14:paraId="1EB6976B">
            <w:pPr>
              <w:adjustRightInd w:val="0"/>
              <w:snapToGrid w:val="0"/>
              <w:spacing w:line="3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本次评标采用综合评估法。评标委员会对满足招标文件实质性要求的投标文件，按照本章第2.2款规定的评分标准进行打分，并按得分由高到低顺序推荐1-3中标候选人。综合评分相等时，评标委员会依次按照以下优先顺序推荐中标候选人：</w:t>
            </w:r>
          </w:p>
          <w:p w14:paraId="7F1C856E">
            <w:pPr>
              <w:adjustRightInd w:val="0"/>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（1）评标价低的投标人优先；</w:t>
            </w:r>
          </w:p>
          <w:p w14:paraId="4DEA102F">
            <w:pPr>
              <w:adjustRightInd w:val="0"/>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（2）服务方案得分较高的投标人优先；</w:t>
            </w:r>
          </w:p>
          <w:p w14:paraId="42627B23">
            <w:pPr>
              <w:adjustRightInd w:val="0"/>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）投标人满足附录2资格审查条件(业绩最低条件)的业绩累计金额高的优先。</w:t>
            </w:r>
          </w:p>
        </w:tc>
      </w:tr>
      <w:tr w14:paraId="2AC7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noWrap w:val="0"/>
            <w:vAlign w:val="center"/>
          </w:tcPr>
          <w:p w14:paraId="1BF011C6">
            <w:pPr>
              <w:adjustRightInd w:val="0"/>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2.1.1</w:t>
            </w:r>
          </w:p>
          <w:p w14:paraId="457B755E">
            <w:pPr>
              <w:adjustRightInd w:val="0"/>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2.1.3</w:t>
            </w:r>
          </w:p>
        </w:tc>
        <w:tc>
          <w:tcPr>
            <w:tcW w:w="1317" w:type="dxa"/>
            <w:noWrap w:val="0"/>
            <w:vAlign w:val="center"/>
          </w:tcPr>
          <w:p w14:paraId="3179229C">
            <w:pPr>
              <w:adjustRightInd w:val="0"/>
              <w:snapToGrid w:val="0"/>
              <w:spacing w:line="320" w:lineRule="exact"/>
              <w:jc w:val="center"/>
              <w:rPr>
                <w:rFonts w:hint="eastAsia" w:ascii="宋体" w:hAnsi="宋体" w:cs="宋体"/>
                <w:szCs w:val="21"/>
                <w:highlight w:val="none"/>
              </w:rPr>
            </w:pPr>
            <w:r>
              <w:rPr>
                <w:rFonts w:hint="eastAsia" w:ascii="宋体" w:hAnsi="宋体" w:cs="宋体"/>
                <w:szCs w:val="21"/>
                <w:highlight w:val="none"/>
              </w:rPr>
              <w:t>形式评审与响应性评审标准</w:t>
            </w:r>
          </w:p>
        </w:tc>
        <w:tc>
          <w:tcPr>
            <w:tcW w:w="7197" w:type="dxa"/>
            <w:noWrap w:val="0"/>
            <w:vAlign w:val="top"/>
          </w:tcPr>
          <w:p w14:paraId="428B8866">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第一个信封（商务及技术文件）评审标准:</w:t>
            </w:r>
          </w:p>
          <w:p w14:paraId="076B5C3C">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（1）投标文件按照招标文件规定的格式、内容填写，字迹清晰可辨：</w:t>
            </w:r>
          </w:p>
          <w:p w14:paraId="0AA122B1">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a.投标函按招标文件规定填报了项目名称、补遗书编号（如有）、服务期限及项目负责人信息；</w:t>
            </w:r>
          </w:p>
          <w:p w14:paraId="69C44809">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b.投标文件组成齐全完整，内容均按规定填写。</w:t>
            </w:r>
          </w:p>
          <w:p w14:paraId="6AF1EC3F">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（2）投标文件上法定代表人或其委托代理人的签字、投标人的单位章盖章齐全，符合招标文件规定。</w:t>
            </w:r>
          </w:p>
          <w:p w14:paraId="0D8910AB">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（3）投标人按照招标文件的规定提供了投标保证金，满足投标人须知3.4.1规定。</w:t>
            </w:r>
          </w:p>
          <w:p w14:paraId="5DB34B19">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 xml:space="preserve">（4）投标人法定代表人授权委托代理人签署投标文件的，须提交授权委托书，授权委托书的签字盖章符合招标文件规定，授权委托书只能授权给一名委托代理人。 </w:t>
            </w:r>
          </w:p>
          <w:p w14:paraId="0A0FE684">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（5）投标人法定代表人亲自签署投标文件的，提供了法定代表人身份证明，法定代表人身份证明的签字盖章符合招标文件规定。</w:t>
            </w:r>
          </w:p>
          <w:p w14:paraId="786FA438">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（6）投标人未以联合体形式投标。</w:t>
            </w:r>
          </w:p>
          <w:p w14:paraId="26B2CD8E">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（7）投标人未对本项目提出分包计划。</w:t>
            </w:r>
          </w:p>
          <w:p w14:paraId="0514E9A7">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（8）同一投标人未提交两个以上不同的投标文件。</w:t>
            </w:r>
          </w:p>
          <w:p w14:paraId="3C7C3B2B">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（9）投标文件中未出现有关投标报价的内容。</w:t>
            </w:r>
          </w:p>
          <w:p w14:paraId="58AF6942">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（10）投标文件载明的招标项目完成期限未超过招标文件规定的时限。</w:t>
            </w:r>
          </w:p>
          <w:p w14:paraId="6108F01C">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（11）投标文件对招标文件的实质性要求和条件作出响应。</w:t>
            </w:r>
          </w:p>
          <w:p w14:paraId="1F0B1B54">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（12）权利义务符合招标文件规定：</w:t>
            </w:r>
          </w:p>
          <w:p w14:paraId="6E9F2FF1">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a.投标人应接受招标文件规定的风险划分原则，未提出新的风险划分办法；</w:t>
            </w:r>
          </w:p>
          <w:p w14:paraId="45C6F86D">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b.投标人未增加发包人的责任范围，或减少投标人义务；</w:t>
            </w:r>
          </w:p>
          <w:p w14:paraId="4D53940F">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c.投标人未提出不同的支付办法；</w:t>
            </w:r>
          </w:p>
          <w:p w14:paraId="5F576F17">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d.投标人对合同纠纷、事故处理办法未提出异议；</w:t>
            </w:r>
          </w:p>
          <w:p w14:paraId="02C6F6C8">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e.投标人在投标活动中无欺诈行为；</w:t>
            </w:r>
          </w:p>
          <w:p w14:paraId="77F840C9">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f.投标人未对合同条款有重要保留。</w:t>
            </w:r>
          </w:p>
          <w:p w14:paraId="3040837C">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第二个信封（报价文件）评审标准：</w:t>
            </w:r>
          </w:p>
          <w:p w14:paraId="441D39C1">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（1）投标文件按照招标文件规定的格式、内容填写，字迹清晰可辨：</w:t>
            </w:r>
          </w:p>
          <w:p w14:paraId="14D3287F">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a.投标函按招标文件规定填报了项目名称、补遗书编号（如有）、投标价（包括大写金额和小写金额）；</w:t>
            </w:r>
          </w:p>
          <w:p w14:paraId="40E181CE">
            <w:pPr>
              <w:tabs>
                <w:tab w:val="left" w:pos="3060"/>
              </w:tabs>
              <w:ind w:firstLine="210" w:firstLineChars="100"/>
              <w:rPr>
                <w:rFonts w:hint="eastAsia" w:ascii="宋体" w:hAnsi="宋体" w:cs="宋体"/>
                <w:szCs w:val="21"/>
                <w:highlight w:val="none"/>
              </w:rPr>
            </w:pPr>
            <w:r>
              <w:rPr>
                <w:rFonts w:hint="eastAsia" w:ascii="宋体" w:hAnsi="宋体" w:cs="宋体"/>
                <w:szCs w:val="21"/>
                <w:highlight w:val="none"/>
              </w:rPr>
              <w:t>b.投标文件组成齐全完整，内容均按规定填写。</w:t>
            </w:r>
          </w:p>
          <w:p w14:paraId="1469DFA2">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（2）投标文件上法定代表人或其委托代理人的签字、投标人的单位章盖章齐全，符合招标文件规定。</w:t>
            </w:r>
          </w:p>
          <w:p w14:paraId="3DFCE185">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（3）投标报价未超过招标文件设定的最高投标限价。</w:t>
            </w:r>
          </w:p>
          <w:p w14:paraId="013809DB">
            <w:pPr>
              <w:tabs>
                <w:tab w:val="left" w:pos="3060"/>
              </w:tabs>
              <w:snapToGrid w:val="0"/>
              <w:spacing w:line="320" w:lineRule="exact"/>
              <w:ind w:firstLine="210" w:firstLineChars="100"/>
              <w:rPr>
                <w:rFonts w:hint="eastAsia" w:ascii="宋体" w:hAnsi="宋体" w:cs="宋体"/>
                <w:szCs w:val="21"/>
                <w:highlight w:val="none"/>
              </w:rPr>
            </w:pPr>
            <w:r>
              <w:rPr>
                <w:rFonts w:hint="eastAsia" w:ascii="宋体" w:hAnsi="宋体" w:cs="宋体"/>
                <w:szCs w:val="21"/>
                <w:highlight w:val="none"/>
              </w:rPr>
              <w:t>（4）投标报价大写金额能够确定具体数值。</w:t>
            </w:r>
          </w:p>
          <w:p w14:paraId="77B2ED84">
            <w:pPr>
              <w:tabs>
                <w:tab w:val="left" w:pos="3060"/>
              </w:tabs>
              <w:ind w:firstLine="210" w:firstLineChars="100"/>
              <w:rPr>
                <w:rFonts w:hint="eastAsia" w:ascii="宋体" w:hAnsi="宋体" w:cs="宋体"/>
                <w:szCs w:val="21"/>
                <w:highlight w:val="none"/>
              </w:rPr>
            </w:pPr>
            <w:r>
              <w:rPr>
                <w:rFonts w:hint="eastAsia" w:ascii="宋体" w:hAnsi="宋体" w:cs="宋体"/>
                <w:szCs w:val="21"/>
                <w:highlight w:val="none"/>
              </w:rPr>
              <w:t>（5）同一投标人未提交两个以上不同的投标报价。</w:t>
            </w:r>
          </w:p>
          <w:p w14:paraId="73322431">
            <w:pPr>
              <w:tabs>
                <w:tab w:val="left" w:pos="3060"/>
              </w:tabs>
              <w:ind w:firstLine="210" w:firstLineChars="100"/>
              <w:rPr>
                <w:rFonts w:hint="default" w:ascii="宋体" w:hAnsi="宋体" w:eastAsia="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6）</w:t>
            </w:r>
            <w:r>
              <w:rPr>
                <w:rFonts w:hint="eastAsia" w:ascii="宋体" w:hAnsi="宋体"/>
                <w:bCs/>
                <w:sz w:val="21"/>
                <w:szCs w:val="21"/>
                <w:highlight w:val="none"/>
                <w:lang w:val="en-US" w:eastAsia="zh-CN"/>
              </w:rPr>
              <w:t>服务清单</w:t>
            </w:r>
            <w:r>
              <w:rPr>
                <w:rFonts w:hint="eastAsia" w:ascii="宋体" w:hAnsi="宋体"/>
                <w:bCs/>
                <w:sz w:val="21"/>
                <w:szCs w:val="21"/>
                <w:highlight w:val="none"/>
              </w:rPr>
              <w:t>中投标报价与投标函</w:t>
            </w:r>
            <w:r>
              <w:rPr>
                <w:rFonts w:hint="eastAsia" w:ascii="宋体" w:hAnsi="宋体"/>
                <w:bCs/>
                <w:sz w:val="21"/>
                <w:szCs w:val="21"/>
                <w:highlight w:val="none"/>
                <w:lang w:val="en-US" w:eastAsia="zh-CN"/>
              </w:rPr>
              <w:t>报价</w:t>
            </w:r>
            <w:r>
              <w:rPr>
                <w:rFonts w:hint="eastAsia" w:ascii="宋体" w:hAnsi="宋体"/>
                <w:bCs/>
                <w:sz w:val="21"/>
                <w:szCs w:val="21"/>
                <w:highlight w:val="none"/>
              </w:rPr>
              <w:t>大写金额一致。</w:t>
            </w:r>
          </w:p>
        </w:tc>
      </w:tr>
      <w:tr w14:paraId="1FFF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43" w:type="dxa"/>
            <w:noWrap w:val="0"/>
            <w:vAlign w:val="center"/>
          </w:tcPr>
          <w:p w14:paraId="715A7177">
            <w:pPr>
              <w:adjustRightInd w:val="0"/>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2.1.2</w:t>
            </w:r>
          </w:p>
        </w:tc>
        <w:tc>
          <w:tcPr>
            <w:tcW w:w="1317" w:type="dxa"/>
            <w:noWrap w:val="0"/>
            <w:vAlign w:val="center"/>
          </w:tcPr>
          <w:p w14:paraId="557C9FA7">
            <w:pPr>
              <w:adjustRightInd w:val="0"/>
              <w:snapToGrid w:val="0"/>
              <w:spacing w:line="320" w:lineRule="exact"/>
              <w:jc w:val="center"/>
              <w:rPr>
                <w:rFonts w:hint="eastAsia" w:ascii="宋体" w:hAnsi="宋体" w:cs="宋体"/>
                <w:szCs w:val="21"/>
                <w:highlight w:val="none"/>
              </w:rPr>
            </w:pPr>
            <w:r>
              <w:rPr>
                <w:rFonts w:hint="eastAsia" w:ascii="宋体" w:hAnsi="宋体" w:cs="宋体"/>
                <w:szCs w:val="21"/>
                <w:highlight w:val="none"/>
              </w:rPr>
              <w:t>资格评审标准</w:t>
            </w:r>
          </w:p>
        </w:tc>
        <w:tc>
          <w:tcPr>
            <w:tcW w:w="7197" w:type="dxa"/>
            <w:noWrap w:val="0"/>
            <w:vAlign w:val="top"/>
          </w:tcPr>
          <w:p w14:paraId="5CF52216">
            <w:pPr>
              <w:tabs>
                <w:tab w:val="left" w:pos="3060"/>
              </w:tabs>
              <w:snapToGrid w:val="0"/>
              <w:spacing w:line="320" w:lineRule="exact"/>
              <w:rPr>
                <w:rFonts w:hint="eastAsia" w:ascii="宋体" w:hAnsi="宋体" w:cs="宋体"/>
                <w:szCs w:val="21"/>
                <w:highlight w:val="none"/>
              </w:rPr>
            </w:pPr>
            <w:r>
              <w:rPr>
                <w:rFonts w:hint="eastAsia" w:ascii="宋体" w:hAnsi="宋体" w:cs="宋体"/>
                <w:szCs w:val="21"/>
                <w:highlight w:val="none"/>
              </w:rPr>
              <w:t>（1）投标人具备有效的营业执照或事业单位法人证书、组织机构代码证（三证合一或五证合一的除外）和基本账户开户许可证（或基本存款账户信息）；</w:t>
            </w:r>
          </w:p>
          <w:p w14:paraId="1C780687">
            <w:pPr>
              <w:pStyle w:val="4"/>
              <w:snapToGrid w:val="0"/>
              <w:spacing w:line="320" w:lineRule="exact"/>
              <w:rPr>
                <w:rFonts w:hint="eastAsia" w:ascii="宋体" w:hAnsi="宋体" w:cs="宋体"/>
                <w:sz w:val="21"/>
                <w:szCs w:val="21"/>
                <w:highlight w:val="none"/>
              </w:rPr>
            </w:pPr>
            <w:r>
              <w:rPr>
                <w:rFonts w:hint="eastAsia" w:ascii="宋体" w:hAnsi="宋体" w:cs="宋体"/>
                <w:sz w:val="21"/>
                <w:szCs w:val="21"/>
                <w:highlight w:val="none"/>
              </w:rPr>
              <w:t>（2）投标人的业绩符合招标文件规定；</w:t>
            </w:r>
          </w:p>
          <w:p w14:paraId="1916DFD3">
            <w:pPr>
              <w:tabs>
                <w:tab w:val="left" w:pos="3060"/>
              </w:tabs>
              <w:snapToGrid w:val="0"/>
              <w:spacing w:line="320" w:lineRule="exact"/>
              <w:rPr>
                <w:rFonts w:hint="eastAsia" w:ascii="宋体" w:hAnsi="宋体" w:cs="宋体"/>
                <w:szCs w:val="21"/>
                <w:highlight w:val="none"/>
              </w:rPr>
            </w:pPr>
            <w:r>
              <w:rPr>
                <w:rFonts w:hint="eastAsia" w:ascii="宋体" w:hAnsi="宋体" w:cs="宋体"/>
                <w:szCs w:val="21"/>
                <w:highlight w:val="none"/>
              </w:rPr>
              <w:t>（3）投标人的信誉符合招标文件规定；</w:t>
            </w:r>
          </w:p>
          <w:p w14:paraId="6068FBF8">
            <w:pPr>
              <w:tabs>
                <w:tab w:val="left" w:pos="3060"/>
              </w:tabs>
              <w:snapToGrid w:val="0"/>
              <w:spacing w:line="320" w:lineRule="exact"/>
              <w:rPr>
                <w:rFonts w:hint="eastAsia" w:ascii="宋体" w:hAnsi="宋体" w:cs="宋体"/>
                <w:szCs w:val="21"/>
                <w:highlight w:val="none"/>
              </w:rPr>
            </w:pPr>
            <w:r>
              <w:rPr>
                <w:rFonts w:hint="eastAsia" w:ascii="宋体" w:hAnsi="宋体" w:cs="宋体"/>
                <w:szCs w:val="21"/>
                <w:highlight w:val="none"/>
              </w:rPr>
              <w:t>（4）投标人的</w:t>
            </w:r>
            <w:r>
              <w:rPr>
                <w:rFonts w:hint="eastAsia" w:ascii="宋体" w:hAnsi="宋体" w:cs="宋体"/>
                <w:szCs w:val="21"/>
                <w:highlight w:val="none"/>
                <w:lang w:eastAsia="zh-CN"/>
              </w:rPr>
              <w:t>项目负责人</w:t>
            </w:r>
            <w:r>
              <w:rPr>
                <w:rFonts w:hint="eastAsia" w:ascii="宋体" w:hAnsi="宋体" w:cs="宋体"/>
                <w:szCs w:val="21"/>
                <w:highlight w:val="none"/>
              </w:rPr>
              <w:t>资格符合招标文件规定；</w:t>
            </w:r>
          </w:p>
          <w:p w14:paraId="0961290B">
            <w:pPr>
              <w:tabs>
                <w:tab w:val="left" w:pos="3060"/>
              </w:tabs>
              <w:snapToGrid w:val="0"/>
              <w:spacing w:line="320" w:lineRule="exact"/>
              <w:rPr>
                <w:rFonts w:hint="eastAsia" w:ascii="宋体" w:hAnsi="宋体" w:cs="宋体"/>
                <w:szCs w:val="21"/>
                <w:highlight w:val="none"/>
              </w:rPr>
            </w:pPr>
            <w:r>
              <w:rPr>
                <w:rFonts w:hint="eastAsia" w:ascii="宋体" w:hAnsi="宋体" w:cs="宋体"/>
                <w:szCs w:val="21"/>
                <w:highlight w:val="none"/>
              </w:rPr>
              <w:t>（5）投标人的</w:t>
            </w:r>
            <w:r>
              <w:rPr>
                <w:rFonts w:hint="eastAsia" w:ascii="宋体" w:hAnsi="宋体" w:cs="宋体"/>
                <w:szCs w:val="21"/>
                <w:highlight w:val="none"/>
                <w:lang w:val="en-US" w:eastAsia="zh-CN"/>
              </w:rPr>
              <w:t>其他人员</w:t>
            </w:r>
            <w:r>
              <w:rPr>
                <w:rFonts w:hint="eastAsia" w:ascii="宋体" w:hAnsi="宋体" w:cs="宋体"/>
                <w:szCs w:val="21"/>
                <w:highlight w:val="none"/>
              </w:rPr>
              <w:t>资格符合招标文件规定；</w:t>
            </w:r>
          </w:p>
          <w:p w14:paraId="63F68427">
            <w:pPr>
              <w:tabs>
                <w:tab w:val="left" w:pos="3060"/>
              </w:tabs>
              <w:snapToGrid w:val="0"/>
              <w:spacing w:line="320" w:lineRule="exact"/>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）投标人不存在第二章“投标人须知”第1.4.3项和1.4.4项规定的任何一种情形。</w:t>
            </w:r>
          </w:p>
        </w:tc>
      </w:tr>
      <w:tr w14:paraId="57F1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noWrap w:val="0"/>
            <w:vAlign w:val="center"/>
          </w:tcPr>
          <w:p w14:paraId="1CB30BA7">
            <w:pPr>
              <w:adjustRightInd w:val="0"/>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条款号</w:t>
            </w:r>
          </w:p>
        </w:tc>
        <w:tc>
          <w:tcPr>
            <w:tcW w:w="1317" w:type="dxa"/>
            <w:noWrap w:val="0"/>
            <w:vAlign w:val="center"/>
          </w:tcPr>
          <w:p w14:paraId="78BE667F">
            <w:pPr>
              <w:adjustRightInd w:val="0"/>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条款内容</w:t>
            </w:r>
          </w:p>
        </w:tc>
        <w:tc>
          <w:tcPr>
            <w:tcW w:w="7197" w:type="dxa"/>
            <w:noWrap w:val="0"/>
            <w:vAlign w:val="center"/>
          </w:tcPr>
          <w:p w14:paraId="6D4A44D0">
            <w:pPr>
              <w:adjustRightInd w:val="0"/>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编列内容</w:t>
            </w:r>
          </w:p>
        </w:tc>
      </w:tr>
      <w:tr w14:paraId="02F1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noWrap w:val="0"/>
            <w:vAlign w:val="center"/>
          </w:tcPr>
          <w:p w14:paraId="0B8CAAE3">
            <w:pPr>
              <w:adjustRightInd w:val="0"/>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2.2.1</w:t>
            </w:r>
          </w:p>
        </w:tc>
        <w:tc>
          <w:tcPr>
            <w:tcW w:w="1317" w:type="dxa"/>
            <w:noWrap w:val="0"/>
            <w:vAlign w:val="center"/>
          </w:tcPr>
          <w:p w14:paraId="624FBB18">
            <w:pPr>
              <w:adjustRightInd w:val="0"/>
              <w:snapToGrid w:val="0"/>
              <w:spacing w:line="320" w:lineRule="exact"/>
              <w:jc w:val="center"/>
              <w:rPr>
                <w:rFonts w:hint="eastAsia" w:ascii="宋体" w:hAnsi="宋体" w:cs="宋体"/>
                <w:szCs w:val="21"/>
                <w:highlight w:val="none"/>
              </w:rPr>
            </w:pPr>
            <w:r>
              <w:rPr>
                <w:rFonts w:hint="eastAsia" w:ascii="宋体" w:hAnsi="宋体" w:cs="宋体"/>
                <w:szCs w:val="21"/>
                <w:highlight w:val="none"/>
              </w:rPr>
              <w:t>分值构成</w:t>
            </w:r>
          </w:p>
          <w:p w14:paraId="34DA50FD">
            <w:pPr>
              <w:adjustRightInd w:val="0"/>
              <w:snapToGrid w:val="0"/>
              <w:spacing w:line="320" w:lineRule="exact"/>
              <w:jc w:val="center"/>
              <w:rPr>
                <w:rFonts w:hint="eastAsia" w:ascii="宋体" w:hAnsi="宋体" w:cs="宋体"/>
                <w:szCs w:val="21"/>
                <w:highlight w:val="none"/>
              </w:rPr>
            </w:pPr>
            <w:r>
              <w:rPr>
                <w:rFonts w:hint="eastAsia" w:ascii="宋体" w:hAnsi="宋体" w:cs="宋体"/>
                <w:szCs w:val="21"/>
                <w:highlight w:val="none"/>
              </w:rPr>
              <w:t>（总分100分）</w:t>
            </w:r>
          </w:p>
        </w:tc>
        <w:tc>
          <w:tcPr>
            <w:tcW w:w="7197" w:type="dxa"/>
            <w:noWrap w:val="0"/>
            <w:vAlign w:val="center"/>
          </w:tcPr>
          <w:p w14:paraId="28FD4412">
            <w:pPr>
              <w:adjustRightInd w:val="0"/>
              <w:snapToGrid w:val="0"/>
              <w:spacing w:line="320" w:lineRule="exact"/>
              <w:rPr>
                <w:rFonts w:hint="eastAsia" w:ascii="宋体" w:hAnsi="宋体" w:cs="宋体"/>
                <w:b/>
                <w:szCs w:val="21"/>
                <w:highlight w:val="none"/>
              </w:rPr>
            </w:pPr>
            <w:r>
              <w:rPr>
                <w:rFonts w:hint="eastAsia" w:ascii="宋体" w:hAnsi="宋体" w:cs="宋体"/>
                <w:b/>
                <w:szCs w:val="21"/>
                <w:highlight w:val="none"/>
              </w:rPr>
              <w:t>第一个信封（商务及技术文件）评分分值构成：</w:t>
            </w:r>
          </w:p>
          <w:p w14:paraId="23B6578F">
            <w:pPr>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服务方案：</w:t>
            </w:r>
            <w:r>
              <w:rPr>
                <w:rFonts w:hint="eastAsia" w:ascii="宋体" w:hAnsi="宋体" w:cs="宋体"/>
                <w:szCs w:val="21"/>
                <w:highlight w:val="none"/>
                <w:lang w:val="en-US" w:eastAsia="zh-CN"/>
              </w:rPr>
              <w:t>4</w:t>
            </w:r>
            <w:r>
              <w:rPr>
                <w:rFonts w:hint="eastAsia" w:ascii="宋体" w:hAnsi="宋体" w:cs="宋体"/>
                <w:szCs w:val="21"/>
                <w:highlight w:val="none"/>
              </w:rPr>
              <w:t>0分</w:t>
            </w:r>
          </w:p>
          <w:p w14:paraId="391DAD66">
            <w:pPr>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主要人员：</w:t>
            </w:r>
            <w:r>
              <w:rPr>
                <w:rFonts w:hint="eastAsia" w:ascii="宋体" w:hAnsi="宋体" w:cs="宋体"/>
                <w:szCs w:val="21"/>
                <w:highlight w:val="none"/>
                <w:lang w:val="en-US" w:eastAsia="zh-CN"/>
              </w:rPr>
              <w:t>25</w:t>
            </w:r>
            <w:r>
              <w:rPr>
                <w:rFonts w:hint="eastAsia" w:ascii="宋体" w:hAnsi="宋体" w:cs="宋体"/>
                <w:szCs w:val="21"/>
                <w:highlight w:val="none"/>
              </w:rPr>
              <w:t>分</w:t>
            </w:r>
          </w:p>
          <w:p w14:paraId="3AB084F9">
            <w:pPr>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其    它：</w:t>
            </w:r>
            <w:r>
              <w:rPr>
                <w:rFonts w:hint="eastAsia" w:ascii="宋体" w:hAnsi="宋体" w:cs="宋体"/>
                <w:szCs w:val="21"/>
                <w:highlight w:val="none"/>
                <w:lang w:val="en-US" w:eastAsia="zh-CN"/>
              </w:rPr>
              <w:t>25</w:t>
            </w:r>
            <w:r>
              <w:rPr>
                <w:rFonts w:hint="eastAsia" w:ascii="宋体" w:hAnsi="宋体" w:cs="宋体"/>
                <w:szCs w:val="21"/>
                <w:highlight w:val="none"/>
              </w:rPr>
              <w:t>分</w:t>
            </w:r>
          </w:p>
          <w:p w14:paraId="3DEB91DA">
            <w:pPr>
              <w:adjustRightInd w:val="0"/>
              <w:snapToGrid w:val="0"/>
              <w:spacing w:line="320" w:lineRule="exact"/>
              <w:rPr>
                <w:rFonts w:hint="eastAsia" w:ascii="宋体" w:hAnsi="宋体" w:cs="宋体"/>
                <w:szCs w:val="21"/>
                <w:highlight w:val="none"/>
              </w:rPr>
            </w:pPr>
          </w:p>
          <w:p w14:paraId="45521408">
            <w:pPr>
              <w:adjustRightInd w:val="0"/>
              <w:snapToGrid w:val="0"/>
              <w:spacing w:line="320" w:lineRule="exact"/>
              <w:rPr>
                <w:rFonts w:hint="eastAsia" w:ascii="宋体" w:hAnsi="宋体" w:cs="宋体"/>
                <w:b/>
                <w:szCs w:val="21"/>
                <w:highlight w:val="none"/>
              </w:rPr>
            </w:pPr>
            <w:r>
              <w:rPr>
                <w:rFonts w:hint="eastAsia" w:ascii="宋体" w:hAnsi="宋体" w:cs="宋体"/>
                <w:b/>
                <w:szCs w:val="21"/>
                <w:highlight w:val="none"/>
              </w:rPr>
              <w:t>第二个信封（报价文件）评分分值构成：</w:t>
            </w:r>
          </w:p>
          <w:p w14:paraId="0704A4C9">
            <w:pPr>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评 标 价：10分</w:t>
            </w:r>
          </w:p>
        </w:tc>
      </w:tr>
      <w:tr w14:paraId="25F2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3" w:hRule="atLeast"/>
          <w:jc w:val="center"/>
        </w:trPr>
        <w:tc>
          <w:tcPr>
            <w:tcW w:w="1143" w:type="dxa"/>
            <w:noWrap w:val="0"/>
            <w:vAlign w:val="center"/>
          </w:tcPr>
          <w:p w14:paraId="69D2AE48">
            <w:pPr>
              <w:adjustRightInd w:val="0"/>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2.2.2</w:t>
            </w:r>
          </w:p>
        </w:tc>
        <w:tc>
          <w:tcPr>
            <w:tcW w:w="1317" w:type="dxa"/>
            <w:noWrap w:val="0"/>
            <w:vAlign w:val="center"/>
          </w:tcPr>
          <w:p w14:paraId="5F0F6985">
            <w:pPr>
              <w:adjustRightInd w:val="0"/>
              <w:snapToGrid w:val="0"/>
              <w:spacing w:line="320" w:lineRule="exact"/>
              <w:jc w:val="center"/>
              <w:rPr>
                <w:rFonts w:hint="eastAsia" w:ascii="宋体" w:hAnsi="宋体" w:cs="宋体"/>
                <w:szCs w:val="21"/>
                <w:highlight w:val="none"/>
              </w:rPr>
            </w:pPr>
            <w:r>
              <w:rPr>
                <w:rFonts w:hint="eastAsia" w:ascii="宋体" w:hAnsi="宋体" w:cs="宋体"/>
                <w:szCs w:val="21"/>
                <w:highlight w:val="none"/>
              </w:rPr>
              <w:t>评标基准价计算方法</w:t>
            </w:r>
          </w:p>
        </w:tc>
        <w:tc>
          <w:tcPr>
            <w:tcW w:w="7197" w:type="dxa"/>
            <w:noWrap w:val="0"/>
            <w:vAlign w:val="center"/>
          </w:tcPr>
          <w:p w14:paraId="47283E40">
            <w:pPr>
              <w:pStyle w:val="8"/>
              <w:snapToGrid w:val="0"/>
              <w:spacing w:line="320" w:lineRule="exact"/>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评标基准价的计算：</w:t>
            </w:r>
          </w:p>
          <w:p w14:paraId="3378290A">
            <w:pPr>
              <w:pStyle w:val="8"/>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开标现场，招标人将当场计算并宣布评标基准价。</w:t>
            </w:r>
          </w:p>
          <w:p w14:paraId="3625DD65">
            <w:pPr>
              <w:pStyle w:val="8"/>
              <w:snapToGrid w:val="0"/>
              <w:spacing w:line="3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1、评标价的确定：</w:t>
            </w:r>
          </w:p>
          <w:p w14:paraId="02203B1C">
            <w:pPr>
              <w:pStyle w:val="8"/>
              <w:snapToGrid w:val="0"/>
              <w:spacing w:line="3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评标价=投标函文字报价</w:t>
            </w:r>
          </w:p>
          <w:p w14:paraId="03DBABDD">
            <w:pPr>
              <w:pStyle w:val="8"/>
              <w:snapToGrid w:val="0"/>
              <w:spacing w:line="3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2、评标价平均值的计算：</w:t>
            </w:r>
          </w:p>
          <w:p w14:paraId="7D4CE9FD">
            <w:pPr>
              <w:pStyle w:val="8"/>
              <w:snapToGrid w:val="0"/>
              <w:spacing w:line="3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除按第二章“投标人须知”第5.2.4项规定开标现场被宣布为不进入评标基准价计算的投标报价之外，所有投标人的评标价去掉一个最高值和一个最低值后的算数平均值即为评标价平均值（如果参与评标价平均值计算的有效投标人少于5家时，则计算评标价平均值时不去掉最高值和最低值）。</w:t>
            </w:r>
          </w:p>
          <w:p w14:paraId="01BB81EF">
            <w:pPr>
              <w:pStyle w:val="8"/>
              <w:snapToGrid w:val="0"/>
              <w:spacing w:line="3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3、评标基准价的确定： </w:t>
            </w:r>
          </w:p>
          <w:p w14:paraId="6E5C421C">
            <w:pPr>
              <w:pStyle w:val="8"/>
              <w:snapToGrid w:val="0"/>
              <w:spacing w:line="3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评标价平均值直接作为评标基准价。 </w:t>
            </w:r>
          </w:p>
          <w:p w14:paraId="00C6A3D3">
            <w:pPr>
              <w:pStyle w:val="8"/>
              <w:snapToGrid w:val="0"/>
              <w:spacing w:line="3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评标基准价保留小数点后两位，小数点后第三位四舍五入。</w:t>
            </w:r>
          </w:p>
          <w:p w14:paraId="145526EC">
            <w:pPr>
              <w:adjustRightInd w:val="0"/>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118D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14:paraId="5BFF436A">
            <w:pPr>
              <w:adjustRightInd w:val="0"/>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2.2.3</w:t>
            </w:r>
          </w:p>
        </w:tc>
        <w:tc>
          <w:tcPr>
            <w:tcW w:w="1317" w:type="dxa"/>
            <w:noWrap w:val="0"/>
            <w:vAlign w:val="center"/>
          </w:tcPr>
          <w:p w14:paraId="682395DC">
            <w:pPr>
              <w:adjustRightInd w:val="0"/>
              <w:snapToGrid w:val="0"/>
              <w:spacing w:line="320" w:lineRule="exact"/>
              <w:jc w:val="center"/>
              <w:rPr>
                <w:rFonts w:hint="eastAsia" w:ascii="宋体" w:hAnsi="宋体" w:cs="宋体"/>
                <w:szCs w:val="21"/>
                <w:highlight w:val="none"/>
              </w:rPr>
            </w:pPr>
            <w:r>
              <w:rPr>
                <w:rFonts w:hint="eastAsia" w:ascii="宋体" w:hAnsi="宋体" w:cs="宋体"/>
                <w:szCs w:val="21"/>
                <w:highlight w:val="none"/>
              </w:rPr>
              <w:t>评标价的偏差率计算公式</w:t>
            </w:r>
          </w:p>
        </w:tc>
        <w:tc>
          <w:tcPr>
            <w:tcW w:w="7197" w:type="dxa"/>
            <w:noWrap w:val="0"/>
            <w:vAlign w:val="center"/>
          </w:tcPr>
          <w:p w14:paraId="4879857C">
            <w:pPr>
              <w:adjustRightInd w:val="0"/>
              <w:snapToGrid w:val="0"/>
              <w:spacing w:line="320" w:lineRule="exact"/>
              <w:rPr>
                <w:rFonts w:hint="eastAsia" w:ascii="宋体" w:hAnsi="宋体" w:eastAsia="宋体" w:cs="宋体"/>
                <w:szCs w:val="21"/>
                <w:highlight w:val="none"/>
                <w:lang w:eastAsia="zh-CN"/>
              </w:rPr>
            </w:pPr>
            <w:r>
              <w:rPr>
                <w:rFonts w:hint="eastAsia" w:ascii="宋体" w:hAnsi="宋体" w:cs="宋体"/>
                <w:szCs w:val="21"/>
                <w:highlight w:val="none"/>
                <w:lang w:val="en-US" w:eastAsia="zh-CN"/>
              </w:rPr>
              <w:t>/</w:t>
            </w:r>
          </w:p>
        </w:tc>
      </w:tr>
      <w:tr w14:paraId="298A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14:paraId="7EFEE07D">
            <w:pPr>
              <w:adjustRightInd w:val="0"/>
              <w:snapToGrid w:val="0"/>
              <w:spacing w:line="320" w:lineRule="exact"/>
              <w:jc w:val="center"/>
              <w:rPr>
                <w:rFonts w:hint="eastAsia" w:ascii="宋体" w:hAnsi="宋体" w:cs="宋体"/>
                <w:szCs w:val="21"/>
                <w:highlight w:val="none"/>
              </w:rPr>
            </w:pPr>
            <w:r>
              <w:rPr>
                <w:rFonts w:hint="eastAsia" w:ascii="宋体" w:hAnsi="宋体" w:cs="宋体"/>
                <w:szCs w:val="21"/>
                <w:highlight w:val="none"/>
              </w:rPr>
              <w:t>3.6.1</w:t>
            </w:r>
          </w:p>
        </w:tc>
        <w:tc>
          <w:tcPr>
            <w:tcW w:w="1317" w:type="dxa"/>
            <w:noWrap w:val="0"/>
            <w:vAlign w:val="center"/>
          </w:tcPr>
          <w:p w14:paraId="192A1D2C">
            <w:pPr>
              <w:adjustRightInd w:val="0"/>
              <w:snapToGrid w:val="0"/>
              <w:spacing w:line="320" w:lineRule="exact"/>
              <w:jc w:val="center"/>
              <w:rPr>
                <w:rFonts w:hint="eastAsia" w:ascii="宋体" w:hAnsi="宋体" w:cs="宋体"/>
                <w:szCs w:val="21"/>
                <w:highlight w:val="none"/>
              </w:rPr>
            </w:pPr>
            <w:r>
              <w:rPr>
                <w:rFonts w:hint="eastAsia" w:ascii="宋体" w:hAnsi="宋体" w:cs="宋体"/>
                <w:szCs w:val="21"/>
                <w:highlight w:val="none"/>
              </w:rPr>
              <w:t>信息查询</w:t>
            </w:r>
          </w:p>
        </w:tc>
        <w:tc>
          <w:tcPr>
            <w:tcW w:w="7197" w:type="dxa"/>
            <w:noWrap w:val="0"/>
            <w:vAlign w:val="center"/>
          </w:tcPr>
          <w:p w14:paraId="0C71EA39">
            <w:pPr>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在评标过程中，评标委员会应对以下信息进行查询：</w:t>
            </w:r>
          </w:p>
          <w:p w14:paraId="1DA07078">
            <w:pPr>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（1）评标委员会评标时在“国家企业信用信息公示系统”和“信用中国”网站对投标人的信用情况进行查询，若投标人存在“国家企业信用信息公示系统” 被列入严重违法失信名单（黑名单）（不含分公司）（事业单位不适用）或在“信用中国”网站“被列入失信被执行人名单、经营（活动）异常名录、重大税收违法失信主体、政府采购严重违法失信名单”（均不含分公司）情形的，评标委员会应否决其投标。</w:t>
            </w:r>
          </w:p>
          <w:p w14:paraId="12FA455D">
            <w:pPr>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如投标人未提供相关网页截图或所附截图与复核结果不一致导致不能满足资格评审要求的，评标委员会应否决其投标。</w:t>
            </w:r>
          </w:p>
          <w:p w14:paraId="6C58C567">
            <w:pPr>
              <w:autoSpaceDE w:val="0"/>
              <w:autoSpaceDN w:val="0"/>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tc>
      </w:tr>
    </w:tbl>
    <w:p w14:paraId="0C12BA29">
      <w:pPr>
        <w:snapToGrid w:val="0"/>
        <w:spacing w:line="360" w:lineRule="auto"/>
        <w:jc w:val="left"/>
        <w:rPr>
          <w:rFonts w:hint="eastAsia"/>
          <w:highlight w:val="none"/>
        </w:rPr>
      </w:pPr>
    </w:p>
    <w:p w14:paraId="6132F284">
      <w:pPr>
        <w:snapToGrid w:val="0"/>
        <w:spacing w:line="360" w:lineRule="auto"/>
        <w:jc w:val="left"/>
        <w:rPr>
          <w:rFonts w:hint="eastAsia"/>
          <w:highlight w:val="none"/>
        </w:rPr>
      </w:pPr>
      <w:r>
        <w:rPr>
          <w:highlight w:val="none"/>
        </w:rPr>
        <w:br w:type="page"/>
      </w:r>
    </w:p>
    <w:tbl>
      <w:tblPr>
        <w:tblStyle w:val="9"/>
        <w:tblW w:w="9483" w:type="dxa"/>
        <w:tblInd w:w="-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39"/>
        <w:gridCol w:w="602"/>
        <w:gridCol w:w="567"/>
        <w:gridCol w:w="1244"/>
        <w:gridCol w:w="750"/>
        <w:gridCol w:w="5781"/>
      </w:tblGrid>
      <w:tr w14:paraId="3B075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64" w:hRule="atLeast"/>
          <w:tblHeader/>
        </w:trPr>
        <w:tc>
          <w:tcPr>
            <w:tcW w:w="539" w:type="dxa"/>
            <w:noWrap w:val="0"/>
            <w:vAlign w:val="center"/>
          </w:tcPr>
          <w:p w14:paraId="436D14BD">
            <w:pPr>
              <w:autoSpaceDE w:val="0"/>
              <w:autoSpaceDN w:val="0"/>
              <w:snapToGrid w:val="0"/>
              <w:spacing w:line="320" w:lineRule="exact"/>
              <w:jc w:val="center"/>
              <w:rPr>
                <w:rFonts w:ascii="宋体" w:hAnsi="宋体" w:cs="宋体"/>
                <w:b/>
                <w:kern w:val="0"/>
                <w:szCs w:val="21"/>
                <w:highlight w:val="none"/>
              </w:rPr>
            </w:pPr>
            <w:r>
              <w:rPr>
                <w:rFonts w:hint="eastAsia" w:ascii="宋体" w:hAnsi="宋体" w:cs="宋体"/>
                <w:b/>
                <w:kern w:val="0"/>
                <w:szCs w:val="21"/>
                <w:highlight w:val="none"/>
              </w:rPr>
              <w:t>条款号</w:t>
            </w:r>
          </w:p>
        </w:tc>
        <w:tc>
          <w:tcPr>
            <w:tcW w:w="602" w:type="dxa"/>
            <w:noWrap w:val="0"/>
            <w:vAlign w:val="center"/>
          </w:tcPr>
          <w:p w14:paraId="42609FB8">
            <w:pPr>
              <w:autoSpaceDE w:val="0"/>
              <w:autoSpaceDN w:val="0"/>
              <w:snapToGrid w:val="0"/>
              <w:spacing w:line="320" w:lineRule="exact"/>
              <w:jc w:val="center"/>
              <w:rPr>
                <w:rFonts w:ascii="宋体" w:hAnsi="宋体" w:cs="宋体"/>
                <w:b/>
                <w:kern w:val="0"/>
                <w:szCs w:val="21"/>
                <w:highlight w:val="none"/>
              </w:rPr>
            </w:pPr>
            <w:r>
              <w:rPr>
                <w:rFonts w:hint="eastAsia" w:ascii="宋体" w:hAnsi="宋体" w:cs="宋体"/>
                <w:b/>
                <w:kern w:val="0"/>
                <w:szCs w:val="21"/>
                <w:highlight w:val="none"/>
              </w:rPr>
              <w:t>评审因素</w:t>
            </w:r>
          </w:p>
        </w:tc>
        <w:tc>
          <w:tcPr>
            <w:tcW w:w="567" w:type="dxa"/>
            <w:noWrap w:val="0"/>
            <w:vAlign w:val="center"/>
          </w:tcPr>
          <w:p w14:paraId="25AFC23E">
            <w:pPr>
              <w:autoSpaceDE w:val="0"/>
              <w:autoSpaceDN w:val="0"/>
              <w:snapToGrid w:val="0"/>
              <w:spacing w:line="320" w:lineRule="exact"/>
              <w:jc w:val="center"/>
              <w:rPr>
                <w:rFonts w:ascii="宋体" w:hAnsi="宋体" w:cs="宋体"/>
                <w:b/>
                <w:kern w:val="0"/>
                <w:szCs w:val="21"/>
                <w:highlight w:val="none"/>
              </w:rPr>
            </w:pPr>
            <w:r>
              <w:rPr>
                <w:rFonts w:hint="eastAsia" w:ascii="宋体" w:hAnsi="宋体" w:cs="宋体"/>
                <w:b/>
                <w:kern w:val="0"/>
                <w:szCs w:val="21"/>
                <w:highlight w:val="none"/>
              </w:rPr>
              <w:t>评分因素权重分值</w:t>
            </w:r>
          </w:p>
        </w:tc>
        <w:tc>
          <w:tcPr>
            <w:tcW w:w="1244" w:type="dxa"/>
            <w:tcBorders>
              <w:right w:val="single" w:color="auto" w:sz="4" w:space="0"/>
            </w:tcBorders>
            <w:noWrap w:val="0"/>
            <w:vAlign w:val="center"/>
          </w:tcPr>
          <w:p w14:paraId="770E4353">
            <w:pPr>
              <w:autoSpaceDE w:val="0"/>
              <w:autoSpaceDN w:val="0"/>
              <w:snapToGrid w:val="0"/>
              <w:spacing w:line="320" w:lineRule="exact"/>
              <w:jc w:val="center"/>
              <w:rPr>
                <w:rFonts w:ascii="宋体" w:hAnsi="宋体" w:cs="宋体"/>
                <w:b/>
                <w:kern w:val="0"/>
                <w:szCs w:val="21"/>
                <w:highlight w:val="none"/>
              </w:rPr>
            </w:pPr>
            <w:r>
              <w:rPr>
                <w:rFonts w:hint="eastAsia" w:ascii="宋体" w:hAnsi="宋体" w:cs="宋体"/>
                <w:b/>
                <w:kern w:val="0"/>
                <w:szCs w:val="21"/>
                <w:highlight w:val="none"/>
              </w:rPr>
              <w:t>各评分因素细分项</w:t>
            </w:r>
          </w:p>
        </w:tc>
        <w:tc>
          <w:tcPr>
            <w:tcW w:w="750" w:type="dxa"/>
            <w:tcBorders>
              <w:left w:val="single" w:color="auto" w:sz="4" w:space="0"/>
              <w:right w:val="single" w:color="auto" w:sz="4" w:space="0"/>
            </w:tcBorders>
            <w:noWrap w:val="0"/>
            <w:vAlign w:val="center"/>
          </w:tcPr>
          <w:p w14:paraId="049A6B9E">
            <w:pPr>
              <w:autoSpaceDE w:val="0"/>
              <w:autoSpaceDN w:val="0"/>
              <w:snapToGrid w:val="0"/>
              <w:spacing w:line="320" w:lineRule="exact"/>
              <w:jc w:val="center"/>
              <w:rPr>
                <w:rFonts w:ascii="宋体" w:hAnsi="宋体" w:cs="宋体"/>
                <w:b/>
                <w:kern w:val="0"/>
                <w:szCs w:val="21"/>
                <w:highlight w:val="none"/>
              </w:rPr>
            </w:pPr>
            <w:r>
              <w:rPr>
                <w:rFonts w:ascii="宋体" w:hAnsi="宋体" w:cs="宋体"/>
                <w:b/>
                <w:kern w:val="0"/>
                <w:szCs w:val="21"/>
                <w:highlight w:val="none"/>
              </w:rPr>
              <w:t>分值</w:t>
            </w:r>
          </w:p>
        </w:tc>
        <w:tc>
          <w:tcPr>
            <w:tcW w:w="5781" w:type="dxa"/>
            <w:tcBorders>
              <w:left w:val="single" w:color="auto" w:sz="4" w:space="0"/>
            </w:tcBorders>
            <w:noWrap w:val="0"/>
            <w:vAlign w:val="center"/>
          </w:tcPr>
          <w:p w14:paraId="5DA89C3E">
            <w:pPr>
              <w:autoSpaceDE w:val="0"/>
              <w:autoSpaceDN w:val="0"/>
              <w:snapToGrid w:val="0"/>
              <w:spacing w:line="320" w:lineRule="exact"/>
              <w:jc w:val="center"/>
              <w:rPr>
                <w:rFonts w:ascii="宋体" w:hAnsi="宋体" w:cs="宋体"/>
                <w:b/>
                <w:kern w:val="0"/>
                <w:szCs w:val="21"/>
                <w:highlight w:val="none"/>
              </w:rPr>
            </w:pPr>
            <w:r>
              <w:rPr>
                <w:rFonts w:ascii="宋体" w:hAnsi="宋体" w:cs="宋体"/>
                <w:b/>
                <w:kern w:val="0"/>
                <w:szCs w:val="21"/>
                <w:highlight w:val="none"/>
              </w:rPr>
              <w:t>评分标准</w:t>
            </w:r>
          </w:p>
        </w:tc>
      </w:tr>
      <w:tr w14:paraId="74EFF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7" w:hRule="atLeast"/>
        </w:trPr>
        <w:tc>
          <w:tcPr>
            <w:tcW w:w="539" w:type="dxa"/>
            <w:vMerge w:val="restart"/>
            <w:noWrap w:val="0"/>
            <w:vAlign w:val="center"/>
          </w:tcPr>
          <w:p w14:paraId="77106278">
            <w:pPr>
              <w:autoSpaceDE w:val="0"/>
              <w:autoSpaceDN w:val="0"/>
              <w:snapToGrid w:val="0"/>
              <w:spacing w:line="320" w:lineRule="exact"/>
              <w:rPr>
                <w:rFonts w:ascii="宋体" w:hAnsi="宋体" w:cs="宋体"/>
                <w:kern w:val="0"/>
                <w:szCs w:val="21"/>
                <w:highlight w:val="none"/>
              </w:rPr>
            </w:pPr>
            <w:r>
              <w:rPr>
                <w:rFonts w:hint="eastAsia" w:ascii="宋体" w:hAnsi="宋体" w:cs="宋体"/>
                <w:kern w:val="0"/>
                <w:szCs w:val="21"/>
                <w:highlight w:val="none"/>
              </w:rPr>
              <w:t>2.2.4（1）</w:t>
            </w:r>
          </w:p>
        </w:tc>
        <w:tc>
          <w:tcPr>
            <w:tcW w:w="602" w:type="dxa"/>
            <w:vMerge w:val="restart"/>
            <w:noWrap w:val="0"/>
            <w:vAlign w:val="center"/>
          </w:tcPr>
          <w:p w14:paraId="39E5366E">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rPr>
              <w:t>服务方案</w:t>
            </w:r>
          </w:p>
        </w:tc>
        <w:tc>
          <w:tcPr>
            <w:tcW w:w="567" w:type="dxa"/>
            <w:vMerge w:val="restart"/>
            <w:noWrap w:val="0"/>
            <w:vAlign w:val="center"/>
          </w:tcPr>
          <w:p w14:paraId="215E136F">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0分</w:t>
            </w:r>
          </w:p>
        </w:tc>
        <w:tc>
          <w:tcPr>
            <w:tcW w:w="1244" w:type="dxa"/>
            <w:vMerge w:val="restart"/>
            <w:tcBorders>
              <w:top w:val="single" w:color="auto" w:sz="4" w:space="0"/>
              <w:right w:val="single" w:color="auto" w:sz="4" w:space="0"/>
            </w:tcBorders>
            <w:noWrap w:val="0"/>
            <w:vAlign w:val="center"/>
          </w:tcPr>
          <w:p w14:paraId="0D65AA8C">
            <w:pPr>
              <w:snapToGrid w:val="0"/>
              <w:spacing w:line="320" w:lineRule="exact"/>
              <w:jc w:val="center"/>
              <w:rPr>
                <w:rFonts w:hAnsi="宋体"/>
                <w:bCs/>
                <w:iCs/>
                <w:szCs w:val="21"/>
                <w:highlight w:val="none"/>
              </w:rPr>
            </w:pPr>
            <w:r>
              <w:rPr>
                <w:rFonts w:hint="eastAsia" w:ascii="宋体" w:hAnsi="宋体" w:cs="宋体"/>
                <w:kern w:val="0"/>
                <w:szCs w:val="21"/>
                <w:highlight w:val="none"/>
              </w:rPr>
              <w:t>重难点分析及应对措施</w:t>
            </w:r>
          </w:p>
        </w:tc>
        <w:tc>
          <w:tcPr>
            <w:tcW w:w="750" w:type="dxa"/>
            <w:vMerge w:val="restart"/>
            <w:tcBorders>
              <w:top w:val="single" w:color="auto" w:sz="4" w:space="0"/>
              <w:left w:val="single" w:color="auto" w:sz="4" w:space="0"/>
              <w:right w:val="single" w:color="auto" w:sz="4" w:space="0"/>
            </w:tcBorders>
            <w:noWrap w:val="0"/>
            <w:vAlign w:val="center"/>
          </w:tcPr>
          <w:p w14:paraId="425C28D6">
            <w:pPr>
              <w:widowControl/>
              <w:snapToGrid w:val="0"/>
              <w:spacing w:line="320" w:lineRule="exact"/>
              <w:jc w:val="center"/>
              <w:textAlignment w:val="top"/>
              <w:rPr>
                <w:rFonts w:hAnsi="宋体" w:cs="宋体"/>
                <w:bCs/>
                <w:iCs/>
                <w:kern w:val="0"/>
                <w:szCs w:val="21"/>
                <w:highlight w:val="none"/>
              </w:rPr>
            </w:pPr>
            <w:r>
              <w:rPr>
                <w:rFonts w:hint="eastAsia" w:ascii="宋体" w:hAnsi="宋体" w:cs="宋体"/>
                <w:kern w:val="0"/>
                <w:szCs w:val="21"/>
                <w:highlight w:val="none"/>
                <w:lang w:val="en-US" w:eastAsia="zh-CN"/>
              </w:rPr>
              <w:t>10</w:t>
            </w:r>
            <w:r>
              <w:rPr>
                <w:rFonts w:hint="eastAsia" w:ascii="宋体" w:hAnsi="宋体" w:cs="宋体"/>
                <w:kern w:val="0"/>
                <w:szCs w:val="21"/>
                <w:highlight w:val="none"/>
              </w:rPr>
              <w:t>分</w:t>
            </w:r>
          </w:p>
        </w:tc>
        <w:tc>
          <w:tcPr>
            <w:tcW w:w="5781" w:type="dxa"/>
            <w:tcBorders>
              <w:top w:val="single" w:color="auto" w:sz="4" w:space="0"/>
              <w:left w:val="single" w:color="auto" w:sz="4" w:space="0"/>
              <w:bottom w:val="single" w:color="auto" w:sz="4" w:space="0"/>
            </w:tcBorders>
            <w:noWrap w:val="0"/>
            <w:vAlign w:val="top"/>
          </w:tcPr>
          <w:p w14:paraId="0445C003">
            <w:pPr>
              <w:widowControl/>
              <w:snapToGrid w:val="0"/>
              <w:spacing w:line="320" w:lineRule="exact"/>
              <w:jc w:val="left"/>
              <w:textAlignment w:val="top"/>
              <w:rPr>
                <w:rFonts w:ascii="宋体" w:hAnsi="宋体"/>
                <w:szCs w:val="21"/>
                <w:highlight w:val="none"/>
              </w:rPr>
            </w:pPr>
            <w:r>
              <w:rPr>
                <w:rFonts w:hint="eastAsia" w:hAnsi="宋体"/>
                <w:color w:val="auto"/>
                <w:highlight w:val="none"/>
              </w:rPr>
              <w:t>分析透彻，对难点、重点把握准确；处理措施科学合理，有效可行</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得8</w:t>
            </w:r>
            <w:r>
              <w:rPr>
                <w:rFonts w:hint="eastAsia" w:ascii="宋体" w:hAnsi="宋体" w:cs="宋体"/>
                <w:kern w:val="0"/>
                <w:szCs w:val="21"/>
                <w:highlight w:val="none"/>
              </w:rPr>
              <w:t>-</w:t>
            </w:r>
            <w:r>
              <w:rPr>
                <w:rFonts w:hint="eastAsia" w:ascii="宋体" w:hAnsi="宋体" w:cs="宋体"/>
                <w:kern w:val="0"/>
                <w:szCs w:val="21"/>
                <w:highlight w:val="none"/>
                <w:lang w:val="en-US" w:eastAsia="zh-CN"/>
              </w:rPr>
              <w:t>10</w:t>
            </w:r>
            <w:r>
              <w:rPr>
                <w:rFonts w:hint="eastAsia" w:ascii="宋体" w:hAnsi="宋体" w:cs="宋体"/>
                <w:kern w:val="0"/>
                <w:szCs w:val="21"/>
                <w:highlight w:val="none"/>
              </w:rPr>
              <w:t>分</w:t>
            </w:r>
          </w:p>
        </w:tc>
      </w:tr>
      <w:tr w14:paraId="0B0DE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7" w:hRule="atLeast"/>
        </w:trPr>
        <w:tc>
          <w:tcPr>
            <w:tcW w:w="539" w:type="dxa"/>
            <w:vMerge w:val="continue"/>
            <w:noWrap w:val="0"/>
            <w:vAlign w:val="center"/>
          </w:tcPr>
          <w:p w14:paraId="110FDA94">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14:paraId="22AE0FF8">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14:paraId="2C323AC7">
            <w:pPr>
              <w:autoSpaceDE w:val="0"/>
              <w:autoSpaceDN w:val="0"/>
              <w:snapToGrid w:val="0"/>
              <w:spacing w:line="320" w:lineRule="exact"/>
              <w:rPr>
                <w:rFonts w:ascii="宋体" w:hAnsi="宋体" w:cs="宋体"/>
                <w:kern w:val="0"/>
                <w:szCs w:val="21"/>
                <w:highlight w:val="none"/>
              </w:rPr>
            </w:pPr>
          </w:p>
        </w:tc>
        <w:tc>
          <w:tcPr>
            <w:tcW w:w="1244" w:type="dxa"/>
            <w:vMerge w:val="continue"/>
            <w:tcBorders>
              <w:right w:val="single" w:color="auto" w:sz="4" w:space="0"/>
            </w:tcBorders>
            <w:noWrap w:val="0"/>
            <w:vAlign w:val="center"/>
          </w:tcPr>
          <w:p w14:paraId="6004C9A4">
            <w:pPr>
              <w:snapToGrid w:val="0"/>
              <w:spacing w:line="320" w:lineRule="exact"/>
              <w:jc w:val="center"/>
              <w:rPr>
                <w:rFonts w:hAnsi="宋体"/>
                <w:bCs/>
                <w:iCs/>
                <w:szCs w:val="21"/>
                <w:highlight w:val="none"/>
              </w:rPr>
            </w:pPr>
          </w:p>
        </w:tc>
        <w:tc>
          <w:tcPr>
            <w:tcW w:w="750" w:type="dxa"/>
            <w:vMerge w:val="continue"/>
            <w:tcBorders>
              <w:left w:val="single" w:color="auto" w:sz="4" w:space="0"/>
              <w:bottom w:val="single" w:color="auto" w:sz="4" w:space="0"/>
              <w:right w:val="single" w:color="auto" w:sz="4" w:space="0"/>
            </w:tcBorders>
            <w:noWrap w:val="0"/>
            <w:vAlign w:val="center"/>
          </w:tcPr>
          <w:p w14:paraId="06D63DEB">
            <w:pPr>
              <w:widowControl/>
              <w:snapToGrid w:val="0"/>
              <w:spacing w:line="320" w:lineRule="exact"/>
              <w:jc w:val="center"/>
              <w:textAlignment w:val="top"/>
              <w:rPr>
                <w:rFonts w:hAnsi="宋体" w:cs="宋体"/>
                <w:bCs/>
                <w:iCs/>
                <w:kern w:val="0"/>
                <w:szCs w:val="21"/>
                <w:highlight w:val="none"/>
              </w:rPr>
            </w:pPr>
          </w:p>
        </w:tc>
        <w:tc>
          <w:tcPr>
            <w:tcW w:w="5781" w:type="dxa"/>
            <w:tcBorders>
              <w:top w:val="single" w:color="auto" w:sz="4" w:space="0"/>
              <w:left w:val="single" w:color="auto" w:sz="4" w:space="0"/>
              <w:bottom w:val="single" w:color="auto" w:sz="4" w:space="0"/>
            </w:tcBorders>
            <w:noWrap w:val="0"/>
            <w:vAlign w:val="top"/>
          </w:tcPr>
          <w:p w14:paraId="6971A2E4">
            <w:pPr>
              <w:widowControl/>
              <w:snapToGrid w:val="0"/>
              <w:spacing w:line="320" w:lineRule="exact"/>
              <w:jc w:val="left"/>
              <w:textAlignment w:val="top"/>
              <w:rPr>
                <w:rFonts w:ascii="宋体" w:hAnsi="宋体"/>
                <w:szCs w:val="21"/>
                <w:highlight w:val="none"/>
              </w:rPr>
            </w:pPr>
            <w:r>
              <w:rPr>
                <w:rFonts w:hint="eastAsia" w:hAnsi="宋体"/>
                <w:color w:val="auto"/>
                <w:highlight w:val="none"/>
              </w:rPr>
              <w:t>分析较透彻，对难点、重点把握较准确；处理措施合理，可行</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得6</w:t>
            </w:r>
            <w:r>
              <w:rPr>
                <w:rFonts w:hint="eastAsia" w:ascii="宋体" w:hAnsi="宋体" w:cs="宋体"/>
                <w:kern w:val="0"/>
                <w:szCs w:val="21"/>
                <w:highlight w:val="none"/>
              </w:rPr>
              <w:t>-</w:t>
            </w:r>
            <w:r>
              <w:rPr>
                <w:rFonts w:hint="eastAsia" w:ascii="宋体" w:hAnsi="宋体" w:cs="宋体"/>
                <w:kern w:val="0"/>
                <w:szCs w:val="21"/>
                <w:highlight w:val="none"/>
                <w:lang w:val="en-US" w:eastAsia="zh-CN"/>
              </w:rPr>
              <w:t>8</w:t>
            </w:r>
            <w:r>
              <w:rPr>
                <w:rFonts w:hint="eastAsia" w:ascii="宋体" w:hAnsi="宋体" w:cs="宋体"/>
                <w:kern w:val="0"/>
                <w:szCs w:val="21"/>
                <w:highlight w:val="none"/>
              </w:rPr>
              <w:t>分</w:t>
            </w:r>
          </w:p>
        </w:tc>
      </w:tr>
      <w:tr w14:paraId="7860C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14:paraId="13D6CB89">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14:paraId="4AFAFA51">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14:paraId="77F9A38B">
            <w:pPr>
              <w:autoSpaceDE w:val="0"/>
              <w:autoSpaceDN w:val="0"/>
              <w:snapToGrid w:val="0"/>
              <w:spacing w:line="320" w:lineRule="exact"/>
              <w:rPr>
                <w:rFonts w:ascii="宋体" w:hAnsi="宋体" w:cs="宋体"/>
                <w:kern w:val="0"/>
                <w:szCs w:val="21"/>
                <w:highlight w:val="none"/>
              </w:rPr>
            </w:pPr>
          </w:p>
        </w:tc>
        <w:tc>
          <w:tcPr>
            <w:tcW w:w="1244" w:type="dxa"/>
            <w:vMerge w:val="continue"/>
            <w:tcBorders>
              <w:bottom w:val="single" w:color="auto" w:sz="4" w:space="0"/>
              <w:right w:val="single" w:color="auto" w:sz="4" w:space="0"/>
            </w:tcBorders>
            <w:noWrap w:val="0"/>
            <w:vAlign w:val="center"/>
          </w:tcPr>
          <w:p w14:paraId="713E7C56">
            <w:pPr>
              <w:snapToGrid w:val="0"/>
              <w:spacing w:line="320" w:lineRule="exact"/>
              <w:jc w:val="center"/>
              <w:rPr>
                <w:rFonts w:hAnsi="宋体"/>
                <w:bCs/>
                <w:iCs/>
                <w:szCs w:val="21"/>
                <w:highlight w:val="none"/>
              </w:rPr>
            </w:pPr>
          </w:p>
        </w:tc>
        <w:tc>
          <w:tcPr>
            <w:tcW w:w="750" w:type="dxa"/>
            <w:vMerge w:val="continue"/>
            <w:tcBorders>
              <w:left w:val="single" w:color="auto" w:sz="4" w:space="0"/>
              <w:bottom w:val="single" w:color="auto" w:sz="4" w:space="0"/>
              <w:right w:val="single" w:color="auto" w:sz="4" w:space="0"/>
            </w:tcBorders>
            <w:noWrap w:val="0"/>
            <w:vAlign w:val="center"/>
          </w:tcPr>
          <w:p w14:paraId="1FD95696">
            <w:pPr>
              <w:widowControl/>
              <w:snapToGrid w:val="0"/>
              <w:spacing w:line="320" w:lineRule="exact"/>
              <w:jc w:val="center"/>
              <w:textAlignment w:val="top"/>
              <w:rPr>
                <w:rFonts w:hAnsi="宋体" w:cs="宋体"/>
                <w:bCs/>
                <w:iCs/>
                <w:kern w:val="0"/>
                <w:szCs w:val="21"/>
                <w:highlight w:val="none"/>
              </w:rPr>
            </w:pPr>
          </w:p>
        </w:tc>
        <w:tc>
          <w:tcPr>
            <w:tcW w:w="5781" w:type="dxa"/>
            <w:tcBorders>
              <w:top w:val="single" w:color="auto" w:sz="4" w:space="0"/>
              <w:left w:val="single" w:color="auto" w:sz="4" w:space="0"/>
              <w:bottom w:val="single" w:color="auto" w:sz="4" w:space="0"/>
            </w:tcBorders>
            <w:noWrap w:val="0"/>
            <w:vAlign w:val="top"/>
          </w:tcPr>
          <w:p w14:paraId="7097EC3E">
            <w:pPr>
              <w:widowControl/>
              <w:snapToGrid w:val="0"/>
              <w:spacing w:line="320" w:lineRule="exact"/>
              <w:jc w:val="left"/>
              <w:textAlignment w:val="top"/>
              <w:rPr>
                <w:rFonts w:ascii="宋体" w:hAnsi="宋体"/>
                <w:szCs w:val="21"/>
                <w:highlight w:val="none"/>
              </w:rPr>
            </w:pPr>
            <w:r>
              <w:rPr>
                <w:rFonts w:hint="eastAsia" w:hAnsi="宋体"/>
                <w:color w:val="auto"/>
                <w:highlight w:val="none"/>
              </w:rPr>
              <w:t>分析一般，对难点、重点把握一般；处理措施基本合理，基本可行</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得6</w:t>
            </w:r>
            <w:r>
              <w:rPr>
                <w:rFonts w:hint="eastAsia" w:ascii="宋体" w:hAnsi="宋体" w:cs="宋体"/>
                <w:kern w:val="0"/>
                <w:szCs w:val="21"/>
                <w:highlight w:val="none"/>
              </w:rPr>
              <w:t>分</w:t>
            </w:r>
          </w:p>
        </w:tc>
      </w:tr>
      <w:tr w14:paraId="067B7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14:paraId="4AADE57A">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14:paraId="26B80B24">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14:paraId="14BAB317">
            <w:pPr>
              <w:autoSpaceDE w:val="0"/>
              <w:autoSpaceDN w:val="0"/>
              <w:snapToGrid w:val="0"/>
              <w:spacing w:line="320" w:lineRule="exact"/>
              <w:rPr>
                <w:rFonts w:ascii="宋体" w:hAnsi="宋体" w:cs="宋体"/>
                <w:kern w:val="0"/>
                <w:szCs w:val="21"/>
                <w:highlight w:val="none"/>
              </w:rPr>
            </w:pPr>
          </w:p>
        </w:tc>
        <w:tc>
          <w:tcPr>
            <w:tcW w:w="1244" w:type="dxa"/>
            <w:vMerge w:val="restart"/>
            <w:tcBorders>
              <w:top w:val="single" w:color="auto" w:sz="4" w:space="0"/>
              <w:right w:val="single" w:color="auto" w:sz="4" w:space="0"/>
            </w:tcBorders>
            <w:noWrap w:val="0"/>
            <w:vAlign w:val="center"/>
          </w:tcPr>
          <w:p w14:paraId="08D99B25">
            <w:pPr>
              <w:snapToGrid w:val="0"/>
              <w:spacing w:line="320" w:lineRule="exact"/>
              <w:jc w:val="center"/>
              <w:rPr>
                <w:rFonts w:hAnsi="宋体"/>
                <w:szCs w:val="21"/>
                <w:highlight w:val="none"/>
              </w:rPr>
            </w:pPr>
            <w:r>
              <w:rPr>
                <w:rFonts w:hint="eastAsia" w:ascii="宋体" w:hAnsi="宋体" w:cs="宋体"/>
                <w:kern w:val="0"/>
                <w:szCs w:val="21"/>
                <w:highlight w:val="none"/>
              </w:rPr>
              <w:t>主要服务内容</w:t>
            </w:r>
          </w:p>
        </w:tc>
        <w:tc>
          <w:tcPr>
            <w:tcW w:w="750" w:type="dxa"/>
            <w:vMerge w:val="restart"/>
            <w:tcBorders>
              <w:top w:val="single" w:color="auto" w:sz="4" w:space="0"/>
              <w:left w:val="single" w:color="auto" w:sz="4" w:space="0"/>
              <w:right w:val="single" w:color="auto" w:sz="4" w:space="0"/>
            </w:tcBorders>
            <w:noWrap w:val="0"/>
            <w:vAlign w:val="center"/>
          </w:tcPr>
          <w:p w14:paraId="3EEAEE7E">
            <w:pPr>
              <w:widowControl/>
              <w:snapToGrid w:val="0"/>
              <w:spacing w:line="320" w:lineRule="exact"/>
              <w:jc w:val="center"/>
              <w:textAlignment w:val="top"/>
              <w:rPr>
                <w:rFonts w:hAnsi="宋体" w:cs="宋体"/>
                <w:kern w:val="0"/>
                <w:szCs w:val="21"/>
                <w:highlight w:val="none"/>
              </w:rPr>
            </w:pPr>
            <w:r>
              <w:rPr>
                <w:rFonts w:hint="eastAsia" w:ascii="宋体" w:hAnsi="宋体" w:cs="宋体"/>
                <w:kern w:val="0"/>
                <w:szCs w:val="21"/>
                <w:highlight w:val="none"/>
                <w:lang w:val="en-US" w:eastAsia="zh-CN"/>
              </w:rPr>
              <w:t>10</w:t>
            </w:r>
            <w:r>
              <w:rPr>
                <w:rFonts w:hint="eastAsia" w:ascii="宋体" w:hAnsi="宋体" w:cs="宋体"/>
                <w:kern w:val="0"/>
                <w:szCs w:val="21"/>
                <w:highlight w:val="none"/>
              </w:rPr>
              <w:t>分</w:t>
            </w:r>
          </w:p>
        </w:tc>
        <w:tc>
          <w:tcPr>
            <w:tcW w:w="5781" w:type="dxa"/>
            <w:tcBorders>
              <w:top w:val="single" w:color="auto" w:sz="4" w:space="0"/>
              <w:left w:val="single" w:color="auto" w:sz="4" w:space="0"/>
              <w:bottom w:val="single" w:color="auto" w:sz="4" w:space="0"/>
            </w:tcBorders>
            <w:noWrap w:val="0"/>
            <w:vAlign w:val="top"/>
          </w:tcPr>
          <w:p w14:paraId="78CCEB32">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把握准确、描述清楚</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得8</w:t>
            </w:r>
            <w:r>
              <w:rPr>
                <w:rFonts w:hint="eastAsia" w:ascii="宋体" w:hAnsi="宋体" w:cs="宋体"/>
                <w:kern w:val="0"/>
                <w:szCs w:val="21"/>
                <w:highlight w:val="none"/>
              </w:rPr>
              <w:t>-</w:t>
            </w:r>
            <w:r>
              <w:rPr>
                <w:rFonts w:hint="eastAsia" w:ascii="宋体" w:hAnsi="宋体" w:cs="宋体"/>
                <w:kern w:val="0"/>
                <w:szCs w:val="21"/>
                <w:highlight w:val="none"/>
                <w:lang w:val="en-US" w:eastAsia="zh-CN"/>
              </w:rPr>
              <w:t>10</w:t>
            </w:r>
            <w:r>
              <w:rPr>
                <w:rFonts w:hint="eastAsia" w:ascii="宋体" w:hAnsi="宋体" w:cs="宋体"/>
                <w:kern w:val="0"/>
                <w:szCs w:val="21"/>
                <w:highlight w:val="none"/>
              </w:rPr>
              <w:t>分</w:t>
            </w:r>
          </w:p>
        </w:tc>
      </w:tr>
      <w:tr w14:paraId="3C358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14:paraId="05E5F81B">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14:paraId="6E465C9E">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14:paraId="6E3108AD">
            <w:pPr>
              <w:autoSpaceDE w:val="0"/>
              <w:autoSpaceDN w:val="0"/>
              <w:snapToGrid w:val="0"/>
              <w:spacing w:line="320" w:lineRule="exact"/>
              <w:rPr>
                <w:rFonts w:ascii="宋体" w:hAnsi="宋体" w:cs="宋体"/>
                <w:kern w:val="0"/>
                <w:szCs w:val="21"/>
                <w:highlight w:val="none"/>
              </w:rPr>
            </w:pPr>
          </w:p>
        </w:tc>
        <w:tc>
          <w:tcPr>
            <w:tcW w:w="1244" w:type="dxa"/>
            <w:vMerge w:val="continue"/>
            <w:tcBorders>
              <w:right w:val="single" w:color="auto" w:sz="4" w:space="0"/>
            </w:tcBorders>
            <w:noWrap w:val="0"/>
            <w:vAlign w:val="center"/>
          </w:tcPr>
          <w:p w14:paraId="1889439B">
            <w:pPr>
              <w:snapToGrid w:val="0"/>
              <w:spacing w:line="320" w:lineRule="exact"/>
              <w:jc w:val="center"/>
              <w:rPr>
                <w:rFonts w:hAnsi="宋体"/>
                <w:szCs w:val="21"/>
                <w:highlight w:val="none"/>
              </w:rPr>
            </w:pPr>
          </w:p>
        </w:tc>
        <w:tc>
          <w:tcPr>
            <w:tcW w:w="750" w:type="dxa"/>
            <w:vMerge w:val="continue"/>
            <w:tcBorders>
              <w:left w:val="single" w:color="auto" w:sz="4" w:space="0"/>
              <w:bottom w:val="single" w:color="auto" w:sz="4" w:space="0"/>
              <w:right w:val="single" w:color="auto" w:sz="4" w:space="0"/>
            </w:tcBorders>
            <w:noWrap w:val="0"/>
            <w:vAlign w:val="center"/>
          </w:tcPr>
          <w:p w14:paraId="2137D03C">
            <w:pPr>
              <w:widowControl/>
              <w:snapToGrid w:val="0"/>
              <w:spacing w:line="320" w:lineRule="exact"/>
              <w:jc w:val="center"/>
              <w:textAlignment w:val="top"/>
              <w:rPr>
                <w:rFonts w:hAnsi="宋体" w:cs="宋体"/>
                <w:kern w:val="0"/>
                <w:szCs w:val="21"/>
                <w:highlight w:val="none"/>
              </w:rPr>
            </w:pPr>
          </w:p>
        </w:tc>
        <w:tc>
          <w:tcPr>
            <w:tcW w:w="5781" w:type="dxa"/>
            <w:tcBorders>
              <w:top w:val="single" w:color="auto" w:sz="4" w:space="0"/>
              <w:left w:val="single" w:color="auto" w:sz="4" w:space="0"/>
              <w:bottom w:val="single" w:color="auto" w:sz="4" w:space="0"/>
            </w:tcBorders>
            <w:noWrap w:val="0"/>
            <w:vAlign w:val="top"/>
          </w:tcPr>
          <w:p w14:paraId="4E846C34">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把握较准确、描述</w:t>
            </w:r>
            <w:r>
              <w:rPr>
                <w:rFonts w:hint="eastAsia" w:ascii="宋体" w:hAnsi="宋体" w:cs="宋体"/>
                <w:kern w:val="0"/>
                <w:szCs w:val="21"/>
                <w:highlight w:val="none"/>
                <w:lang w:val="en-US" w:eastAsia="zh-CN"/>
              </w:rPr>
              <w:t>较</w:t>
            </w:r>
            <w:r>
              <w:rPr>
                <w:rFonts w:hint="eastAsia" w:ascii="宋体" w:hAnsi="宋体" w:cs="宋体"/>
                <w:kern w:val="0"/>
                <w:szCs w:val="21"/>
                <w:highlight w:val="none"/>
              </w:rPr>
              <w:t>清楚</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得6</w:t>
            </w:r>
            <w:r>
              <w:rPr>
                <w:rFonts w:hint="eastAsia" w:ascii="宋体" w:hAnsi="宋体" w:cs="宋体"/>
                <w:kern w:val="0"/>
                <w:szCs w:val="21"/>
                <w:highlight w:val="none"/>
              </w:rPr>
              <w:t>-</w:t>
            </w:r>
            <w:r>
              <w:rPr>
                <w:rFonts w:hint="eastAsia" w:ascii="宋体" w:hAnsi="宋体" w:cs="宋体"/>
                <w:kern w:val="0"/>
                <w:szCs w:val="21"/>
                <w:highlight w:val="none"/>
                <w:lang w:val="en-US" w:eastAsia="zh-CN"/>
              </w:rPr>
              <w:t>8</w:t>
            </w:r>
            <w:r>
              <w:rPr>
                <w:rFonts w:hint="eastAsia" w:ascii="宋体" w:hAnsi="宋体" w:cs="宋体"/>
                <w:kern w:val="0"/>
                <w:szCs w:val="21"/>
                <w:highlight w:val="none"/>
              </w:rPr>
              <w:t>分</w:t>
            </w:r>
          </w:p>
        </w:tc>
      </w:tr>
      <w:tr w14:paraId="0C0DA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14:paraId="28FAD85A">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14:paraId="08039029">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14:paraId="6E714116">
            <w:pPr>
              <w:autoSpaceDE w:val="0"/>
              <w:autoSpaceDN w:val="0"/>
              <w:snapToGrid w:val="0"/>
              <w:spacing w:line="320" w:lineRule="exact"/>
              <w:rPr>
                <w:rFonts w:ascii="宋体" w:hAnsi="宋体" w:cs="宋体"/>
                <w:kern w:val="0"/>
                <w:szCs w:val="21"/>
                <w:highlight w:val="none"/>
              </w:rPr>
            </w:pPr>
          </w:p>
        </w:tc>
        <w:tc>
          <w:tcPr>
            <w:tcW w:w="1244" w:type="dxa"/>
            <w:vMerge w:val="continue"/>
            <w:tcBorders>
              <w:bottom w:val="single" w:color="auto" w:sz="4" w:space="0"/>
              <w:right w:val="single" w:color="auto" w:sz="4" w:space="0"/>
            </w:tcBorders>
            <w:noWrap w:val="0"/>
            <w:vAlign w:val="center"/>
          </w:tcPr>
          <w:p w14:paraId="59BA45DF">
            <w:pPr>
              <w:snapToGrid w:val="0"/>
              <w:spacing w:line="320" w:lineRule="exact"/>
              <w:jc w:val="center"/>
              <w:rPr>
                <w:rFonts w:hAnsi="宋体"/>
                <w:szCs w:val="21"/>
                <w:highlight w:val="none"/>
              </w:rPr>
            </w:pPr>
          </w:p>
        </w:tc>
        <w:tc>
          <w:tcPr>
            <w:tcW w:w="750" w:type="dxa"/>
            <w:vMerge w:val="continue"/>
            <w:tcBorders>
              <w:left w:val="single" w:color="auto" w:sz="4" w:space="0"/>
              <w:bottom w:val="single" w:color="auto" w:sz="4" w:space="0"/>
              <w:right w:val="single" w:color="auto" w:sz="4" w:space="0"/>
            </w:tcBorders>
            <w:noWrap w:val="0"/>
            <w:vAlign w:val="center"/>
          </w:tcPr>
          <w:p w14:paraId="68974498">
            <w:pPr>
              <w:widowControl/>
              <w:snapToGrid w:val="0"/>
              <w:spacing w:line="320" w:lineRule="exact"/>
              <w:jc w:val="center"/>
              <w:textAlignment w:val="top"/>
              <w:rPr>
                <w:rFonts w:hAnsi="宋体" w:cs="宋体"/>
                <w:kern w:val="0"/>
                <w:szCs w:val="21"/>
                <w:highlight w:val="none"/>
              </w:rPr>
            </w:pPr>
          </w:p>
        </w:tc>
        <w:tc>
          <w:tcPr>
            <w:tcW w:w="5781" w:type="dxa"/>
            <w:tcBorders>
              <w:top w:val="single" w:color="auto" w:sz="4" w:space="0"/>
              <w:left w:val="single" w:color="auto" w:sz="4" w:space="0"/>
              <w:bottom w:val="single" w:color="auto" w:sz="4" w:space="0"/>
            </w:tcBorders>
            <w:noWrap w:val="0"/>
            <w:vAlign w:val="top"/>
          </w:tcPr>
          <w:p w14:paraId="5E9EED75">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把握基本准确、描述基本清楚</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得6</w:t>
            </w:r>
            <w:r>
              <w:rPr>
                <w:rFonts w:hint="eastAsia" w:ascii="宋体" w:hAnsi="宋体" w:cs="宋体"/>
                <w:kern w:val="0"/>
                <w:szCs w:val="21"/>
                <w:highlight w:val="none"/>
              </w:rPr>
              <w:t>分</w:t>
            </w:r>
          </w:p>
        </w:tc>
      </w:tr>
      <w:tr w14:paraId="1AF7B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noWrap w:val="0"/>
            <w:vAlign w:val="center"/>
          </w:tcPr>
          <w:p w14:paraId="57506E36">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14:paraId="0DF8F9B5">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14:paraId="4CD89293">
            <w:pPr>
              <w:autoSpaceDE w:val="0"/>
              <w:autoSpaceDN w:val="0"/>
              <w:snapToGrid w:val="0"/>
              <w:spacing w:line="320" w:lineRule="exact"/>
              <w:rPr>
                <w:rFonts w:ascii="宋体" w:hAnsi="宋体" w:cs="宋体"/>
                <w:kern w:val="0"/>
                <w:szCs w:val="21"/>
                <w:highlight w:val="none"/>
              </w:rPr>
            </w:pPr>
          </w:p>
        </w:tc>
        <w:tc>
          <w:tcPr>
            <w:tcW w:w="1244" w:type="dxa"/>
            <w:vMerge w:val="restart"/>
            <w:tcBorders>
              <w:top w:val="single" w:color="auto" w:sz="4" w:space="0"/>
              <w:right w:val="single" w:color="auto" w:sz="4" w:space="0"/>
            </w:tcBorders>
            <w:noWrap w:val="0"/>
            <w:vAlign w:val="center"/>
          </w:tcPr>
          <w:p w14:paraId="2DD3E427">
            <w:pPr>
              <w:autoSpaceDE w:val="0"/>
              <w:autoSpaceDN w:val="0"/>
              <w:snapToGrid w:val="0"/>
              <w:spacing w:line="320" w:lineRule="exact"/>
              <w:jc w:val="center"/>
              <w:rPr>
                <w:rFonts w:ascii="宋体" w:hAnsi="宋体" w:cs="宋体"/>
                <w:kern w:val="0"/>
                <w:szCs w:val="21"/>
                <w:highlight w:val="none"/>
              </w:rPr>
            </w:pPr>
            <w:r>
              <w:rPr>
                <w:rFonts w:hint="eastAsia"/>
                <w:szCs w:val="21"/>
                <w:highlight w:val="none"/>
                <w:lang w:val="en-US" w:eastAsia="zh-CN"/>
              </w:rPr>
              <w:t>工作量和计划安排</w:t>
            </w:r>
          </w:p>
        </w:tc>
        <w:tc>
          <w:tcPr>
            <w:tcW w:w="750" w:type="dxa"/>
            <w:vMerge w:val="restart"/>
            <w:tcBorders>
              <w:top w:val="single" w:color="auto" w:sz="4" w:space="0"/>
              <w:left w:val="single" w:color="auto" w:sz="4" w:space="0"/>
              <w:right w:val="single" w:color="auto" w:sz="4" w:space="0"/>
            </w:tcBorders>
            <w:noWrap w:val="0"/>
            <w:vAlign w:val="center"/>
          </w:tcPr>
          <w:p w14:paraId="070AB97F">
            <w:pPr>
              <w:autoSpaceDE w:val="0"/>
              <w:autoSpaceDN w:val="0"/>
              <w:snapToGrid w:val="0"/>
              <w:spacing w:line="320" w:lineRule="exact"/>
              <w:jc w:val="center"/>
              <w:rPr>
                <w:rFonts w:ascii="宋体" w:hAnsi="宋体" w:cs="宋体"/>
                <w:kern w:val="0"/>
                <w:szCs w:val="21"/>
                <w:highlight w:val="none"/>
              </w:rPr>
            </w:pPr>
            <w:r>
              <w:rPr>
                <w:rFonts w:hint="eastAsia" w:ascii="宋体" w:hAnsi="宋体"/>
                <w:szCs w:val="21"/>
                <w:highlight w:val="none"/>
              </w:rPr>
              <w:t>10分</w:t>
            </w:r>
          </w:p>
        </w:tc>
        <w:tc>
          <w:tcPr>
            <w:tcW w:w="5781" w:type="dxa"/>
            <w:tcBorders>
              <w:top w:val="single" w:color="auto" w:sz="4" w:space="0"/>
              <w:left w:val="single" w:color="auto" w:sz="4" w:space="0"/>
              <w:bottom w:val="single" w:color="auto" w:sz="4" w:space="0"/>
            </w:tcBorders>
            <w:noWrap w:val="0"/>
            <w:vAlign w:val="center"/>
          </w:tcPr>
          <w:p w14:paraId="4351A4C0">
            <w:pPr>
              <w:widowControl/>
              <w:snapToGrid w:val="0"/>
              <w:spacing w:line="320" w:lineRule="exact"/>
              <w:jc w:val="left"/>
              <w:textAlignment w:val="top"/>
              <w:rPr>
                <w:rFonts w:ascii="宋体" w:hAnsi="宋体"/>
                <w:szCs w:val="21"/>
                <w:highlight w:val="none"/>
              </w:rPr>
            </w:pPr>
            <w:r>
              <w:rPr>
                <w:rFonts w:hint="eastAsia" w:hAnsi="宋体"/>
                <w:highlight w:val="none"/>
              </w:rPr>
              <w:t>工作量及计划安排科学</w:t>
            </w:r>
            <w:r>
              <w:rPr>
                <w:rFonts w:hint="eastAsia" w:hAnsi="宋体"/>
                <w:highlight w:val="none"/>
                <w:lang w:val="en-US" w:eastAsia="zh-CN"/>
              </w:rPr>
              <w:t>合理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得</w:t>
            </w:r>
            <w:r>
              <w:rPr>
                <w:rFonts w:hint="eastAsia" w:ascii="宋体" w:hAnsi="宋体" w:cs="宋体"/>
                <w:kern w:val="0"/>
                <w:szCs w:val="21"/>
                <w:highlight w:val="none"/>
              </w:rPr>
              <w:t>8-10 分</w:t>
            </w:r>
          </w:p>
        </w:tc>
      </w:tr>
      <w:tr w14:paraId="44EF1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7" w:hRule="atLeast"/>
        </w:trPr>
        <w:tc>
          <w:tcPr>
            <w:tcW w:w="539" w:type="dxa"/>
            <w:vMerge w:val="continue"/>
            <w:noWrap w:val="0"/>
            <w:vAlign w:val="center"/>
          </w:tcPr>
          <w:p w14:paraId="26CF2F9A">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14:paraId="40E45527">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14:paraId="49665B4D">
            <w:pPr>
              <w:autoSpaceDE w:val="0"/>
              <w:autoSpaceDN w:val="0"/>
              <w:snapToGrid w:val="0"/>
              <w:spacing w:line="320" w:lineRule="exact"/>
              <w:rPr>
                <w:rFonts w:ascii="宋体" w:hAnsi="宋体" w:cs="宋体"/>
                <w:kern w:val="0"/>
                <w:szCs w:val="21"/>
                <w:highlight w:val="none"/>
              </w:rPr>
            </w:pPr>
          </w:p>
        </w:tc>
        <w:tc>
          <w:tcPr>
            <w:tcW w:w="1244" w:type="dxa"/>
            <w:vMerge w:val="continue"/>
            <w:tcBorders>
              <w:bottom w:val="single" w:color="auto" w:sz="4" w:space="0"/>
              <w:right w:val="single" w:color="auto" w:sz="4" w:space="0"/>
            </w:tcBorders>
            <w:noWrap w:val="0"/>
            <w:vAlign w:val="center"/>
          </w:tcPr>
          <w:p w14:paraId="4876BD74">
            <w:pPr>
              <w:autoSpaceDE w:val="0"/>
              <w:autoSpaceDN w:val="0"/>
              <w:snapToGrid w:val="0"/>
              <w:spacing w:line="320" w:lineRule="exact"/>
              <w:jc w:val="center"/>
              <w:rPr>
                <w:rFonts w:ascii="宋体" w:hAnsi="宋体" w:cs="宋体"/>
                <w:kern w:val="0"/>
                <w:szCs w:val="21"/>
                <w:highlight w:val="none"/>
              </w:rPr>
            </w:pPr>
          </w:p>
        </w:tc>
        <w:tc>
          <w:tcPr>
            <w:tcW w:w="750" w:type="dxa"/>
            <w:vMerge w:val="continue"/>
            <w:tcBorders>
              <w:left w:val="single" w:color="auto" w:sz="4" w:space="0"/>
              <w:bottom w:val="single" w:color="auto" w:sz="4" w:space="0"/>
              <w:right w:val="single" w:color="auto" w:sz="4" w:space="0"/>
            </w:tcBorders>
            <w:noWrap w:val="0"/>
            <w:vAlign w:val="center"/>
          </w:tcPr>
          <w:p w14:paraId="59D75D04">
            <w:pPr>
              <w:autoSpaceDE w:val="0"/>
              <w:autoSpaceDN w:val="0"/>
              <w:snapToGrid w:val="0"/>
              <w:spacing w:line="320" w:lineRule="exact"/>
              <w:jc w:val="center"/>
              <w:rPr>
                <w:rFonts w:ascii="宋体" w:hAnsi="宋体" w:cs="宋体"/>
                <w:kern w:val="0"/>
                <w:szCs w:val="21"/>
                <w:highlight w:val="none"/>
              </w:rPr>
            </w:pPr>
          </w:p>
        </w:tc>
        <w:tc>
          <w:tcPr>
            <w:tcW w:w="5781" w:type="dxa"/>
            <w:tcBorders>
              <w:top w:val="single" w:color="auto" w:sz="4" w:space="0"/>
              <w:left w:val="single" w:color="auto" w:sz="4" w:space="0"/>
              <w:bottom w:val="single" w:color="auto" w:sz="4" w:space="0"/>
            </w:tcBorders>
            <w:noWrap w:val="0"/>
            <w:vAlign w:val="center"/>
          </w:tcPr>
          <w:p w14:paraId="7DB016D4">
            <w:pPr>
              <w:widowControl/>
              <w:snapToGrid w:val="0"/>
              <w:spacing w:line="320" w:lineRule="exact"/>
              <w:jc w:val="left"/>
              <w:textAlignment w:val="top"/>
              <w:rPr>
                <w:rFonts w:ascii="宋体" w:hAnsi="宋体"/>
                <w:szCs w:val="21"/>
                <w:highlight w:val="none"/>
              </w:rPr>
            </w:pPr>
            <w:r>
              <w:rPr>
                <w:rFonts w:hint="eastAsia" w:hAnsi="宋体"/>
                <w:highlight w:val="none"/>
              </w:rPr>
              <w:t>工作量及计划安排</w:t>
            </w:r>
            <w:r>
              <w:rPr>
                <w:rFonts w:hint="eastAsia" w:hAnsi="宋体"/>
                <w:highlight w:val="none"/>
                <w:lang w:val="en-US" w:eastAsia="zh-CN"/>
              </w:rPr>
              <w:t>较</w:t>
            </w:r>
            <w:r>
              <w:rPr>
                <w:rFonts w:hint="eastAsia" w:hAnsi="宋体"/>
                <w:highlight w:val="none"/>
              </w:rPr>
              <w:t>合理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得</w:t>
            </w:r>
            <w:r>
              <w:rPr>
                <w:rFonts w:hint="eastAsia" w:ascii="宋体" w:hAnsi="宋体" w:cs="宋体"/>
                <w:kern w:val="0"/>
                <w:szCs w:val="21"/>
                <w:highlight w:val="none"/>
              </w:rPr>
              <w:t>6-8分</w:t>
            </w:r>
          </w:p>
        </w:tc>
      </w:tr>
      <w:tr w14:paraId="6496F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noWrap w:val="0"/>
            <w:vAlign w:val="center"/>
          </w:tcPr>
          <w:p w14:paraId="56041027">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14:paraId="6171F5B3">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14:paraId="0CAE748A">
            <w:pPr>
              <w:autoSpaceDE w:val="0"/>
              <w:autoSpaceDN w:val="0"/>
              <w:snapToGrid w:val="0"/>
              <w:spacing w:line="320" w:lineRule="exact"/>
              <w:rPr>
                <w:rFonts w:ascii="宋体" w:hAnsi="宋体" w:cs="宋体"/>
                <w:kern w:val="0"/>
                <w:szCs w:val="21"/>
                <w:highlight w:val="none"/>
              </w:rPr>
            </w:pPr>
          </w:p>
        </w:tc>
        <w:tc>
          <w:tcPr>
            <w:tcW w:w="1244" w:type="dxa"/>
            <w:vMerge w:val="continue"/>
            <w:tcBorders>
              <w:bottom w:val="single" w:color="auto" w:sz="4" w:space="0"/>
              <w:right w:val="single" w:color="auto" w:sz="4" w:space="0"/>
            </w:tcBorders>
            <w:noWrap w:val="0"/>
            <w:vAlign w:val="center"/>
          </w:tcPr>
          <w:p w14:paraId="24DE01C8">
            <w:pPr>
              <w:autoSpaceDE w:val="0"/>
              <w:autoSpaceDN w:val="0"/>
              <w:snapToGrid w:val="0"/>
              <w:spacing w:line="320" w:lineRule="exact"/>
              <w:jc w:val="center"/>
              <w:rPr>
                <w:rFonts w:ascii="宋体" w:hAnsi="宋体" w:cs="宋体"/>
                <w:kern w:val="0"/>
                <w:szCs w:val="21"/>
                <w:highlight w:val="none"/>
              </w:rPr>
            </w:pPr>
          </w:p>
        </w:tc>
        <w:tc>
          <w:tcPr>
            <w:tcW w:w="750" w:type="dxa"/>
            <w:vMerge w:val="continue"/>
            <w:tcBorders>
              <w:left w:val="single" w:color="auto" w:sz="4" w:space="0"/>
              <w:bottom w:val="single" w:color="auto" w:sz="4" w:space="0"/>
              <w:right w:val="single" w:color="auto" w:sz="4" w:space="0"/>
            </w:tcBorders>
            <w:noWrap w:val="0"/>
            <w:vAlign w:val="center"/>
          </w:tcPr>
          <w:p w14:paraId="16E09051">
            <w:pPr>
              <w:autoSpaceDE w:val="0"/>
              <w:autoSpaceDN w:val="0"/>
              <w:snapToGrid w:val="0"/>
              <w:spacing w:line="320" w:lineRule="exact"/>
              <w:jc w:val="center"/>
              <w:rPr>
                <w:rFonts w:ascii="宋体" w:hAnsi="宋体" w:cs="宋体"/>
                <w:kern w:val="0"/>
                <w:szCs w:val="21"/>
                <w:highlight w:val="none"/>
              </w:rPr>
            </w:pPr>
          </w:p>
        </w:tc>
        <w:tc>
          <w:tcPr>
            <w:tcW w:w="5781" w:type="dxa"/>
            <w:tcBorders>
              <w:top w:val="single" w:color="auto" w:sz="4" w:space="0"/>
              <w:left w:val="single" w:color="auto" w:sz="4" w:space="0"/>
              <w:bottom w:val="single" w:color="auto" w:sz="4" w:space="0"/>
            </w:tcBorders>
            <w:noWrap w:val="0"/>
            <w:vAlign w:val="center"/>
          </w:tcPr>
          <w:p w14:paraId="32EA403E">
            <w:pPr>
              <w:widowControl/>
              <w:snapToGrid w:val="0"/>
              <w:spacing w:line="320" w:lineRule="exact"/>
              <w:jc w:val="left"/>
              <w:textAlignment w:val="top"/>
              <w:rPr>
                <w:rFonts w:ascii="宋体" w:hAnsi="宋体"/>
                <w:szCs w:val="21"/>
                <w:highlight w:val="none"/>
              </w:rPr>
            </w:pPr>
            <w:r>
              <w:rPr>
                <w:rFonts w:hint="eastAsia" w:hAnsi="宋体"/>
                <w:highlight w:val="none"/>
              </w:rPr>
              <w:t>工作量及计划安排基本合理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得</w:t>
            </w:r>
            <w:r>
              <w:rPr>
                <w:rFonts w:hint="eastAsia" w:ascii="宋体" w:hAnsi="宋体" w:cs="宋体"/>
                <w:kern w:val="0"/>
                <w:szCs w:val="21"/>
                <w:highlight w:val="none"/>
              </w:rPr>
              <w:t>6分</w:t>
            </w:r>
          </w:p>
        </w:tc>
      </w:tr>
      <w:tr w14:paraId="2F731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atLeast"/>
        </w:trPr>
        <w:tc>
          <w:tcPr>
            <w:tcW w:w="539" w:type="dxa"/>
            <w:vMerge w:val="continue"/>
            <w:noWrap w:val="0"/>
            <w:vAlign w:val="center"/>
          </w:tcPr>
          <w:p w14:paraId="794026E9">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14:paraId="12F84C24">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14:paraId="40775F90">
            <w:pPr>
              <w:autoSpaceDE w:val="0"/>
              <w:autoSpaceDN w:val="0"/>
              <w:snapToGrid w:val="0"/>
              <w:spacing w:line="320" w:lineRule="exact"/>
              <w:rPr>
                <w:rFonts w:ascii="宋体" w:hAnsi="宋体" w:cs="宋体"/>
                <w:kern w:val="0"/>
                <w:szCs w:val="21"/>
                <w:highlight w:val="none"/>
              </w:rPr>
            </w:pPr>
          </w:p>
        </w:tc>
        <w:tc>
          <w:tcPr>
            <w:tcW w:w="1244" w:type="dxa"/>
            <w:vMerge w:val="restart"/>
            <w:tcBorders>
              <w:top w:val="single" w:color="auto" w:sz="4" w:space="0"/>
              <w:right w:val="single" w:color="auto" w:sz="4" w:space="0"/>
            </w:tcBorders>
            <w:noWrap w:val="0"/>
            <w:vAlign w:val="center"/>
          </w:tcPr>
          <w:p w14:paraId="1A206547">
            <w:pPr>
              <w:autoSpaceDE w:val="0"/>
              <w:autoSpaceDN w:val="0"/>
              <w:snapToGrid w:val="0"/>
              <w:spacing w:line="320" w:lineRule="exact"/>
              <w:jc w:val="center"/>
              <w:rPr>
                <w:rFonts w:ascii="宋体" w:hAnsi="宋体" w:cs="宋体"/>
                <w:kern w:val="0"/>
                <w:szCs w:val="21"/>
                <w:highlight w:val="none"/>
              </w:rPr>
            </w:pPr>
            <w:r>
              <w:rPr>
                <w:rFonts w:hint="eastAsia" w:hAnsi="宋体"/>
                <w:highlight w:val="none"/>
              </w:rPr>
              <w:t>质量保证措施、进度保证措施</w:t>
            </w:r>
          </w:p>
        </w:tc>
        <w:tc>
          <w:tcPr>
            <w:tcW w:w="750" w:type="dxa"/>
            <w:vMerge w:val="restart"/>
            <w:tcBorders>
              <w:top w:val="single" w:color="auto" w:sz="4" w:space="0"/>
              <w:left w:val="single" w:color="auto" w:sz="4" w:space="0"/>
              <w:right w:val="single" w:color="auto" w:sz="4" w:space="0"/>
            </w:tcBorders>
            <w:noWrap w:val="0"/>
            <w:vAlign w:val="center"/>
          </w:tcPr>
          <w:p w14:paraId="4180DEF4">
            <w:pPr>
              <w:autoSpaceDE w:val="0"/>
              <w:autoSpaceDN w:val="0"/>
              <w:snapToGrid w:val="0"/>
              <w:spacing w:line="320" w:lineRule="exact"/>
              <w:jc w:val="center"/>
              <w:rPr>
                <w:rFonts w:ascii="宋体" w:hAnsi="宋体" w:cs="宋体"/>
                <w:kern w:val="0"/>
                <w:szCs w:val="21"/>
                <w:highlight w:val="none"/>
              </w:rPr>
            </w:pPr>
            <w:r>
              <w:rPr>
                <w:rFonts w:hint="eastAsia" w:ascii="宋体" w:hAnsi="宋体"/>
                <w:szCs w:val="21"/>
                <w:highlight w:val="none"/>
              </w:rPr>
              <w:t>10分</w:t>
            </w:r>
          </w:p>
        </w:tc>
        <w:tc>
          <w:tcPr>
            <w:tcW w:w="5781" w:type="dxa"/>
            <w:tcBorders>
              <w:top w:val="single" w:color="auto" w:sz="4" w:space="0"/>
              <w:left w:val="single" w:color="auto" w:sz="4" w:space="0"/>
              <w:bottom w:val="single" w:color="auto" w:sz="4" w:space="0"/>
            </w:tcBorders>
            <w:noWrap w:val="0"/>
            <w:vAlign w:val="center"/>
          </w:tcPr>
          <w:p w14:paraId="702D8108">
            <w:pPr>
              <w:widowControl/>
              <w:snapToGrid w:val="0"/>
              <w:spacing w:line="320" w:lineRule="exact"/>
              <w:jc w:val="left"/>
              <w:textAlignment w:val="top"/>
              <w:rPr>
                <w:rFonts w:hint="eastAsia" w:ascii="宋体" w:hAnsi="宋体" w:cs="宋体"/>
                <w:kern w:val="0"/>
                <w:szCs w:val="21"/>
                <w:highlight w:val="none"/>
              </w:rPr>
            </w:pPr>
            <w:r>
              <w:rPr>
                <w:rFonts w:hint="eastAsia" w:hAnsi="宋体"/>
                <w:highlight w:val="none"/>
              </w:rPr>
              <w:t>质量、进度保证措施具体可靠，可实施性强</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得</w:t>
            </w:r>
            <w:r>
              <w:rPr>
                <w:rFonts w:hint="eastAsia" w:ascii="宋体" w:hAnsi="宋体" w:cs="宋体"/>
                <w:kern w:val="0"/>
                <w:szCs w:val="21"/>
                <w:highlight w:val="none"/>
              </w:rPr>
              <w:t>8-10分</w:t>
            </w:r>
          </w:p>
        </w:tc>
      </w:tr>
      <w:tr w14:paraId="55244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trPr>
        <w:tc>
          <w:tcPr>
            <w:tcW w:w="539" w:type="dxa"/>
            <w:vMerge w:val="continue"/>
            <w:noWrap w:val="0"/>
            <w:vAlign w:val="center"/>
          </w:tcPr>
          <w:p w14:paraId="1FBBF208">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14:paraId="4CC78A0C">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14:paraId="66C950D9">
            <w:pPr>
              <w:autoSpaceDE w:val="0"/>
              <w:autoSpaceDN w:val="0"/>
              <w:snapToGrid w:val="0"/>
              <w:spacing w:line="320" w:lineRule="exact"/>
              <w:rPr>
                <w:rFonts w:ascii="宋体" w:hAnsi="宋体" w:cs="宋体"/>
                <w:kern w:val="0"/>
                <w:szCs w:val="21"/>
                <w:highlight w:val="none"/>
              </w:rPr>
            </w:pPr>
          </w:p>
        </w:tc>
        <w:tc>
          <w:tcPr>
            <w:tcW w:w="1244" w:type="dxa"/>
            <w:vMerge w:val="continue"/>
            <w:tcBorders>
              <w:right w:val="single" w:color="auto" w:sz="4" w:space="0"/>
            </w:tcBorders>
            <w:noWrap w:val="0"/>
            <w:vAlign w:val="center"/>
          </w:tcPr>
          <w:p w14:paraId="429639FD">
            <w:pPr>
              <w:autoSpaceDE w:val="0"/>
              <w:autoSpaceDN w:val="0"/>
              <w:snapToGrid w:val="0"/>
              <w:spacing w:line="320" w:lineRule="exact"/>
              <w:jc w:val="center"/>
              <w:rPr>
                <w:rFonts w:ascii="宋体" w:hAnsi="宋体" w:cs="宋体"/>
                <w:kern w:val="0"/>
                <w:szCs w:val="21"/>
                <w:highlight w:val="none"/>
              </w:rPr>
            </w:pPr>
          </w:p>
        </w:tc>
        <w:tc>
          <w:tcPr>
            <w:tcW w:w="750" w:type="dxa"/>
            <w:vMerge w:val="continue"/>
            <w:tcBorders>
              <w:left w:val="single" w:color="auto" w:sz="4" w:space="0"/>
              <w:right w:val="single" w:color="auto" w:sz="4" w:space="0"/>
            </w:tcBorders>
            <w:noWrap w:val="0"/>
            <w:vAlign w:val="center"/>
          </w:tcPr>
          <w:p w14:paraId="7FC97BAB">
            <w:pPr>
              <w:autoSpaceDE w:val="0"/>
              <w:autoSpaceDN w:val="0"/>
              <w:snapToGrid w:val="0"/>
              <w:spacing w:line="320" w:lineRule="exact"/>
              <w:jc w:val="center"/>
              <w:rPr>
                <w:rFonts w:ascii="宋体" w:hAnsi="宋体" w:cs="宋体"/>
                <w:kern w:val="0"/>
                <w:szCs w:val="21"/>
                <w:highlight w:val="none"/>
              </w:rPr>
            </w:pPr>
          </w:p>
        </w:tc>
        <w:tc>
          <w:tcPr>
            <w:tcW w:w="5781" w:type="dxa"/>
            <w:tcBorders>
              <w:top w:val="single" w:color="auto" w:sz="4" w:space="0"/>
              <w:left w:val="single" w:color="auto" w:sz="4" w:space="0"/>
              <w:bottom w:val="single" w:color="auto" w:sz="4" w:space="0"/>
            </w:tcBorders>
            <w:noWrap w:val="0"/>
            <w:vAlign w:val="center"/>
          </w:tcPr>
          <w:p w14:paraId="79C20A9F">
            <w:pPr>
              <w:widowControl/>
              <w:snapToGrid w:val="0"/>
              <w:spacing w:line="320" w:lineRule="exact"/>
              <w:jc w:val="left"/>
              <w:textAlignment w:val="top"/>
              <w:rPr>
                <w:rFonts w:hint="eastAsia" w:ascii="宋体" w:hAnsi="宋体" w:cs="宋体"/>
                <w:kern w:val="0"/>
                <w:szCs w:val="21"/>
                <w:highlight w:val="none"/>
              </w:rPr>
            </w:pPr>
            <w:r>
              <w:rPr>
                <w:rFonts w:hint="eastAsia" w:hAnsi="宋体"/>
                <w:highlight w:val="none"/>
              </w:rPr>
              <w:t>质量、进度保证措施较具体，可实施性较强</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得</w:t>
            </w:r>
            <w:r>
              <w:rPr>
                <w:rFonts w:hint="eastAsia" w:ascii="宋体" w:hAnsi="宋体" w:cs="宋体"/>
                <w:kern w:val="0"/>
                <w:szCs w:val="21"/>
                <w:highlight w:val="none"/>
              </w:rPr>
              <w:t>6-8分</w:t>
            </w:r>
          </w:p>
        </w:tc>
      </w:tr>
      <w:tr w14:paraId="3A5E1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1" w:hRule="atLeast"/>
        </w:trPr>
        <w:tc>
          <w:tcPr>
            <w:tcW w:w="539" w:type="dxa"/>
            <w:vMerge w:val="continue"/>
            <w:noWrap w:val="0"/>
            <w:vAlign w:val="center"/>
          </w:tcPr>
          <w:p w14:paraId="5B47583F">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14:paraId="1F83B3DB">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14:paraId="3AC1B244">
            <w:pPr>
              <w:autoSpaceDE w:val="0"/>
              <w:autoSpaceDN w:val="0"/>
              <w:snapToGrid w:val="0"/>
              <w:spacing w:line="320" w:lineRule="exact"/>
              <w:rPr>
                <w:rFonts w:ascii="宋体" w:hAnsi="宋体" w:cs="宋体"/>
                <w:kern w:val="0"/>
                <w:szCs w:val="21"/>
                <w:highlight w:val="none"/>
              </w:rPr>
            </w:pPr>
          </w:p>
        </w:tc>
        <w:tc>
          <w:tcPr>
            <w:tcW w:w="1244" w:type="dxa"/>
            <w:vMerge w:val="continue"/>
            <w:tcBorders>
              <w:right w:val="single" w:color="auto" w:sz="4" w:space="0"/>
            </w:tcBorders>
            <w:noWrap w:val="0"/>
            <w:vAlign w:val="center"/>
          </w:tcPr>
          <w:p w14:paraId="7EDEE7CE">
            <w:pPr>
              <w:autoSpaceDE w:val="0"/>
              <w:autoSpaceDN w:val="0"/>
              <w:snapToGrid w:val="0"/>
              <w:spacing w:line="320" w:lineRule="exact"/>
              <w:jc w:val="center"/>
              <w:rPr>
                <w:rFonts w:ascii="宋体" w:hAnsi="宋体" w:cs="宋体"/>
                <w:kern w:val="0"/>
                <w:szCs w:val="21"/>
                <w:highlight w:val="none"/>
              </w:rPr>
            </w:pPr>
          </w:p>
        </w:tc>
        <w:tc>
          <w:tcPr>
            <w:tcW w:w="750" w:type="dxa"/>
            <w:vMerge w:val="continue"/>
            <w:tcBorders>
              <w:left w:val="single" w:color="auto" w:sz="4" w:space="0"/>
              <w:right w:val="single" w:color="auto" w:sz="4" w:space="0"/>
            </w:tcBorders>
            <w:noWrap w:val="0"/>
            <w:vAlign w:val="center"/>
          </w:tcPr>
          <w:p w14:paraId="330347FF">
            <w:pPr>
              <w:autoSpaceDE w:val="0"/>
              <w:autoSpaceDN w:val="0"/>
              <w:snapToGrid w:val="0"/>
              <w:spacing w:line="320" w:lineRule="exact"/>
              <w:jc w:val="center"/>
              <w:rPr>
                <w:rFonts w:ascii="宋体" w:hAnsi="宋体" w:cs="宋体"/>
                <w:kern w:val="0"/>
                <w:szCs w:val="21"/>
                <w:highlight w:val="none"/>
              </w:rPr>
            </w:pPr>
          </w:p>
        </w:tc>
        <w:tc>
          <w:tcPr>
            <w:tcW w:w="5781" w:type="dxa"/>
            <w:tcBorders>
              <w:top w:val="single" w:color="auto" w:sz="4" w:space="0"/>
              <w:left w:val="single" w:color="auto" w:sz="4" w:space="0"/>
            </w:tcBorders>
            <w:noWrap w:val="0"/>
            <w:vAlign w:val="center"/>
          </w:tcPr>
          <w:p w14:paraId="6EB4447F">
            <w:pPr>
              <w:widowControl/>
              <w:snapToGrid w:val="0"/>
              <w:spacing w:line="320" w:lineRule="exact"/>
              <w:jc w:val="left"/>
              <w:textAlignment w:val="top"/>
              <w:rPr>
                <w:rFonts w:hint="eastAsia" w:ascii="宋体" w:hAnsi="宋体" w:cs="宋体"/>
                <w:kern w:val="0"/>
                <w:szCs w:val="21"/>
                <w:highlight w:val="none"/>
              </w:rPr>
            </w:pPr>
            <w:r>
              <w:rPr>
                <w:rFonts w:hint="eastAsia" w:hAnsi="宋体"/>
                <w:highlight w:val="none"/>
              </w:rPr>
              <w:t>质量、进度保证措施不够具体，可实施性一般</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得</w:t>
            </w:r>
            <w:r>
              <w:rPr>
                <w:rFonts w:hint="eastAsia" w:ascii="宋体" w:hAnsi="宋体" w:cs="宋体"/>
                <w:kern w:val="0"/>
                <w:szCs w:val="21"/>
                <w:highlight w:val="none"/>
              </w:rPr>
              <w:t>6分</w:t>
            </w:r>
          </w:p>
        </w:tc>
      </w:tr>
      <w:tr w14:paraId="7C44F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8" w:hRule="atLeast"/>
        </w:trPr>
        <w:tc>
          <w:tcPr>
            <w:tcW w:w="539" w:type="dxa"/>
            <w:vMerge w:val="restart"/>
            <w:noWrap w:val="0"/>
            <w:vAlign w:val="center"/>
          </w:tcPr>
          <w:p w14:paraId="66F83894">
            <w:pPr>
              <w:autoSpaceDE w:val="0"/>
              <w:autoSpaceDN w:val="0"/>
              <w:snapToGrid w:val="0"/>
              <w:spacing w:line="320" w:lineRule="exact"/>
              <w:rPr>
                <w:rFonts w:ascii="宋体" w:hAnsi="宋体" w:cs="宋体"/>
                <w:kern w:val="0"/>
                <w:szCs w:val="21"/>
                <w:highlight w:val="none"/>
              </w:rPr>
            </w:pPr>
            <w:r>
              <w:rPr>
                <w:rFonts w:hint="eastAsia" w:ascii="宋体" w:hAnsi="宋体" w:cs="宋体"/>
                <w:kern w:val="0"/>
                <w:szCs w:val="21"/>
                <w:highlight w:val="none"/>
              </w:rPr>
              <w:t>2.2.4（2）</w:t>
            </w:r>
          </w:p>
        </w:tc>
        <w:tc>
          <w:tcPr>
            <w:tcW w:w="602" w:type="dxa"/>
            <w:vMerge w:val="restart"/>
            <w:noWrap w:val="0"/>
            <w:vAlign w:val="center"/>
          </w:tcPr>
          <w:p w14:paraId="04992D92">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rPr>
              <w:t>主要人员</w:t>
            </w:r>
          </w:p>
        </w:tc>
        <w:tc>
          <w:tcPr>
            <w:tcW w:w="567" w:type="dxa"/>
            <w:vMerge w:val="restart"/>
            <w:noWrap w:val="0"/>
            <w:vAlign w:val="center"/>
          </w:tcPr>
          <w:p w14:paraId="20403E99">
            <w:pPr>
              <w:autoSpaceDE w:val="0"/>
              <w:autoSpaceDN w:val="0"/>
              <w:snapToGrid w:val="0"/>
              <w:spacing w:line="320" w:lineRule="exact"/>
              <w:jc w:val="center"/>
              <w:rPr>
                <w:rFonts w:ascii="宋体" w:hAnsi="宋体" w:cs="宋体"/>
                <w:kern w:val="0"/>
                <w:szCs w:val="21"/>
                <w:highlight w:val="none"/>
              </w:rPr>
            </w:pPr>
          </w:p>
          <w:p w14:paraId="3A33D3D9">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lang w:val="en-US" w:eastAsia="zh-CN"/>
              </w:rPr>
              <w:t>25</w:t>
            </w:r>
            <w:r>
              <w:rPr>
                <w:rFonts w:hint="eastAsia" w:ascii="宋体" w:hAnsi="宋体" w:cs="宋体"/>
                <w:kern w:val="0"/>
                <w:szCs w:val="21"/>
                <w:highlight w:val="none"/>
              </w:rPr>
              <w:t>分</w:t>
            </w:r>
          </w:p>
          <w:p w14:paraId="2C05E7F5">
            <w:pPr>
              <w:autoSpaceDE w:val="0"/>
              <w:autoSpaceDN w:val="0"/>
              <w:snapToGrid w:val="0"/>
              <w:spacing w:line="320" w:lineRule="exact"/>
              <w:jc w:val="center"/>
              <w:rPr>
                <w:rFonts w:ascii="宋体" w:hAnsi="宋体" w:cs="宋体"/>
                <w:kern w:val="0"/>
                <w:szCs w:val="21"/>
                <w:highlight w:val="none"/>
              </w:rPr>
            </w:pPr>
          </w:p>
        </w:tc>
        <w:tc>
          <w:tcPr>
            <w:tcW w:w="1244" w:type="dxa"/>
            <w:vMerge w:val="restart"/>
            <w:tcBorders>
              <w:top w:val="single" w:color="auto" w:sz="4" w:space="0"/>
              <w:right w:val="single" w:color="auto" w:sz="4" w:space="0"/>
            </w:tcBorders>
            <w:noWrap w:val="0"/>
            <w:vAlign w:val="center"/>
          </w:tcPr>
          <w:p w14:paraId="4A0A7ABB">
            <w:pPr>
              <w:autoSpaceDE w:val="0"/>
              <w:autoSpaceDN w:val="0"/>
              <w:snapToGrid w:val="0"/>
              <w:spacing w:line="320" w:lineRule="exact"/>
              <w:jc w:val="center"/>
              <w:rPr>
                <w:rFonts w:ascii="宋体" w:hAnsi="宋体" w:cs="宋体"/>
                <w:kern w:val="0"/>
                <w:szCs w:val="21"/>
                <w:highlight w:val="none"/>
              </w:rPr>
            </w:pPr>
            <w:r>
              <w:rPr>
                <w:rFonts w:hint="eastAsia"/>
                <w:highlight w:val="none"/>
              </w:rPr>
              <w:t>项目负责人</w:t>
            </w:r>
          </w:p>
        </w:tc>
        <w:tc>
          <w:tcPr>
            <w:tcW w:w="750" w:type="dxa"/>
            <w:vMerge w:val="restart"/>
            <w:tcBorders>
              <w:top w:val="single" w:color="auto" w:sz="4" w:space="0"/>
              <w:left w:val="single" w:color="auto" w:sz="4" w:space="0"/>
              <w:right w:val="single" w:color="auto" w:sz="4" w:space="0"/>
            </w:tcBorders>
            <w:noWrap w:val="0"/>
            <w:vAlign w:val="center"/>
          </w:tcPr>
          <w:p w14:paraId="71CC1D30">
            <w:pPr>
              <w:snapToGrid w:val="0"/>
              <w:spacing w:line="320" w:lineRule="exact"/>
              <w:jc w:val="center"/>
              <w:rPr>
                <w:rFonts w:ascii="宋体" w:hAnsi="宋体"/>
                <w:szCs w:val="21"/>
                <w:highlight w:val="none"/>
              </w:rPr>
            </w:pPr>
            <w:r>
              <w:rPr>
                <w:rFonts w:hint="eastAsia" w:ascii="宋体" w:hAnsi="宋体"/>
                <w:szCs w:val="21"/>
                <w:highlight w:val="none"/>
                <w:lang w:val="en-US" w:eastAsia="zh-CN"/>
              </w:rPr>
              <w:t>15</w:t>
            </w:r>
            <w:r>
              <w:rPr>
                <w:rFonts w:hint="eastAsia" w:ascii="宋体" w:hAnsi="宋体"/>
                <w:szCs w:val="21"/>
                <w:highlight w:val="none"/>
              </w:rPr>
              <w:t>分</w:t>
            </w:r>
          </w:p>
        </w:tc>
        <w:tc>
          <w:tcPr>
            <w:tcW w:w="5781" w:type="dxa"/>
            <w:tcBorders>
              <w:top w:val="single" w:color="auto" w:sz="4" w:space="0"/>
              <w:left w:val="single" w:color="auto" w:sz="4" w:space="0"/>
              <w:bottom w:val="single" w:color="auto" w:sz="4" w:space="0"/>
            </w:tcBorders>
            <w:noWrap w:val="0"/>
            <w:vAlign w:val="center"/>
          </w:tcPr>
          <w:p w14:paraId="464F14A4">
            <w:pPr>
              <w:pStyle w:val="7"/>
              <w:snapToGrid w:val="0"/>
              <w:spacing w:line="320" w:lineRule="exact"/>
              <w:rPr>
                <w:rFonts w:hAnsi="宋体"/>
                <w:sz w:val="21"/>
                <w:szCs w:val="21"/>
                <w:highlight w:val="none"/>
              </w:rPr>
            </w:pPr>
            <w:r>
              <w:rPr>
                <w:rFonts w:hint="eastAsia"/>
                <w:highlight w:val="none"/>
              </w:rPr>
              <w:t>项目负责人</w:t>
            </w:r>
            <w:r>
              <w:rPr>
                <w:rFonts w:hint="eastAsia"/>
                <w:sz w:val="21"/>
                <w:szCs w:val="21"/>
                <w:highlight w:val="none"/>
              </w:rPr>
              <w:t>满足附录4资格审查条件（</w:t>
            </w:r>
            <w:r>
              <w:rPr>
                <w:rFonts w:hint="eastAsia"/>
                <w:sz w:val="21"/>
                <w:szCs w:val="21"/>
                <w:highlight w:val="none"/>
                <w:lang w:eastAsia="zh-CN"/>
              </w:rPr>
              <w:t>项目负责人</w:t>
            </w:r>
            <w:r>
              <w:rPr>
                <w:rFonts w:hint="eastAsia"/>
                <w:sz w:val="21"/>
                <w:szCs w:val="21"/>
                <w:highlight w:val="none"/>
              </w:rPr>
              <w:t>最低要求）</w:t>
            </w:r>
            <w:r>
              <w:rPr>
                <w:sz w:val="21"/>
                <w:szCs w:val="21"/>
                <w:highlight w:val="none"/>
              </w:rPr>
              <w:t>得</w:t>
            </w:r>
            <w:r>
              <w:rPr>
                <w:rFonts w:hint="eastAsia"/>
                <w:sz w:val="21"/>
                <w:szCs w:val="21"/>
                <w:highlight w:val="none"/>
                <w:lang w:val="en-US" w:eastAsia="zh-CN"/>
              </w:rPr>
              <w:t>9</w:t>
            </w:r>
            <w:r>
              <w:rPr>
                <w:sz w:val="21"/>
                <w:szCs w:val="21"/>
                <w:highlight w:val="none"/>
              </w:rPr>
              <w:t>分</w:t>
            </w:r>
            <w:r>
              <w:rPr>
                <w:rFonts w:hint="eastAsia"/>
                <w:sz w:val="21"/>
                <w:szCs w:val="21"/>
                <w:highlight w:val="none"/>
              </w:rPr>
              <w:t>。</w:t>
            </w:r>
          </w:p>
        </w:tc>
      </w:tr>
      <w:tr w14:paraId="6CADF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6" w:hRule="atLeast"/>
        </w:trPr>
        <w:tc>
          <w:tcPr>
            <w:tcW w:w="539" w:type="dxa"/>
            <w:vMerge w:val="continue"/>
            <w:noWrap w:val="0"/>
            <w:vAlign w:val="center"/>
          </w:tcPr>
          <w:p w14:paraId="762DC6E6">
            <w:pPr>
              <w:autoSpaceDE w:val="0"/>
              <w:autoSpaceDN w:val="0"/>
              <w:snapToGrid w:val="0"/>
              <w:spacing w:line="320" w:lineRule="exact"/>
              <w:rPr>
                <w:rFonts w:hint="eastAsia" w:ascii="宋体" w:hAnsi="宋体" w:cs="宋体"/>
                <w:kern w:val="0"/>
                <w:szCs w:val="21"/>
                <w:highlight w:val="none"/>
              </w:rPr>
            </w:pPr>
          </w:p>
        </w:tc>
        <w:tc>
          <w:tcPr>
            <w:tcW w:w="602" w:type="dxa"/>
            <w:vMerge w:val="continue"/>
            <w:noWrap w:val="0"/>
            <w:vAlign w:val="center"/>
          </w:tcPr>
          <w:p w14:paraId="00780F95">
            <w:pPr>
              <w:autoSpaceDE w:val="0"/>
              <w:autoSpaceDN w:val="0"/>
              <w:snapToGrid w:val="0"/>
              <w:spacing w:line="320" w:lineRule="exact"/>
              <w:rPr>
                <w:rFonts w:hint="eastAsia" w:ascii="宋体" w:hAnsi="宋体" w:cs="宋体"/>
                <w:kern w:val="0"/>
                <w:szCs w:val="21"/>
                <w:highlight w:val="none"/>
              </w:rPr>
            </w:pPr>
          </w:p>
        </w:tc>
        <w:tc>
          <w:tcPr>
            <w:tcW w:w="567" w:type="dxa"/>
            <w:vMerge w:val="continue"/>
            <w:noWrap w:val="0"/>
            <w:vAlign w:val="center"/>
          </w:tcPr>
          <w:p w14:paraId="775C658A">
            <w:pPr>
              <w:autoSpaceDE w:val="0"/>
              <w:autoSpaceDN w:val="0"/>
              <w:snapToGrid w:val="0"/>
              <w:spacing w:line="320" w:lineRule="exact"/>
              <w:jc w:val="center"/>
              <w:rPr>
                <w:rFonts w:ascii="宋体" w:hAnsi="宋体" w:cs="宋体"/>
                <w:kern w:val="0"/>
                <w:szCs w:val="21"/>
                <w:highlight w:val="none"/>
              </w:rPr>
            </w:pPr>
          </w:p>
        </w:tc>
        <w:tc>
          <w:tcPr>
            <w:tcW w:w="1244" w:type="dxa"/>
            <w:vMerge w:val="continue"/>
            <w:tcBorders>
              <w:bottom w:val="single" w:color="auto" w:sz="4" w:space="0"/>
              <w:right w:val="single" w:color="auto" w:sz="4" w:space="0"/>
            </w:tcBorders>
            <w:noWrap w:val="0"/>
            <w:vAlign w:val="center"/>
          </w:tcPr>
          <w:p w14:paraId="37F07322">
            <w:pPr>
              <w:autoSpaceDE w:val="0"/>
              <w:autoSpaceDN w:val="0"/>
              <w:snapToGrid w:val="0"/>
              <w:spacing w:line="320" w:lineRule="exact"/>
              <w:ind w:firstLine="210" w:firstLineChars="100"/>
              <w:rPr>
                <w:rFonts w:hint="eastAsia"/>
                <w:szCs w:val="21"/>
                <w:highlight w:val="none"/>
              </w:rPr>
            </w:pPr>
          </w:p>
        </w:tc>
        <w:tc>
          <w:tcPr>
            <w:tcW w:w="750" w:type="dxa"/>
            <w:vMerge w:val="continue"/>
            <w:tcBorders>
              <w:left w:val="single" w:color="auto" w:sz="4" w:space="0"/>
              <w:bottom w:val="single" w:color="auto" w:sz="4" w:space="0"/>
              <w:right w:val="single" w:color="auto" w:sz="4" w:space="0"/>
            </w:tcBorders>
            <w:noWrap w:val="0"/>
            <w:vAlign w:val="center"/>
          </w:tcPr>
          <w:p w14:paraId="60B316E8">
            <w:pPr>
              <w:snapToGrid w:val="0"/>
              <w:spacing w:line="320" w:lineRule="exact"/>
              <w:jc w:val="center"/>
              <w:rPr>
                <w:rFonts w:hint="eastAsia" w:ascii="宋体" w:hAnsi="宋体"/>
                <w:szCs w:val="21"/>
                <w:highlight w:val="none"/>
              </w:rPr>
            </w:pPr>
          </w:p>
        </w:tc>
        <w:tc>
          <w:tcPr>
            <w:tcW w:w="5781" w:type="dxa"/>
            <w:tcBorders>
              <w:top w:val="single" w:color="auto" w:sz="4" w:space="0"/>
              <w:left w:val="single" w:color="auto" w:sz="4" w:space="0"/>
              <w:bottom w:val="single" w:color="auto" w:sz="4" w:space="0"/>
            </w:tcBorders>
            <w:noWrap w:val="0"/>
            <w:vAlign w:val="center"/>
          </w:tcPr>
          <w:p w14:paraId="0A7104F8">
            <w:pPr>
              <w:pStyle w:val="7"/>
              <w:snapToGrid w:val="0"/>
              <w:spacing w:line="320" w:lineRule="exact"/>
              <w:rPr>
                <w:rFonts w:hint="eastAsia"/>
                <w:sz w:val="21"/>
                <w:szCs w:val="21"/>
                <w:highlight w:val="none"/>
              </w:rPr>
            </w:pPr>
            <w:r>
              <w:rPr>
                <w:rFonts w:hint="eastAsia"/>
                <w:sz w:val="21"/>
                <w:szCs w:val="21"/>
                <w:highlight w:val="none"/>
              </w:rPr>
              <w:t>项目负责人每增加一个满足附录4资格审查条件（</w:t>
            </w:r>
            <w:r>
              <w:rPr>
                <w:rFonts w:hint="eastAsia"/>
                <w:sz w:val="21"/>
                <w:szCs w:val="21"/>
                <w:highlight w:val="none"/>
                <w:lang w:eastAsia="zh-CN"/>
              </w:rPr>
              <w:t>项目负责人</w:t>
            </w:r>
            <w:r>
              <w:rPr>
                <w:rFonts w:hint="eastAsia"/>
                <w:sz w:val="21"/>
                <w:szCs w:val="21"/>
                <w:highlight w:val="none"/>
              </w:rPr>
              <w:t>最低要求）的业绩加</w:t>
            </w:r>
            <w:r>
              <w:rPr>
                <w:rFonts w:hint="eastAsia"/>
                <w:sz w:val="21"/>
                <w:szCs w:val="21"/>
                <w:highlight w:val="none"/>
                <w:lang w:val="en-US" w:eastAsia="zh-CN"/>
              </w:rPr>
              <w:t>3</w:t>
            </w:r>
            <w:r>
              <w:rPr>
                <w:rFonts w:hint="eastAsia"/>
                <w:sz w:val="21"/>
                <w:szCs w:val="21"/>
                <w:highlight w:val="none"/>
              </w:rPr>
              <w:t>分，本项最高加</w:t>
            </w:r>
            <w:r>
              <w:rPr>
                <w:rFonts w:hint="eastAsia"/>
                <w:sz w:val="21"/>
                <w:szCs w:val="21"/>
                <w:highlight w:val="none"/>
                <w:lang w:val="en-US" w:eastAsia="zh-CN"/>
              </w:rPr>
              <w:t>6</w:t>
            </w:r>
            <w:r>
              <w:rPr>
                <w:rFonts w:hint="eastAsia"/>
                <w:sz w:val="21"/>
                <w:szCs w:val="21"/>
                <w:highlight w:val="none"/>
              </w:rPr>
              <w:t>分。</w:t>
            </w:r>
          </w:p>
        </w:tc>
      </w:tr>
      <w:tr w14:paraId="21D55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5" w:hRule="atLeast"/>
        </w:trPr>
        <w:tc>
          <w:tcPr>
            <w:tcW w:w="539" w:type="dxa"/>
            <w:vMerge w:val="continue"/>
            <w:noWrap w:val="0"/>
            <w:vAlign w:val="center"/>
          </w:tcPr>
          <w:p w14:paraId="49E07FAD">
            <w:pPr>
              <w:autoSpaceDE w:val="0"/>
              <w:autoSpaceDN w:val="0"/>
              <w:snapToGrid w:val="0"/>
              <w:spacing w:line="320" w:lineRule="exact"/>
              <w:rPr>
                <w:rFonts w:hint="eastAsia" w:ascii="宋体" w:hAnsi="宋体" w:cs="宋体"/>
                <w:kern w:val="0"/>
                <w:szCs w:val="21"/>
                <w:highlight w:val="none"/>
              </w:rPr>
            </w:pPr>
          </w:p>
        </w:tc>
        <w:tc>
          <w:tcPr>
            <w:tcW w:w="602" w:type="dxa"/>
            <w:vMerge w:val="continue"/>
            <w:noWrap w:val="0"/>
            <w:vAlign w:val="center"/>
          </w:tcPr>
          <w:p w14:paraId="3CCD8306">
            <w:pPr>
              <w:autoSpaceDE w:val="0"/>
              <w:autoSpaceDN w:val="0"/>
              <w:snapToGrid w:val="0"/>
              <w:spacing w:line="320" w:lineRule="exact"/>
              <w:rPr>
                <w:rFonts w:hint="eastAsia" w:ascii="宋体" w:hAnsi="宋体" w:cs="宋体"/>
                <w:kern w:val="0"/>
                <w:szCs w:val="21"/>
                <w:highlight w:val="none"/>
              </w:rPr>
            </w:pPr>
          </w:p>
        </w:tc>
        <w:tc>
          <w:tcPr>
            <w:tcW w:w="567" w:type="dxa"/>
            <w:vMerge w:val="continue"/>
            <w:noWrap w:val="0"/>
            <w:vAlign w:val="center"/>
          </w:tcPr>
          <w:p w14:paraId="07A3F138">
            <w:pPr>
              <w:autoSpaceDE w:val="0"/>
              <w:autoSpaceDN w:val="0"/>
              <w:snapToGrid w:val="0"/>
              <w:spacing w:line="320" w:lineRule="exact"/>
              <w:jc w:val="center"/>
              <w:rPr>
                <w:rFonts w:ascii="宋体" w:hAnsi="宋体" w:cs="宋体"/>
                <w:kern w:val="0"/>
                <w:szCs w:val="21"/>
                <w:highlight w:val="none"/>
              </w:rPr>
            </w:pPr>
          </w:p>
        </w:tc>
        <w:tc>
          <w:tcPr>
            <w:tcW w:w="1244" w:type="dxa"/>
            <w:vMerge w:val="restart"/>
            <w:tcBorders>
              <w:top w:val="single" w:color="auto" w:sz="4" w:space="0"/>
              <w:right w:val="single" w:color="auto" w:sz="4" w:space="0"/>
            </w:tcBorders>
            <w:noWrap w:val="0"/>
            <w:vAlign w:val="center"/>
          </w:tcPr>
          <w:p w14:paraId="19CB4CFD">
            <w:pPr>
              <w:jc w:val="center"/>
              <w:rPr>
                <w:rFonts w:hint="eastAsia"/>
                <w:szCs w:val="21"/>
                <w:highlight w:val="none"/>
              </w:rPr>
            </w:pPr>
            <w:r>
              <w:rPr>
                <w:rFonts w:hint="eastAsia"/>
                <w:kern w:val="2"/>
                <w:sz w:val="21"/>
                <w:szCs w:val="21"/>
                <w:highlight w:val="none"/>
              </w:rPr>
              <w:t>其他人员</w:t>
            </w:r>
          </w:p>
        </w:tc>
        <w:tc>
          <w:tcPr>
            <w:tcW w:w="750" w:type="dxa"/>
            <w:vMerge w:val="restart"/>
            <w:tcBorders>
              <w:top w:val="single" w:color="auto" w:sz="4" w:space="0"/>
              <w:left w:val="single" w:color="auto" w:sz="4" w:space="0"/>
              <w:right w:val="single" w:color="auto" w:sz="4" w:space="0"/>
            </w:tcBorders>
            <w:noWrap w:val="0"/>
            <w:vAlign w:val="center"/>
          </w:tcPr>
          <w:p w14:paraId="782F7107">
            <w:pPr>
              <w:pStyle w:val="7"/>
              <w:spacing w:line="160" w:lineRule="atLeast"/>
              <w:jc w:val="center"/>
              <w:rPr>
                <w:rFonts w:hint="eastAsia" w:ascii="宋体" w:hAnsi="宋体"/>
                <w:szCs w:val="21"/>
                <w:highlight w:val="none"/>
              </w:rPr>
            </w:pPr>
            <w:r>
              <w:rPr>
                <w:rFonts w:hint="eastAsia" w:ascii="Times New Roman" w:hAnsi="Times New Roman"/>
                <w:szCs w:val="21"/>
                <w:highlight w:val="none"/>
                <w:lang w:val="en-US" w:eastAsia="zh-CN"/>
              </w:rPr>
              <w:t>10</w:t>
            </w:r>
            <w:r>
              <w:rPr>
                <w:rFonts w:ascii="Times New Roman" w:hAnsi="Times New Roman"/>
                <w:szCs w:val="21"/>
                <w:highlight w:val="none"/>
              </w:rPr>
              <w:t>分</w:t>
            </w:r>
          </w:p>
        </w:tc>
        <w:tc>
          <w:tcPr>
            <w:tcW w:w="5781" w:type="dxa"/>
            <w:tcBorders>
              <w:top w:val="single" w:color="auto" w:sz="4" w:space="0"/>
              <w:left w:val="single" w:color="auto" w:sz="4" w:space="0"/>
              <w:bottom w:val="single" w:color="auto" w:sz="4" w:space="0"/>
            </w:tcBorders>
            <w:noWrap w:val="0"/>
            <w:vAlign w:val="center"/>
          </w:tcPr>
          <w:p w14:paraId="7A3AE34F">
            <w:pPr>
              <w:pStyle w:val="4"/>
              <w:numPr>
                <w:ilvl w:val="0"/>
                <w:numId w:val="0"/>
              </w:numPr>
              <w:rPr>
                <w:rFonts w:hint="eastAsia"/>
                <w:sz w:val="21"/>
                <w:szCs w:val="21"/>
                <w:highlight w:val="none"/>
              </w:rPr>
            </w:pPr>
            <w:r>
              <w:rPr>
                <w:rFonts w:hint="eastAsia"/>
                <w:kern w:val="2"/>
                <w:sz w:val="21"/>
                <w:szCs w:val="21"/>
                <w:highlight w:val="none"/>
              </w:rPr>
              <w:t>其他人员</w:t>
            </w:r>
            <w:r>
              <w:rPr>
                <w:rFonts w:hint="eastAsia" w:ascii="宋体" w:hAnsi="宋体" w:eastAsia="宋体" w:cs="宋体"/>
                <w:sz w:val="21"/>
                <w:szCs w:val="21"/>
                <w:highlight w:val="none"/>
              </w:rPr>
              <w:t>满足</w:t>
            </w:r>
            <w:r>
              <w:rPr>
                <w:rFonts w:hint="eastAsia"/>
                <w:sz w:val="21"/>
                <w:szCs w:val="21"/>
                <w:highlight w:val="none"/>
              </w:rPr>
              <w:t>附录</w:t>
            </w:r>
            <w:r>
              <w:rPr>
                <w:rFonts w:hint="eastAsia"/>
                <w:sz w:val="21"/>
                <w:szCs w:val="21"/>
                <w:highlight w:val="none"/>
                <w:lang w:val="en-US" w:eastAsia="zh-CN"/>
              </w:rPr>
              <w:t>5</w:t>
            </w:r>
            <w:r>
              <w:rPr>
                <w:rFonts w:hint="eastAsia" w:ascii="宋体" w:hAnsi="宋体" w:eastAsia="宋体" w:cs="宋体"/>
                <w:sz w:val="21"/>
                <w:szCs w:val="21"/>
                <w:highlight w:val="none"/>
              </w:rPr>
              <w:t>“资格审查条件（其他人员最低要求）”得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r>
      <w:tr w14:paraId="1D8C1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9" w:hRule="atLeast"/>
        </w:trPr>
        <w:tc>
          <w:tcPr>
            <w:tcW w:w="539" w:type="dxa"/>
            <w:vMerge w:val="continue"/>
            <w:noWrap w:val="0"/>
            <w:vAlign w:val="center"/>
          </w:tcPr>
          <w:p w14:paraId="0CD0A899">
            <w:pPr>
              <w:autoSpaceDE w:val="0"/>
              <w:autoSpaceDN w:val="0"/>
              <w:snapToGrid w:val="0"/>
              <w:spacing w:line="320" w:lineRule="exact"/>
              <w:rPr>
                <w:rFonts w:hint="eastAsia" w:ascii="宋体" w:hAnsi="宋体" w:cs="宋体"/>
                <w:kern w:val="0"/>
                <w:szCs w:val="21"/>
                <w:highlight w:val="none"/>
              </w:rPr>
            </w:pPr>
          </w:p>
        </w:tc>
        <w:tc>
          <w:tcPr>
            <w:tcW w:w="602" w:type="dxa"/>
            <w:vMerge w:val="continue"/>
            <w:noWrap w:val="0"/>
            <w:vAlign w:val="center"/>
          </w:tcPr>
          <w:p w14:paraId="55A77CB2">
            <w:pPr>
              <w:autoSpaceDE w:val="0"/>
              <w:autoSpaceDN w:val="0"/>
              <w:snapToGrid w:val="0"/>
              <w:spacing w:line="320" w:lineRule="exact"/>
              <w:rPr>
                <w:rFonts w:hint="eastAsia" w:ascii="宋体" w:hAnsi="宋体" w:cs="宋体"/>
                <w:kern w:val="0"/>
                <w:szCs w:val="21"/>
                <w:highlight w:val="none"/>
              </w:rPr>
            </w:pPr>
          </w:p>
        </w:tc>
        <w:tc>
          <w:tcPr>
            <w:tcW w:w="567" w:type="dxa"/>
            <w:vMerge w:val="continue"/>
            <w:noWrap w:val="0"/>
            <w:vAlign w:val="center"/>
          </w:tcPr>
          <w:p w14:paraId="5437F379">
            <w:pPr>
              <w:autoSpaceDE w:val="0"/>
              <w:autoSpaceDN w:val="0"/>
              <w:snapToGrid w:val="0"/>
              <w:spacing w:line="320" w:lineRule="exact"/>
              <w:jc w:val="center"/>
              <w:rPr>
                <w:rFonts w:ascii="宋体" w:hAnsi="宋体" w:cs="宋体"/>
                <w:kern w:val="0"/>
                <w:szCs w:val="21"/>
                <w:highlight w:val="none"/>
              </w:rPr>
            </w:pPr>
          </w:p>
        </w:tc>
        <w:tc>
          <w:tcPr>
            <w:tcW w:w="1244" w:type="dxa"/>
            <w:vMerge w:val="continue"/>
            <w:tcBorders>
              <w:right w:val="single" w:color="auto" w:sz="4" w:space="0"/>
            </w:tcBorders>
            <w:noWrap w:val="0"/>
            <w:vAlign w:val="center"/>
          </w:tcPr>
          <w:p w14:paraId="3C51949A">
            <w:pPr>
              <w:jc w:val="center"/>
              <w:rPr>
                <w:rFonts w:hint="eastAsia"/>
                <w:kern w:val="2"/>
                <w:sz w:val="21"/>
                <w:szCs w:val="21"/>
                <w:highlight w:val="none"/>
              </w:rPr>
            </w:pPr>
          </w:p>
        </w:tc>
        <w:tc>
          <w:tcPr>
            <w:tcW w:w="750" w:type="dxa"/>
            <w:vMerge w:val="continue"/>
            <w:tcBorders>
              <w:left w:val="single" w:color="auto" w:sz="4" w:space="0"/>
              <w:right w:val="single" w:color="auto" w:sz="4" w:space="0"/>
            </w:tcBorders>
            <w:noWrap w:val="0"/>
            <w:vAlign w:val="center"/>
          </w:tcPr>
          <w:p w14:paraId="67B83722">
            <w:pPr>
              <w:pStyle w:val="7"/>
              <w:spacing w:line="160" w:lineRule="atLeast"/>
              <w:jc w:val="center"/>
              <w:rPr>
                <w:rFonts w:hint="eastAsia" w:ascii="Times New Roman" w:hAnsi="Times New Roman"/>
                <w:szCs w:val="21"/>
                <w:highlight w:val="none"/>
                <w:lang w:val="en-US" w:eastAsia="zh-CN"/>
              </w:rPr>
            </w:pPr>
          </w:p>
        </w:tc>
        <w:tc>
          <w:tcPr>
            <w:tcW w:w="5781" w:type="dxa"/>
            <w:tcBorders>
              <w:top w:val="single" w:color="auto" w:sz="4" w:space="0"/>
              <w:left w:val="single" w:color="auto" w:sz="4" w:space="0"/>
            </w:tcBorders>
            <w:noWrap w:val="0"/>
            <w:vAlign w:val="center"/>
          </w:tcPr>
          <w:p w14:paraId="0BB8E36A">
            <w:pPr>
              <w:pStyle w:val="4"/>
              <w:numPr>
                <w:ilvl w:val="0"/>
                <w:numId w:val="0"/>
              </w:numPr>
              <w:rPr>
                <w:rFonts w:hint="eastAsia" w:ascii="宋体" w:hAnsi="宋体" w:eastAsia="宋体" w:cs="宋体"/>
                <w:sz w:val="21"/>
                <w:szCs w:val="21"/>
                <w:highlight w:val="none"/>
              </w:rPr>
            </w:pPr>
            <w:r>
              <w:rPr>
                <w:rFonts w:hint="eastAsia" w:ascii="宋体" w:hAnsi="宋体" w:eastAsia="宋体" w:cs="宋体"/>
                <w:sz w:val="21"/>
                <w:szCs w:val="21"/>
                <w:highlight w:val="none"/>
              </w:rPr>
              <w:t>其他人员中每增加1名高级</w:t>
            </w:r>
            <w:r>
              <w:rPr>
                <w:rFonts w:hint="eastAsia" w:ascii="宋体" w:hAnsi="宋体" w:eastAsia="宋体" w:cs="宋体"/>
                <w:sz w:val="21"/>
                <w:szCs w:val="21"/>
                <w:highlight w:val="none"/>
                <w:lang w:val="en-US" w:eastAsia="zh-CN"/>
              </w:rPr>
              <w:t>及以上职称</w:t>
            </w:r>
            <w:r>
              <w:rPr>
                <w:rFonts w:hint="eastAsia" w:ascii="宋体" w:hAnsi="宋体" w:cs="宋体"/>
                <w:sz w:val="21"/>
                <w:szCs w:val="21"/>
                <w:highlight w:val="none"/>
                <w:lang w:val="en-US" w:eastAsia="zh-CN"/>
              </w:rPr>
              <w:t>人员</w:t>
            </w:r>
            <w:r>
              <w:rPr>
                <w:rFonts w:hint="eastAsia" w:ascii="宋体" w:hAnsi="宋体" w:eastAsia="宋体" w:cs="宋体"/>
                <w:sz w:val="21"/>
                <w:szCs w:val="21"/>
                <w:highlight w:val="none"/>
                <w:lang w:val="en-US" w:eastAsia="zh-CN"/>
              </w:rPr>
              <w:t>加1分，</w:t>
            </w:r>
            <w:r>
              <w:rPr>
                <w:rFonts w:hint="eastAsia" w:ascii="宋体" w:hAnsi="宋体" w:eastAsia="宋体" w:cs="宋体"/>
                <w:sz w:val="21"/>
                <w:szCs w:val="21"/>
                <w:highlight w:val="none"/>
              </w:rPr>
              <w:t>最高加</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r>
      <w:tr w14:paraId="4DB3F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47" w:hRule="atLeast"/>
        </w:trPr>
        <w:tc>
          <w:tcPr>
            <w:tcW w:w="539" w:type="dxa"/>
            <w:noWrap w:val="0"/>
            <w:vAlign w:val="center"/>
          </w:tcPr>
          <w:p w14:paraId="415820AD">
            <w:pPr>
              <w:autoSpaceDE w:val="0"/>
              <w:autoSpaceDN w:val="0"/>
              <w:snapToGrid w:val="0"/>
              <w:spacing w:line="320" w:lineRule="exact"/>
              <w:rPr>
                <w:rFonts w:ascii="宋体" w:hAnsi="宋体" w:cs="宋体"/>
                <w:kern w:val="0"/>
                <w:szCs w:val="21"/>
                <w:highlight w:val="none"/>
              </w:rPr>
            </w:pPr>
            <w:r>
              <w:rPr>
                <w:rFonts w:hint="eastAsia" w:ascii="宋体" w:hAnsi="宋体" w:cs="宋体"/>
                <w:kern w:val="0"/>
                <w:szCs w:val="21"/>
                <w:highlight w:val="none"/>
              </w:rPr>
              <w:t>2.2.4（3）</w:t>
            </w:r>
          </w:p>
        </w:tc>
        <w:tc>
          <w:tcPr>
            <w:tcW w:w="602" w:type="dxa"/>
            <w:noWrap w:val="0"/>
            <w:vAlign w:val="center"/>
          </w:tcPr>
          <w:p w14:paraId="3F9F3C2C">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rPr>
              <w:t>评标价</w:t>
            </w:r>
          </w:p>
        </w:tc>
        <w:tc>
          <w:tcPr>
            <w:tcW w:w="567" w:type="dxa"/>
            <w:noWrap w:val="0"/>
            <w:vAlign w:val="center"/>
          </w:tcPr>
          <w:p w14:paraId="7D83A014">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rPr>
              <w:t>10分</w:t>
            </w:r>
          </w:p>
        </w:tc>
        <w:tc>
          <w:tcPr>
            <w:tcW w:w="7775" w:type="dxa"/>
            <w:gridSpan w:val="3"/>
            <w:tcBorders>
              <w:top w:val="single" w:color="auto" w:sz="4" w:space="0"/>
            </w:tcBorders>
            <w:noWrap w:val="0"/>
            <w:vAlign w:val="center"/>
          </w:tcPr>
          <w:p w14:paraId="6281D5A1">
            <w:pPr>
              <w:snapToGrid w:val="0"/>
              <w:spacing w:line="320" w:lineRule="exact"/>
              <w:rPr>
                <w:szCs w:val="21"/>
                <w:highlight w:val="none"/>
              </w:rPr>
            </w:pPr>
            <w:r>
              <w:rPr>
                <w:rFonts w:hint="eastAsia"/>
                <w:szCs w:val="21"/>
                <w:highlight w:val="none"/>
              </w:rPr>
              <w:t>评标价得分计算公式示例：</w:t>
            </w:r>
          </w:p>
          <w:p w14:paraId="0FBE565A">
            <w:pPr>
              <w:snapToGrid w:val="0"/>
              <w:spacing w:line="320" w:lineRule="exact"/>
              <w:rPr>
                <w:szCs w:val="21"/>
                <w:highlight w:val="none"/>
              </w:rPr>
            </w:pPr>
            <w:r>
              <w:rPr>
                <w:rFonts w:hint="eastAsia"/>
                <w:szCs w:val="21"/>
                <w:highlight w:val="none"/>
              </w:rPr>
              <w:t>（1）如果投标人的评标价＞评标基准价，则评标价得分=F-（投标人投标价-评标基准价）/评标基准价×100×E1</w:t>
            </w:r>
          </w:p>
          <w:p w14:paraId="086D7B8C">
            <w:pPr>
              <w:snapToGrid w:val="0"/>
              <w:spacing w:line="320" w:lineRule="exact"/>
              <w:rPr>
                <w:szCs w:val="21"/>
                <w:highlight w:val="none"/>
              </w:rPr>
            </w:pPr>
            <w:r>
              <w:rPr>
                <w:rFonts w:hint="eastAsia"/>
                <w:szCs w:val="21"/>
                <w:highlight w:val="none"/>
              </w:rPr>
              <w:t>（2）如果投标人的评标价≤评标基准价，则评标价得分=F+(投标人投标价-评标基准价)/评标基准价×100×E2</w:t>
            </w:r>
          </w:p>
          <w:p w14:paraId="606FF0A3">
            <w:pPr>
              <w:snapToGrid w:val="0"/>
              <w:spacing w:line="320" w:lineRule="exact"/>
              <w:rPr>
                <w:szCs w:val="21"/>
                <w:highlight w:val="none"/>
              </w:rPr>
            </w:pPr>
            <w:r>
              <w:rPr>
                <w:rFonts w:hint="eastAsia"/>
                <w:szCs w:val="21"/>
                <w:highlight w:val="none"/>
              </w:rPr>
              <w:t>其中，F=10；E1=0.2；E2=0.1；评标价最低得分为0分</w:t>
            </w:r>
          </w:p>
          <w:p w14:paraId="24DF8256">
            <w:pPr>
              <w:pStyle w:val="4"/>
              <w:snapToGrid w:val="0"/>
              <w:spacing w:line="320" w:lineRule="exact"/>
              <w:rPr>
                <w:sz w:val="21"/>
                <w:szCs w:val="21"/>
                <w:highlight w:val="none"/>
              </w:rPr>
            </w:pPr>
            <w:r>
              <w:rPr>
                <w:rFonts w:hint="eastAsia"/>
                <w:sz w:val="21"/>
                <w:szCs w:val="21"/>
                <w:highlight w:val="none"/>
              </w:rPr>
              <w:t>评标价得分分值计算保留小数点后两位，小数点后第三位“四舍五入”。</w:t>
            </w:r>
          </w:p>
        </w:tc>
      </w:tr>
      <w:tr w14:paraId="5837E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2" w:hRule="atLeast"/>
        </w:trPr>
        <w:tc>
          <w:tcPr>
            <w:tcW w:w="539" w:type="dxa"/>
            <w:vMerge w:val="restart"/>
            <w:noWrap w:val="0"/>
            <w:vAlign w:val="center"/>
          </w:tcPr>
          <w:p w14:paraId="1C035FBA">
            <w:pPr>
              <w:autoSpaceDE w:val="0"/>
              <w:autoSpaceDN w:val="0"/>
              <w:snapToGrid w:val="0"/>
              <w:spacing w:line="320" w:lineRule="exact"/>
              <w:rPr>
                <w:rFonts w:ascii="宋体" w:hAnsi="宋体" w:cs="宋体"/>
                <w:kern w:val="0"/>
                <w:szCs w:val="21"/>
                <w:highlight w:val="none"/>
              </w:rPr>
            </w:pPr>
            <w:r>
              <w:rPr>
                <w:rFonts w:hint="eastAsia" w:ascii="宋体" w:hAnsi="宋体" w:cs="宋体"/>
                <w:kern w:val="0"/>
                <w:szCs w:val="21"/>
                <w:highlight w:val="none"/>
              </w:rPr>
              <w:t>2.2.4（4）</w:t>
            </w:r>
          </w:p>
        </w:tc>
        <w:tc>
          <w:tcPr>
            <w:tcW w:w="602" w:type="dxa"/>
            <w:vMerge w:val="restart"/>
            <w:tcBorders>
              <w:right w:val="single" w:color="auto" w:sz="4" w:space="0"/>
            </w:tcBorders>
            <w:noWrap w:val="0"/>
            <w:vAlign w:val="center"/>
          </w:tcPr>
          <w:p w14:paraId="3E68E09B">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rPr>
              <w:t>其他因素</w:t>
            </w:r>
          </w:p>
        </w:tc>
        <w:tc>
          <w:tcPr>
            <w:tcW w:w="567" w:type="dxa"/>
            <w:vMerge w:val="restart"/>
            <w:tcBorders>
              <w:left w:val="single" w:color="auto" w:sz="4" w:space="0"/>
            </w:tcBorders>
            <w:noWrap w:val="0"/>
            <w:vAlign w:val="center"/>
          </w:tcPr>
          <w:p w14:paraId="23D3BDEB">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lang w:val="en-US" w:eastAsia="zh-CN"/>
              </w:rPr>
              <w:t>25</w:t>
            </w:r>
            <w:r>
              <w:rPr>
                <w:rFonts w:hint="eastAsia" w:ascii="宋体" w:hAnsi="宋体" w:cs="宋体"/>
                <w:kern w:val="0"/>
                <w:szCs w:val="21"/>
                <w:highlight w:val="none"/>
              </w:rPr>
              <w:t>分</w:t>
            </w:r>
          </w:p>
        </w:tc>
        <w:tc>
          <w:tcPr>
            <w:tcW w:w="1244" w:type="dxa"/>
            <w:vMerge w:val="restart"/>
            <w:tcBorders>
              <w:top w:val="single" w:color="auto" w:sz="4" w:space="0"/>
              <w:right w:val="single" w:color="auto" w:sz="4" w:space="0"/>
            </w:tcBorders>
            <w:noWrap w:val="0"/>
            <w:vAlign w:val="center"/>
          </w:tcPr>
          <w:p w14:paraId="2AD22A1C">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szCs w:val="21"/>
                <w:highlight w:val="none"/>
              </w:rPr>
              <w:t>投标人业绩</w:t>
            </w:r>
          </w:p>
        </w:tc>
        <w:tc>
          <w:tcPr>
            <w:tcW w:w="750" w:type="dxa"/>
            <w:vMerge w:val="restart"/>
            <w:tcBorders>
              <w:top w:val="single" w:color="auto" w:sz="4" w:space="0"/>
              <w:left w:val="single" w:color="auto" w:sz="4" w:space="0"/>
              <w:right w:val="single" w:color="auto" w:sz="4" w:space="0"/>
            </w:tcBorders>
            <w:noWrap w:val="0"/>
            <w:vAlign w:val="center"/>
          </w:tcPr>
          <w:p w14:paraId="625E46E9">
            <w:pPr>
              <w:snapToGrid w:val="0"/>
              <w:spacing w:line="320" w:lineRule="exact"/>
              <w:jc w:val="center"/>
              <w:rPr>
                <w:rFonts w:ascii="宋体" w:hAnsi="宋体"/>
                <w:szCs w:val="21"/>
                <w:highlight w:val="none"/>
              </w:rPr>
            </w:pPr>
            <w:r>
              <w:rPr>
                <w:rFonts w:hint="eastAsia" w:ascii="宋体" w:hAnsi="宋体"/>
                <w:szCs w:val="21"/>
                <w:highlight w:val="none"/>
                <w:lang w:val="en-US" w:eastAsia="zh-CN"/>
              </w:rPr>
              <w:t>25</w:t>
            </w:r>
            <w:r>
              <w:rPr>
                <w:rFonts w:hint="eastAsia" w:ascii="宋体" w:hAnsi="宋体"/>
                <w:szCs w:val="21"/>
                <w:highlight w:val="none"/>
              </w:rPr>
              <w:t>分</w:t>
            </w:r>
          </w:p>
        </w:tc>
        <w:tc>
          <w:tcPr>
            <w:tcW w:w="5781" w:type="dxa"/>
            <w:tcBorders>
              <w:top w:val="single" w:color="auto" w:sz="4" w:space="0"/>
              <w:left w:val="single" w:color="auto" w:sz="4" w:space="0"/>
              <w:bottom w:val="single" w:color="auto" w:sz="4" w:space="0"/>
            </w:tcBorders>
            <w:noWrap w:val="0"/>
            <w:vAlign w:val="center"/>
          </w:tcPr>
          <w:p w14:paraId="2647E0BF">
            <w:pPr>
              <w:autoSpaceDE w:val="0"/>
              <w:autoSpaceDN w:val="0"/>
              <w:adjustRightInd w:val="0"/>
              <w:snapToGrid w:val="0"/>
              <w:spacing w:line="320" w:lineRule="exact"/>
              <w:rPr>
                <w:rFonts w:hint="eastAsia"/>
                <w:highlight w:val="none"/>
              </w:rPr>
            </w:pPr>
            <w:r>
              <w:rPr>
                <w:rFonts w:hint="eastAsia"/>
                <w:highlight w:val="none"/>
              </w:rPr>
              <w:t>满足附录2资格审查条件（业绩最低条件）</w:t>
            </w:r>
            <w:r>
              <w:rPr>
                <w:highlight w:val="none"/>
              </w:rPr>
              <w:t>得</w:t>
            </w:r>
            <w:r>
              <w:rPr>
                <w:rFonts w:hint="eastAsia"/>
                <w:highlight w:val="none"/>
                <w:lang w:val="en-US" w:eastAsia="zh-CN"/>
              </w:rPr>
              <w:t>15</w:t>
            </w:r>
            <w:r>
              <w:rPr>
                <w:highlight w:val="none"/>
              </w:rPr>
              <w:t>分</w:t>
            </w:r>
            <w:r>
              <w:rPr>
                <w:rFonts w:hint="eastAsia"/>
                <w:highlight w:val="none"/>
              </w:rPr>
              <w:t>。</w:t>
            </w:r>
          </w:p>
        </w:tc>
      </w:tr>
      <w:tr w14:paraId="2EE44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8" w:hRule="atLeast"/>
        </w:trPr>
        <w:tc>
          <w:tcPr>
            <w:tcW w:w="539" w:type="dxa"/>
            <w:vMerge w:val="continue"/>
            <w:noWrap w:val="0"/>
            <w:vAlign w:val="center"/>
          </w:tcPr>
          <w:p w14:paraId="5F6E6E9F">
            <w:pPr>
              <w:autoSpaceDE w:val="0"/>
              <w:autoSpaceDN w:val="0"/>
              <w:snapToGrid w:val="0"/>
              <w:spacing w:line="320" w:lineRule="exact"/>
              <w:rPr>
                <w:rFonts w:ascii="宋体" w:hAnsi="宋体" w:cs="宋体"/>
                <w:kern w:val="0"/>
                <w:szCs w:val="21"/>
                <w:highlight w:val="none"/>
              </w:rPr>
            </w:pPr>
          </w:p>
        </w:tc>
        <w:tc>
          <w:tcPr>
            <w:tcW w:w="602" w:type="dxa"/>
            <w:vMerge w:val="continue"/>
            <w:tcBorders>
              <w:right w:val="single" w:color="auto" w:sz="4" w:space="0"/>
            </w:tcBorders>
            <w:noWrap w:val="0"/>
            <w:vAlign w:val="center"/>
          </w:tcPr>
          <w:p w14:paraId="09C7C2B0">
            <w:pPr>
              <w:autoSpaceDE w:val="0"/>
              <w:autoSpaceDN w:val="0"/>
              <w:snapToGrid w:val="0"/>
              <w:spacing w:line="320" w:lineRule="exact"/>
              <w:rPr>
                <w:rFonts w:ascii="宋体" w:hAnsi="宋体" w:cs="宋体"/>
                <w:kern w:val="0"/>
                <w:szCs w:val="21"/>
                <w:highlight w:val="none"/>
              </w:rPr>
            </w:pPr>
          </w:p>
        </w:tc>
        <w:tc>
          <w:tcPr>
            <w:tcW w:w="567" w:type="dxa"/>
            <w:vMerge w:val="continue"/>
            <w:tcBorders>
              <w:left w:val="single" w:color="auto" w:sz="4" w:space="0"/>
            </w:tcBorders>
            <w:noWrap w:val="0"/>
            <w:vAlign w:val="center"/>
          </w:tcPr>
          <w:p w14:paraId="63A71FA8">
            <w:pPr>
              <w:autoSpaceDE w:val="0"/>
              <w:autoSpaceDN w:val="0"/>
              <w:snapToGrid w:val="0"/>
              <w:spacing w:line="320" w:lineRule="exact"/>
              <w:rPr>
                <w:rFonts w:ascii="宋体" w:hAnsi="宋体" w:cs="宋体"/>
                <w:kern w:val="0"/>
                <w:szCs w:val="21"/>
                <w:highlight w:val="none"/>
              </w:rPr>
            </w:pPr>
          </w:p>
        </w:tc>
        <w:tc>
          <w:tcPr>
            <w:tcW w:w="1244" w:type="dxa"/>
            <w:vMerge w:val="continue"/>
            <w:tcBorders>
              <w:right w:val="single" w:color="auto" w:sz="4" w:space="0"/>
            </w:tcBorders>
            <w:noWrap w:val="0"/>
            <w:vAlign w:val="center"/>
          </w:tcPr>
          <w:p w14:paraId="62CA33EA">
            <w:pPr>
              <w:autoSpaceDE w:val="0"/>
              <w:autoSpaceDN w:val="0"/>
              <w:snapToGrid w:val="0"/>
              <w:spacing w:line="320" w:lineRule="exact"/>
              <w:ind w:firstLine="210" w:firstLineChars="100"/>
              <w:rPr>
                <w:rFonts w:ascii="宋体" w:hAnsi="宋体" w:cs="宋体"/>
                <w:kern w:val="0"/>
                <w:szCs w:val="21"/>
                <w:highlight w:val="none"/>
              </w:rPr>
            </w:pPr>
          </w:p>
        </w:tc>
        <w:tc>
          <w:tcPr>
            <w:tcW w:w="750" w:type="dxa"/>
            <w:vMerge w:val="continue"/>
            <w:tcBorders>
              <w:left w:val="single" w:color="auto" w:sz="4" w:space="0"/>
              <w:right w:val="single" w:color="auto" w:sz="4" w:space="0"/>
            </w:tcBorders>
            <w:noWrap w:val="0"/>
            <w:vAlign w:val="center"/>
          </w:tcPr>
          <w:p w14:paraId="57283A52">
            <w:pPr>
              <w:pStyle w:val="7"/>
              <w:snapToGrid w:val="0"/>
              <w:spacing w:line="320" w:lineRule="exact"/>
              <w:jc w:val="center"/>
              <w:rPr>
                <w:rFonts w:hAnsi="宋体"/>
                <w:highlight w:val="none"/>
              </w:rPr>
            </w:pPr>
          </w:p>
        </w:tc>
        <w:tc>
          <w:tcPr>
            <w:tcW w:w="5781" w:type="dxa"/>
            <w:tcBorders>
              <w:top w:val="single" w:color="auto" w:sz="4" w:space="0"/>
              <w:left w:val="single" w:color="auto" w:sz="4" w:space="0"/>
            </w:tcBorders>
            <w:noWrap w:val="0"/>
            <w:vAlign w:val="center"/>
          </w:tcPr>
          <w:p w14:paraId="22733221">
            <w:pPr>
              <w:autoSpaceDE w:val="0"/>
              <w:autoSpaceDN w:val="0"/>
              <w:adjustRightInd w:val="0"/>
              <w:snapToGrid w:val="0"/>
              <w:spacing w:line="320" w:lineRule="exact"/>
              <w:rPr>
                <w:rFonts w:hint="eastAsia"/>
                <w:highlight w:val="none"/>
              </w:rPr>
            </w:pPr>
            <w:r>
              <w:rPr>
                <w:highlight w:val="none"/>
              </w:rPr>
              <w:t>投标人</w:t>
            </w:r>
            <w:r>
              <w:rPr>
                <w:rFonts w:hint="eastAsia"/>
                <w:highlight w:val="none"/>
              </w:rPr>
              <w:t>每增加</w:t>
            </w:r>
            <w:r>
              <w:rPr>
                <w:rFonts w:hint="eastAsia"/>
                <w:szCs w:val="21"/>
                <w:highlight w:val="none"/>
              </w:rPr>
              <w:t>一个满足附录2资格审查条件（业绩最低条件）的业绩加</w:t>
            </w:r>
            <w:r>
              <w:rPr>
                <w:rFonts w:hint="eastAsia"/>
                <w:szCs w:val="21"/>
                <w:highlight w:val="none"/>
                <w:lang w:val="en-US" w:eastAsia="zh-CN"/>
              </w:rPr>
              <w:t>5</w:t>
            </w:r>
            <w:r>
              <w:rPr>
                <w:rFonts w:hint="eastAsia"/>
                <w:szCs w:val="21"/>
                <w:highlight w:val="none"/>
              </w:rPr>
              <w:t>分，本项最高加</w:t>
            </w:r>
            <w:r>
              <w:rPr>
                <w:rFonts w:hint="eastAsia"/>
                <w:szCs w:val="21"/>
                <w:highlight w:val="none"/>
                <w:lang w:val="en-US" w:eastAsia="zh-CN"/>
              </w:rPr>
              <w:t>10</w:t>
            </w:r>
            <w:r>
              <w:rPr>
                <w:rFonts w:hint="eastAsia"/>
                <w:szCs w:val="21"/>
                <w:highlight w:val="none"/>
              </w:rPr>
              <w:t>分。</w:t>
            </w:r>
          </w:p>
        </w:tc>
      </w:tr>
    </w:tbl>
    <w:p w14:paraId="1C4B7BDF">
      <w:pPr>
        <w:widowControl/>
        <w:snapToGrid w:val="0"/>
        <w:spacing w:line="300" w:lineRule="auto"/>
        <w:jc w:val="left"/>
        <w:rPr>
          <w:highlight w:val="none"/>
        </w:rPr>
      </w:pPr>
      <w:r>
        <w:rPr>
          <w:rFonts w:hint="eastAsia" w:ascii="宋体" w:hAnsi="宋体" w:cs="宋体"/>
          <w:kern w:val="0"/>
          <w:szCs w:val="21"/>
          <w:highlight w:val="none"/>
          <w:lang w:bidi="ar"/>
        </w:rPr>
        <w:t>注：1、各评分因素得分应以评标委员会各成员的打分平均值确定，保留两位小数，第三位四舍五入。</w:t>
      </w:r>
    </w:p>
    <w:p w14:paraId="261E06F7">
      <w:r>
        <w:rPr>
          <w:rFonts w:hint="eastAsia" w:ascii="宋体" w:hAnsi="宋体" w:cs="宋体"/>
          <w:kern w:val="0"/>
          <w:szCs w:val="21"/>
          <w:highlight w:val="none"/>
          <w:lang w:bidi="ar"/>
        </w:rPr>
        <w:t>2、</w:t>
      </w:r>
      <w:r>
        <w:rPr>
          <w:rFonts w:hint="eastAsia" w:ascii="宋体" w:hAnsi="宋体" w:cs="宋体"/>
          <w:kern w:val="0"/>
          <w:szCs w:val="21"/>
          <w:highlight w:val="none"/>
        </w:rPr>
        <w:t>服务方案</w:t>
      </w:r>
      <w:r>
        <w:rPr>
          <w:rFonts w:hint="eastAsia" w:ascii="宋体" w:hAnsi="宋体" w:cs="宋体"/>
          <w:kern w:val="0"/>
          <w:szCs w:val="21"/>
          <w:highlight w:val="none"/>
          <w:lang w:bidi="ar"/>
        </w:rPr>
        <w:t>评分因素细分项存在缺项的，则该项计0分</w:t>
      </w:r>
      <w:r>
        <w:rPr>
          <w:rFonts w:ascii="宋体" w:hAnsi="宋体"/>
          <w:szCs w:val="21"/>
          <w:highlight w:val="none"/>
        </w:rPr>
        <w:t>。</w:t>
      </w:r>
      <w:bookmarkEnd w:id="0"/>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CC"/>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E650C"/>
    <w:multiLevelType w:val="multilevel"/>
    <w:tmpl w:val="4C6E650C"/>
    <w:lvl w:ilvl="0" w:tentative="0">
      <w:start w:val="1"/>
      <w:numFmt w:val="decimal"/>
      <w:pStyle w:val="3"/>
      <w:suff w:val="space"/>
      <w:lvlText w:val="%1."/>
      <w:lvlJc w:val="left"/>
      <w:pPr>
        <w:tabs>
          <w:tab w:val="left" w:pos="0"/>
        </w:tabs>
        <w:ind w:left="0" w:firstLine="0"/>
      </w:pPr>
      <w:rPr>
        <w:rFonts w:hint="default" w:ascii="Times New Roman" w:hAnsi="Times New Roman" w:eastAsia="宋体"/>
        <w:b/>
        <w:i w:val="0"/>
        <w:sz w:val="21"/>
        <w:szCs w:val="21"/>
      </w:rPr>
    </w:lvl>
    <w:lvl w:ilvl="1" w:tentative="0">
      <w:start w:val="1"/>
      <w:numFmt w:val="decimal"/>
      <w:pStyle w:val="2"/>
      <w:suff w:val="space"/>
      <w:lvlText w:val="%1.%2"/>
      <w:lvlJc w:val="left"/>
      <w:pPr>
        <w:tabs>
          <w:tab w:val="left" w:pos="0"/>
        </w:tabs>
        <w:ind w:left="240" w:firstLine="0"/>
      </w:pPr>
      <w:rPr>
        <w:rFonts w:hint="default" w:ascii="Times New Roman" w:hAnsi="Times New Roman" w:eastAsia="宋体"/>
        <w:b/>
        <w:i w:val="0"/>
        <w:sz w:val="21"/>
        <w:szCs w:val="21"/>
      </w:rPr>
    </w:lvl>
    <w:lvl w:ilvl="2" w:tentative="0">
      <w:start w:val="1"/>
      <w:numFmt w:val="decimal"/>
      <w:suff w:val="space"/>
      <w:lvlText w:val="%1.%2.%3"/>
      <w:lvlJc w:val="left"/>
      <w:pPr>
        <w:ind w:left="993" w:firstLine="0"/>
      </w:pPr>
      <w:rPr>
        <w:rFonts w:hint="default" w:ascii="Times New Roman" w:hAnsi="Times New Roman" w:eastAsia="宋体"/>
        <w:b/>
        <w:i w:val="0"/>
        <w:sz w:val="32"/>
      </w:rPr>
    </w:lvl>
    <w:lvl w:ilvl="3" w:tentative="0">
      <w:start w:val="1"/>
      <w:numFmt w:val="decimal"/>
      <w:suff w:val="space"/>
      <w:lvlText w:val="%1.%2.%3.%4"/>
      <w:lvlJc w:val="left"/>
      <w:pPr>
        <w:ind w:left="0" w:firstLine="0"/>
      </w:pPr>
      <w:rPr>
        <w:rFonts w:hint="default" w:ascii="Times New Roman" w:hAnsi="Times New Roman" w:eastAsia="宋体"/>
        <w:b/>
        <w:i w:val="0"/>
        <w:sz w:val="24"/>
      </w:rPr>
    </w:lvl>
    <w:lvl w:ilvl="4" w:tentative="0">
      <w:start w:val="1"/>
      <w:numFmt w:val="decimal"/>
      <w:suff w:val="space"/>
      <w:lvlText w:val="%1.%2.%3.%4.%5"/>
      <w:lvlJc w:val="left"/>
      <w:pPr>
        <w:ind w:left="0" w:firstLine="0"/>
      </w:pPr>
      <w:rPr>
        <w:rFonts w:hint="default" w:ascii="Times New Roman" w:hAnsi="Times New Roman" w:eastAsia="宋体"/>
        <w:b/>
        <w:i w:val="0"/>
        <w:sz w:val="24"/>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06623"/>
    <w:rsid w:val="2F8266AE"/>
    <w:rsid w:val="4BBD7C2E"/>
    <w:rsid w:val="55483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2"/>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240"/>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0"/>
        <w:numId w:val="1"/>
      </w:numPr>
      <w:spacing w:before="50" w:after="50" w:line="416" w:lineRule="auto"/>
      <w:outlineLvl w:val="2"/>
    </w:pPr>
    <w:rPr>
      <w:rFonts w:ascii="宋体" w:hAnsi="宋体" w:eastAsia="宋体" w:cs="Times New Roman"/>
      <w:b/>
      <w:bCs/>
      <w:sz w:val="21"/>
      <w:szCs w:val="21"/>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rPr>
      <w:rFonts w:ascii="Times New Roman" w:hAnsi="Times New Roman"/>
      <w:kern w:val="0"/>
      <w:sz w:val="28"/>
      <w:szCs w:val="24"/>
    </w:rPr>
  </w:style>
  <w:style w:type="paragraph" w:styleId="5">
    <w:name w:val="Body Text 2"/>
    <w:basedOn w:val="1"/>
    <w:unhideWhenUsed/>
    <w:qFormat/>
    <w:uiPriority w:val="99"/>
    <w:pPr>
      <w:spacing w:after="120" w:line="480" w:lineRule="auto"/>
    </w:pPr>
    <w:rPr>
      <w:rFonts w:eastAsia="等线"/>
    </w:rPr>
  </w:style>
  <w:style w:type="paragraph" w:styleId="6">
    <w:name w:val="Body Text Indent"/>
    <w:basedOn w:val="1"/>
    <w:qFormat/>
    <w:uiPriority w:val="0"/>
    <w:pPr>
      <w:ind w:firstLine="480"/>
    </w:pPr>
    <w:rPr>
      <w:rFonts w:ascii="Times New Roman" w:hAnsi="Times New Roman"/>
      <w:kern w:val="0"/>
      <w:sz w:val="24"/>
      <w:szCs w:val="20"/>
    </w:rPr>
  </w:style>
  <w:style w:type="paragraph" w:styleId="7">
    <w:name w:val="Plain Text"/>
    <w:basedOn w:val="1"/>
    <w:qFormat/>
    <w:uiPriority w:val="99"/>
    <w:rPr>
      <w:rFonts w:ascii="宋体" w:hAnsi="Courier New"/>
      <w:kern w:val="0"/>
      <w:sz w:val="20"/>
      <w:szCs w:val="20"/>
    </w:rPr>
  </w:style>
  <w:style w:type="paragraph" w:styleId="8">
    <w:name w:val="Body Text First Indent 2"/>
    <w:basedOn w:val="6"/>
    <w:qFormat/>
    <w:uiPriority w:val="99"/>
    <w:pPr>
      <w:ind w:firstLine="420" w:firstLineChars="200"/>
    </w:pPr>
    <w:rPr>
      <w:color w:val="000000"/>
    </w:rPr>
  </w:style>
  <w:style w:type="character" w:styleId="11">
    <w:name w:val="Strong"/>
    <w:qFormat/>
    <w:uiPriority w:val="22"/>
    <w:rPr>
      <w:b/>
      <w:bCs/>
    </w:rPr>
  </w:style>
  <w:style w:type="character" w:customStyle="1" w:styleId="12">
    <w:name w:val="NormalCharacter"/>
    <w:qFormat/>
    <w:uiPriority w:val="0"/>
    <w:rPr>
      <w:rFonts w:ascii="Times New Roman" w:hAnsi="Times New Roman" w:eastAsia="宋体" w:cs="Times New Roman"/>
    </w:rPr>
  </w:style>
  <w:style w:type="character" w:customStyle="1" w:styleId="13">
    <w:name w:val="目录4 Char"/>
    <w:qFormat/>
    <w:uiPriority w:val="0"/>
    <w:rPr>
      <w:rFonts w:ascii="黑体" w:eastAsia="黑体"/>
      <w:kern w:val="2"/>
      <w:sz w:val="24"/>
      <w:szCs w:val="24"/>
      <w:lang w:val="en-US" w:eastAsia="zh-CN" w:bidi="ar-SA"/>
    </w:rPr>
  </w:style>
  <w:style w:type="character" w:customStyle="1" w:styleId="14">
    <w:name w:val="目录4 Char Char"/>
    <w:qFormat/>
    <w:uiPriority w:val="0"/>
    <w:rPr>
      <w:rFonts w:ascii="黑体" w:eastAsia="黑体"/>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6310</Words>
  <Characters>6730</Characters>
  <Lines>0</Lines>
  <Paragraphs>0</Paragraphs>
  <TotalTime>0</TotalTime>
  <ScaleCrop>false</ScaleCrop>
  <LinksUpToDate>false</LinksUpToDate>
  <CharactersWithSpaces>6781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2025-07-30T08:06:00Z</dcterms:created>
  <dc:creator>zjyd-2</dc:creator>
  <cp:lastModifiedBy>冯士峰</cp:lastModifiedBy>
  <dcterms:modified xsi:type="dcterms:W3CDTF">2025-09-22T08:53:58Z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CF58DBFDBD8A45269F9CDECC14BC5366_12</vt:lpwstr>
  </property>
  <property fmtid="{D5CDD505-2E9C-101B-9397-08002B2CF9AE}" pid="4" name="KSOTemplateDocerSaveRecord">
    <vt:lpwstr>eyJoZGlkIjoiMjNhMGNiNzBmYzRmYmU1YWU1ZDVjYzI3MTI0YTIzZjQiLCJ1c2VySWQiOiIxNjg3ODQzOTczIn0=</vt:lpwstr>
  </property>
</Properties>
</file>