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6637B">
      <w:pPr>
        <w:pStyle w:val="3"/>
        <w:snapToGrid w:val="0"/>
        <w:spacing w:before="156" w:beforeLines="50" w:after="156" w:afterLines="50" w:line="240" w:lineRule="auto"/>
        <w:outlineLvl w:val="2"/>
        <w:rPr>
          <w:color w:val="auto"/>
          <w:highlight w:val="none"/>
        </w:rPr>
      </w:pPr>
      <w:bookmarkStart w:id="4" w:name="_GoBack"/>
      <w:bookmarkEnd w:id="4"/>
      <w:bookmarkStart w:id="0" w:name="_Toc7171"/>
      <w:bookmarkStart w:id="1" w:name="OLE_LINK3"/>
      <w:bookmarkStart w:id="2" w:name="OLE_LINK1"/>
      <w:r>
        <w:rPr>
          <w:rFonts w:hint="eastAsia" w:ascii="宋体" w:hAnsi="宋体"/>
          <w:color w:val="auto"/>
          <w:sz w:val="24"/>
          <w:szCs w:val="24"/>
          <w:highlight w:val="none"/>
        </w:rPr>
        <w:t>附件</w:t>
      </w:r>
      <w:r>
        <w:rPr>
          <w:rFonts w:ascii="宋体" w:hAnsi="宋体"/>
          <w:color w:val="auto"/>
          <w:sz w:val="24"/>
          <w:szCs w:val="24"/>
          <w:highlight w:val="none"/>
        </w:rPr>
        <w:t>1</w:t>
      </w:r>
      <w:r>
        <w:rPr>
          <w:rFonts w:hint="eastAsia" w:ascii="宋体" w:hAnsi="宋体"/>
          <w:color w:val="auto"/>
          <w:sz w:val="24"/>
          <w:szCs w:val="24"/>
          <w:highlight w:val="none"/>
        </w:rPr>
        <w:t>：资格审查条件</w:t>
      </w:r>
      <w:bookmarkEnd w:id="0"/>
    </w:p>
    <w:p w14:paraId="0E450805">
      <w:pPr>
        <w:jc w:val="center"/>
        <w:rPr>
          <w:rFonts w:ascii="宋体" w:hAnsi="宋体"/>
          <w:b/>
          <w:color w:val="auto"/>
          <w:sz w:val="24"/>
          <w:szCs w:val="24"/>
          <w:highlight w:val="none"/>
        </w:rPr>
      </w:pPr>
      <w:r>
        <w:rPr>
          <w:rFonts w:hint="eastAsia" w:ascii="宋体" w:hAnsi="宋体"/>
          <w:b/>
          <w:color w:val="auto"/>
          <w:sz w:val="24"/>
          <w:szCs w:val="24"/>
          <w:highlight w:val="none"/>
        </w:rPr>
        <w:t>附录1资格审查条件（资质最低要求）</w:t>
      </w: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727B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15F86B7A">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资质等级要求</w:t>
            </w:r>
          </w:p>
        </w:tc>
      </w:tr>
      <w:tr w14:paraId="49AC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642" w:type="dxa"/>
            <w:vAlign w:val="center"/>
          </w:tcPr>
          <w:p w14:paraId="41D7236C">
            <w:pPr>
              <w:keepNext w:val="0"/>
              <w:keepLines w:val="0"/>
              <w:suppressLineNumbers w:val="0"/>
              <w:snapToGrid w:val="0"/>
              <w:spacing w:before="0" w:beforeAutospacing="0" w:after="0" w:afterAutospacing="0" w:line="360" w:lineRule="exact"/>
              <w:ind w:left="0" w:right="0" w:firstLine="420" w:firstLineChars="200"/>
              <w:rPr>
                <w:rFonts w:hint="default"/>
                <w:color w:val="auto"/>
                <w:highlight w:val="none"/>
              </w:rPr>
            </w:pPr>
            <w:r>
              <w:rPr>
                <w:rFonts w:hint="eastAsia" w:ascii="宋体" w:hAnsi="宋体"/>
                <w:color w:val="auto"/>
                <w:kern w:val="0"/>
                <w:szCs w:val="21"/>
                <w:highlight w:val="none"/>
              </w:rPr>
              <w:t>具有独立法人资格，具有有效的企业营业执照</w:t>
            </w:r>
            <w:r>
              <w:rPr>
                <w:rFonts w:hint="eastAsia" w:ascii="宋体" w:hAnsi="宋体"/>
                <w:color w:val="auto"/>
                <w:kern w:val="0"/>
                <w:szCs w:val="21"/>
                <w:highlight w:val="none"/>
                <w:lang w:eastAsia="zh-CN"/>
              </w:rPr>
              <w:t>。</w:t>
            </w:r>
          </w:p>
        </w:tc>
      </w:tr>
    </w:tbl>
    <w:p w14:paraId="1FCD1637">
      <w:pPr>
        <w:rPr>
          <w:rFonts w:ascii="宋体" w:hAnsi="宋体"/>
          <w:color w:val="auto"/>
          <w:sz w:val="24"/>
          <w:szCs w:val="24"/>
          <w:highlight w:val="none"/>
        </w:rPr>
      </w:pPr>
    </w:p>
    <w:p w14:paraId="078F81A8">
      <w:pPr>
        <w:jc w:val="center"/>
        <w:rPr>
          <w:rFonts w:ascii="宋体" w:hAnsi="宋体"/>
          <w:b/>
          <w:color w:val="auto"/>
          <w:sz w:val="24"/>
          <w:szCs w:val="24"/>
          <w:highlight w:val="none"/>
        </w:rPr>
      </w:pPr>
      <w:r>
        <w:rPr>
          <w:rFonts w:hint="eastAsia" w:ascii="宋体" w:hAnsi="宋体"/>
          <w:b/>
          <w:color w:val="auto"/>
          <w:sz w:val="24"/>
          <w:szCs w:val="24"/>
          <w:highlight w:val="none"/>
        </w:rPr>
        <w:t>附录2资格审查条件（业绩最低要求）</w:t>
      </w: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1CB2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140EF2E1">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业绩要求</w:t>
            </w:r>
          </w:p>
        </w:tc>
      </w:tr>
      <w:tr w14:paraId="5595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14:paraId="0F7CA866">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olor w:val="auto"/>
                <w:szCs w:val="21"/>
                <w:highlight w:val="none"/>
                <w:lang w:eastAsia="zh-CN"/>
              </w:rPr>
            </w:pPr>
            <w:r>
              <w:rPr>
                <w:rFonts w:hint="eastAsia" w:ascii="宋体" w:hAnsi="宋体"/>
                <w:color w:val="auto"/>
                <w:kern w:val="0"/>
                <w:szCs w:val="21"/>
                <w:highlight w:val="none"/>
              </w:rPr>
              <w:t>近</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年（20</w:t>
            </w:r>
            <w:r>
              <w:rPr>
                <w:rFonts w:hint="eastAsia" w:ascii="宋体" w:hAnsi="宋体"/>
                <w:color w:val="auto"/>
                <w:kern w:val="0"/>
                <w:szCs w:val="21"/>
                <w:highlight w:val="none"/>
                <w:lang w:val="en-US" w:eastAsia="zh-CN"/>
              </w:rPr>
              <w:t>22</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9月</w:t>
            </w:r>
            <w:r>
              <w:rPr>
                <w:rFonts w:hint="eastAsia" w:ascii="宋体" w:hAnsi="宋体"/>
                <w:color w:val="auto"/>
                <w:kern w:val="0"/>
                <w:szCs w:val="21"/>
                <w:highlight w:val="none"/>
              </w:rPr>
              <w:t>1日至投标截止时间，以合同签订时间为准），至少</w:t>
            </w:r>
            <w:r>
              <w:rPr>
                <w:rFonts w:hint="eastAsia" w:ascii="宋体" w:hAnsi="宋体"/>
                <w:color w:val="auto"/>
                <w:kern w:val="0"/>
                <w:szCs w:val="21"/>
                <w:highlight w:val="none"/>
                <w:lang w:val="en-US" w:eastAsia="zh-CN"/>
              </w:rPr>
              <w:t>承担</w:t>
            </w:r>
            <w:r>
              <w:rPr>
                <w:rFonts w:hint="eastAsia" w:ascii="宋体" w:hAnsi="宋体"/>
                <w:color w:val="auto"/>
                <w:kern w:val="0"/>
                <w:szCs w:val="21"/>
                <w:highlight w:val="none"/>
              </w:rPr>
              <w:t>过1项</w:t>
            </w:r>
            <w:r>
              <w:rPr>
                <w:rFonts w:hint="eastAsia" w:ascii="宋体" w:hAnsi="宋体"/>
                <w:color w:val="auto"/>
                <w:kern w:val="0"/>
                <w:szCs w:val="21"/>
                <w:highlight w:val="none"/>
                <w:lang w:val="en-US" w:eastAsia="zh-CN"/>
              </w:rPr>
              <w:t>合同金额不少于15万元的</w:t>
            </w:r>
            <w:r>
              <w:rPr>
                <w:rFonts w:hint="eastAsia" w:ascii="宋体" w:hAnsi="宋体"/>
                <w:color w:val="auto"/>
                <w:kern w:val="0"/>
                <w:szCs w:val="21"/>
                <w:highlight w:val="none"/>
              </w:rPr>
              <w:t>网络安全运维服务项目</w:t>
            </w:r>
            <w:r>
              <w:rPr>
                <w:rFonts w:hint="eastAsia" w:ascii="宋体" w:hAnsi="宋体"/>
                <w:color w:val="auto"/>
                <w:kern w:val="0"/>
                <w:szCs w:val="21"/>
                <w:highlight w:val="none"/>
                <w:lang w:eastAsia="zh-CN"/>
              </w:rPr>
              <w:t>。</w:t>
            </w:r>
          </w:p>
        </w:tc>
      </w:tr>
    </w:tbl>
    <w:p w14:paraId="7B562930">
      <w:pPr>
        <w:rPr>
          <w:rFonts w:ascii="宋体" w:hAnsi="宋体"/>
          <w:color w:val="auto"/>
          <w:sz w:val="24"/>
          <w:szCs w:val="24"/>
          <w:highlight w:val="none"/>
        </w:rPr>
      </w:pPr>
    </w:p>
    <w:p w14:paraId="24CEF733">
      <w:pPr>
        <w:jc w:val="center"/>
        <w:rPr>
          <w:rFonts w:ascii="宋体" w:hAnsi="宋体"/>
          <w:b/>
          <w:color w:val="auto"/>
          <w:sz w:val="24"/>
          <w:szCs w:val="24"/>
          <w:highlight w:val="none"/>
        </w:rPr>
      </w:pPr>
      <w:r>
        <w:rPr>
          <w:rFonts w:hint="eastAsia" w:ascii="宋体" w:hAnsi="宋体"/>
          <w:b/>
          <w:color w:val="auto"/>
          <w:sz w:val="24"/>
          <w:szCs w:val="24"/>
          <w:highlight w:val="none"/>
        </w:rPr>
        <w:t>附录3资格审查条件（信誉最低要求）</w:t>
      </w: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5456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14:paraId="240508B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信誉要求</w:t>
            </w:r>
          </w:p>
        </w:tc>
      </w:tr>
      <w:tr w14:paraId="0A09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14:paraId="2CECA029">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olor w:val="auto"/>
                <w:szCs w:val="21"/>
                <w:highlight w:val="none"/>
                <w:lang w:eastAsia="zh-CN"/>
              </w:rPr>
            </w:pPr>
            <w:r>
              <w:rPr>
                <w:rFonts w:hint="eastAsia" w:ascii="宋体" w:hAnsi="宋体"/>
                <w:color w:val="auto"/>
                <w:kern w:val="0"/>
                <w:szCs w:val="21"/>
                <w:highlight w:val="none"/>
              </w:rPr>
              <w:t>投标人在过去1年中（202</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9月</w:t>
            </w:r>
            <w:r>
              <w:rPr>
                <w:rFonts w:hint="eastAsia" w:ascii="宋体" w:hAnsi="宋体"/>
                <w:color w:val="auto"/>
                <w:kern w:val="0"/>
                <w:szCs w:val="21"/>
                <w:highlight w:val="none"/>
              </w:rPr>
              <w:t>1日至投标截止时间）不曾在</w:t>
            </w:r>
            <w:r>
              <w:rPr>
                <w:rFonts w:hint="eastAsia" w:ascii="宋体" w:hAnsi="宋体"/>
                <w:color w:val="auto"/>
                <w:kern w:val="0"/>
                <w:szCs w:val="21"/>
                <w:highlight w:val="none"/>
                <w:lang w:val="en-US" w:eastAsia="zh-CN"/>
              </w:rPr>
              <w:t>网络安全运维服务</w:t>
            </w:r>
            <w:r>
              <w:rPr>
                <w:rFonts w:hint="eastAsia" w:ascii="宋体" w:hAnsi="宋体"/>
                <w:color w:val="auto"/>
                <w:kern w:val="0"/>
                <w:szCs w:val="21"/>
                <w:highlight w:val="none"/>
              </w:rPr>
              <w:t>合同中违约而被逐或因投标人自身的原因而使合同被解除。</w:t>
            </w:r>
          </w:p>
        </w:tc>
      </w:tr>
    </w:tbl>
    <w:p w14:paraId="681E675D">
      <w:pPr>
        <w:rPr>
          <w:rFonts w:ascii="宋体" w:hAnsi="宋体"/>
          <w:color w:val="auto"/>
          <w:sz w:val="24"/>
          <w:szCs w:val="24"/>
          <w:highlight w:val="none"/>
        </w:rPr>
      </w:pPr>
    </w:p>
    <w:p w14:paraId="0908421D">
      <w:pPr>
        <w:jc w:val="center"/>
        <w:rPr>
          <w:rFonts w:ascii="宋体" w:hAnsi="宋体"/>
          <w:b/>
          <w:color w:val="auto"/>
          <w:sz w:val="24"/>
          <w:szCs w:val="24"/>
          <w:highlight w:val="none"/>
        </w:rPr>
      </w:pPr>
      <w:r>
        <w:rPr>
          <w:rFonts w:hint="eastAsia" w:ascii="宋体" w:hAnsi="宋体"/>
          <w:b/>
          <w:color w:val="auto"/>
          <w:sz w:val="24"/>
          <w:szCs w:val="24"/>
          <w:highlight w:val="none"/>
        </w:rPr>
        <w:t>附录4资格审查条件（</w:t>
      </w:r>
      <w:r>
        <w:rPr>
          <w:rFonts w:hint="eastAsia" w:ascii="宋体" w:hAnsi="宋体" w:cs="Arial"/>
          <w:b/>
          <w:bCs/>
          <w:color w:val="auto"/>
          <w:spacing w:val="15"/>
          <w:kern w:val="0"/>
          <w:sz w:val="24"/>
          <w:highlight w:val="none"/>
          <w:lang w:val="en-US" w:eastAsia="zh-CN"/>
        </w:rPr>
        <w:t>项目负责人</w:t>
      </w:r>
      <w:r>
        <w:rPr>
          <w:rFonts w:hint="eastAsia" w:ascii="宋体" w:hAnsi="宋体"/>
          <w:b/>
          <w:color w:val="auto"/>
          <w:sz w:val="24"/>
          <w:szCs w:val="24"/>
          <w:highlight w:val="none"/>
        </w:rPr>
        <w:t>最低要求）</w:t>
      </w:r>
    </w:p>
    <w:tbl>
      <w:tblPr>
        <w:tblStyle w:val="6"/>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810"/>
        <w:gridCol w:w="6521"/>
      </w:tblGrid>
      <w:tr w14:paraId="6CA6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40" w:type="dxa"/>
            <w:vAlign w:val="center"/>
          </w:tcPr>
          <w:p w14:paraId="2457D5EF">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人员</w:t>
            </w:r>
          </w:p>
        </w:tc>
        <w:tc>
          <w:tcPr>
            <w:tcW w:w="810" w:type="dxa"/>
            <w:vAlign w:val="center"/>
          </w:tcPr>
          <w:p w14:paraId="5F6796B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数量</w:t>
            </w:r>
          </w:p>
        </w:tc>
        <w:tc>
          <w:tcPr>
            <w:tcW w:w="6521" w:type="dxa"/>
            <w:vAlign w:val="center"/>
          </w:tcPr>
          <w:p w14:paraId="73CF7A4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资格要求</w:t>
            </w:r>
          </w:p>
        </w:tc>
      </w:tr>
      <w:tr w14:paraId="51E5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40" w:type="dxa"/>
            <w:vAlign w:val="center"/>
          </w:tcPr>
          <w:p w14:paraId="7075191E">
            <w:pPr>
              <w:keepNext w:val="0"/>
              <w:keepLines w:val="0"/>
              <w:suppressLineNumbers w:val="0"/>
              <w:spacing w:before="0" w:beforeAutospacing="0" w:after="0" w:afterAutospacing="0"/>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项目负责人</w:t>
            </w:r>
          </w:p>
        </w:tc>
        <w:tc>
          <w:tcPr>
            <w:tcW w:w="810" w:type="dxa"/>
            <w:vAlign w:val="center"/>
          </w:tcPr>
          <w:p w14:paraId="602D6ABF">
            <w:pPr>
              <w:keepNext w:val="0"/>
              <w:keepLines w:val="0"/>
              <w:suppressLineNumbers w:val="0"/>
              <w:spacing w:before="0" w:beforeAutospacing="0" w:after="0" w:afterAutospacing="0"/>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6521" w:type="dxa"/>
            <w:vAlign w:val="center"/>
          </w:tcPr>
          <w:p w14:paraId="06165587">
            <w:pPr>
              <w:keepNext w:val="0"/>
              <w:keepLines w:val="0"/>
              <w:suppressLineNumbers w:val="0"/>
              <w:spacing w:before="0" w:beforeAutospacing="0" w:after="0" w:afterAutospacing="0"/>
              <w:ind w:left="0" w:right="0"/>
              <w:jc w:val="left"/>
              <w:rPr>
                <w:rFonts w:hint="eastAsia" w:ascii="宋体" w:hAnsi="宋体" w:cs="Times New Roman"/>
                <w:color w:val="auto"/>
                <w:kern w:val="0"/>
                <w:szCs w:val="21"/>
                <w:highlight w:val="none"/>
                <w:lang w:eastAsia="zh-CN"/>
              </w:rPr>
            </w:pPr>
            <w:r>
              <w:rPr>
                <w:rFonts w:hint="eastAsia" w:ascii="宋体" w:hAnsi="宋体"/>
                <w:color w:val="auto"/>
                <w:szCs w:val="21"/>
                <w:highlight w:val="none"/>
                <w:lang w:val="en-US" w:eastAsia="zh-CN"/>
              </w:rPr>
              <w:t>具有计算机技术与软件专业技术资格（中级）证书（网络工程师或信息安全工程师专业）</w:t>
            </w:r>
          </w:p>
          <w:p w14:paraId="6113AF3E">
            <w:pPr>
              <w:keepNext w:val="0"/>
              <w:keepLines w:val="0"/>
              <w:suppressLineNumbers w:val="0"/>
              <w:spacing w:before="0" w:beforeAutospacing="0" w:after="0" w:afterAutospacing="0"/>
              <w:ind w:left="0" w:right="0"/>
              <w:jc w:val="left"/>
              <w:rPr>
                <w:rFonts w:hint="eastAsia" w:eastAsia="宋体"/>
                <w:color w:val="auto"/>
                <w:highlight w:val="none"/>
                <w:lang w:eastAsia="zh-CN"/>
              </w:rPr>
            </w:pPr>
            <w:r>
              <w:rPr>
                <w:rFonts w:hint="eastAsia" w:ascii="宋体" w:hAnsi="宋体" w:eastAsia="宋体" w:cs="Times New Roman"/>
                <w:color w:val="auto"/>
                <w:kern w:val="0"/>
                <w:szCs w:val="21"/>
                <w:highlight w:val="none"/>
              </w:rPr>
              <w:t>近</w:t>
            </w:r>
            <w:r>
              <w:rPr>
                <w:rFonts w:hint="eastAsia" w:ascii="宋体" w:hAnsi="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年</w:t>
            </w:r>
            <w:r>
              <w:rPr>
                <w:rFonts w:hint="eastAsia" w:ascii="宋体" w:hAnsi="宋体"/>
                <w:color w:val="auto"/>
                <w:szCs w:val="21"/>
                <w:highlight w:val="none"/>
              </w:rPr>
              <w:t>（</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9月</w:t>
            </w:r>
            <w:r>
              <w:rPr>
                <w:rFonts w:hint="eastAsia" w:ascii="宋体" w:hAnsi="宋体"/>
                <w:color w:val="auto"/>
                <w:szCs w:val="21"/>
                <w:highlight w:val="none"/>
                <w:lang w:eastAsia="zh-CN"/>
              </w:rPr>
              <w:t>1日</w:t>
            </w:r>
            <w:r>
              <w:rPr>
                <w:rFonts w:hint="eastAsia" w:ascii="宋体" w:hAnsi="宋体"/>
                <w:color w:val="auto"/>
                <w:szCs w:val="21"/>
                <w:highlight w:val="none"/>
              </w:rPr>
              <w:t>至投标截止时间，以合同签订时间为准）至少担任过1项</w:t>
            </w:r>
            <w:r>
              <w:rPr>
                <w:rFonts w:hint="eastAsia" w:ascii="宋体" w:hAnsi="宋体"/>
                <w:color w:val="auto"/>
                <w:kern w:val="0"/>
                <w:szCs w:val="21"/>
                <w:highlight w:val="none"/>
                <w:lang w:val="en-US" w:eastAsia="zh-CN"/>
              </w:rPr>
              <w:t>合同金额不少于15万元的</w:t>
            </w:r>
            <w:r>
              <w:rPr>
                <w:rFonts w:hint="eastAsia" w:ascii="宋体" w:hAnsi="宋体"/>
                <w:color w:val="auto"/>
                <w:kern w:val="0"/>
                <w:szCs w:val="21"/>
                <w:highlight w:val="none"/>
              </w:rPr>
              <w:t>网络安全运维服务</w:t>
            </w:r>
            <w:r>
              <w:rPr>
                <w:rFonts w:hint="eastAsia" w:ascii="宋体" w:hAnsi="宋体"/>
                <w:color w:val="auto"/>
                <w:szCs w:val="21"/>
                <w:highlight w:val="none"/>
              </w:rPr>
              <w:t>的项目负责人或技术负责人。</w:t>
            </w:r>
          </w:p>
        </w:tc>
      </w:tr>
    </w:tbl>
    <w:p w14:paraId="381E37B6">
      <w:pPr>
        <w:pStyle w:val="3"/>
        <w:snapToGrid w:val="0"/>
        <w:spacing w:before="156" w:beforeLines="50" w:after="156" w:afterLines="50" w:line="240" w:lineRule="auto"/>
        <w:outlineLvl w:val="9"/>
        <w:rPr>
          <w:rFonts w:ascii="黑体" w:eastAsia="黑体"/>
          <w:color w:val="auto"/>
          <w:spacing w:val="-8"/>
          <w:sz w:val="24"/>
          <w:szCs w:val="24"/>
          <w:highlight w:val="none"/>
        </w:rPr>
        <w:sectPr>
          <w:footerReference r:id="rId4" w:type="first"/>
          <w:footerReference r:id="rId3" w:type="default"/>
          <w:pgSz w:w="11906" w:h="16838"/>
          <w:pgMar w:top="1361" w:right="1304" w:bottom="1361" w:left="1361" w:header="851" w:footer="992" w:gutter="0"/>
          <w:pgNumType w:fmt="decimal"/>
          <w:cols w:space="720" w:num="1"/>
          <w:docGrid w:type="lines" w:linePitch="312" w:charSpace="0"/>
        </w:sectPr>
      </w:pPr>
      <w:r>
        <w:rPr>
          <w:rFonts w:ascii="黑体" w:eastAsia="黑体"/>
          <w:color w:val="auto"/>
          <w:spacing w:val="-8"/>
          <w:sz w:val="24"/>
          <w:szCs w:val="24"/>
          <w:highlight w:val="none"/>
        </w:rPr>
        <w:br w:type="page"/>
      </w:r>
      <w:bookmarkStart w:id="3" w:name="_Toc24234"/>
    </w:p>
    <w:bookmarkEnd w:id="1"/>
    <w:bookmarkEnd w:id="2"/>
    <w:bookmarkEnd w:id="3"/>
    <w:p w14:paraId="7AFB479D">
      <w:pPr>
        <w:pStyle w:val="3"/>
        <w:snapToGrid w:val="0"/>
        <w:spacing w:before="156" w:beforeLines="50" w:after="156" w:afterLines="50" w:line="240" w:lineRule="auto"/>
        <w:ind w:left="138"/>
        <w:outlineLvl w:val="2"/>
        <w:rPr>
          <w:sz w:val="28"/>
          <w:szCs w:val="28"/>
          <w:highlight w:val="none"/>
        </w:rPr>
      </w:pPr>
      <w:r>
        <w:rPr>
          <w:rFonts w:ascii="宋体" w:hAnsi="宋体" w:eastAsia="宋体" w:cs="宋体"/>
          <w:b/>
          <w:bCs/>
          <w:spacing w:val="-6"/>
          <w:sz w:val="28"/>
          <w:szCs w:val="28"/>
          <w:highlight w:val="none"/>
        </w:rPr>
        <w:t>附件</w:t>
      </w:r>
      <w:r>
        <w:rPr>
          <w:rFonts w:hint="eastAsia" w:ascii="Times New Roman" w:hAnsi="Times New Roman" w:eastAsia="宋体" w:cs="Times New Roman"/>
          <w:b/>
          <w:bCs/>
          <w:spacing w:val="-6"/>
          <w:sz w:val="28"/>
          <w:szCs w:val="28"/>
          <w:highlight w:val="none"/>
          <w:lang w:val="en-US" w:eastAsia="zh-CN"/>
        </w:rPr>
        <w:t>2</w:t>
      </w:r>
      <w:r>
        <w:rPr>
          <w:rFonts w:ascii="宋体" w:hAnsi="宋体" w:eastAsia="宋体" w:cs="宋体"/>
          <w:b/>
          <w:bCs/>
          <w:spacing w:val="-6"/>
          <w:sz w:val="28"/>
          <w:szCs w:val="28"/>
          <w:highlight w:val="none"/>
        </w:rPr>
        <w:t>：</w:t>
      </w:r>
      <w:r>
        <w:rPr>
          <w:b/>
          <w:bCs/>
          <w:spacing w:val="-6"/>
          <w:sz w:val="28"/>
          <w:szCs w:val="28"/>
          <w:highlight w:val="none"/>
        </w:rPr>
        <w:t>评标办法</w:t>
      </w:r>
    </w:p>
    <w:p w14:paraId="0A5F6EA7">
      <w:pPr>
        <w:spacing w:before="203" w:line="218" w:lineRule="auto"/>
        <w:ind w:left="3562"/>
        <w:rPr>
          <w:rFonts w:ascii="宋体" w:hAnsi="宋体" w:eastAsia="宋体" w:cs="宋体"/>
          <w:sz w:val="24"/>
          <w:szCs w:val="24"/>
          <w:highlight w:val="none"/>
        </w:rPr>
      </w:pPr>
      <w:r>
        <w:rPr>
          <w:rFonts w:ascii="宋体" w:hAnsi="宋体" w:eastAsia="宋体" w:cs="宋体"/>
          <w:b/>
          <w:bCs/>
          <w:spacing w:val="-3"/>
          <w:sz w:val="24"/>
          <w:szCs w:val="24"/>
          <w:highlight w:val="none"/>
        </w:rPr>
        <w:t>评标办法（</w:t>
      </w:r>
      <w:r>
        <w:rPr>
          <w:rFonts w:hint="eastAsia" w:ascii="宋体" w:hAnsi="宋体" w:cs="宋体"/>
          <w:b/>
          <w:bCs/>
          <w:spacing w:val="-3"/>
          <w:sz w:val="24"/>
          <w:szCs w:val="24"/>
          <w:highlight w:val="none"/>
          <w:lang w:eastAsia="zh-CN"/>
        </w:rPr>
        <w:t>综合评估法</w:t>
      </w:r>
      <w:r>
        <w:rPr>
          <w:rFonts w:ascii="宋体" w:hAnsi="宋体" w:eastAsia="宋体" w:cs="宋体"/>
          <w:b/>
          <w:bCs/>
          <w:spacing w:val="-3"/>
          <w:sz w:val="24"/>
          <w:szCs w:val="24"/>
          <w:highlight w:val="none"/>
        </w:rPr>
        <w:t>）</w:t>
      </w:r>
    </w:p>
    <w:p w14:paraId="0B55D99A">
      <w:pPr>
        <w:spacing w:before="181" w:line="219" w:lineRule="auto"/>
        <w:ind w:left="113"/>
        <w:rPr>
          <w:rFonts w:ascii="宋体" w:hAnsi="宋体" w:eastAsia="宋体" w:cs="宋体"/>
          <w:sz w:val="24"/>
          <w:szCs w:val="24"/>
          <w:highlight w:val="none"/>
        </w:rPr>
      </w:pPr>
      <w:r>
        <w:rPr>
          <w:rFonts w:ascii="宋体" w:hAnsi="宋体" w:eastAsia="宋体" w:cs="宋体"/>
          <w:b/>
          <w:bCs/>
          <w:spacing w:val="-4"/>
          <w:sz w:val="24"/>
          <w:szCs w:val="24"/>
          <w:highlight w:val="none"/>
        </w:rPr>
        <w:t>评标办法前附表</w:t>
      </w:r>
    </w:p>
    <w:p w14:paraId="3AF3655A">
      <w:pPr>
        <w:spacing w:line="148" w:lineRule="exact"/>
        <w:rPr>
          <w:highlight w:val="none"/>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42"/>
        <w:gridCol w:w="6633"/>
        <w:gridCol w:w="6"/>
      </w:tblGrid>
      <w:tr w14:paraId="6F88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098" w:type="pct"/>
            <w:gridSpan w:val="2"/>
            <w:vAlign w:val="center"/>
          </w:tcPr>
          <w:p w14:paraId="37A0E4E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901" w:type="pct"/>
            <w:gridSpan w:val="2"/>
            <w:vAlign w:val="center"/>
          </w:tcPr>
          <w:p w14:paraId="51B44A5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14:paraId="4CF8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14:paraId="3F9ECA6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4" w:type="pct"/>
            <w:vAlign w:val="center"/>
          </w:tcPr>
          <w:p w14:paraId="22DBC7C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895" w:type="pct"/>
            <w:vAlign w:val="center"/>
          </w:tcPr>
          <w:p w14:paraId="4A19452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404" w:firstLineChars="2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14:paraId="132339D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205" w:leftChars="97" w:right="0"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（1）评标价低的投标人优先；</w:t>
            </w:r>
          </w:p>
          <w:p w14:paraId="2B85981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205" w:leftChars="97" w:right="0"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（2）实施方案得分较高的投标人优先；</w:t>
            </w:r>
          </w:p>
          <w:p w14:paraId="10096E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202"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（3）投标人满足资格审查条件（业绩最低条件）要求的业绩金额累计较高的优先。</w:t>
            </w:r>
          </w:p>
        </w:tc>
      </w:tr>
      <w:tr w14:paraId="369A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14:paraId="0F27B8E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14:paraId="699F319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674" w:type="pct"/>
            <w:vAlign w:val="center"/>
          </w:tcPr>
          <w:p w14:paraId="4E30A84D">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3895" w:type="pct"/>
            <w:vAlign w:val="top"/>
          </w:tcPr>
          <w:p w14:paraId="5C904FEC">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14:paraId="6F3E4BB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w:t>
            </w:r>
          </w:p>
          <w:p w14:paraId="34BA6289">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w:t>
            </w:r>
            <w:r>
              <w:rPr>
                <w:rFonts w:hint="eastAsia" w:ascii="宋体" w:hAnsi="宋体" w:eastAsia="宋体" w:cs="宋体"/>
                <w:color w:val="auto"/>
                <w:sz w:val="21"/>
                <w:szCs w:val="21"/>
                <w:highlight w:val="none"/>
              </w:rPr>
              <w:t>项目负责人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质量要求</w:t>
            </w:r>
            <w:r>
              <w:rPr>
                <w:rFonts w:hint="eastAsia" w:ascii="宋体" w:hAnsi="宋体" w:eastAsia="宋体" w:cs="宋体"/>
                <w:bCs/>
                <w:color w:val="auto"/>
                <w:sz w:val="21"/>
                <w:szCs w:val="21"/>
                <w:highlight w:val="none"/>
              </w:rPr>
              <w:t>；</w:t>
            </w:r>
          </w:p>
          <w:p w14:paraId="0C8720A9">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14:paraId="6856FA3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14:paraId="058069ED">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（3）投标人按照招标文件的规定提供了投标保证金，并符合投标人须知前附表3.4.1项的相关规定。</w:t>
            </w:r>
          </w:p>
          <w:p w14:paraId="0D0F028C">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（4）投标人法定代表人授权委托代理人签署投标文件的，须提交授权委托书，</w:t>
            </w:r>
            <w:r>
              <w:rPr>
                <w:rFonts w:hint="eastAsia" w:ascii="宋体" w:hAnsi="宋体" w:eastAsia="宋体" w:cs="宋体"/>
                <w:color w:val="auto"/>
                <w:sz w:val="21"/>
                <w:szCs w:val="21"/>
                <w:highlight w:val="none"/>
                <w:lang w:val="en-US" w:eastAsia="zh-CN"/>
              </w:rPr>
              <w:t>授权委托书的签字盖章符合招标文件规定</w:t>
            </w:r>
            <w:r>
              <w:rPr>
                <w:rFonts w:hint="eastAsia" w:ascii="宋体" w:hAnsi="宋体" w:eastAsia="宋体" w:cs="宋体"/>
                <w:color w:val="auto"/>
                <w:sz w:val="21"/>
                <w:szCs w:val="21"/>
                <w:highlight w:val="none"/>
                <w:lang w:eastAsia="zh-CN"/>
              </w:rPr>
              <w:t>。</w:t>
            </w:r>
          </w:p>
          <w:p w14:paraId="214DCDBF">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（5）投标人法定代表人亲自签署投标文件的，提供了法定代表人身份证明，并符合招标文件的规定。</w:t>
            </w:r>
          </w:p>
          <w:p w14:paraId="31D774A0">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（6）投标人未以联合体形式投标。</w:t>
            </w:r>
          </w:p>
          <w:p w14:paraId="6135E876">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w:t>
            </w:r>
            <w:r>
              <w:rPr>
                <w:rFonts w:hint="eastAsia" w:ascii="宋体" w:hAnsi="宋体" w:eastAsia="宋体" w:cs="宋体"/>
                <w:color w:val="auto"/>
                <w:sz w:val="21"/>
                <w:szCs w:val="21"/>
                <w:highlight w:val="none"/>
                <w:lang w:val="en-US" w:eastAsia="zh-CN"/>
              </w:rPr>
              <w:t>未对本项目进行</w:t>
            </w:r>
            <w:r>
              <w:rPr>
                <w:rFonts w:hint="eastAsia" w:ascii="宋体" w:hAnsi="宋体" w:eastAsia="宋体" w:cs="宋体"/>
                <w:color w:val="auto"/>
                <w:sz w:val="21"/>
                <w:szCs w:val="21"/>
                <w:highlight w:val="none"/>
              </w:rPr>
              <w:t>分包。</w:t>
            </w:r>
          </w:p>
          <w:p w14:paraId="655EB699">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14:paraId="6AA1681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（9）投标文件第一信封中未出现有关投标报价的内容。</w:t>
            </w:r>
          </w:p>
          <w:p w14:paraId="42392ADC">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w:t>
            </w:r>
            <w:r>
              <w:rPr>
                <w:rFonts w:hint="eastAsia" w:ascii="宋体" w:hAnsi="宋体" w:cs="宋体"/>
                <w:color w:val="auto"/>
                <w:sz w:val="21"/>
                <w:szCs w:val="21"/>
                <w:highlight w:val="none"/>
                <w:lang w:val="en-US" w:eastAsia="zh-CN"/>
              </w:rPr>
              <w:t>符合</w:t>
            </w:r>
            <w:r>
              <w:rPr>
                <w:rFonts w:hint="eastAsia" w:ascii="宋体" w:hAnsi="宋体" w:eastAsia="宋体" w:cs="宋体"/>
                <w:color w:val="auto"/>
                <w:sz w:val="21"/>
                <w:szCs w:val="21"/>
                <w:highlight w:val="none"/>
              </w:rPr>
              <w:t>招标文件规定。</w:t>
            </w:r>
          </w:p>
          <w:p w14:paraId="064966E5">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（11）投标文件对招标文件的实质性要求和条件作出响应。</w:t>
            </w:r>
          </w:p>
          <w:p w14:paraId="354FFFCD">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14:paraId="751A109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14:paraId="39B186D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14:paraId="650CD363">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14:paraId="2B9AB630">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14:paraId="69168C55">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14:paraId="4CFAF120">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14:paraId="7A9C0CE6">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14:paraId="3B29E9E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（1）投标文件按照招标文件规定的格式、内容填写，字迹清晰可辨，内容齐全完整。</w:t>
            </w:r>
          </w:p>
          <w:p w14:paraId="0492CE9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补遗书编号（如有）、投标</w:t>
            </w:r>
            <w:r>
              <w:rPr>
                <w:rFonts w:hint="eastAsia" w:ascii="宋体" w:hAnsi="宋体" w:cs="宋体"/>
                <w:bCs/>
                <w:color w:val="auto"/>
                <w:sz w:val="21"/>
                <w:szCs w:val="21"/>
                <w:highlight w:val="none"/>
                <w:lang w:val="en-US" w:eastAsia="zh-CN"/>
              </w:rPr>
              <w:t>总</w:t>
            </w:r>
            <w:r>
              <w:rPr>
                <w:rFonts w:hint="eastAsia" w:ascii="宋体" w:hAnsi="宋体" w:eastAsia="宋体" w:cs="宋体"/>
                <w:bCs/>
                <w:color w:val="auto"/>
                <w:sz w:val="21"/>
                <w:szCs w:val="21"/>
                <w:highlight w:val="none"/>
              </w:rPr>
              <w:t>价（包括大写金额和小写金额）；</w:t>
            </w:r>
          </w:p>
          <w:p w14:paraId="46D4E72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b.项目服务清单说明文字与招标文件规定一致，未进行实质性修改和删减；</w:t>
            </w:r>
          </w:p>
          <w:p w14:paraId="0AECE3FD">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c</w:t>
            </w:r>
            <w:r>
              <w:rPr>
                <w:rFonts w:hint="eastAsia" w:ascii="宋体" w:hAnsi="宋体" w:eastAsia="宋体" w:cs="宋体"/>
                <w:bCs/>
                <w:color w:val="auto"/>
                <w:sz w:val="21"/>
                <w:szCs w:val="21"/>
                <w:highlight w:val="none"/>
              </w:rPr>
              <w:t>．投标文件组成齐全完整，内容均按规定填写。</w:t>
            </w:r>
          </w:p>
          <w:p w14:paraId="01E82891">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14:paraId="2D82339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（3）投标报价未超过招标文件设定的最高投标限价。</w:t>
            </w:r>
          </w:p>
          <w:p w14:paraId="36D7509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（4）投标报价大写金额能够确定具体数值。</w:t>
            </w:r>
          </w:p>
          <w:p w14:paraId="29DCD87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（5）同一投标人未提交两个以上不同的投标报价。</w:t>
            </w:r>
          </w:p>
          <w:p w14:paraId="79792F37">
            <w:pPr>
              <w:pStyle w:val="2"/>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210" w:firstLineChars="100"/>
              <w:textAlignment w:val="auto"/>
              <w:rPr>
                <w:rFonts w:hint="eastAsia"/>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分项</w:t>
            </w:r>
            <w:r>
              <w:rPr>
                <w:rFonts w:hint="eastAsia" w:ascii="宋体" w:hAnsi="宋体" w:cs="宋体"/>
                <w:bCs/>
                <w:color w:val="auto"/>
                <w:szCs w:val="21"/>
                <w:highlight w:val="none"/>
              </w:rPr>
              <w:t>报价表中投标报价与投标函</w:t>
            </w:r>
            <w:r>
              <w:rPr>
                <w:rFonts w:hint="eastAsia" w:ascii="宋体" w:hAnsi="宋体" w:cs="宋体"/>
                <w:bCs/>
                <w:color w:val="auto"/>
                <w:szCs w:val="21"/>
                <w:highlight w:val="none"/>
                <w:lang w:val="en-US" w:eastAsia="zh-CN"/>
              </w:rPr>
              <w:t>中投标总价</w:t>
            </w:r>
            <w:r>
              <w:rPr>
                <w:rFonts w:hint="eastAsia" w:ascii="宋体" w:hAnsi="宋体" w:cs="宋体"/>
                <w:bCs/>
                <w:color w:val="auto"/>
                <w:szCs w:val="21"/>
                <w:highlight w:val="none"/>
              </w:rPr>
              <w:t>大写金额一致。</w:t>
            </w:r>
          </w:p>
        </w:tc>
      </w:tr>
      <w:tr w14:paraId="6315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3006" w:hRule="atLeast"/>
        </w:trPr>
        <w:tc>
          <w:tcPr>
            <w:tcW w:w="424" w:type="pct"/>
            <w:vAlign w:val="center"/>
          </w:tcPr>
          <w:p w14:paraId="57FEC146">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674" w:type="pct"/>
            <w:vAlign w:val="center"/>
          </w:tcPr>
          <w:p w14:paraId="06816A5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3895" w:type="pct"/>
            <w:vAlign w:val="top"/>
          </w:tcPr>
          <w:p w14:paraId="7B1B05E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（1）投标人具备有效的营业执照副本和组织机构代码证副本（按照“三证合一”或“五证合一”登记制度进行登记的，可仅提供营业执照副本）、基本账户开户许可证（或基本存款账户信息）；</w:t>
            </w:r>
          </w:p>
          <w:p w14:paraId="255DE5A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）投标人的类似项目业绩符合招标文件规定；</w:t>
            </w:r>
          </w:p>
          <w:p w14:paraId="09C2352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）投标人的信誉符合招标文件规定；</w:t>
            </w:r>
          </w:p>
          <w:p w14:paraId="727B4D2A">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）投标人的项目负责人资格符合招标文件规定；</w:t>
            </w:r>
          </w:p>
          <w:p w14:paraId="79CB5ED3">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）投标人不存在第二章“投标人须知”1.4.3项或第1.4.4项规定的任何一种情形。</w:t>
            </w:r>
          </w:p>
        </w:tc>
      </w:tr>
      <w:tr w14:paraId="59FA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14:paraId="36B26E8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674" w:type="pct"/>
            <w:vAlign w:val="center"/>
          </w:tcPr>
          <w:p w14:paraId="53BE551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3895" w:type="pct"/>
            <w:vAlign w:val="center"/>
          </w:tcPr>
          <w:p w14:paraId="0C8999F8">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14:paraId="50B289A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企业业绩：</w:t>
            </w:r>
            <w:r>
              <w:rPr>
                <w:rFonts w:hint="eastAsia" w:ascii="宋体" w:hAnsi="宋体" w:eastAsia="宋体" w:cs="宋体"/>
                <w:b/>
                <w:color w:val="auto"/>
                <w:sz w:val="21"/>
                <w:szCs w:val="21"/>
                <w:highlight w:val="none"/>
                <w:u w:val="single"/>
                <w:lang w:val="en-US" w:eastAsia="zh-CN"/>
              </w:rPr>
              <w:t>20</w:t>
            </w:r>
            <w:r>
              <w:rPr>
                <w:rFonts w:hint="eastAsia" w:ascii="宋体" w:hAnsi="宋体" w:eastAsia="宋体" w:cs="宋体"/>
                <w:b/>
                <w:color w:val="auto"/>
                <w:sz w:val="21"/>
                <w:szCs w:val="21"/>
                <w:highlight w:val="none"/>
                <w:lang w:val="en-US" w:eastAsia="zh-CN"/>
              </w:rPr>
              <w:t>分</w:t>
            </w:r>
          </w:p>
          <w:p w14:paraId="2A2973C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w:t>
            </w:r>
            <w:r>
              <w:rPr>
                <w:rFonts w:hint="eastAsia" w:ascii="宋体" w:hAnsi="宋体" w:eastAsia="宋体" w:cs="宋体"/>
                <w:b/>
                <w:color w:val="auto"/>
                <w:sz w:val="21"/>
                <w:szCs w:val="21"/>
                <w:highlight w:val="none"/>
                <w:lang w:eastAsia="zh-CN"/>
              </w:rPr>
              <w:t>人员：</w:t>
            </w:r>
            <w:r>
              <w:rPr>
                <w:rFonts w:hint="eastAsia" w:ascii="宋体" w:hAnsi="宋体" w:cs="宋体"/>
                <w:b/>
                <w:color w:val="auto"/>
                <w:sz w:val="21"/>
                <w:szCs w:val="21"/>
                <w:highlight w:val="none"/>
                <w:u w:val="single"/>
                <w:lang w:val="en-US" w:eastAsia="zh-CN"/>
              </w:rPr>
              <w:t>10</w:t>
            </w:r>
            <w:r>
              <w:rPr>
                <w:rFonts w:hint="eastAsia" w:ascii="宋体" w:hAnsi="宋体" w:eastAsia="宋体" w:cs="宋体"/>
                <w:b/>
                <w:color w:val="auto"/>
                <w:sz w:val="21"/>
                <w:szCs w:val="21"/>
                <w:highlight w:val="none"/>
              </w:rPr>
              <w:t>分</w:t>
            </w:r>
          </w:p>
          <w:p w14:paraId="7D9DBBA7">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实施方案</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u w:val="single"/>
                <w:lang w:val="en-US" w:eastAsia="zh-CN"/>
              </w:rPr>
              <w:t>40</w:t>
            </w:r>
            <w:r>
              <w:rPr>
                <w:rFonts w:hint="eastAsia" w:ascii="宋体" w:hAnsi="宋体" w:eastAsia="宋体" w:cs="宋体"/>
                <w:b/>
                <w:color w:val="auto"/>
                <w:sz w:val="21"/>
                <w:szCs w:val="21"/>
                <w:highlight w:val="none"/>
              </w:rPr>
              <w:t>分</w:t>
            </w:r>
          </w:p>
          <w:p w14:paraId="244EB69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第二个信封（报价文件）评分分值构成：</w:t>
            </w:r>
          </w:p>
          <w:p w14:paraId="66B24B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108"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评标价：</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rPr>
              <w:t>分</w:t>
            </w:r>
          </w:p>
        </w:tc>
      </w:tr>
      <w:tr w14:paraId="7CF6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027" w:hRule="atLeast"/>
        </w:trPr>
        <w:tc>
          <w:tcPr>
            <w:tcW w:w="424" w:type="pct"/>
            <w:vAlign w:val="center"/>
          </w:tcPr>
          <w:p w14:paraId="2AE61B4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674" w:type="pct"/>
            <w:vAlign w:val="center"/>
          </w:tcPr>
          <w:p w14:paraId="6A88FA0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3895" w:type="pct"/>
            <w:vAlign w:val="center"/>
          </w:tcPr>
          <w:p w14:paraId="0C9A5C7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textAlignment w:val="auto"/>
              <w:rPr>
                <w:rFonts w:hint="eastAsia" w:ascii="宋体" w:hAnsi="宋体"/>
                <w:sz w:val="21"/>
                <w:szCs w:val="21"/>
                <w:highlight w:val="none"/>
              </w:rPr>
            </w:pPr>
            <w:r>
              <w:rPr>
                <w:rFonts w:hint="eastAsia" w:ascii="宋体" w:hAnsi="宋体"/>
                <w:b/>
                <w:bCs/>
                <w:sz w:val="21"/>
                <w:szCs w:val="21"/>
                <w:highlight w:val="none"/>
              </w:rPr>
              <w:t>评标基准价的计算</w:t>
            </w:r>
            <w:r>
              <w:rPr>
                <w:rFonts w:hint="eastAsia" w:ascii="宋体" w:hAnsi="宋体"/>
                <w:sz w:val="21"/>
                <w:szCs w:val="21"/>
                <w:highlight w:val="none"/>
              </w:rPr>
              <w:t>：</w:t>
            </w:r>
          </w:p>
          <w:p w14:paraId="5B9D126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在第二个信封开标现场，招标人当场计算并宣布评标基准价。</w:t>
            </w:r>
          </w:p>
          <w:p w14:paraId="1DAFE05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(1)评标价的确定：</w:t>
            </w:r>
          </w:p>
          <w:p w14:paraId="53891BA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评标价=投标函文字报价</w:t>
            </w:r>
          </w:p>
          <w:p w14:paraId="1E5F4E7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(2)评标价平均值的计算：</w:t>
            </w:r>
          </w:p>
          <w:p w14:paraId="1215C8C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除按第二章“投标人须知”第5.2.4项规定开标现场被宣布为不进入评标基准价计算的投标报价之外，所有投标人评标价去掉一个最高值和一个最低值后的算术平均值即为评标价平均值（如果参与评标价平均值计算的有效投标人少于5家时，则计算评标价平均值时不去掉最高值和最低值）。</w:t>
            </w:r>
          </w:p>
          <w:p w14:paraId="56016B4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(3)评标基准价的确定：</w:t>
            </w:r>
          </w:p>
          <w:p w14:paraId="17F4B14C">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评标价平均值直接作为评标基准价（评标基准价保留小数点后两位，小数点后第三位四舍五入）。</w:t>
            </w:r>
          </w:p>
          <w:p w14:paraId="62661159">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0FF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14:paraId="0CFB3D3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674" w:type="pct"/>
            <w:vAlign w:val="center"/>
          </w:tcPr>
          <w:p w14:paraId="58B0196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3895" w:type="pct"/>
            <w:vAlign w:val="center"/>
          </w:tcPr>
          <w:p w14:paraId="4BD01B1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750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535" w:hRule="atLeast"/>
        </w:trPr>
        <w:tc>
          <w:tcPr>
            <w:tcW w:w="424" w:type="pct"/>
            <w:vAlign w:val="center"/>
          </w:tcPr>
          <w:p w14:paraId="26D0519C">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674" w:type="pct"/>
            <w:vAlign w:val="center"/>
          </w:tcPr>
          <w:p w14:paraId="0D5AD49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w:t>
            </w:r>
          </w:p>
          <w:p w14:paraId="34E2D45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w:t>
            </w:r>
          </w:p>
        </w:tc>
        <w:tc>
          <w:tcPr>
            <w:tcW w:w="3895" w:type="pct"/>
            <w:vAlign w:val="center"/>
          </w:tcPr>
          <w:p w14:paraId="4427449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本款修改为：</w:t>
            </w:r>
          </w:p>
          <w:p w14:paraId="2E78BD3C">
            <w:pPr>
              <w:keepNext w:val="0"/>
              <w:keepLines w:val="0"/>
              <w:suppressLineNumbers w:val="0"/>
              <w:snapToGrid w:val="0"/>
              <w:spacing w:before="0" w:beforeAutospacing="0" w:after="0" w:afterAutospacing="0" w:line="320" w:lineRule="exact"/>
              <w:ind w:left="0" w:right="113" w:firstLine="426" w:firstLineChars="203"/>
              <w:rPr>
                <w:rFonts w:hint="default" w:eastAsia="宋体"/>
                <w:highlight w:val="none"/>
                <w:lang w:val="en-US" w:eastAsia="zh-CN"/>
              </w:rPr>
            </w:pPr>
            <w:r>
              <w:rPr>
                <w:rFonts w:hint="eastAsia" w:ascii="宋体" w:hAnsi="宋体"/>
                <w:sz w:val="21"/>
                <w:szCs w:val="21"/>
                <w:highlight w:val="none"/>
              </w:rPr>
              <w:t>在评标过程中，评标委员会应对以下信息进行查询：</w:t>
            </w:r>
          </w:p>
          <w:p w14:paraId="1BB2615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投标人信用情况网页截图内容与在“国家企业信用信息公示系统”中严重违法失信名单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黑名单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（不含分公司）或在“信用中国”网站中失信被执行人名单、经营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活动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异常名录、重大税收违法失信主体名单、</w:t>
            </w:r>
            <w:r>
              <w:rPr>
                <w:rFonts w:hint="eastAsia" w:ascii="宋体" w:hAnsi="宋体" w:eastAsia="宋体" w:cs="宋体"/>
                <w:color w:val="auto"/>
                <w:sz w:val="21"/>
                <w:szCs w:val="21"/>
                <w:highlight w:val="none"/>
                <w:lang w:eastAsia="zh-CN"/>
              </w:rPr>
              <w:t>政府采购严重违法失信行为记录名单</w:t>
            </w:r>
            <w:r>
              <w:rPr>
                <w:rFonts w:hint="eastAsia" w:ascii="宋体" w:hAnsi="宋体" w:eastAsia="宋体" w:cs="宋体"/>
                <w:color w:val="auto"/>
                <w:sz w:val="21"/>
                <w:szCs w:val="21"/>
                <w:highlight w:val="none"/>
              </w:rPr>
              <w:t>的复核结果一致。如投标人未提供相关网页截图或所附截图与复核结果不一致，评标委员会应否决其投标。</w:t>
            </w:r>
            <w:r>
              <w:rPr>
                <w:rFonts w:hint="eastAsia" w:ascii="宋体" w:hAnsi="宋体"/>
                <w:strike w:val="0"/>
                <w:dstrike w:val="0"/>
                <w:sz w:val="21"/>
                <w:szCs w:val="21"/>
                <w:highlight w:val="none"/>
              </w:rPr>
              <w:t>如投标人未提供相关网页截图或所附截图与复核结果不一致</w:t>
            </w:r>
            <w:r>
              <w:rPr>
                <w:rFonts w:hint="eastAsia" w:ascii="宋体" w:hAnsi="宋体"/>
                <w:strike w:val="0"/>
                <w:dstrike w:val="0"/>
                <w:sz w:val="21"/>
                <w:szCs w:val="21"/>
                <w:highlight w:val="none"/>
                <w:lang w:eastAsia="zh-CN"/>
              </w:rPr>
              <w:t>导致不能满足资格评审要求的，</w:t>
            </w:r>
            <w:r>
              <w:rPr>
                <w:rFonts w:hint="eastAsia" w:ascii="宋体" w:hAnsi="宋体"/>
                <w:strike w:val="0"/>
                <w:dstrike w:val="0"/>
                <w:sz w:val="21"/>
                <w:szCs w:val="21"/>
                <w:highlight w:val="none"/>
              </w:rPr>
              <w:t>评标委员会应否决其投标。</w:t>
            </w:r>
          </w:p>
          <w:p w14:paraId="3B1E6A9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14:paraId="4024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4"/>
            <w:vAlign w:val="center"/>
          </w:tcPr>
          <w:p w14:paraId="2FF68BD8">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14:paraId="0E41B396">
      <w:pPr>
        <w:spacing w:before="46"/>
        <w:rPr>
          <w:highlight w:val="none"/>
        </w:rPr>
      </w:pPr>
    </w:p>
    <w:p w14:paraId="73A29FD0">
      <w:pPr>
        <w:jc w:val="right"/>
        <w:rPr>
          <w:rFonts w:hint="eastAsia" w:ascii="宋体" w:hAnsi="宋体" w:eastAsia="宋体" w:cs="宋体"/>
          <w:color w:val="auto"/>
          <w:highlight w:val="none"/>
        </w:rPr>
      </w:pPr>
      <w:r>
        <w:rPr>
          <w:color w:val="auto"/>
          <w:highlight w:val="none"/>
        </w:rPr>
        <w:br w:type="page"/>
      </w:r>
      <w:r>
        <w:rPr>
          <w:rFonts w:hint="eastAsia" w:ascii="宋体" w:hAnsi="宋体" w:eastAsia="宋体" w:cs="宋体"/>
          <w:color w:val="auto"/>
          <w:highlight w:val="none"/>
        </w:rPr>
        <w:t>续上表</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14:paraId="7285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14:paraId="4633198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评分因素与权重分值</w:t>
            </w:r>
          </w:p>
        </w:tc>
        <w:tc>
          <w:tcPr>
            <w:tcW w:w="5845" w:type="dxa"/>
            <w:vMerge w:val="restart"/>
            <w:noWrap w:val="0"/>
            <w:vAlign w:val="center"/>
          </w:tcPr>
          <w:p w14:paraId="57CD1C3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评分标准</w:t>
            </w:r>
          </w:p>
        </w:tc>
      </w:tr>
      <w:tr w14:paraId="7217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3C166C1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146DF14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37AA4F8D">
            <w:pPr>
              <w:pStyle w:val="4"/>
              <w:keepNext w:val="0"/>
              <w:keepLines w:val="0"/>
              <w:suppressLineNumbers w:val="0"/>
              <w:spacing w:before="0" w:beforeAutospacing="0" w:after="0" w:afterAutospacing="0" w:line="160" w:lineRule="atLeast"/>
              <w:ind w:left="-40" w:leftChars="-19" w:right="-31" w:rightChars="-15" w:firstLine="1"/>
              <w:jc w:val="center"/>
              <w:rPr>
                <w:rFonts w:hint="default" w:ascii="Times New Roman" w:hAnsi="Times New Roman"/>
                <w:szCs w:val="21"/>
                <w:highlight w:val="none"/>
              </w:rPr>
            </w:pPr>
            <w:r>
              <w:rPr>
                <w:rFonts w:hint="default" w:ascii="Times New Roman" w:hAnsi="Times New Roman"/>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822E3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Style w:val="9"/>
                <w:rFonts w:hint="default" w:ascii="Times New Roman" w:hAnsi="Times New Roman" w:cs="Times New Roman"/>
                <w:color w:val="auto"/>
                <w:highlight w:val="none"/>
              </w:rPr>
              <w:t>各评分因素细分项</w:t>
            </w:r>
          </w:p>
        </w:tc>
        <w:tc>
          <w:tcPr>
            <w:tcW w:w="567" w:type="dxa"/>
            <w:tcBorders>
              <w:left w:val="single" w:color="auto" w:sz="4" w:space="0"/>
            </w:tcBorders>
            <w:noWrap w:val="0"/>
            <w:vAlign w:val="center"/>
          </w:tcPr>
          <w:p w14:paraId="09BA118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分值</w:t>
            </w:r>
          </w:p>
        </w:tc>
        <w:tc>
          <w:tcPr>
            <w:tcW w:w="5845" w:type="dxa"/>
            <w:vMerge w:val="continue"/>
            <w:noWrap w:val="0"/>
            <w:vAlign w:val="center"/>
          </w:tcPr>
          <w:p w14:paraId="1603F4E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r>
      <w:tr w14:paraId="1AEA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14:paraId="513D31D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2.2.4（1）</w:t>
            </w:r>
          </w:p>
        </w:tc>
        <w:tc>
          <w:tcPr>
            <w:tcW w:w="741" w:type="dxa"/>
            <w:vMerge w:val="restart"/>
            <w:tcBorders>
              <w:top w:val="single" w:color="auto" w:sz="4" w:space="0"/>
            </w:tcBorders>
            <w:noWrap w:val="0"/>
            <w:vAlign w:val="center"/>
          </w:tcPr>
          <w:p w14:paraId="2C73F88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实施方案</w:t>
            </w:r>
          </w:p>
        </w:tc>
        <w:tc>
          <w:tcPr>
            <w:tcW w:w="624" w:type="dxa"/>
            <w:vMerge w:val="restart"/>
            <w:tcBorders>
              <w:top w:val="single" w:color="auto" w:sz="4" w:space="0"/>
            </w:tcBorders>
            <w:noWrap w:val="0"/>
            <w:vAlign w:val="center"/>
          </w:tcPr>
          <w:p w14:paraId="2BFEECD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lang w:val="en-US" w:eastAsia="zh-CN"/>
              </w:rPr>
              <w:t>40</w:t>
            </w:r>
            <w:r>
              <w:rPr>
                <w:rFonts w:hint="default" w:ascii="Times New Roman" w:hAnsi="Times New Roman"/>
                <w:szCs w:val="21"/>
                <w:highlight w:val="none"/>
              </w:rPr>
              <w:t>分</w:t>
            </w:r>
          </w:p>
        </w:tc>
        <w:tc>
          <w:tcPr>
            <w:tcW w:w="1134" w:type="dxa"/>
            <w:vMerge w:val="restart"/>
            <w:tcBorders>
              <w:top w:val="single" w:color="auto" w:sz="4" w:space="0"/>
            </w:tcBorders>
            <w:noWrap w:val="0"/>
            <w:vAlign w:val="center"/>
          </w:tcPr>
          <w:p w14:paraId="4CB6F8AD">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服务方案完整性</w:t>
            </w:r>
          </w:p>
        </w:tc>
        <w:tc>
          <w:tcPr>
            <w:tcW w:w="567" w:type="dxa"/>
            <w:vMerge w:val="restart"/>
            <w:noWrap w:val="0"/>
            <w:vAlign w:val="center"/>
          </w:tcPr>
          <w:p w14:paraId="13401C6F">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r>
              <w:rPr>
                <w:rFonts w:hint="default" w:ascii="Times New Roman" w:hAnsi="Times New Roman"/>
                <w:sz w:val="21"/>
                <w:szCs w:val="21"/>
                <w:highlight w:val="none"/>
              </w:rPr>
              <w:t>1</w:t>
            </w:r>
            <w:r>
              <w:rPr>
                <w:rFonts w:hint="eastAsia" w:ascii="Times New Roman" w:hAnsi="Times New Roman"/>
                <w:sz w:val="21"/>
                <w:szCs w:val="21"/>
                <w:highlight w:val="none"/>
              </w:rPr>
              <w:t>0</w:t>
            </w:r>
          </w:p>
          <w:p w14:paraId="51D37DF5">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r>
              <w:rPr>
                <w:rFonts w:hint="default" w:ascii="Times New Roman" w:hAnsi="Times New Roman"/>
                <w:sz w:val="21"/>
                <w:szCs w:val="21"/>
                <w:highlight w:val="none"/>
              </w:rPr>
              <w:t>分</w:t>
            </w:r>
          </w:p>
        </w:tc>
        <w:tc>
          <w:tcPr>
            <w:tcW w:w="5845" w:type="dxa"/>
            <w:noWrap w:val="0"/>
            <w:vAlign w:val="center"/>
          </w:tcPr>
          <w:p w14:paraId="44CCBECB">
            <w:pPr>
              <w:keepNext w:val="0"/>
              <w:keepLines w:val="0"/>
              <w:suppressLineNumbers w:val="0"/>
              <w:snapToGrid w:val="0"/>
              <w:spacing w:before="0" w:beforeAutospacing="0" w:after="0" w:afterAutospacing="0"/>
              <w:ind w:left="0" w:right="0"/>
              <w:rPr>
                <w:rFonts w:hint="default" w:ascii="Times New Roman" w:hAnsi="Times New Roman"/>
                <w:sz w:val="21"/>
                <w:szCs w:val="21"/>
                <w:highlight w:val="none"/>
              </w:rPr>
            </w:pPr>
            <w:r>
              <w:rPr>
                <w:rFonts w:hint="eastAsia" w:ascii="宋体" w:hAnsi="宋体" w:eastAsia="宋体" w:cs="宋体"/>
                <w:color w:val="auto"/>
                <w:kern w:val="2"/>
                <w:sz w:val="21"/>
                <w:szCs w:val="21"/>
                <w:highlight w:val="none"/>
                <w:lang w:val="en-US" w:eastAsia="zh-CN" w:bidi="ar-SA"/>
              </w:rPr>
              <w:t>关键服务项目（如应急响应、风险评估）</w:t>
            </w:r>
            <w:r>
              <w:rPr>
                <w:rFonts w:hint="eastAsia" w:ascii="宋体" w:hAnsi="宋体" w:cs="宋体"/>
                <w:color w:val="auto"/>
                <w:kern w:val="2"/>
                <w:sz w:val="21"/>
                <w:szCs w:val="21"/>
                <w:highlight w:val="none"/>
                <w:lang w:val="en-US" w:eastAsia="zh-CN" w:bidi="ar-SA"/>
              </w:rPr>
              <w:t>基本满足</w:t>
            </w:r>
            <w:r>
              <w:rPr>
                <w:rFonts w:hint="eastAsia" w:ascii="宋体" w:hAnsi="宋体" w:eastAsia="宋体" w:cs="宋体"/>
                <w:color w:val="auto"/>
                <w:kern w:val="2"/>
                <w:sz w:val="21"/>
                <w:szCs w:val="21"/>
                <w:highlight w:val="none"/>
                <w:lang w:val="en-US" w:eastAsia="zh-CN" w:bidi="ar-SA"/>
              </w:rPr>
              <w:t>招标文件要求</w:t>
            </w:r>
            <w:r>
              <w:rPr>
                <w:rFonts w:hint="default" w:ascii="Times New Roman" w:hAnsi="Times New Roman"/>
                <w:sz w:val="21"/>
                <w:szCs w:val="21"/>
                <w:highlight w:val="none"/>
              </w:rPr>
              <w:t>得</w:t>
            </w:r>
            <w:r>
              <w:rPr>
                <w:rFonts w:hint="eastAsia" w:ascii="Times New Roman" w:hAnsi="Times New Roman"/>
                <w:sz w:val="21"/>
                <w:szCs w:val="21"/>
                <w:highlight w:val="none"/>
                <w:lang w:val="en-US" w:eastAsia="zh-CN"/>
              </w:rPr>
              <w:t xml:space="preserve"> 6 </w:t>
            </w:r>
            <w:r>
              <w:rPr>
                <w:rFonts w:hint="default" w:ascii="Times New Roman" w:hAnsi="Times New Roman"/>
                <w:sz w:val="21"/>
                <w:szCs w:val="21"/>
                <w:highlight w:val="none"/>
              </w:rPr>
              <w:t>分。</w:t>
            </w:r>
          </w:p>
        </w:tc>
      </w:tr>
      <w:tr w14:paraId="6A94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41" w:type="dxa"/>
            <w:vMerge w:val="continue"/>
            <w:noWrap w:val="0"/>
            <w:vAlign w:val="center"/>
          </w:tcPr>
          <w:p w14:paraId="6919F80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center"/>
          </w:tcPr>
          <w:p w14:paraId="25ADDE9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348C63D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center"/>
          </w:tcPr>
          <w:p w14:paraId="4AAE70C5">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eastAsia="宋体" w:cs="Times New Roman"/>
                <w:sz w:val="21"/>
                <w:szCs w:val="21"/>
                <w:highlight w:val="none"/>
              </w:rPr>
            </w:pPr>
          </w:p>
        </w:tc>
        <w:tc>
          <w:tcPr>
            <w:tcW w:w="567" w:type="dxa"/>
            <w:vMerge w:val="continue"/>
            <w:noWrap w:val="0"/>
            <w:vAlign w:val="center"/>
          </w:tcPr>
          <w:p w14:paraId="352148AF">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p>
        </w:tc>
        <w:tc>
          <w:tcPr>
            <w:tcW w:w="5845" w:type="dxa"/>
            <w:noWrap w:val="0"/>
            <w:vAlign w:val="center"/>
          </w:tcPr>
          <w:p w14:paraId="4FB76579">
            <w:pPr>
              <w:pStyle w:val="4"/>
              <w:keepNext w:val="0"/>
              <w:keepLines w:val="0"/>
              <w:suppressLineNumbers w:val="0"/>
              <w:spacing w:before="0" w:beforeAutospacing="0" w:after="0" w:afterAutospacing="0"/>
              <w:ind w:left="0" w:right="0"/>
              <w:jc w:val="left"/>
              <w:rPr>
                <w:rFonts w:hint="default" w:ascii="Times New Roman" w:hAnsi="Times New Roman"/>
                <w:spacing w:val="-4"/>
                <w:sz w:val="21"/>
                <w:szCs w:val="21"/>
                <w:highlight w:val="none"/>
              </w:rPr>
            </w:pPr>
            <w:r>
              <w:rPr>
                <w:rFonts w:hint="eastAsia" w:ascii="宋体" w:hAnsi="宋体" w:eastAsia="宋体" w:cs="宋体"/>
                <w:color w:val="auto"/>
                <w:kern w:val="2"/>
                <w:sz w:val="21"/>
                <w:szCs w:val="21"/>
                <w:highlight w:val="none"/>
                <w:lang w:val="en-US" w:eastAsia="zh-CN" w:bidi="ar-SA"/>
              </w:rPr>
              <w:t>关键服务项目</w:t>
            </w:r>
            <w:r>
              <w:rPr>
                <w:rFonts w:hint="eastAsia" w:hAnsi="宋体" w:cs="宋体"/>
                <w:color w:val="auto"/>
                <w:kern w:val="2"/>
                <w:sz w:val="21"/>
                <w:szCs w:val="21"/>
                <w:highlight w:val="none"/>
                <w:lang w:val="en-US" w:eastAsia="zh-CN" w:bidi="ar-SA"/>
              </w:rPr>
              <w:t>，</w:t>
            </w:r>
            <w:r>
              <w:rPr>
                <w:rFonts w:hint="default" w:ascii="Times New Roman" w:hAnsi="Times New Roman"/>
                <w:sz w:val="21"/>
                <w:szCs w:val="21"/>
                <w:highlight w:val="none"/>
              </w:rPr>
              <w:t>能较好满足项目要求</w:t>
            </w:r>
            <w:r>
              <w:rPr>
                <w:rFonts w:hint="eastAsia" w:ascii="宋体" w:hAnsi="宋体" w:eastAsia="宋体" w:cs="宋体"/>
                <w:color w:val="auto"/>
                <w:kern w:val="2"/>
                <w:sz w:val="21"/>
                <w:szCs w:val="21"/>
                <w:highlight w:val="none"/>
                <w:lang w:val="en-US" w:eastAsia="zh-CN" w:bidi="ar-SA"/>
              </w:rPr>
              <w:t>（如部分服务内容简化）</w:t>
            </w:r>
            <w:r>
              <w:rPr>
                <w:rFonts w:hint="default" w:ascii="Times New Roman" w:hAnsi="Times New Roman"/>
                <w:spacing w:val="-4"/>
                <w:sz w:val="21"/>
                <w:szCs w:val="21"/>
                <w:highlight w:val="none"/>
              </w:rPr>
              <w:t>得</w:t>
            </w:r>
            <w:r>
              <w:rPr>
                <w:rFonts w:hint="eastAsia" w:ascii="Times New Roman" w:hAnsi="Times New Roman"/>
                <w:spacing w:val="-4"/>
                <w:sz w:val="21"/>
                <w:szCs w:val="21"/>
                <w:highlight w:val="none"/>
                <w:lang w:val="en-US" w:eastAsia="zh-CN"/>
              </w:rPr>
              <w:t xml:space="preserve"> 6-8 </w:t>
            </w:r>
            <w:r>
              <w:rPr>
                <w:rFonts w:hint="default" w:ascii="Times New Roman" w:hAnsi="Times New Roman"/>
                <w:spacing w:val="-4"/>
                <w:sz w:val="21"/>
                <w:szCs w:val="21"/>
                <w:highlight w:val="none"/>
              </w:rPr>
              <w:t>分；</w:t>
            </w:r>
          </w:p>
        </w:tc>
      </w:tr>
      <w:tr w14:paraId="3996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4CB131C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center"/>
          </w:tcPr>
          <w:p w14:paraId="7355F86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4FCE9589">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center"/>
          </w:tcPr>
          <w:p w14:paraId="63B19212">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eastAsia="宋体" w:cs="Times New Roman"/>
                <w:sz w:val="21"/>
                <w:szCs w:val="21"/>
                <w:highlight w:val="none"/>
              </w:rPr>
            </w:pPr>
          </w:p>
        </w:tc>
        <w:tc>
          <w:tcPr>
            <w:tcW w:w="567" w:type="dxa"/>
            <w:vMerge w:val="continue"/>
            <w:noWrap w:val="0"/>
            <w:vAlign w:val="center"/>
          </w:tcPr>
          <w:p w14:paraId="6FB0E690">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p>
        </w:tc>
        <w:tc>
          <w:tcPr>
            <w:tcW w:w="5845" w:type="dxa"/>
            <w:noWrap w:val="0"/>
            <w:vAlign w:val="center"/>
          </w:tcPr>
          <w:p w14:paraId="6D3266BF">
            <w:pPr>
              <w:pStyle w:val="4"/>
              <w:keepNext w:val="0"/>
              <w:keepLines w:val="0"/>
              <w:suppressLineNumbers w:val="0"/>
              <w:spacing w:before="0" w:beforeAutospacing="0" w:after="0" w:afterAutospacing="0"/>
              <w:ind w:left="0" w:right="0"/>
              <w:jc w:val="left"/>
              <w:rPr>
                <w:rFonts w:hint="default" w:ascii="Times New Roman" w:hAnsi="Times New Roman"/>
                <w:sz w:val="21"/>
                <w:szCs w:val="21"/>
                <w:highlight w:val="none"/>
              </w:rPr>
            </w:pPr>
            <w:r>
              <w:rPr>
                <w:rFonts w:hint="eastAsia" w:ascii="宋体" w:hAnsi="宋体" w:cs="宋体"/>
                <w:color w:val="auto"/>
                <w:kern w:val="2"/>
                <w:sz w:val="21"/>
                <w:szCs w:val="21"/>
                <w:highlight w:val="none"/>
              </w:rPr>
              <w:t>完全响应招标文件服务项目（日监控巡检、技术维护、风险评估、应急响应、咨询、培训、桌面演练），完全满足项目要求得</w:t>
            </w:r>
            <w:r>
              <w:rPr>
                <w:rFonts w:hint="eastAsia" w:ascii="宋体" w:hAnsi="宋体" w:cs="宋体"/>
                <w:color w:val="auto"/>
                <w:kern w:val="2"/>
                <w:sz w:val="21"/>
                <w:szCs w:val="21"/>
                <w:highlight w:val="none"/>
                <w:lang w:val="en-US" w:eastAsia="zh-CN"/>
              </w:rPr>
              <w:t xml:space="preserve"> 8-10 </w:t>
            </w:r>
            <w:r>
              <w:rPr>
                <w:rFonts w:hint="eastAsia" w:ascii="宋体" w:hAnsi="宋体" w:cs="宋体"/>
                <w:color w:val="auto"/>
                <w:kern w:val="2"/>
                <w:sz w:val="21"/>
                <w:szCs w:val="21"/>
                <w:highlight w:val="none"/>
              </w:rPr>
              <w:t>分；</w:t>
            </w:r>
          </w:p>
        </w:tc>
      </w:tr>
      <w:tr w14:paraId="48E2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72AEC94B">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1EDD8A1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0F40440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115908FF">
            <w:pPr>
              <w:pStyle w:val="4"/>
              <w:keepNext w:val="0"/>
              <w:keepLines w:val="0"/>
              <w:suppressLineNumbers w:val="0"/>
              <w:spacing w:before="0" w:beforeAutospacing="0" w:after="0" w:afterAutospacing="0" w:line="160" w:lineRule="atLeast"/>
              <w:ind w:left="0" w:leftChars="0" w:right="0" w:right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技术能力支持</w:t>
            </w:r>
          </w:p>
        </w:tc>
        <w:tc>
          <w:tcPr>
            <w:tcW w:w="567" w:type="dxa"/>
            <w:vMerge w:val="restart"/>
            <w:noWrap w:val="0"/>
            <w:vAlign w:val="center"/>
          </w:tcPr>
          <w:p w14:paraId="1A67D207">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c>
          <w:tcPr>
            <w:tcW w:w="5845" w:type="dxa"/>
            <w:noWrap w:val="0"/>
            <w:vAlign w:val="center"/>
          </w:tcPr>
          <w:p w14:paraId="64180B88">
            <w:pPr>
              <w:pStyle w:val="4"/>
              <w:keepNext w:val="0"/>
              <w:keepLines w:val="0"/>
              <w:suppressLineNumbers w:val="0"/>
              <w:spacing w:before="0" w:beforeAutospacing="0" w:after="0" w:afterAutospacing="0"/>
              <w:ind w:left="0" w:leftChars="0" w:right="0" w:rightChars="0"/>
              <w:jc w:val="left"/>
              <w:rPr>
                <w:rFonts w:hint="default" w:ascii="Times New Roman" w:hAnsi="Times New Roman"/>
                <w:sz w:val="21"/>
                <w:szCs w:val="21"/>
                <w:highlight w:val="none"/>
              </w:rPr>
            </w:pPr>
            <w:r>
              <w:rPr>
                <w:rFonts w:hint="eastAsia" w:ascii="宋体" w:hAnsi="宋体" w:eastAsia="宋体" w:cs="宋体"/>
                <w:b w:val="0"/>
                <w:bCs w:val="0"/>
                <w:color w:val="auto"/>
                <w:kern w:val="2"/>
                <w:sz w:val="21"/>
                <w:szCs w:val="21"/>
                <w:highlight w:val="none"/>
                <w:lang w:val="en-US" w:eastAsia="zh-CN" w:bidi="ar-SA"/>
              </w:rPr>
              <w:t>技术能力各方面</w:t>
            </w:r>
            <w:r>
              <w:rPr>
                <w:rFonts w:hint="default" w:ascii="Times New Roman" w:hAnsi="Times New Roman"/>
                <w:sz w:val="21"/>
                <w:szCs w:val="21"/>
                <w:highlight w:val="none"/>
              </w:rPr>
              <w:t>基本满足项目要求，得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分；</w:t>
            </w:r>
          </w:p>
        </w:tc>
      </w:tr>
      <w:tr w14:paraId="3093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7F1433A1">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7F36580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27858C8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6D75A8B2">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67" w:type="dxa"/>
            <w:vMerge w:val="continue"/>
            <w:noWrap w:val="0"/>
            <w:vAlign w:val="center"/>
          </w:tcPr>
          <w:p w14:paraId="5E673039">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845" w:type="dxa"/>
            <w:noWrap w:val="0"/>
            <w:vAlign w:val="center"/>
          </w:tcPr>
          <w:p w14:paraId="394665BE">
            <w:pPr>
              <w:pStyle w:val="4"/>
              <w:keepNext w:val="0"/>
              <w:keepLines w:val="0"/>
              <w:suppressLineNumbers w:val="0"/>
              <w:spacing w:before="0" w:beforeAutospacing="0" w:after="0" w:afterAutospacing="0"/>
              <w:ind w:left="0" w:leftChars="0" w:right="0" w:rightChars="0"/>
              <w:jc w:val="left"/>
              <w:rPr>
                <w:rFonts w:hint="default" w:ascii="Times New Roman" w:hAnsi="Times New Roman"/>
                <w:sz w:val="21"/>
                <w:szCs w:val="21"/>
                <w:highlight w:val="none"/>
              </w:rPr>
            </w:pPr>
            <w:r>
              <w:rPr>
                <w:rFonts w:hint="eastAsia" w:ascii="宋体" w:hAnsi="宋体" w:eastAsia="宋体" w:cs="宋体"/>
                <w:b w:val="0"/>
                <w:bCs w:val="0"/>
                <w:color w:val="auto"/>
                <w:kern w:val="2"/>
                <w:sz w:val="21"/>
                <w:szCs w:val="21"/>
                <w:highlight w:val="none"/>
                <w:lang w:val="en-US" w:eastAsia="zh-CN" w:bidi="ar-SA"/>
              </w:rPr>
              <w:t>团队资质与经验有一定基础，</w:t>
            </w:r>
            <w:r>
              <w:rPr>
                <w:rFonts w:hint="default" w:ascii="Times New Roman" w:hAnsi="Times New Roman"/>
                <w:sz w:val="21"/>
                <w:szCs w:val="21"/>
                <w:highlight w:val="none"/>
              </w:rPr>
              <w:t>能较好满足项目要求</w:t>
            </w:r>
            <w:r>
              <w:rPr>
                <w:rFonts w:hint="eastAsia" w:ascii="Times New Roman" w:hAnsi="Times New Roman"/>
                <w:sz w:val="21"/>
                <w:szCs w:val="21"/>
                <w:highlight w:val="none"/>
              </w:rPr>
              <w:t>，得</w:t>
            </w:r>
            <w:r>
              <w:rPr>
                <w:rFonts w:hint="eastAsia" w:ascii="Times New Roman" w:hAnsi="Times New Roman"/>
                <w:sz w:val="21"/>
                <w:szCs w:val="21"/>
                <w:highlight w:val="none"/>
                <w:lang w:val="en-US" w:eastAsia="zh-CN"/>
              </w:rPr>
              <w:t>6</w:t>
            </w:r>
            <w:r>
              <w:rPr>
                <w:rFonts w:hint="eastAsia" w:ascii="Times New Roman" w:hAnsi="Times New Roman"/>
                <w:sz w:val="21"/>
                <w:szCs w:val="21"/>
                <w:highlight w:val="none"/>
              </w:rPr>
              <w:t>－</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分；</w:t>
            </w:r>
          </w:p>
        </w:tc>
      </w:tr>
      <w:tr w14:paraId="2DF3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41" w:type="dxa"/>
            <w:vMerge w:val="continue"/>
            <w:noWrap w:val="0"/>
            <w:vAlign w:val="top"/>
          </w:tcPr>
          <w:p w14:paraId="6848A29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4D39381B">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2A70F291">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1D5F4951">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67" w:type="dxa"/>
            <w:vMerge w:val="continue"/>
            <w:noWrap w:val="0"/>
            <w:vAlign w:val="center"/>
          </w:tcPr>
          <w:p w14:paraId="3D451E97">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845" w:type="dxa"/>
            <w:noWrap w:val="0"/>
            <w:vAlign w:val="center"/>
          </w:tcPr>
          <w:p w14:paraId="4ABDF334">
            <w:pPr>
              <w:pStyle w:val="4"/>
              <w:keepNext w:val="0"/>
              <w:keepLines w:val="0"/>
              <w:suppressLineNumbers w:val="0"/>
              <w:spacing w:before="0" w:beforeAutospacing="0" w:after="0" w:afterAutospacing="0"/>
              <w:ind w:left="0" w:leftChars="0" w:right="0" w:rightChars="0"/>
              <w:jc w:val="left"/>
              <w:rPr>
                <w:rFonts w:hint="default" w:ascii="Times New Roman" w:hAnsi="Times New Roman"/>
                <w:sz w:val="21"/>
                <w:szCs w:val="21"/>
                <w:highlight w:val="none"/>
              </w:rPr>
            </w:pPr>
            <w:r>
              <w:rPr>
                <w:rFonts w:hint="eastAsia" w:ascii="宋体" w:hAnsi="宋体" w:eastAsia="宋体" w:cs="宋体"/>
                <w:b w:val="0"/>
                <w:bCs w:val="0"/>
                <w:color w:val="auto"/>
                <w:kern w:val="2"/>
                <w:sz w:val="21"/>
                <w:szCs w:val="21"/>
                <w:highlight w:val="none"/>
                <w:lang w:val="en-US" w:eastAsia="zh-CN" w:bidi="ar-SA"/>
              </w:rPr>
              <w:t>团队成员有熟悉相关系统技术人员且配置合理，拥有多个同类</w:t>
            </w:r>
            <w:r>
              <w:rPr>
                <w:rFonts w:hint="eastAsia" w:hAnsi="宋体" w:cs="宋体"/>
                <w:b w:val="0"/>
                <w:bCs w:val="0"/>
                <w:color w:val="auto"/>
                <w:kern w:val="2"/>
                <w:sz w:val="21"/>
                <w:szCs w:val="21"/>
                <w:highlight w:val="none"/>
                <w:lang w:val="en-US" w:eastAsia="zh-CN" w:bidi="ar-SA"/>
              </w:rPr>
              <w:t>网络安全</w:t>
            </w:r>
            <w:r>
              <w:rPr>
                <w:rFonts w:hint="eastAsia" w:ascii="宋体" w:hAnsi="宋体" w:eastAsia="宋体" w:cs="宋体"/>
                <w:b w:val="0"/>
                <w:bCs w:val="0"/>
                <w:color w:val="auto"/>
                <w:kern w:val="2"/>
                <w:sz w:val="21"/>
                <w:szCs w:val="21"/>
                <w:highlight w:val="none"/>
                <w:lang w:val="en-US" w:eastAsia="zh-CN" w:bidi="ar-SA"/>
              </w:rPr>
              <w:t>维护成功案例，</w:t>
            </w:r>
            <w:r>
              <w:rPr>
                <w:rFonts w:hint="default" w:ascii="Times New Roman" w:hAnsi="Times New Roman"/>
                <w:sz w:val="21"/>
                <w:szCs w:val="21"/>
                <w:highlight w:val="none"/>
              </w:rPr>
              <w:t>完全满足项目要求，得</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w:t>
            </w: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r>
      <w:tr w14:paraId="5B5C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376E0D5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4FD743B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6E319609">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3FE4A241">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sz w:val="21"/>
                <w:szCs w:val="21"/>
                <w:highlight w:val="none"/>
              </w:rPr>
            </w:pPr>
            <w:r>
              <w:rPr>
                <w:rFonts w:hint="default" w:ascii="Times New Roman" w:hAnsi="Times New Roman"/>
                <w:sz w:val="21"/>
                <w:szCs w:val="21"/>
                <w:highlight w:val="none"/>
              </w:rPr>
              <w:t>工作质量控制方法及措施</w:t>
            </w:r>
          </w:p>
        </w:tc>
        <w:tc>
          <w:tcPr>
            <w:tcW w:w="567" w:type="dxa"/>
            <w:vMerge w:val="restart"/>
            <w:noWrap w:val="0"/>
            <w:vAlign w:val="center"/>
          </w:tcPr>
          <w:p w14:paraId="0624C20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c>
          <w:tcPr>
            <w:tcW w:w="5845" w:type="dxa"/>
            <w:noWrap w:val="0"/>
            <w:vAlign w:val="center"/>
          </w:tcPr>
          <w:p w14:paraId="5BF25A7D">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拟采取的控制方法及措施符合法律法规要求，针对性、可操作性一般，得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分；</w:t>
            </w:r>
          </w:p>
        </w:tc>
      </w:tr>
      <w:tr w14:paraId="18CC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57102059">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1E749A9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275F86F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2DF5AA3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2D57D9D8">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1CD93709">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拟采取的控制方法及措施符合法律法规要求，针对性、可操作性较强，得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分；</w:t>
            </w:r>
          </w:p>
        </w:tc>
      </w:tr>
      <w:tr w14:paraId="4293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13A0EC8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31951AD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286172B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382E5375">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488ECDE1">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336F62C9">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拟采取的控制方法及措施符合法律法规要求，针对性、可操作性强，得</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w:t>
            </w: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r>
      <w:tr w14:paraId="4204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14:paraId="07F9451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607CA95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23F6AA7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71F0B30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r>
              <w:rPr>
                <w:rFonts w:hint="default" w:ascii="Times New Roman" w:hAnsi="Times New Roman"/>
                <w:sz w:val="21"/>
                <w:szCs w:val="21"/>
                <w:highlight w:val="none"/>
              </w:rPr>
              <w:t>工作进度安排</w:t>
            </w:r>
          </w:p>
        </w:tc>
        <w:tc>
          <w:tcPr>
            <w:tcW w:w="567" w:type="dxa"/>
            <w:vMerge w:val="restart"/>
            <w:noWrap w:val="0"/>
            <w:vAlign w:val="center"/>
          </w:tcPr>
          <w:p w14:paraId="343476F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r>
              <w:rPr>
                <w:rFonts w:hint="default" w:ascii="Times New Roman" w:hAnsi="Times New Roman"/>
                <w:sz w:val="21"/>
                <w:szCs w:val="21"/>
                <w:highlight w:val="none"/>
              </w:rPr>
              <w:t>5分</w:t>
            </w:r>
          </w:p>
        </w:tc>
        <w:tc>
          <w:tcPr>
            <w:tcW w:w="5845" w:type="dxa"/>
            <w:noWrap w:val="0"/>
            <w:vAlign w:val="center"/>
          </w:tcPr>
          <w:p w14:paraId="235BA7EB">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进度安排一般，基本满足项目要求，得3分；</w:t>
            </w:r>
          </w:p>
        </w:tc>
      </w:tr>
      <w:tr w14:paraId="720F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14:paraId="1E0BDC81">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02396725">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3420382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0FD65CD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32751E3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26434D84">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进度安排较合理，能较好满足项目要求，得3－4分；</w:t>
            </w:r>
          </w:p>
        </w:tc>
      </w:tr>
      <w:tr w14:paraId="65ED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14:paraId="61B566BB">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31BE88B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4E4F446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11613EB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42DE8D0B">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5218B454">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进度安排合理周密，完全满足项目要求，得4－5分。</w:t>
            </w:r>
          </w:p>
        </w:tc>
      </w:tr>
      <w:tr w14:paraId="773C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42BE8CE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center"/>
          </w:tcPr>
          <w:p w14:paraId="49FA65F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775496A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60FA7302">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r>
              <w:rPr>
                <w:rFonts w:hint="default" w:ascii="Times New Roman" w:hAnsi="Times New Roman"/>
                <w:sz w:val="21"/>
                <w:szCs w:val="21"/>
                <w:highlight w:val="none"/>
              </w:rPr>
              <w:t>服务</w:t>
            </w:r>
            <w:r>
              <w:rPr>
                <w:rFonts w:hint="eastAsia" w:ascii="Times New Roman" w:hAnsi="Times New Roman"/>
                <w:sz w:val="21"/>
                <w:szCs w:val="21"/>
                <w:highlight w:val="none"/>
                <w:lang w:val="en-US" w:eastAsia="zh-CN"/>
              </w:rPr>
              <w:t>承诺</w:t>
            </w:r>
            <w:r>
              <w:rPr>
                <w:rFonts w:hint="default" w:ascii="Times New Roman" w:hAnsi="Times New Roman"/>
                <w:sz w:val="21"/>
                <w:szCs w:val="21"/>
                <w:highlight w:val="none"/>
              </w:rPr>
              <w:t>及保证措施</w:t>
            </w:r>
          </w:p>
        </w:tc>
        <w:tc>
          <w:tcPr>
            <w:tcW w:w="567" w:type="dxa"/>
            <w:vMerge w:val="restart"/>
            <w:noWrap w:val="0"/>
            <w:vAlign w:val="center"/>
          </w:tcPr>
          <w:p w14:paraId="2638E517">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r>
              <w:rPr>
                <w:rFonts w:hint="default" w:ascii="Times New Roman" w:hAnsi="Times New Roman"/>
                <w:sz w:val="21"/>
                <w:szCs w:val="21"/>
                <w:highlight w:val="none"/>
              </w:rPr>
              <w:t>5分</w:t>
            </w:r>
          </w:p>
        </w:tc>
        <w:tc>
          <w:tcPr>
            <w:tcW w:w="5845" w:type="dxa"/>
            <w:noWrap w:val="0"/>
            <w:vAlign w:val="center"/>
          </w:tcPr>
          <w:p w14:paraId="7D2A51FA">
            <w:pPr>
              <w:keepNext w:val="0"/>
              <w:keepLines w:val="0"/>
              <w:suppressLineNumbers w:val="0"/>
              <w:spacing w:before="0" w:beforeAutospacing="0" w:after="0" w:afterAutospacing="0"/>
              <w:ind w:left="0" w:leftChars="0" w:right="0" w:rightChars="0"/>
              <w:jc w:val="left"/>
              <w:rPr>
                <w:rFonts w:hint="default"/>
                <w:kern w:val="2"/>
                <w:sz w:val="21"/>
                <w:szCs w:val="21"/>
                <w:highlight w:val="none"/>
              </w:rPr>
            </w:pPr>
            <w:r>
              <w:rPr>
                <w:rFonts w:hint="default"/>
                <w:kern w:val="2"/>
                <w:sz w:val="21"/>
                <w:szCs w:val="21"/>
                <w:highlight w:val="none"/>
              </w:rPr>
              <w:t>投标人对于服务承诺及保证措施安排一般，得3分；</w:t>
            </w:r>
          </w:p>
        </w:tc>
      </w:tr>
      <w:tr w14:paraId="40A5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67C4DAD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1DB57127">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624" w:type="dxa"/>
            <w:vMerge w:val="continue"/>
            <w:noWrap w:val="0"/>
            <w:vAlign w:val="top"/>
          </w:tcPr>
          <w:p w14:paraId="50AC8B29">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1134" w:type="dxa"/>
            <w:vMerge w:val="continue"/>
            <w:noWrap w:val="0"/>
            <w:vAlign w:val="center"/>
          </w:tcPr>
          <w:p w14:paraId="5C298380">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67" w:type="dxa"/>
            <w:vMerge w:val="continue"/>
            <w:noWrap w:val="0"/>
            <w:vAlign w:val="center"/>
          </w:tcPr>
          <w:p w14:paraId="52439AD8">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845" w:type="dxa"/>
            <w:noWrap w:val="0"/>
            <w:vAlign w:val="center"/>
          </w:tcPr>
          <w:p w14:paraId="3748432A">
            <w:pPr>
              <w:keepNext w:val="0"/>
              <w:keepLines w:val="0"/>
              <w:suppressLineNumbers w:val="0"/>
              <w:spacing w:before="0" w:beforeAutospacing="0" w:after="0" w:afterAutospacing="0"/>
              <w:ind w:left="0" w:leftChars="0" w:right="0" w:rightChars="0"/>
              <w:jc w:val="left"/>
              <w:rPr>
                <w:rFonts w:hint="default"/>
                <w:kern w:val="2"/>
                <w:sz w:val="21"/>
                <w:szCs w:val="21"/>
                <w:highlight w:val="none"/>
              </w:rPr>
            </w:pPr>
            <w:r>
              <w:rPr>
                <w:rFonts w:hint="default"/>
                <w:kern w:val="2"/>
                <w:sz w:val="21"/>
                <w:szCs w:val="21"/>
                <w:highlight w:val="none"/>
              </w:rPr>
              <w:t>投标人对于服务承诺及保证措施安排较完善，得3－4分；</w:t>
            </w:r>
          </w:p>
        </w:tc>
      </w:tr>
      <w:tr w14:paraId="0EEB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05FB6F7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1E7A21B6">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624" w:type="dxa"/>
            <w:vMerge w:val="continue"/>
            <w:noWrap w:val="0"/>
            <w:vAlign w:val="top"/>
          </w:tcPr>
          <w:p w14:paraId="2D5ECDEF">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1134" w:type="dxa"/>
            <w:vMerge w:val="continue"/>
            <w:tcBorders>
              <w:bottom w:val="single" w:color="auto" w:sz="4" w:space="0"/>
            </w:tcBorders>
            <w:noWrap w:val="0"/>
            <w:vAlign w:val="center"/>
          </w:tcPr>
          <w:p w14:paraId="2D2DE001">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67" w:type="dxa"/>
            <w:vMerge w:val="continue"/>
            <w:tcBorders>
              <w:bottom w:val="single" w:color="auto" w:sz="4" w:space="0"/>
            </w:tcBorders>
            <w:noWrap w:val="0"/>
            <w:vAlign w:val="center"/>
          </w:tcPr>
          <w:p w14:paraId="03FF4EC2">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845" w:type="dxa"/>
            <w:tcBorders>
              <w:bottom w:val="single" w:color="auto" w:sz="4" w:space="0"/>
            </w:tcBorders>
            <w:noWrap w:val="0"/>
            <w:vAlign w:val="center"/>
          </w:tcPr>
          <w:p w14:paraId="4EA7D34B">
            <w:pPr>
              <w:keepNext w:val="0"/>
              <w:keepLines w:val="0"/>
              <w:suppressLineNumbers w:val="0"/>
              <w:spacing w:before="0" w:beforeAutospacing="0" w:after="0" w:afterAutospacing="0"/>
              <w:ind w:left="0" w:leftChars="0" w:right="0" w:rightChars="0"/>
              <w:jc w:val="left"/>
              <w:rPr>
                <w:rFonts w:hint="default"/>
                <w:kern w:val="2"/>
                <w:sz w:val="21"/>
                <w:szCs w:val="21"/>
                <w:highlight w:val="none"/>
              </w:rPr>
            </w:pPr>
            <w:r>
              <w:rPr>
                <w:rFonts w:hint="default"/>
                <w:kern w:val="2"/>
                <w:sz w:val="21"/>
                <w:szCs w:val="21"/>
                <w:highlight w:val="none"/>
              </w:rPr>
              <w:t>投标人对于服务承诺及保证措施安排完善合理，得4－5分。</w:t>
            </w:r>
          </w:p>
        </w:tc>
      </w:tr>
      <w:tr w14:paraId="4659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41" w:type="dxa"/>
            <w:tcBorders>
              <w:top w:val="nil"/>
            </w:tcBorders>
            <w:noWrap w:val="0"/>
            <w:vAlign w:val="center"/>
          </w:tcPr>
          <w:p w14:paraId="754D556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2.2.4（2）</w:t>
            </w:r>
          </w:p>
        </w:tc>
        <w:tc>
          <w:tcPr>
            <w:tcW w:w="741" w:type="dxa"/>
            <w:tcBorders>
              <w:top w:val="nil"/>
            </w:tcBorders>
            <w:noWrap w:val="0"/>
            <w:vAlign w:val="center"/>
          </w:tcPr>
          <w:p w14:paraId="2298FD6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主要人员</w:t>
            </w:r>
          </w:p>
        </w:tc>
        <w:tc>
          <w:tcPr>
            <w:tcW w:w="624" w:type="dxa"/>
            <w:tcBorders>
              <w:top w:val="nil"/>
            </w:tcBorders>
            <w:noWrap w:val="0"/>
            <w:vAlign w:val="center"/>
          </w:tcPr>
          <w:p w14:paraId="2AD4255C">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lang w:val="en-US" w:eastAsia="zh-CN"/>
              </w:rPr>
              <w:t>10</w:t>
            </w:r>
            <w:r>
              <w:rPr>
                <w:rFonts w:hint="default" w:ascii="Times New Roman" w:hAnsi="Times New Roman"/>
                <w:szCs w:val="21"/>
                <w:highlight w:val="none"/>
              </w:rPr>
              <w:t>分</w:t>
            </w:r>
          </w:p>
        </w:tc>
        <w:tc>
          <w:tcPr>
            <w:tcW w:w="1134" w:type="dxa"/>
            <w:noWrap w:val="0"/>
            <w:vAlign w:val="center"/>
          </w:tcPr>
          <w:p w14:paraId="468034EF">
            <w:pPr>
              <w:keepNext w:val="0"/>
              <w:keepLines w:val="0"/>
              <w:suppressLineNumbers w:val="0"/>
              <w:spacing w:before="0" w:beforeAutospacing="0" w:after="0" w:afterAutospacing="0"/>
              <w:ind w:left="0" w:right="0"/>
              <w:jc w:val="center"/>
              <w:rPr>
                <w:rFonts w:hint="default"/>
                <w:kern w:val="2"/>
                <w:sz w:val="21"/>
                <w:szCs w:val="21"/>
                <w:highlight w:val="none"/>
              </w:rPr>
            </w:pPr>
            <w:r>
              <w:rPr>
                <w:rFonts w:hint="default"/>
                <w:kern w:val="2"/>
                <w:sz w:val="21"/>
                <w:szCs w:val="21"/>
                <w:highlight w:val="none"/>
              </w:rPr>
              <w:t>项目负责人</w:t>
            </w:r>
          </w:p>
        </w:tc>
        <w:tc>
          <w:tcPr>
            <w:tcW w:w="567" w:type="dxa"/>
            <w:noWrap w:val="0"/>
            <w:vAlign w:val="center"/>
          </w:tcPr>
          <w:p w14:paraId="31CA442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lang w:val="en-US" w:eastAsia="zh-CN"/>
              </w:rPr>
              <w:t>10</w:t>
            </w:r>
            <w:r>
              <w:rPr>
                <w:rFonts w:hint="default" w:ascii="Times New Roman" w:hAnsi="Times New Roman"/>
                <w:szCs w:val="21"/>
                <w:highlight w:val="none"/>
              </w:rPr>
              <w:t>分</w:t>
            </w:r>
          </w:p>
        </w:tc>
        <w:tc>
          <w:tcPr>
            <w:tcW w:w="5845" w:type="dxa"/>
            <w:tcBorders>
              <w:bottom w:val="single" w:color="auto" w:sz="4" w:space="0"/>
            </w:tcBorders>
            <w:noWrap w:val="0"/>
            <w:vAlign w:val="center"/>
          </w:tcPr>
          <w:p w14:paraId="4E41D665">
            <w:pPr>
              <w:pStyle w:val="2"/>
              <w:keepNext w:val="0"/>
              <w:keepLines w:val="0"/>
              <w:suppressLineNumbers w:val="0"/>
              <w:spacing w:before="0" w:beforeAutospacing="0" w:afterAutospacing="0"/>
              <w:ind w:left="0" w:right="0"/>
              <w:rPr>
                <w:rFonts w:hint="default"/>
                <w:highlight w:val="none"/>
              </w:rPr>
            </w:pPr>
            <w:r>
              <w:rPr>
                <w:rFonts w:hint="default"/>
                <w:sz w:val="21"/>
                <w:highlight w:val="none"/>
              </w:rPr>
              <w:t>投标人满足“资格审查条件（</w:t>
            </w:r>
            <w:r>
              <w:rPr>
                <w:rFonts w:hint="eastAsia"/>
                <w:sz w:val="21"/>
                <w:highlight w:val="none"/>
              </w:rPr>
              <w:t>项目负责人</w:t>
            </w:r>
            <w:r>
              <w:rPr>
                <w:rFonts w:hint="default"/>
                <w:sz w:val="21"/>
                <w:highlight w:val="none"/>
              </w:rPr>
              <w:t>最低要求）”</w:t>
            </w:r>
            <w:r>
              <w:rPr>
                <w:rFonts w:hint="eastAsia"/>
                <w:sz w:val="21"/>
                <w:highlight w:val="none"/>
              </w:rPr>
              <w:t>得</w:t>
            </w:r>
            <w:r>
              <w:rPr>
                <w:rFonts w:hint="eastAsia"/>
                <w:sz w:val="21"/>
                <w:highlight w:val="none"/>
                <w:lang w:val="en-US" w:eastAsia="zh-CN"/>
              </w:rPr>
              <w:t>6</w:t>
            </w:r>
            <w:r>
              <w:rPr>
                <w:rFonts w:hint="eastAsia"/>
                <w:sz w:val="21"/>
                <w:highlight w:val="none"/>
              </w:rPr>
              <w:t>分</w:t>
            </w:r>
            <w:r>
              <w:rPr>
                <w:rFonts w:hint="default"/>
                <w:sz w:val="21"/>
                <w:highlight w:val="none"/>
              </w:rPr>
              <w:t>，每增加1项满足“资格审查条件（</w:t>
            </w:r>
            <w:r>
              <w:rPr>
                <w:rFonts w:hint="eastAsia"/>
                <w:sz w:val="21"/>
                <w:highlight w:val="none"/>
              </w:rPr>
              <w:t>项目负责人</w:t>
            </w:r>
            <w:r>
              <w:rPr>
                <w:rFonts w:hint="default"/>
                <w:sz w:val="21"/>
                <w:highlight w:val="none"/>
              </w:rPr>
              <w:t>最低要求）”的业绩加</w:t>
            </w:r>
            <w:r>
              <w:rPr>
                <w:rFonts w:hint="eastAsia"/>
                <w:sz w:val="21"/>
                <w:highlight w:val="none"/>
                <w:lang w:val="en-US" w:eastAsia="zh-CN"/>
              </w:rPr>
              <w:t>4</w:t>
            </w:r>
            <w:r>
              <w:rPr>
                <w:rFonts w:hint="eastAsia"/>
                <w:sz w:val="21"/>
                <w:highlight w:val="none"/>
              </w:rPr>
              <w:t>分，最多加</w:t>
            </w:r>
            <w:r>
              <w:rPr>
                <w:rFonts w:hint="eastAsia"/>
                <w:sz w:val="21"/>
                <w:highlight w:val="none"/>
                <w:lang w:val="en-US" w:eastAsia="zh-CN"/>
              </w:rPr>
              <w:t>4</w:t>
            </w:r>
            <w:r>
              <w:rPr>
                <w:rFonts w:hint="eastAsia"/>
                <w:sz w:val="21"/>
                <w:highlight w:val="none"/>
              </w:rPr>
              <w:t>分。</w:t>
            </w:r>
          </w:p>
        </w:tc>
      </w:tr>
      <w:tr w14:paraId="0123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14:paraId="5E5ADDAC">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2.2.4（3）</w:t>
            </w:r>
          </w:p>
        </w:tc>
        <w:tc>
          <w:tcPr>
            <w:tcW w:w="741" w:type="dxa"/>
            <w:tcBorders>
              <w:top w:val="nil"/>
            </w:tcBorders>
            <w:noWrap w:val="0"/>
            <w:vAlign w:val="center"/>
          </w:tcPr>
          <w:p w14:paraId="6687298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评标价</w:t>
            </w:r>
          </w:p>
        </w:tc>
        <w:tc>
          <w:tcPr>
            <w:tcW w:w="624" w:type="dxa"/>
            <w:tcBorders>
              <w:top w:val="nil"/>
              <w:bottom w:val="single" w:color="auto" w:sz="4" w:space="0"/>
            </w:tcBorders>
            <w:noWrap w:val="0"/>
            <w:vAlign w:val="center"/>
          </w:tcPr>
          <w:p w14:paraId="073C7FA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rPr>
              <w:t>3</w:t>
            </w:r>
            <w:r>
              <w:rPr>
                <w:rFonts w:hint="default" w:ascii="Times New Roman" w:hAnsi="Times New Roman"/>
                <w:szCs w:val="21"/>
                <w:highlight w:val="none"/>
              </w:rPr>
              <w:t>0分</w:t>
            </w:r>
          </w:p>
        </w:tc>
        <w:tc>
          <w:tcPr>
            <w:tcW w:w="7546" w:type="dxa"/>
            <w:gridSpan w:val="3"/>
            <w:tcBorders>
              <w:bottom w:val="single" w:color="auto" w:sz="4" w:space="0"/>
            </w:tcBorders>
            <w:noWrap w:val="0"/>
            <w:vAlign w:val="center"/>
          </w:tcPr>
          <w:p w14:paraId="5A2C0FBC">
            <w:pPr>
              <w:keepNext w:val="0"/>
              <w:keepLines w:val="0"/>
              <w:suppressLineNumbers w:val="0"/>
              <w:spacing w:before="0" w:beforeAutospacing="0" w:after="0" w:afterAutospacing="0"/>
              <w:ind w:left="0" w:right="0"/>
              <w:jc w:val="left"/>
              <w:rPr>
                <w:rFonts w:hint="default"/>
                <w:kern w:val="2"/>
                <w:sz w:val="21"/>
                <w:szCs w:val="21"/>
                <w:highlight w:val="none"/>
              </w:rPr>
            </w:pPr>
            <w:r>
              <w:rPr>
                <w:rFonts w:hint="default"/>
                <w:kern w:val="2"/>
                <w:sz w:val="21"/>
                <w:szCs w:val="21"/>
                <w:highlight w:val="none"/>
              </w:rPr>
              <w:t>评标价得分计算公式：</w:t>
            </w:r>
          </w:p>
          <w:p w14:paraId="6BD34C23">
            <w:pPr>
              <w:keepNext w:val="0"/>
              <w:keepLines w:val="0"/>
              <w:suppressLineNumbers w:val="0"/>
              <w:spacing w:before="0" w:beforeAutospacing="0" w:after="0" w:afterAutospacing="0"/>
              <w:ind w:left="0" w:right="0"/>
              <w:rPr>
                <w:rFonts w:hint="default"/>
                <w:kern w:val="2"/>
                <w:sz w:val="21"/>
                <w:szCs w:val="21"/>
                <w:highlight w:val="none"/>
              </w:rPr>
            </w:pPr>
            <w:r>
              <w:rPr>
                <w:rFonts w:hint="default"/>
                <w:kern w:val="2"/>
                <w:sz w:val="21"/>
                <w:szCs w:val="21"/>
                <w:highlight w:val="none"/>
              </w:rPr>
              <w:t>（1）如果投标人的评标价＞评标基准价，则评标价得分=F-（投标人评标价-评标基准价）/评标基准价×100×E1；</w:t>
            </w:r>
          </w:p>
          <w:p w14:paraId="3ECB0D82">
            <w:pPr>
              <w:keepNext w:val="0"/>
              <w:keepLines w:val="0"/>
              <w:suppressLineNumbers w:val="0"/>
              <w:spacing w:before="0" w:beforeAutospacing="0" w:after="0" w:afterAutospacing="0"/>
              <w:ind w:left="0" w:right="0"/>
              <w:rPr>
                <w:rFonts w:hint="default"/>
                <w:highlight w:val="none"/>
              </w:rPr>
            </w:pPr>
            <w:r>
              <w:rPr>
                <w:rFonts w:hint="default"/>
                <w:kern w:val="2"/>
                <w:sz w:val="21"/>
                <w:szCs w:val="21"/>
                <w:highlight w:val="none"/>
              </w:rPr>
              <w:t>（2）如果投标人的评标价≤评标基准价，则评标价得分=F+（投标人评标价-评标基准价）/评标基准价×100×E2。</w:t>
            </w:r>
          </w:p>
          <w:p w14:paraId="251A9119">
            <w:pPr>
              <w:keepNext w:val="0"/>
              <w:keepLines w:val="0"/>
              <w:suppressLineNumbers w:val="0"/>
              <w:spacing w:before="0" w:beforeAutospacing="0" w:after="0" w:afterAutospacing="0"/>
              <w:ind w:left="0" w:right="0"/>
              <w:jc w:val="left"/>
              <w:rPr>
                <w:rFonts w:hint="default"/>
                <w:kern w:val="2"/>
                <w:sz w:val="21"/>
                <w:szCs w:val="21"/>
                <w:highlight w:val="none"/>
              </w:rPr>
            </w:pPr>
            <w:r>
              <w:rPr>
                <w:rFonts w:hint="default"/>
                <w:kern w:val="2"/>
                <w:sz w:val="21"/>
                <w:szCs w:val="21"/>
                <w:highlight w:val="none"/>
              </w:rPr>
              <w:t>其中，F=</w:t>
            </w:r>
            <w:r>
              <w:rPr>
                <w:rFonts w:hint="eastAsia"/>
                <w:kern w:val="2"/>
                <w:sz w:val="21"/>
                <w:szCs w:val="21"/>
                <w:highlight w:val="none"/>
                <w:lang w:val="en-US" w:eastAsia="zh-CN"/>
              </w:rPr>
              <w:t>3</w:t>
            </w:r>
            <w:r>
              <w:rPr>
                <w:rFonts w:hint="default"/>
                <w:kern w:val="2"/>
                <w:sz w:val="21"/>
                <w:szCs w:val="21"/>
                <w:highlight w:val="none"/>
              </w:rPr>
              <w:t>0；E1=0.</w:t>
            </w:r>
            <w:r>
              <w:rPr>
                <w:rFonts w:hint="eastAsia"/>
                <w:kern w:val="2"/>
                <w:sz w:val="21"/>
                <w:szCs w:val="21"/>
                <w:highlight w:val="none"/>
                <w:lang w:val="en-US" w:eastAsia="zh-CN"/>
              </w:rPr>
              <w:t>4</w:t>
            </w:r>
            <w:r>
              <w:rPr>
                <w:rFonts w:hint="default"/>
                <w:kern w:val="2"/>
                <w:sz w:val="21"/>
                <w:szCs w:val="21"/>
                <w:highlight w:val="none"/>
              </w:rPr>
              <w:t>；E2=0.</w:t>
            </w:r>
            <w:r>
              <w:rPr>
                <w:rFonts w:hint="eastAsia"/>
                <w:kern w:val="2"/>
                <w:sz w:val="21"/>
                <w:szCs w:val="21"/>
                <w:highlight w:val="none"/>
                <w:lang w:val="en-US" w:eastAsia="zh-CN"/>
              </w:rPr>
              <w:t>2</w:t>
            </w:r>
            <w:r>
              <w:rPr>
                <w:rFonts w:hint="default"/>
                <w:kern w:val="2"/>
                <w:sz w:val="21"/>
                <w:szCs w:val="21"/>
                <w:highlight w:val="none"/>
              </w:rPr>
              <w:t>；评标价最低得分为0分。得分保留两位小数。</w:t>
            </w:r>
          </w:p>
        </w:tc>
      </w:tr>
      <w:tr w14:paraId="12F3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14:paraId="6ABFF6D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2.2.4（4）</w:t>
            </w:r>
          </w:p>
        </w:tc>
        <w:tc>
          <w:tcPr>
            <w:tcW w:w="741" w:type="dxa"/>
            <w:noWrap w:val="0"/>
            <w:vAlign w:val="center"/>
          </w:tcPr>
          <w:p w14:paraId="2C01A81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其他因素</w:t>
            </w:r>
          </w:p>
        </w:tc>
        <w:tc>
          <w:tcPr>
            <w:tcW w:w="624" w:type="dxa"/>
            <w:tcBorders>
              <w:top w:val="single" w:color="auto" w:sz="4" w:space="0"/>
            </w:tcBorders>
            <w:noWrap w:val="0"/>
            <w:vAlign w:val="center"/>
          </w:tcPr>
          <w:p w14:paraId="4E7E025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w:t>
            </w:r>
            <w:r>
              <w:rPr>
                <w:rFonts w:hint="eastAsia" w:ascii="Times New Roman" w:hAnsi="Times New Roman"/>
                <w:szCs w:val="21"/>
                <w:highlight w:val="none"/>
              </w:rPr>
              <w:t>0</w:t>
            </w:r>
            <w:r>
              <w:rPr>
                <w:rFonts w:hint="default" w:ascii="Times New Roman" w:hAnsi="Times New Roman"/>
                <w:szCs w:val="21"/>
                <w:highlight w:val="none"/>
              </w:rPr>
              <w:t>分</w:t>
            </w:r>
          </w:p>
        </w:tc>
        <w:tc>
          <w:tcPr>
            <w:tcW w:w="1134" w:type="dxa"/>
            <w:tcBorders>
              <w:top w:val="single" w:color="auto" w:sz="4" w:space="0"/>
            </w:tcBorders>
            <w:noWrap w:val="0"/>
            <w:vAlign w:val="center"/>
          </w:tcPr>
          <w:p w14:paraId="23968E7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业绩</w:t>
            </w:r>
          </w:p>
        </w:tc>
        <w:tc>
          <w:tcPr>
            <w:tcW w:w="567" w:type="dxa"/>
            <w:tcBorders>
              <w:top w:val="single" w:color="auto" w:sz="4" w:space="0"/>
            </w:tcBorders>
            <w:noWrap w:val="0"/>
            <w:vAlign w:val="center"/>
          </w:tcPr>
          <w:p w14:paraId="49344A9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w:t>
            </w:r>
            <w:r>
              <w:rPr>
                <w:rFonts w:hint="eastAsia" w:ascii="Times New Roman" w:hAnsi="Times New Roman"/>
                <w:szCs w:val="21"/>
                <w:highlight w:val="none"/>
              </w:rPr>
              <w:t>0</w:t>
            </w:r>
            <w:r>
              <w:rPr>
                <w:rFonts w:hint="default" w:ascii="Times New Roman" w:hAnsi="Times New Roman"/>
                <w:szCs w:val="21"/>
                <w:highlight w:val="none"/>
              </w:rPr>
              <w:t>分</w:t>
            </w:r>
          </w:p>
        </w:tc>
        <w:tc>
          <w:tcPr>
            <w:tcW w:w="5845" w:type="dxa"/>
            <w:tcBorders>
              <w:top w:val="single" w:color="auto" w:sz="4" w:space="0"/>
            </w:tcBorders>
            <w:noWrap w:val="0"/>
            <w:vAlign w:val="center"/>
          </w:tcPr>
          <w:p w14:paraId="7EEBD6E1">
            <w:pPr>
              <w:keepNext w:val="0"/>
              <w:keepLines w:val="0"/>
              <w:suppressLineNumbers w:val="0"/>
              <w:spacing w:before="0" w:beforeAutospacing="0" w:after="0" w:afterAutospacing="0"/>
              <w:ind w:left="0" w:right="0"/>
              <w:rPr>
                <w:rFonts w:hint="default"/>
                <w:kern w:val="2"/>
                <w:sz w:val="21"/>
                <w:szCs w:val="21"/>
                <w:highlight w:val="none"/>
              </w:rPr>
            </w:pPr>
            <w:r>
              <w:rPr>
                <w:rFonts w:hint="default"/>
                <w:kern w:val="2"/>
                <w:sz w:val="21"/>
                <w:szCs w:val="21"/>
                <w:highlight w:val="none"/>
              </w:rPr>
              <w:t>满足</w:t>
            </w:r>
            <w:r>
              <w:rPr>
                <w:rFonts w:hint="eastAsia"/>
                <w:kern w:val="2"/>
                <w:sz w:val="21"/>
                <w:szCs w:val="21"/>
                <w:highlight w:val="none"/>
              </w:rPr>
              <w:t>“</w:t>
            </w:r>
            <w:r>
              <w:rPr>
                <w:rFonts w:hint="default"/>
                <w:kern w:val="2"/>
                <w:sz w:val="21"/>
                <w:szCs w:val="21"/>
                <w:highlight w:val="none"/>
              </w:rPr>
              <w:t>资格审查条件（业绩最低要求）</w:t>
            </w:r>
            <w:r>
              <w:rPr>
                <w:rFonts w:hint="eastAsia"/>
                <w:kern w:val="2"/>
                <w:sz w:val="21"/>
                <w:szCs w:val="21"/>
                <w:highlight w:val="none"/>
              </w:rPr>
              <w:t>”</w:t>
            </w:r>
            <w:r>
              <w:rPr>
                <w:rFonts w:hint="default"/>
                <w:kern w:val="2"/>
                <w:sz w:val="21"/>
                <w:szCs w:val="21"/>
                <w:highlight w:val="none"/>
              </w:rPr>
              <w:t>得</w:t>
            </w:r>
            <w:r>
              <w:rPr>
                <w:rFonts w:hint="eastAsia"/>
                <w:kern w:val="2"/>
                <w:sz w:val="21"/>
                <w:szCs w:val="21"/>
                <w:highlight w:val="none"/>
              </w:rPr>
              <w:t>12</w:t>
            </w:r>
            <w:r>
              <w:rPr>
                <w:rFonts w:hint="default"/>
                <w:kern w:val="2"/>
                <w:sz w:val="21"/>
                <w:szCs w:val="21"/>
                <w:highlight w:val="none"/>
              </w:rPr>
              <w:t>分；</w:t>
            </w:r>
          </w:p>
          <w:p w14:paraId="6BE4E2BA">
            <w:pPr>
              <w:keepNext w:val="0"/>
              <w:keepLines w:val="0"/>
              <w:suppressLineNumbers w:val="0"/>
              <w:spacing w:before="0" w:beforeAutospacing="0" w:after="0" w:afterAutospacing="0"/>
              <w:ind w:left="0" w:right="0"/>
              <w:rPr>
                <w:rFonts w:hint="default"/>
                <w:sz w:val="21"/>
                <w:szCs w:val="21"/>
                <w:highlight w:val="none"/>
              </w:rPr>
            </w:pPr>
            <w:r>
              <w:rPr>
                <w:rFonts w:hint="default"/>
                <w:kern w:val="2"/>
                <w:sz w:val="21"/>
                <w:szCs w:val="21"/>
                <w:highlight w:val="none"/>
              </w:rPr>
              <w:t>每增加一个满足</w:t>
            </w:r>
            <w:r>
              <w:rPr>
                <w:rFonts w:hint="eastAsia"/>
                <w:kern w:val="2"/>
                <w:sz w:val="21"/>
                <w:szCs w:val="21"/>
                <w:highlight w:val="none"/>
              </w:rPr>
              <w:t>“</w:t>
            </w:r>
            <w:r>
              <w:rPr>
                <w:rFonts w:hint="default"/>
                <w:kern w:val="2"/>
                <w:sz w:val="21"/>
                <w:szCs w:val="21"/>
                <w:highlight w:val="none"/>
              </w:rPr>
              <w:t>资格审查条件（业绩最低要求）</w:t>
            </w:r>
            <w:r>
              <w:rPr>
                <w:rFonts w:hint="eastAsia"/>
                <w:kern w:val="2"/>
                <w:sz w:val="21"/>
                <w:szCs w:val="21"/>
                <w:highlight w:val="none"/>
              </w:rPr>
              <w:t>”</w:t>
            </w:r>
            <w:r>
              <w:rPr>
                <w:rFonts w:hint="default"/>
                <w:kern w:val="2"/>
                <w:sz w:val="21"/>
                <w:szCs w:val="21"/>
                <w:highlight w:val="none"/>
              </w:rPr>
              <w:t>的业绩，加</w:t>
            </w:r>
            <w:r>
              <w:rPr>
                <w:rFonts w:hint="eastAsia"/>
                <w:kern w:val="2"/>
                <w:sz w:val="21"/>
                <w:szCs w:val="21"/>
                <w:highlight w:val="none"/>
              </w:rPr>
              <w:t>4</w:t>
            </w:r>
            <w:r>
              <w:rPr>
                <w:rFonts w:hint="default"/>
                <w:kern w:val="2"/>
                <w:sz w:val="21"/>
                <w:szCs w:val="21"/>
                <w:highlight w:val="none"/>
              </w:rPr>
              <w:t>分，最多加</w:t>
            </w:r>
            <w:r>
              <w:rPr>
                <w:rFonts w:hint="eastAsia"/>
                <w:kern w:val="2"/>
                <w:sz w:val="21"/>
                <w:szCs w:val="21"/>
                <w:highlight w:val="none"/>
              </w:rPr>
              <w:t>8</w:t>
            </w:r>
            <w:r>
              <w:rPr>
                <w:rFonts w:hint="default"/>
                <w:kern w:val="2"/>
                <w:sz w:val="21"/>
                <w:szCs w:val="21"/>
                <w:highlight w:val="none"/>
              </w:rPr>
              <w:t>分。</w:t>
            </w:r>
          </w:p>
        </w:tc>
      </w:tr>
    </w:tbl>
    <w:p w14:paraId="1D59511C">
      <w:pPr>
        <w:spacing w:line="24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注：1、第2.2.4（1）项各评委打分保留1位小数，投标人该项得分以各评委打分平均值计算所得，保留两位小数，第三位小数四舍五入。</w:t>
      </w:r>
    </w:p>
    <w:p w14:paraId="104D894D">
      <w:pPr>
        <w:pStyle w:val="10"/>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rPr>
        <w:t>第2.2.4（1）项评</w:t>
      </w:r>
      <w:r>
        <w:rPr>
          <w:rFonts w:hint="eastAsia" w:ascii="宋体" w:hAnsi="宋体" w:cs="宋体"/>
          <w:kern w:val="0"/>
          <w:sz w:val="21"/>
          <w:szCs w:val="21"/>
          <w:highlight w:val="none"/>
          <w:lang w:val="en-US" w:eastAsia="zh-CN"/>
        </w:rPr>
        <w:t>分</w:t>
      </w:r>
      <w:r>
        <w:rPr>
          <w:rFonts w:hint="eastAsia" w:ascii="宋体" w:hAnsi="宋体" w:eastAsia="宋体" w:cs="宋体"/>
          <w:kern w:val="0"/>
          <w:sz w:val="21"/>
          <w:szCs w:val="21"/>
          <w:highlight w:val="none"/>
          <w:lang w:val="zh-CN"/>
        </w:rPr>
        <w:t>因素</w:t>
      </w:r>
      <w:r>
        <w:rPr>
          <w:rFonts w:hint="eastAsia" w:ascii="宋体" w:hAnsi="宋体" w:cs="宋体"/>
          <w:kern w:val="0"/>
          <w:sz w:val="21"/>
          <w:szCs w:val="21"/>
          <w:highlight w:val="none"/>
          <w:lang w:val="en-US" w:eastAsia="zh-CN"/>
        </w:rPr>
        <w:t>细分项</w:t>
      </w:r>
      <w:r>
        <w:rPr>
          <w:rFonts w:hint="eastAsia" w:ascii="宋体" w:hAnsi="宋体" w:eastAsia="宋体" w:cs="宋体"/>
          <w:kern w:val="0"/>
          <w:sz w:val="21"/>
          <w:szCs w:val="21"/>
          <w:highlight w:val="none"/>
          <w:lang w:val="zh-CN"/>
        </w:rPr>
        <w:t>缺项则该项得0分。</w:t>
      </w:r>
    </w:p>
    <w:p w14:paraId="1301A4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EE38">
    <w:pPr>
      <w:pStyle w:val="5"/>
      <w:pBdr>
        <w:top w:val="single" w:color="auto" w:sz="4" w:space="1"/>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D34B6">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6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4UgssBAACcAwAADgAAAGRycy9lMm9Eb2MueG1srVNLbtswEN0XyB0I&#10;7mPKBhI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Y3lFhucODnH9/PP3+ff30j&#10;y+K2TAr1HipMfPSYGod3bsC9mf2AzkR8aINJX6REMI76ni76yiESkR6Vq7IsMCQwNl8Qnz099wHi&#10;e+kMSUZNAw4w68qPHyCOqXNKqmbdvdI6D1HbvxyImTws9T72mKw47IaJ0M41J+TT4+xranHVKdEP&#10;FqVNazIbYTZ2s3HwQe27vEepHvi3h4hN5N5ShRF2KoxDy+ymBUtb8fyes55+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VOFILLAQAAnAMAAA4AAAAAAAAAAQAgAAAAHgEAAGRycy9lMm9E&#10;b2MueG1sUEsFBgAAAAAGAAYAWQEAAFsFAAAAAA==&#10;">
              <v:fill on="f" focussize="0,0"/>
              <v:stroke on="f"/>
              <v:imagedata o:title=""/>
              <o:lock v:ext="edit" aspectratio="f"/>
              <v:textbox inset="0mm,0mm,0mm,0mm" style="mso-fit-shape-to-text:t;">
                <w:txbxContent>
                  <w:p w14:paraId="327D34B6">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9B2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B2A10"/>
    <w:rsid w:val="0E8E2E18"/>
    <w:rsid w:val="5C1B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4">
    <w:name w:val="Plain Text"/>
    <w:basedOn w:val="1"/>
    <w:qFormat/>
    <w:uiPriority w:val="0"/>
    <w:rPr>
      <w:rFonts w:ascii="宋体" w:hAnsi="Courier New"/>
      <w:kern w:val="0"/>
      <w:sz w:val="20"/>
      <w:szCs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character" w:styleId="8">
    <w:name w:val="Hyperlink"/>
    <w:qFormat/>
    <w:uiPriority w:val="99"/>
    <w:rPr>
      <w:color w:val="0000FF"/>
      <w:u w:val="single"/>
    </w:rPr>
  </w:style>
  <w:style w:type="character" w:customStyle="1" w:styleId="9">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0">
    <w:name w:val="正文首行缩进 21"/>
    <w:basedOn w:val="11"/>
    <w:qFormat/>
    <w:uiPriority w:val="0"/>
    <w:pPr>
      <w:ind w:firstLine="420"/>
    </w:pPr>
  </w:style>
  <w:style w:type="paragraph" w:customStyle="1" w:styleId="11">
    <w:name w:val="正文文本缩进1"/>
    <w:basedOn w:val="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4971</Words>
  <Characters>5386</Characters>
  <Lines>0</Lines>
  <Paragraphs>0</Paragraphs>
  <TotalTime>0</TotalTime>
  <ScaleCrop>false</ScaleCrop>
  <LinksUpToDate>false</LinksUpToDate>
  <CharactersWithSpaces>5414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2025-09-04T09:18:00Z</dcterms:created>
  <dc:creator>151****8010</dc:creator>
  <cp:lastModifiedBy>冯士峰</cp:lastModifiedBy>
  <dcterms:modified xsi:type="dcterms:W3CDTF">2025-09-04T09:29:42Z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6651F460B61F4F8CB0146BF17DC5A717_11</vt:lpwstr>
  </property>
  <property fmtid="{D5CDD505-2E9C-101B-9397-08002B2CF9AE}" pid="4" name="KSOTemplateDocerSaveRecord">
    <vt:lpwstr>eyJoZGlkIjoiMjNhMGNiNzBmYzRmYmU1YWU1ZDVjYzI3MTI0YTIzZjQiLCJ1c2VySWQiOiIxNjg3ODQzOTczIn0=</vt:lpwstr>
  </property>
</Properties>
</file>