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6E592">
      <w:pPr>
        <w:adjustRightInd w:val="0"/>
        <w:snapToGrid w:val="0"/>
        <w:spacing w:before="120" w:beforeLines="50" w:line="276" w:lineRule="auto"/>
        <w:rPr>
          <w:b/>
          <w:sz w:val="24"/>
          <w:highlight w:val="none"/>
        </w:rPr>
      </w:pPr>
      <w:bookmarkStart w:id="0" w:name="_Toc514238201"/>
      <w:bookmarkStart w:id="1" w:name="_Hlk517255404"/>
      <w:bookmarkStart w:id="16" w:name="_GoBack"/>
      <w:bookmarkEnd w:id="16"/>
      <w:r>
        <w:rPr>
          <w:b/>
          <w:sz w:val="24"/>
          <w:highlight w:val="none"/>
        </w:rPr>
        <w:t>附件1：资格审查条件</w:t>
      </w:r>
      <w:bookmarkEnd w:id="0"/>
    </w:p>
    <w:p w14:paraId="150FCF41">
      <w:pPr>
        <w:adjustRightInd w:val="0"/>
        <w:spacing w:line="400" w:lineRule="exact"/>
        <w:jc w:val="center"/>
        <w:rPr>
          <w:b/>
          <w:sz w:val="24"/>
          <w:szCs w:val="24"/>
          <w:highlight w:val="none"/>
        </w:rPr>
      </w:pPr>
      <w:r>
        <w:rPr>
          <w:b/>
          <w:sz w:val="24"/>
          <w:szCs w:val="24"/>
          <w:highlight w:val="none"/>
        </w:rPr>
        <w:t xml:space="preserve">附录1 </w:t>
      </w:r>
      <w:bookmarkStart w:id="2" w:name="_Hlk515531673"/>
      <w:r>
        <w:rPr>
          <w:b/>
          <w:sz w:val="24"/>
          <w:highlight w:val="none"/>
        </w:rPr>
        <w:t>资格</w:t>
      </w:r>
      <w:r>
        <w:rPr>
          <w:b/>
          <w:sz w:val="24"/>
          <w:szCs w:val="24"/>
          <w:highlight w:val="none"/>
        </w:rPr>
        <w:t>审查条件（</w:t>
      </w:r>
      <w:bookmarkStart w:id="3" w:name="_Hlk93741047"/>
      <w:r>
        <w:rPr>
          <w:b/>
          <w:sz w:val="24"/>
          <w:szCs w:val="24"/>
          <w:highlight w:val="none"/>
        </w:rPr>
        <w:t>资质最低要求</w:t>
      </w:r>
      <w:bookmarkEnd w:id="3"/>
      <w:r>
        <w:rPr>
          <w:b/>
          <w:sz w:val="24"/>
          <w:szCs w:val="24"/>
          <w:highlight w:val="none"/>
        </w:rPr>
        <w:t>）</w:t>
      </w:r>
      <w:bookmarkEnd w:id="2"/>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65814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14:paraId="40F2B54A">
            <w:pPr>
              <w:pStyle w:val="9"/>
              <w:spacing w:before="0" w:beforeAutospacing="0" w:after="0" w:afterAutospacing="0" w:line="240" w:lineRule="auto"/>
              <w:ind w:firstLine="0"/>
              <w:contextualSpacing/>
              <w:jc w:val="center"/>
              <w:rPr>
                <w:rFonts w:ascii="Times New Roman" w:hAnsi="Times New Roman"/>
                <w:sz w:val="21"/>
                <w:szCs w:val="21"/>
                <w:highlight w:val="none"/>
              </w:rPr>
            </w:pPr>
            <w:r>
              <w:rPr>
                <w:rFonts w:ascii="Times New Roman" w:hAnsi="Times New Roman"/>
                <w:sz w:val="21"/>
                <w:szCs w:val="21"/>
                <w:highlight w:val="none"/>
              </w:rPr>
              <w:t>资质要求</w:t>
            </w:r>
          </w:p>
        </w:tc>
      </w:tr>
      <w:tr w14:paraId="6F1A1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jc w:val="center"/>
        </w:trPr>
        <w:tc>
          <w:tcPr>
            <w:tcW w:w="9286" w:type="dxa"/>
            <w:noWrap w:val="0"/>
            <w:vAlign w:val="center"/>
          </w:tcPr>
          <w:p w14:paraId="7884AAFB">
            <w:pPr>
              <w:rPr>
                <w:sz w:val="21"/>
                <w:szCs w:val="21"/>
                <w:highlight w:val="none"/>
              </w:rPr>
            </w:pPr>
            <w:bookmarkStart w:id="4" w:name="_Hlk93741073"/>
            <w:r>
              <w:rPr>
                <w:sz w:val="21"/>
                <w:szCs w:val="21"/>
                <w:highlight w:val="none"/>
              </w:rPr>
              <w:t>1、中华人民共和国境内注册的独立法人或合伙制企业，持有有效的企业营业执照；</w:t>
            </w:r>
          </w:p>
          <w:p w14:paraId="6518691C">
            <w:pPr>
              <w:rPr>
                <w:rFonts w:hint="eastAsia" w:eastAsia="宋体"/>
                <w:sz w:val="21"/>
                <w:szCs w:val="21"/>
                <w:highlight w:val="none"/>
                <w:lang w:eastAsia="zh-CN"/>
              </w:rPr>
            </w:pPr>
            <w:r>
              <w:rPr>
                <w:sz w:val="21"/>
                <w:szCs w:val="21"/>
                <w:highlight w:val="none"/>
              </w:rPr>
              <w:t>2、具备会计师事务所执业证书</w:t>
            </w:r>
            <w:r>
              <w:rPr>
                <w:rFonts w:hint="eastAsia"/>
                <w:sz w:val="21"/>
                <w:szCs w:val="21"/>
                <w:highlight w:val="none"/>
                <w:lang w:eastAsia="zh-CN"/>
              </w:rPr>
              <w:t>。</w:t>
            </w:r>
          </w:p>
        </w:tc>
      </w:tr>
      <w:bookmarkEnd w:id="4"/>
    </w:tbl>
    <w:p w14:paraId="124F5C84">
      <w:pPr>
        <w:adjustRightInd w:val="0"/>
        <w:spacing w:line="400" w:lineRule="exact"/>
        <w:jc w:val="center"/>
        <w:rPr>
          <w:b/>
          <w:sz w:val="24"/>
          <w:szCs w:val="24"/>
          <w:highlight w:val="none"/>
        </w:rPr>
      </w:pPr>
    </w:p>
    <w:p w14:paraId="0576AA0B">
      <w:pPr>
        <w:adjustRightInd w:val="0"/>
        <w:spacing w:line="400" w:lineRule="exact"/>
        <w:jc w:val="center"/>
        <w:rPr>
          <w:b/>
          <w:sz w:val="24"/>
          <w:szCs w:val="24"/>
          <w:highlight w:val="none"/>
        </w:rPr>
      </w:pPr>
      <w:r>
        <w:rPr>
          <w:b/>
          <w:sz w:val="24"/>
          <w:szCs w:val="24"/>
          <w:highlight w:val="none"/>
        </w:rPr>
        <w:t>附录2 资格审查条件（业绩最低要求）</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1AAA1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14:paraId="039194AE">
            <w:pPr>
              <w:pStyle w:val="9"/>
              <w:spacing w:before="0" w:beforeAutospacing="0" w:after="0" w:afterAutospacing="0" w:line="240" w:lineRule="auto"/>
              <w:ind w:firstLine="0"/>
              <w:contextualSpacing/>
              <w:jc w:val="center"/>
              <w:rPr>
                <w:rFonts w:ascii="Times New Roman" w:hAnsi="Times New Roman"/>
                <w:sz w:val="21"/>
                <w:szCs w:val="21"/>
                <w:highlight w:val="none"/>
              </w:rPr>
            </w:pPr>
            <w:r>
              <w:rPr>
                <w:rFonts w:ascii="Times New Roman" w:hAnsi="Times New Roman"/>
                <w:sz w:val="21"/>
                <w:szCs w:val="21"/>
                <w:highlight w:val="none"/>
              </w:rPr>
              <w:t>业绩要求</w:t>
            </w:r>
          </w:p>
        </w:tc>
      </w:tr>
      <w:tr w14:paraId="588DA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9286" w:type="dxa"/>
            <w:noWrap w:val="0"/>
            <w:vAlign w:val="center"/>
          </w:tcPr>
          <w:p w14:paraId="2CD35748">
            <w:pPr>
              <w:rPr>
                <w:sz w:val="21"/>
                <w:szCs w:val="21"/>
                <w:highlight w:val="none"/>
              </w:rPr>
            </w:pPr>
            <w:r>
              <w:rPr>
                <w:rFonts w:hint="eastAsia"/>
                <w:sz w:val="21"/>
                <w:szCs w:val="21"/>
                <w:highlight w:val="none"/>
              </w:rPr>
              <w:t>近</w:t>
            </w:r>
            <w:r>
              <w:rPr>
                <w:rFonts w:hint="eastAsia"/>
                <w:sz w:val="21"/>
                <w:szCs w:val="21"/>
                <w:highlight w:val="none"/>
                <w:lang w:val="en-US" w:eastAsia="zh-CN"/>
              </w:rPr>
              <w:t>3</w:t>
            </w:r>
            <w:r>
              <w:rPr>
                <w:rFonts w:hint="eastAsia"/>
                <w:sz w:val="21"/>
                <w:szCs w:val="21"/>
                <w:highlight w:val="none"/>
              </w:rPr>
              <w:t>年（20</w:t>
            </w:r>
            <w:r>
              <w:rPr>
                <w:rFonts w:hint="eastAsia"/>
                <w:sz w:val="21"/>
                <w:szCs w:val="21"/>
                <w:highlight w:val="none"/>
                <w:lang w:val="en-US" w:eastAsia="zh-CN"/>
              </w:rPr>
              <w:t>22</w:t>
            </w:r>
            <w:r>
              <w:rPr>
                <w:rFonts w:hint="eastAsia"/>
                <w:sz w:val="21"/>
                <w:szCs w:val="21"/>
                <w:highlight w:val="none"/>
              </w:rPr>
              <w:t>年</w:t>
            </w:r>
            <w:r>
              <w:rPr>
                <w:rFonts w:hint="eastAsia"/>
                <w:sz w:val="21"/>
                <w:szCs w:val="21"/>
                <w:highlight w:val="none"/>
                <w:lang w:val="en-US" w:eastAsia="zh-CN"/>
              </w:rPr>
              <w:t>8月</w:t>
            </w:r>
            <w:r>
              <w:rPr>
                <w:rFonts w:hint="eastAsia"/>
                <w:sz w:val="21"/>
                <w:szCs w:val="21"/>
                <w:highlight w:val="none"/>
              </w:rPr>
              <w:t>1日至投标截止时间，以合同签订时间为准），至少</w:t>
            </w:r>
            <w:r>
              <w:rPr>
                <w:rFonts w:hint="eastAsia"/>
                <w:sz w:val="21"/>
                <w:szCs w:val="21"/>
                <w:highlight w:val="none"/>
                <w:lang w:eastAsia="zh-CN"/>
              </w:rPr>
              <w:t>承揽</w:t>
            </w:r>
            <w:r>
              <w:rPr>
                <w:rFonts w:hint="eastAsia"/>
                <w:sz w:val="21"/>
                <w:szCs w:val="21"/>
                <w:highlight w:val="none"/>
              </w:rPr>
              <w:t>过1项企业内部控制体系建设咨询服务或内部控制监督评价的项目业绩。</w:t>
            </w:r>
          </w:p>
        </w:tc>
      </w:tr>
    </w:tbl>
    <w:p w14:paraId="4D499652">
      <w:pPr>
        <w:pStyle w:val="4"/>
        <w:rPr>
          <w:b/>
          <w:sz w:val="24"/>
          <w:highlight w:val="none"/>
        </w:rPr>
      </w:pPr>
    </w:p>
    <w:p w14:paraId="165EDD20">
      <w:pPr>
        <w:pStyle w:val="4"/>
        <w:rPr>
          <w:b/>
          <w:sz w:val="24"/>
          <w:highlight w:val="none"/>
        </w:rPr>
      </w:pPr>
    </w:p>
    <w:p w14:paraId="6A50371E">
      <w:pPr>
        <w:adjustRightInd w:val="0"/>
        <w:spacing w:line="400" w:lineRule="exact"/>
        <w:jc w:val="center"/>
        <w:rPr>
          <w:b/>
          <w:sz w:val="24"/>
          <w:szCs w:val="24"/>
          <w:highlight w:val="none"/>
        </w:rPr>
      </w:pPr>
      <w:r>
        <w:rPr>
          <w:b/>
          <w:sz w:val="24"/>
          <w:szCs w:val="24"/>
          <w:highlight w:val="none"/>
        </w:rPr>
        <w:t>附录3 资格审查条件（信誉最低要求）</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2007A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14:paraId="381DA6F1">
            <w:pPr>
              <w:pStyle w:val="9"/>
              <w:spacing w:before="0" w:beforeAutospacing="0" w:after="0" w:afterAutospacing="0" w:line="240" w:lineRule="auto"/>
              <w:ind w:firstLine="0"/>
              <w:contextualSpacing/>
              <w:jc w:val="center"/>
              <w:rPr>
                <w:rFonts w:ascii="Times New Roman" w:hAnsi="Times New Roman"/>
                <w:sz w:val="21"/>
                <w:szCs w:val="21"/>
                <w:highlight w:val="none"/>
              </w:rPr>
            </w:pPr>
            <w:r>
              <w:rPr>
                <w:rFonts w:ascii="Times New Roman" w:hAnsi="Times New Roman"/>
                <w:sz w:val="21"/>
                <w:szCs w:val="21"/>
                <w:highlight w:val="none"/>
              </w:rPr>
              <w:t>信誉要求</w:t>
            </w:r>
          </w:p>
        </w:tc>
      </w:tr>
      <w:tr w14:paraId="18A71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9286" w:type="dxa"/>
            <w:noWrap w:val="0"/>
            <w:vAlign w:val="center"/>
          </w:tcPr>
          <w:p w14:paraId="3DA03888">
            <w:pPr>
              <w:ind w:firstLine="420" w:firstLineChars="200"/>
              <w:rPr>
                <w:sz w:val="21"/>
                <w:szCs w:val="21"/>
                <w:highlight w:val="none"/>
              </w:rPr>
            </w:pPr>
            <w:r>
              <w:rPr>
                <w:rFonts w:hint="eastAsia"/>
                <w:sz w:val="21"/>
                <w:szCs w:val="21"/>
                <w:highlight w:val="none"/>
              </w:rPr>
              <w:t>投标人在过去1年中（202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8月</w:t>
            </w:r>
            <w:r>
              <w:rPr>
                <w:rFonts w:hint="eastAsia"/>
                <w:sz w:val="21"/>
                <w:szCs w:val="21"/>
                <w:highlight w:val="none"/>
              </w:rPr>
              <w:t>1日至投标截止时间）不</w:t>
            </w:r>
            <w:r>
              <w:rPr>
                <w:rFonts w:hint="eastAsia"/>
                <w:sz w:val="21"/>
                <w:szCs w:val="21"/>
                <w:highlight w:val="none"/>
                <w:lang w:eastAsia="zh-CN"/>
              </w:rPr>
              <w:t>曾在内控监督评价合</w:t>
            </w:r>
            <w:r>
              <w:rPr>
                <w:rFonts w:hint="eastAsia"/>
                <w:sz w:val="21"/>
                <w:szCs w:val="21"/>
                <w:highlight w:val="none"/>
                <w:lang w:val="en-US" w:eastAsia="zh-CN"/>
              </w:rPr>
              <w:t>同</w:t>
            </w:r>
            <w:r>
              <w:rPr>
                <w:sz w:val="21"/>
                <w:szCs w:val="21"/>
                <w:highlight w:val="none"/>
              </w:rPr>
              <w:t>中违约而被驱逐或因投标人自身的原因而使</w:t>
            </w:r>
            <w:r>
              <w:rPr>
                <w:rFonts w:hint="eastAsia"/>
                <w:sz w:val="21"/>
                <w:szCs w:val="21"/>
                <w:highlight w:val="none"/>
                <w:lang w:eastAsia="zh-CN"/>
              </w:rPr>
              <w:t>内控监督评价合</w:t>
            </w:r>
            <w:r>
              <w:rPr>
                <w:rFonts w:hint="eastAsia"/>
                <w:sz w:val="21"/>
                <w:szCs w:val="21"/>
                <w:highlight w:val="none"/>
                <w:lang w:val="en-US" w:eastAsia="zh-CN"/>
              </w:rPr>
              <w:t>同</w:t>
            </w:r>
            <w:r>
              <w:rPr>
                <w:sz w:val="21"/>
                <w:szCs w:val="21"/>
                <w:highlight w:val="none"/>
              </w:rPr>
              <w:t>被解除</w:t>
            </w:r>
            <w:r>
              <w:rPr>
                <w:rFonts w:hint="eastAsia"/>
                <w:sz w:val="21"/>
                <w:szCs w:val="21"/>
                <w:highlight w:val="none"/>
              </w:rPr>
              <w:t>。</w:t>
            </w:r>
          </w:p>
        </w:tc>
      </w:tr>
    </w:tbl>
    <w:p w14:paraId="3A687AD6">
      <w:pPr>
        <w:adjustRightInd w:val="0"/>
        <w:spacing w:line="400" w:lineRule="exact"/>
        <w:jc w:val="center"/>
        <w:rPr>
          <w:b/>
          <w:sz w:val="24"/>
          <w:szCs w:val="24"/>
          <w:highlight w:val="none"/>
        </w:rPr>
      </w:pPr>
    </w:p>
    <w:p w14:paraId="4B3AD40E">
      <w:pPr>
        <w:adjustRightInd w:val="0"/>
        <w:spacing w:line="400" w:lineRule="exact"/>
        <w:jc w:val="center"/>
        <w:rPr>
          <w:b/>
          <w:sz w:val="24"/>
          <w:szCs w:val="24"/>
          <w:highlight w:val="none"/>
        </w:rPr>
      </w:pPr>
      <w:r>
        <w:rPr>
          <w:b/>
          <w:sz w:val="24"/>
          <w:szCs w:val="24"/>
          <w:highlight w:val="none"/>
        </w:rPr>
        <w:t>附录4 资格审查条件（</w:t>
      </w:r>
      <w:r>
        <w:rPr>
          <w:rFonts w:hint="eastAsia" w:ascii="宋体" w:hAnsi="宋体"/>
          <w:b/>
          <w:sz w:val="24"/>
          <w:szCs w:val="24"/>
          <w:highlight w:val="none"/>
        </w:rPr>
        <w:t>项目负责人最低要求</w:t>
      </w:r>
      <w:r>
        <w:rPr>
          <w:b/>
          <w:sz w:val="24"/>
          <w:szCs w:val="24"/>
          <w:highlight w:val="none"/>
        </w:rPr>
        <w:t>）</w:t>
      </w:r>
    </w:p>
    <w:tbl>
      <w:tblPr>
        <w:tblStyle w:val="10"/>
        <w:tblW w:w="494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4"/>
        <w:gridCol w:w="1058"/>
        <w:gridCol w:w="6435"/>
      </w:tblGrid>
      <w:tr w14:paraId="4B678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77" w:type="pct"/>
            <w:noWrap w:val="0"/>
            <w:vAlign w:val="center"/>
          </w:tcPr>
          <w:p w14:paraId="0E5D1D4A">
            <w:pPr>
              <w:pStyle w:val="9"/>
              <w:adjustRightInd w:val="0"/>
              <w:snapToGrid w:val="0"/>
              <w:spacing w:before="0" w:beforeAutospacing="0" w:after="0" w:afterAutospacing="0" w:line="240" w:lineRule="auto"/>
              <w:ind w:firstLine="0"/>
              <w:jc w:val="center"/>
              <w:rPr>
                <w:rFonts w:ascii="Times New Roman" w:hAnsi="Times New Roman"/>
                <w:sz w:val="21"/>
                <w:szCs w:val="21"/>
                <w:highlight w:val="none"/>
              </w:rPr>
            </w:pPr>
            <w:r>
              <w:rPr>
                <w:rFonts w:ascii="Times New Roman" w:hAnsi="Times New Roman"/>
                <w:sz w:val="21"/>
                <w:szCs w:val="21"/>
                <w:highlight w:val="none"/>
              </w:rPr>
              <w:t>人员</w:t>
            </w:r>
          </w:p>
        </w:tc>
        <w:tc>
          <w:tcPr>
            <w:tcW w:w="582" w:type="pct"/>
            <w:noWrap w:val="0"/>
            <w:vAlign w:val="center"/>
          </w:tcPr>
          <w:p w14:paraId="23C78CCC">
            <w:pPr>
              <w:pStyle w:val="9"/>
              <w:adjustRightInd w:val="0"/>
              <w:snapToGrid w:val="0"/>
              <w:spacing w:before="0" w:beforeAutospacing="0" w:after="0" w:afterAutospacing="0" w:line="240" w:lineRule="auto"/>
              <w:ind w:firstLine="0"/>
              <w:jc w:val="center"/>
              <w:rPr>
                <w:rFonts w:ascii="Times New Roman" w:hAnsi="Times New Roman"/>
                <w:sz w:val="21"/>
                <w:szCs w:val="21"/>
                <w:highlight w:val="none"/>
              </w:rPr>
            </w:pPr>
            <w:r>
              <w:rPr>
                <w:rFonts w:ascii="Times New Roman" w:hAnsi="Times New Roman"/>
                <w:sz w:val="21"/>
                <w:szCs w:val="21"/>
                <w:highlight w:val="none"/>
              </w:rPr>
              <w:t>数量</w:t>
            </w:r>
          </w:p>
        </w:tc>
        <w:tc>
          <w:tcPr>
            <w:tcW w:w="3540" w:type="pct"/>
            <w:noWrap w:val="0"/>
            <w:vAlign w:val="center"/>
          </w:tcPr>
          <w:p w14:paraId="7B42BC2F">
            <w:pPr>
              <w:pStyle w:val="9"/>
              <w:adjustRightInd w:val="0"/>
              <w:snapToGrid w:val="0"/>
              <w:spacing w:before="0" w:beforeAutospacing="0" w:after="0" w:afterAutospacing="0" w:line="240" w:lineRule="auto"/>
              <w:ind w:firstLine="0"/>
              <w:jc w:val="center"/>
              <w:rPr>
                <w:rFonts w:ascii="Times New Roman" w:hAnsi="Times New Roman"/>
                <w:sz w:val="21"/>
                <w:szCs w:val="21"/>
                <w:highlight w:val="none"/>
              </w:rPr>
            </w:pPr>
            <w:r>
              <w:rPr>
                <w:rFonts w:ascii="Times New Roman" w:hAnsi="Times New Roman"/>
                <w:sz w:val="21"/>
                <w:szCs w:val="21"/>
                <w:highlight w:val="none"/>
              </w:rPr>
              <w:t>资格要求</w:t>
            </w:r>
          </w:p>
        </w:tc>
      </w:tr>
      <w:tr w14:paraId="018D5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4" w:hRule="atLeast"/>
          <w:jc w:val="center"/>
        </w:trPr>
        <w:tc>
          <w:tcPr>
            <w:tcW w:w="877" w:type="pct"/>
            <w:noWrap w:val="0"/>
            <w:vAlign w:val="center"/>
          </w:tcPr>
          <w:p w14:paraId="4A1957AE">
            <w:pPr>
              <w:adjustRightInd w:val="0"/>
              <w:snapToGrid w:val="0"/>
              <w:jc w:val="center"/>
              <w:rPr>
                <w:sz w:val="21"/>
                <w:szCs w:val="21"/>
                <w:highlight w:val="none"/>
              </w:rPr>
            </w:pPr>
            <w:r>
              <w:rPr>
                <w:rFonts w:hint="eastAsia"/>
                <w:sz w:val="21"/>
                <w:szCs w:val="21"/>
                <w:highlight w:val="none"/>
              </w:rPr>
              <w:t>项目负责人</w:t>
            </w:r>
          </w:p>
        </w:tc>
        <w:tc>
          <w:tcPr>
            <w:tcW w:w="582" w:type="pct"/>
            <w:noWrap w:val="0"/>
            <w:vAlign w:val="center"/>
          </w:tcPr>
          <w:p w14:paraId="320DD34B">
            <w:pPr>
              <w:adjustRightInd w:val="0"/>
              <w:snapToGrid w:val="0"/>
              <w:jc w:val="center"/>
              <w:rPr>
                <w:sz w:val="21"/>
                <w:szCs w:val="21"/>
                <w:highlight w:val="none"/>
              </w:rPr>
            </w:pPr>
            <w:r>
              <w:rPr>
                <w:sz w:val="21"/>
                <w:szCs w:val="21"/>
                <w:highlight w:val="none"/>
              </w:rPr>
              <w:t>1</w:t>
            </w:r>
          </w:p>
        </w:tc>
        <w:tc>
          <w:tcPr>
            <w:tcW w:w="3540" w:type="pct"/>
            <w:noWrap w:val="0"/>
            <w:vAlign w:val="center"/>
          </w:tcPr>
          <w:p w14:paraId="2D8FA830">
            <w:pPr>
              <w:adjustRightInd w:val="0"/>
              <w:snapToGrid w:val="0"/>
              <w:rPr>
                <w:rFonts w:hint="eastAsia"/>
                <w:sz w:val="21"/>
                <w:szCs w:val="21"/>
                <w:highlight w:val="none"/>
              </w:rPr>
            </w:pPr>
            <w:r>
              <w:rPr>
                <w:rFonts w:hint="eastAsia"/>
                <w:sz w:val="21"/>
                <w:szCs w:val="21"/>
                <w:highlight w:val="none"/>
              </w:rPr>
              <w:t>注册会计师，且注册单位名称须与投标人名称一致。</w:t>
            </w:r>
          </w:p>
          <w:p w14:paraId="0E4C2651">
            <w:pPr>
              <w:adjustRightInd w:val="0"/>
              <w:snapToGrid w:val="0"/>
              <w:rPr>
                <w:sz w:val="21"/>
                <w:szCs w:val="21"/>
                <w:highlight w:val="none"/>
              </w:rPr>
            </w:pPr>
            <w:r>
              <w:rPr>
                <w:rFonts w:hint="eastAsia"/>
                <w:sz w:val="21"/>
                <w:szCs w:val="21"/>
                <w:highlight w:val="none"/>
              </w:rPr>
              <w:t>近</w:t>
            </w:r>
            <w:r>
              <w:rPr>
                <w:rFonts w:hint="eastAsia"/>
                <w:sz w:val="21"/>
                <w:szCs w:val="21"/>
                <w:highlight w:val="none"/>
                <w:lang w:val="en-US" w:eastAsia="zh-CN"/>
              </w:rPr>
              <w:t>3</w:t>
            </w:r>
            <w:r>
              <w:rPr>
                <w:rFonts w:hint="eastAsia"/>
                <w:sz w:val="21"/>
                <w:szCs w:val="21"/>
                <w:highlight w:val="none"/>
              </w:rPr>
              <w:t>年（20</w:t>
            </w:r>
            <w:r>
              <w:rPr>
                <w:rFonts w:hint="eastAsia"/>
                <w:sz w:val="21"/>
                <w:szCs w:val="21"/>
                <w:highlight w:val="none"/>
                <w:lang w:val="en-US" w:eastAsia="zh-CN"/>
              </w:rPr>
              <w:t>22</w:t>
            </w:r>
            <w:r>
              <w:rPr>
                <w:rFonts w:hint="eastAsia"/>
                <w:sz w:val="21"/>
                <w:szCs w:val="21"/>
                <w:highlight w:val="none"/>
              </w:rPr>
              <w:t>年</w:t>
            </w:r>
            <w:r>
              <w:rPr>
                <w:rFonts w:hint="eastAsia"/>
                <w:sz w:val="21"/>
                <w:szCs w:val="21"/>
                <w:highlight w:val="none"/>
                <w:lang w:val="en-US" w:eastAsia="zh-CN"/>
              </w:rPr>
              <w:t>8月</w:t>
            </w:r>
            <w:r>
              <w:rPr>
                <w:rFonts w:hint="eastAsia"/>
                <w:sz w:val="21"/>
                <w:szCs w:val="21"/>
                <w:highlight w:val="none"/>
              </w:rPr>
              <w:t>1日至投标截止时间，以合同签订时间为准），至少担任过1项企业内部控制体系建设咨询服务或内部控制监督评价项目的项目负责人。</w:t>
            </w:r>
          </w:p>
        </w:tc>
      </w:tr>
    </w:tbl>
    <w:p w14:paraId="476E436C">
      <w:pPr>
        <w:ind w:firstLine="420" w:firstLineChars="200"/>
        <w:rPr>
          <w:sz w:val="21"/>
          <w:szCs w:val="21"/>
          <w:highlight w:val="none"/>
        </w:rPr>
      </w:pPr>
    </w:p>
    <w:p w14:paraId="1E2BDA96">
      <w:pPr>
        <w:jc w:val="center"/>
        <w:rPr>
          <w:rFonts w:hint="eastAsia" w:ascii="宋体" w:hAnsi="宋体"/>
          <w:b/>
          <w:sz w:val="24"/>
          <w:szCs w:val="24"/>
          <w:highlight w:val="none"/>
        </w:rPr>
      </w:pPr>
      <w:r>
        <w:rPr>
          <w:highlight w:val="none"/>
        </w:rPr>
        <w:tab/>
      </w:r>
      <w:r>
        <w:rPr>
          <w:rFonts w:hint="eastAsia" w:ascii="宋体" w:hAnsi="宋体"/>
          <w:b/>
          <w:sz w:val="24"/>
          <w:szCs w:val="24"/>
          <w:highlight w:val="none"/>
        </w:rPr>
        <w:t>附录5  资格审查条件（其他人员最低要求）</w:t>
      </w:r>
    </w:p>
    <w:p w14:paraId="17E4547B">
      <w:pPr>
        <w:jc w:val="center"/>
        <w:rPr>
          <w:rFonts w:hint="eastAsia" w:ascii="宋体" w:hAnsi="宋体"/>
          <w:b/>
          <w:sz w:val="24"/>
          <w:szCs w:val="24"/>
          <w:highlight w:val="none"/>
        </w:rPr>
      </w:pPr>
    </w:p>
    <w:tbl>
      <w:tblPr>
        <w:tblStyle w:val="10"/>
        <w:tblW w:w="92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050"/>
        <w:gridCol w:w="6572"/>
      </w:tblGrid>
      <w:tr w14:paraId="1E62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87" w:type="dxa"/>
            <w:noWrap w:val="0"/>
            <w:vAlign w:val="center"/>
          </w:tcPr>
          <w:p w14:paraId="3C0761F2">
            <w:pPr>
              <w:jc w:val="center"/>
              <w:rPr>
                <w:rFonts w:hint="eastAsia" w:ascii="宋体" w:hAnsi="宋体"/>
                <w:sz w:val="21"/>
                <w:szCs w:val="21"/>
                <w:highlight w:val="none"/>
              </w:rPr>
            </w:pPr>
            <w:r>
              <w:rPr>
                <w:rFonts w:hint="eastAsia" w:ascii="宋体" w:hAnsi="宋体"/>
                <w:sz w:val="21"/>
                <w:szCs w:val="21"/>
                <w:highlight w:val="none"/>
              </w:rPr>
              <w:t>人员</w:t>
            </w:r>
          </w:p>
        </w:tc>
        <w:tc>
          <w:tcPr>
            <w:tcW w:w="1050" w:type="dxa"/>
            <w:noWrap w:val="0"/>
            <w:vAlign w:val="center"/>
          </w:tcPr>
          <w:p w14:paraId="0D70308F">
            <w:pPr>
              <w:jc w:val="center"/>
              <w:rPr>
                <w:rFonts w:hint="eastAsia" w:ascii="宋体" w:hAnsi="宋体"/>
                <w:sz w:val="21"/>
                <w:szCs w:val="21"/>
                <w:highlight w:val="none"/>
              </w:rPr>
            </w:pPr>
            <w:r>
              <w:rPr>
                <w:rFonts w:hint="eastAsia" w:ascii="宋体" w:hAnsi="宋体"/>
                <w:sz w:val="21"/>
                <w:szCs w:val="21"/>
                <w:highlight w:val="none"/>
              </w:rPr>
              <w:t>数量</w:t>
            </w:r>
          </w:p>
        </w:tc>
        <w:tc>
          <w:tcPr>
            <w:tcW w:w="6572" w:type="dxa"/>
            <w:noWrap w:val="0"/>
            <w:vAlign w:val="center"/>
          </w:tcPr>
          <w:p w14:paraId="191F4082">
            <w:pPr>
              <w:jc w:val="center"/>
              <w:rPr>
                <w:rFonts w:hint="eastAsia" w:ascii="宋体" w:hAnsi="宋体"/>
                <w:sz w:val="21"/>
                <w:szCs w:val="21"/>
                <w:highlight w:val="none"/>
              </w:rPr>
            </w:pPr>
            <w:r>
              <w:rPr>
                <w:rFonts w:hint="eastAsia" w:ascii="宋体" w:hAnsi="宋体"/>
                <w:sz w:val="21"/>
                <w:szCs w:val="21"/>
                <w:highlight w:val="none"/>
              </w:rPr>
              <w:t>资格要求</w:t>
            </w:r>
          </w:p>
        </w:tc>
      </w:tr>
      <w:tr w14:paraId="1434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87" w:type="dxa"/>
            <w:noWrap w:val="0"/>
            <w:vAlign w:val="center"/>
          </w:tcPr>
          <w:p w14:paraId="409E8152">
            <w:pPr>
              <w:jc w:val="center"/>
              <w:rPr>
                <w:rFonts w:hint="eastAsia" w:ascii="宋体" w:hAnsi="宋体"/>
                <w:sz w:val="21"/>
                <w:szCs w:val="21"/>
                <w:highlight w:val="none"/>
              </w:rPr>
            </w:pPr>
            <w:r>
              <w:rPr>
                <w:rFonts w:hint="eastAsia" w:ascii="宋体" w:hAnsi="宋体"/>
                <w:sz w:val="21"/>
                <w:szCs w:val="21"/>
                <w:highlight w:val="none"/>
              </w:rPr>
              <w:t>其他人员</w:t>
            </w:r>
          </w:p>
        </w:tc>
        <w:tc>
          <w:tcPr>
            <w:tcW w:w="1050" w:type="dxa"/>
            <w:noWrap w:val="0"/>
            <w:vAlign w:val="center"/>
          </w:tcPr>
          <w:p w14:paraId="70FD18BF">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14</w:t>
            </w:r>
          </w:p>
        </w:tc>
        <w:tc>
          <w:tcPr>
            <w:tcW w:w="6572" w:type="dxa"/>
            <w:noWrap w:val="0"/>
            <w:vAlign w:val="center"/>
          </w:tcPr>
          <w:p w14:paraId="383E8AED">
            <w:pPr>
              <w:spacing w:line="360" w:lineRule="exact"/>
              <w:rPr>
                <w:rFonts w:hint="eastAsia"/>
                <w:sz w:val="21"/>
                <w:szCs w:val="21"/>
                <w:highlight w:val="none"/>
                <w:lang w:eastAsia="zh-CN"/>
              </w:rPr>
            </w:pPr>
            <w:r>
              <w:rPr>
                <w:rFonts w:hint="eastAsia" w:ascii="宋体" w:hAnsi="宋体"/>
                <w:sz w:val="21"/>
                <w:szCs w:val="21"/>
                <w:highlight w:val="none"/>
              </w:rPr>
              <w:t>其中</w:t>
            </w:r>
            <w:r>
              <w:rPr>
                <w:rFonts w:hint="eastAsia" w:ascii="宋体" w:hAnsi="宋体"/>
                <w:sz w:val="21"/>
                <w:szCs w:val="21"/>
                <w:highlight w:val="none"/>
                <w:lang w:val="en-US" w:eastAsia="zh-CN"/>
              </w:rPr>
              <w:t>至少</w:t>
            </w:r>
            <w:r>
              <w:rPr>
                <w:rFonts w:hint="eastAsia" w:ascii="宋体" w:hAnsi="宋体"/>
                <w:sz w:val="21"/>
                <w:szCs w:val="21"/>
                <w:highlight w:val="none"/>
              </w:rPr>
              <w:t>5</w:t>
            </w:r>
            <w:r>
              <w:rPr>
                <w:rFonts w:hint="eastAsia" w:ascii="宋体" w:hAnsi="宋体"/>
                <w:sz w:val="21"/>
                <w:szCs w:val="21"/>
                <w:highlight w:val="none"/>
                <w:lang w:val="en-US" w:eastAsia="zh-CN"/>
              </w:rPr>
              <w:t>人持有</w:t>
            </w:r>
            <w:r>
              <w:rPr>
                <w:rFonts w:hint="eastAsia" w:ascii="宋体" w:hAnsi="宋体"/>
                <w:sz w:val="21"/>
                <w:szCs w:val="21"/>
                <w:highlight w:val="none"/>
              </w:rPr>
              <w:t>高级会计师</w:t>
            </w:r>
            <w:r>
              <w:rPr>
                <w:rFonts w:hint="eastAsia" w:ascii="宋体" w:hAnsi="宋体"/>
                <w:sz w:val="21"/>
                <w:szCs w:val="21"/>
                <w:highlight w:val="none"/>
                <w:lang w:val="en-US" w:eastAsia="zh-CN"/>
              </w:rPr>
              <w:t>证书</w:t>
            </w:r>
            <w:r>
              <w:rPr>
                <w:rFonts w:hint="eastAsia" w:ascii="宋体" w:hAnsi="宋体"/>
                <w:sz w:val="21"/>
                <w:szCs w:val="21"/>
                <w:highlight w:val="none"/>
                <w:lang w:eastAsia="zh-CN"/>
              </w:rPr>
              <w:t>，</w:t>
            </w:r>
            <w:r>
              <w:rPr>
                <w:rFonts w:hint="eastAsia" w:ascii="宋体" w:hAnsi="宋体"/>
                <w:sz w:val="21"/>
                <w:szCs w:val="21"/>
                <w:highlight w:val="none"/>
                <w:lang w:val="en-US" w:eastAsia="zh-CN"/>
              </w:rPr>
              <w:t>至少5人持有</w:t>
            </w:r>
            <w:r>
              <w:rPr>
                <w:rFonts w:hint="eastAsia" w:ascii="宋体" w:hAnsi="宋体"/>
                <w:sz w:val="21"/>
                <w:szCs w:val="21"/>
                <w:highlight w:val="none"/>
              </w:rPr>
              <w:t>注册会计师</w:t>
            </w:r>
            <w:r>
              <w:rPr>
                <w:rFonts w:hint="eastAsia" w:ascii="宋体" w:hAnsi="宋体"/>
                <w:sz w:val="21"/>
                <w:szCs w:val="21"/>
                <w:highlight w:val="none"/>
                <w:lang w:val="en-US" w:eastAsia="zh-CN"/>
              </w:rPr>
              <w:t>证书</w:t>
            </w:r>
            <w:r>
              <w:rPr>
                <w:rFonts w:hint="eastAsia" w:ascii="宋体" w:hAnsi="宋体"/>
                <w:sz w:val="21"/>
                <w:szCs w:val="21"/>
                <w:highlight w:val="none"/>
                <w:lang w:eastAsia="zh-CN"/>
              </w:rPr>
              <w:t>（</w:t>
            </w:r>
            <w:r>
              <w:rPr>
                <w:rFonts w:hint="eastAsia"/>
                <w:sz w:val="21"/>
                <w:szCs w:val="21"/>
                <w:highlight w:val="none"/>
              </w:rPr>
              <w:t>注册单位名称须与投标人名称一致</w:t>
            </w:r>
            <w:r>
              <w:rPr>
                <w:rFonts w:hint="eastAsia"/>
                <w:sz w:val="21"/>
                <w:szCs w:val="21"/>
                <w:highlight w:val="none"/>
                <w:lang w:eastAsia="zh-CN"/>
              </w:rPr>
              <w:t>）。</w:t>
            </w:r>
          </w:p>
          <w:p w14:paraId="722755C2">
            <w:pPr>
              <w:spacing w:line="360" w:lineRule="exact"/>
              <w:rPr>
                <w:rFonts w:hint="eastAsia"/>
                <w:sz w:val="21"/>
                <w:szCs w:val="21"/>
                <w:highlight w:val="none"/>
                <w:lang w:eastAsia="zh-CN"/>
              </w:rPr>
            </w:pPr>
            <w:r>
              <w:rPr>
                <w:rFonts w:hint="eastAsia"/>
                <w:sz w:val="21"/>
                <w:szCs w:val="21"/>
                <w:highlight w:val="none"/>
                <w:lang w:eastAsia="zh-CN"/>
              </w:rPr>
              <w:t>注：高级会计师、注册会计师可为同一人。</w:t>
            </w:r>
          </w:p>
        </w:tc>
      </w:tr>
    </w:tbl>
    <w:p w14:paraId="7C65EA84">
      <w:pPr>
        <w:tabs>
          <w:tab w:val="left" w:pos="4080"/>
        </w:tabs>
        <w:spacing w:line="360" w:lineRule="auto"/>
        <w:rPr>
          <w:highlight w:val="none"/>
        </w:rPr>
      </w:pPr>
    </w:p>
    <w:p w14:paraId="45AC196D">
      <w:pPr>
        <w:spacing w:line="360" w:lineRule="auto"/>
        <w:rPr>
          <w:b/>
          <w:sz w:val="24"/>
          <w:highlight w:val="none"/>
        </w:rPr>
      </w:pPr>
      <w:r>
        <w:rPr>
          <w:highlight w:val="none"/>
        </w:rPr>
        <w:br w:type="page"/>
      </w:r>
      <w:r>
        <w:rPr>
          <w:b/>
          <w:sz w:val="24"/>
          <w:highlight w:val="none"/>
        </w:rPr>
        <w:t>附件2：评标办法</w:t>
      </w:r>
    </w:p>
    <w:p w14:paraId="43A24B04">
      <w:pPr>
        <w:pStyle w:val="25"/>
        <w:spacing w:line="276" w:lineRule="auto"/>
        <w:rPr>
          <w:rFonts w:ascii="Times New Roman" w:hAnsi="Times New Roman" w:eastAsia="宋体"/>
          <w:sz w:val="30"/>
          <w:szCs w:val="30"/>
          <w:highlight w:val="none"/>
        </w:rPr>
      </w:pPr>
      <w:bookmarkStart w:id="5" w:name="_Hlk93740604"/>
      <w:bookmarkStart w:id="6" w:name="_Toc459307890"/>
      <w:bookmarkStart w:id="7" w:name="_Toc502992691"/>
      <w:bookmarkStart w:id="8" w:name="_Toc514238202"/>
      <w:bookmarkStart w:id="9" w:name="_Toc450319202"/>
      <w:bookmarkStart w:id="10" w:name="_Toc509660966"/>
      <w:bookmarkStart w:id="11" w:name="_Toc509659998"/>
      <w:bookmarkStart w:id="12" w:name="_Toc444088432"/>
      <w:bookmarkStart w:id="13" w:name="_Toc445382083"/>
      <w:bookmarkStart w:id="14" w:name="_Toc444271617"/>
      <w:bookmarkStart w:id="15" w:name="_Toc445222503"/>
      <w:r>
        <w:rPr>
          <w:rFonts w:ascii="Times New Roman" w:hAnsi="Times New Roman" w:eastAsia="宋体"/>
          <w:sz w:val="30"/>
          <w:szCs w:val="30"/>
          <w:highlight w:val="none"/>
        </w:rPr>
        <w:t>评标办法</w:t>
      </w:r>
      <w:bookmarkEnd w:id="5"/>
      <w:r>
        <w:rPr>
          <w:rFonts w:ascii="Times New Roman" w:hAnsi="Times New Roman" w:eastAsia="宋体"/>
          <w:sz w:val="30"/>
          <w:szCs w:val="30"/>
          <w:highlight w:val="none"/>
        </w:rPr>
        <w:t>（综合评估法）</w:t>
      </w:r>
      <w:bookmarkEnd w:id="6"/>
      <w:bookmarkEnd w:id="7"/>
      <w:bookmarkEnd w:id="8"/>
      <w:bookmarkEnd w:id="9"/>
      <w:bookmarkEnd w:id="10"/>
      <w:bookmarkEnd w:id="11"/>
    </w:p>
    <w:bookmarkEnd w:id="1"/>
    <w:bookmarkEnd w:id="12"/>
    <w:bookmarkEnd w:id="13"/>
    <w:bookmarkEnd w:id="14"/>
    <w:bookmarkEnd w:id="15"/>
    <w:p w14:paraId="32A70153">
      <w:pPr>
        <w:pStyle w:val="25"/>
        <w:spacing w:line="276" w:lineRule="auto"/>
        <w:jc w:val="both"/>
        <w:rPr>
          <w:rFonts w:ascii="Times New Roman" w:hAnsi="Times New Roman" w:eastAsia="宋体"/>
          <w:sz w:val="24"/>
          <w:szCs w:val="30"/>
          <w:highlight w:val="none"/>
        </w:rPr>
      </w:pPr>
      <w:r>
        <w:rPr>
          <w:rFonts w:ascii="Times New Roman" w:hAnsi="Times New Roman" w:eastAsia="宋体"/>
          <w:sz w:val="24"/>
          <w:szCs w:val="30"/>
          <w:highlight w:val="none"/>
        </w:rPr>
        <w:t>评标办法前附表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7250"/>
      </w:tblGrid>
      <w:tr w14:paraId="36A0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959" w:type="dxa"/>
            <w:noWrap w:val="0"/>
            <w:vAlign w:val="center"/>
          </w:tcPr>
          <w:p w14:paraId="36993FEC">
            <w:pPr>
              <w:snapToGrid w:val="0"/>
              <w:spacing w:line="320" w:lineRule="exact"/>
              <w:jc w:val="center"/>
              <w:rPr>
                <w:rFonts w:ascii="宋体" w:hAnsi="宋体"/>
                <w:sz w:val="21"/>
                <w:szCs w:val="21"/>
                <w:highlight w:val="none"/>
              </w:rPr>
            </w:pPr>
            <w:r>
              <w:rPr>
                <w:rFonts w:ascii="宋体" w:hAnsi="宋体"/>
                <w:sz w:val="21"/>
                <w:szCs w:val="21"/>
                <w:highlight w:val="none"/>
              </w:rPr>
              <w:t>条款号</w:t>
            </w:r>
          </w:p>
        </w:tc>
        <w:tc>
          <w:tcPr>
            <w:tcW w:w="1134" w:type="dxa"/>
            <w:noWrap w:val="0"/>
            <w:vAlign w:val="center"/>
          </w:tcPr>
          <w:p w14:paraId="421B8915">
            <w:pPr>
              <w:snapToGrid w:val="0"/>
              <w:spacing w:line="320" w:lineRule="exact"/>
              <w:jc w:val="center"/>
              <w:rPr>
                <w:rFonts w:ascii="宋体" w:hAnsi="宋体"/>
                <w:sz w:val="21"/>
                <w:szCs w:val="21"/>
                <w:highlight w:val="none"/>
              </w:rPr>
            </w:pPr>
            <w:r>
              <w:rPr>
                <w:rFonts w:ascii="宋体" w:hAnsi="宋体"/>
                <w:sz w:val="21"/>
                <w:szCs w:val="21"/>
                <w:highlight w:val="none"/>
              </w:rPr>
              <w:t>条款名称</w:t>
            </w:r>
          </w:p>
        </w:tc>
        <w:tc>
          <w:tcPr>
            <w:tcW w:w="7250" w:type="dxa"/>
            <w:noWrap w:val="0"/>
            <w:vAlign w:val="center"/>
          </w:tcPr>
          <w:p w14:paraId="40C0254E">
            <w:pPr>
              <w:snapToGrid w:val="0"/>
              <w:spacing w:line="320" w:lineRule="exact"/>
              <w:jc w:val="center"/>
              <w:rPr>
                <w:rFonts w:ascii="宋体" w:hAnsi="宋体"/>
                <w:sz w:val="21"/>
                <w:szCs w:val="21"/>
                <w:highlight w:val="none"/>
              </w:rPr>
            </w:pPr>
            <w:r>
              <w:rPr>
                <w:rFonts w:ascii="宋体" w:hAnsi="宋体"/>
                <w:sz w:val="21"/>
                <w:szCs w:val="21"/>
                <w:highlight w:val="none"/>
              </w:rPr>
              <w:t>评审因素与评审标准</w:t>
            </w:r>
          </w:p>
        </w:tc>
      </w:tr>
      <w:tr w14:paraId="3B09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59" w:type="dxa"/>
            <w:noWrap w:val="0"/>
            <w:vAlign w:val="center"/>
          </w:tcPr>
          <w:p w14:paraId="1CF3C1E8">
            <w:pPr>
              <w:snapToGrid w:val="0"/>
              <w:spacing w:line="320" w:lineRule="exact"/>
              <w:jc w:val="center"/>
              <w:rPr>
                <w:rFonts w:ascii="宋体" w:hAnsi="宋体"/>
                <w:sz w:val="21"/>
                <w:szCs w:val="21"/>
                <w:highlight w:val="none"/>
              </w:rPr>
            </w:pPr>
            <w:r>
              <w:rPr>
                <w:rFonts w:ascii="宋体" w:hAnsi="宋体"/>
                <w:sz w:val="21"/>
                <w:szCs w:val="21"/>
                <w:highlight w:val="none"/>
              </w:rPr>
              <w:t>1</w:t>
            </w:r>
          </w:p>
        </w:tc>
        <w:tc>
          <w:tcPr>
            <w:tcW w:w="1134" w:type="dxa"/>
            <w:noWrap w:val="0"/>
            <w:vAlign w:val="center"/>
          </w:tcPr>
          <w:p w14:paraId="2F1198D5">
            <w:pPr>
              <w:snapToGrid w:val="0"/>
              <w:spacing w:line="320" w:lineRule="exact"/>
              <w:jc w:val="center"/>
              <w:rPr>
                <w:rFonts w:ascii="宋体" w:hAnsi="宋体"/>
                <w:sz w:val="21"/>
                <w:szCs w:val="21"/>
                <w:highlight w:val="none"/>
              </w:rPr>
            </w:pPr>
            <w:r>
              <w:rPr>
                <w:rFonts w:ascii="宋体" w:hAnsi="宋体"/>
                <w:sz w:val="21"/>
                <w:szCs w:val="21"/>
                <w:highlight w:val="none"/>
              </w:rPr>
              <w:t>评标办法</w:t>
            </w:r>
          </w:p>
        </w:tc>
        <w:tc>
          <w:tcPr>
            <w:tcW w:w="7250" w:type="dxa"/>
            <w:noWrap w:val="0"/>
            <w:vAlign w:val="center"/>
          </w:tcPr>
          <w:p w14:paraId="57A12990">
            <w:pPr>
              <w:snapToGrid w:val="0"/>
              <w:spacing w:line="320" w:lineRule="exact"/>
              <w:ind w:firstLine="404" w:firstLineChars="200"/>
              <w:jc w:val="left"/>
              <w:rPr>
                <w:rFonts w:ascii="宋体" w:hAnsi="宋体"/>
                <w:spacing w:val="-4"/>
                <w:sz w:val="21"/>
                <w:szCs w:val="21"/>
                <w:highlight w:val="none"/>
              </w:rPr>
            </w:pPr>
            <w:r>
              <w:rPr>
                <w:rFonts w:ascii="宋体" w:hAnsi="宋体"/>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14:paraId="439061EF">
            <w:pPr>
              <w:snapToGrid w:val="0"/>
              <w:spacing w:line="320" w:lineRule="exact"/>
              <w:ind w:left="273" w:leftChars="97" w:hanging="1"/>
              <w:jc w:val="left"/>
              <w:rPr>
                <w:rFonts w:ascii="宋体" w:hAnsi="宋体"/>
                <w:spacing w:val="-4"/>
                <w:sz w:val="21"/>
                <w:szCs w:val="21"/>
                <w:highlight w:val="none"/>
              </w:rPr>
            </w:pPr>
            <w:r>
              <w:rPr>
                <w:rFonts w:ascii="宋体" w:hAnsi="宋体"/>
                <w:spacing w:val="-4"/>
                <w:sz w:val="21"/>
                <w:szCs w:val="21"/>
                <w:highlight w:val="none"/>
              </w:rPr>
              <w:t>（1）评标价低的投标人优先；</w:t>
            </w:r>
          </w:p>
          <w:p w14:paraId="1B89EE49">
            <w:pPr>
              <w:snapToGrid w:val="0"/>
              <w:spacing w:line="320" w:lineRule="exact"/>
              <w:ind w:left="273" w:leftChars="97" w:hanging="1"/>
              <w:jc w:val="left"/>
              <w:rPr>
                <w:rFonts w:ascii="宋体" w:hAnsi="宋体"/>
                <w:spacing w:val="-4"/>
                <w:sz w:val="21"/>
                <w:szCs w:val="21"/>
                <w:highlight w:val="none"/>
              </w:rPr>
            </w:pPr>
            <w:r>
              <w:rPr>
                <w:rFonts w:ascii="宋体" w:hAnsi="宋体"/>
                <w:spacing w:val="-4"/>
                <w:sz w:val="21"/>
                <w:szCs w:val="21"/>
                <w:highlight w:val="none"/>
              </w:rPr>
              <w:t>（2）实施方案得分较高的投标人优先；</w:t>
            </w:r>
          </w:p>
          <w:p w14:paraId="420735DF">
            <w:pPr>
              <w:snapToGrid w:val="0"/>
              <w:spacing w:line="320" w:lineRule="exact"/>
              <w:ind w:firstLine="272"/>
              <w:jc w:val="left"/>
              <w:rPr>
                <w:rFonts w:hint="eastAsia" w:ascii="宋体" w:hAnsi="宋体"/>
                <w:sz w:val="21"/>
                <w:szCs w:val="21"/>
                <w:highlight w:val="none"/>
              </w:rPr>
            </w:pPr>
            <w:r>
              <w:rPr>
                <w:rFonts w:ascii="宋体" w:hAnsi="宋体"/>
                <w:spacing w:val="-4"/>
                <w:sz w:val="21"/>
                <w:szCs w:val="21"/>
                <w:highlight w:val="none"/>
              </w:rPr>
              <w:t>（3）投标人满足资格审查条件（业绩最低</w:t>
            </w:r>
            <w:r>
              <w:rPr>
                <w:rFonts w:hint="eastAsia" w:ascii="宋体" w:hAnsi="宋体"/>
                <w:spacing w:val="-4"/>
                <w:sz w:val="21"/>
                <w:szCs w:val="21"/>
                <w:highlight w:val="none"/>
              </w:rPr>
              <w:t>要求</w:t>
            </w:r>
            <w:r>
              <w:rPr>
                <w:rFonts w:ascii="宋体" w:hAnsi="宋体"/>
                <w:spacing w:val="-4"/>
                <w:sz w:val="21"/>
                <w:szCs w:val="21"/>
                <w:highlight w:val="none"/>
              </w:rPr>
              <w:t>）的业绩金额累计较高的优先。</w:t>
            </w:r>
          </w:p>
        </w:tc>
      </w:tr>
      <w:tr w14:paraId="7F3E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59" w:type="dxa"/>
            <w:noWrap w:val="0"/>
            <w:vAlign w:val="center"/>
          </w:tcPr>
          <w:p w14:paraId="4D9161C6">
            <w:pPr>
              <w:snapToGrid w:val="0"/>
              <w:spacing w:line="320" w:lineRule="exact"/>
              <w:jc w:val="center"/>
              <w:rPr>
                <w:rFonts w:ascii="宋体" w:hAnsi="宋体"/>
                <w:sz w:val="21"/>
                <w:szCs w:val="21"/>
                <w:highlight w:val="none"/>
              </w:rPr>
            </w:pPr>
            <w:r>
              <w:rPr>
                <w:rFonts w:ascii="宋体" w:hAnsi="宋体"/>
                <w:sz w:val="21"/>
                <w:szCs w:val="21"/>
                <w:highlight w:val="none"/>
              </w:rPr>
              <w:t>2.1.1</w:t>
            </w:r>
          </w:p>
          <w:p w14:paraId="580280D4">
            <w:pPr>
              <w:snapToGrid w:val="0"/>
              <w:spacing w:line="320" w:lineRule="exact"/>
              <w:jc w:val="center"/>
              <w:rPr>
                <w:rFonts w:ascii="宋体" w:hAnsi="宋体"/>
                <w:sz w:val="21"/>
                <w:szCs w:val="21"/>
                <w:highlight w:val="none"/>
              </w:rPr>
            </w:pPr>
            <w:r>
              <w:rPr>
                <w:rFonts w:ascii="宋体" w:hAnsi="宋体"/>
                <w:sz w:val="21"/>
                <w:szCs w:val="21"/>
                <w:highlight w:val="none"/>
              </w:rPr>
              <w:t>2.1.3</w:t>
            </w:r>
          </w:p>
        </w:tc>
        <w:tc>
          <w:tcPr>
            <w:tcW w:w="1134" w:type="dxa"/>
            <w:noWrap w:val="0"/>
            <w:vAlign w:val="center"/>
          </w:tcPr>
          <w:p w14:paraId="72899D9E">
            <w:pPr>
              <w:snapToGrid w:val="0"/>
              <w:spacing w:line="320" w:lineRule="exact"/>
              <w:jc w:val="center"/>
              <w:rPr>
                <w:rFonts w:ascii="宋体" w:hAnsi="宋体"/>
                <w:sz w:val="21"/>
                <w:szCs w:val="21"/>
                <w:highlight w:val="none"/>
              </w:rPr>
            </w:pPr>
            <w:r>
              <w:rPr>
                <w:rFonts w:ascii="宋体" w:hAnsi="宋体"/>
                <w:sz w:val="21"/>
                <w:szCs w:val="21"/>
                <w:highlight w:val="none"/>
              </w:rPr>
              <w:t>形式评审与响应性评审标准</w:t>
            </w:r>
          </w:p>
        </w:tc>
        <w:tc>
          <w:tcPr>
            <w:tcW w:w="7250" w:type="dxa"/>
            <w:noWrap w:val="0"/>
            <w:vAlign w:val="top"/>
          </w:tcPr>
          <w:p w14:paraId="6A7517FC">
            <w:pPr>
              <w:tabs>
                <w:tab w:val="left" w:pos="3060"/>
              </w:tabs>
              <w:snapToGrid w:val="0"/>
              <w:spacing w:line="320" w:lineRule="exact"/>
              <w:rPr>
                <w:rFonts w:ascii="宋体" w:hAnsi="宋体"/>
                <w:b/>
                <w:sz w:val="21"/>
                <w:szCs w:val="21"/>
                <w:highlight w:val="none"/>
              </w:rPr>
            </w:pPr>
            <w:r>
              <w:rPr>
                <w:rFonts w:ascii="宋体" w:hAnsi="宋体"/>
                <w:b/>
                <w:sz w:val="21"/>
                <w:szCs w:val="21"/>
                <w:highlight w:val="none"/>
              </w:rPr>
              <w:t>第一个信封（商务及技术文件）评审标准：</w:t>
            </w:r>
          </w:p>
          <w:p w14:paraId="5D168867">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（1）投标文件按照招标文件规定的格式、内容填写，字迹清晰可辨：</w:t>
            </w:r>
          </w:p>
          <w:p w14:paraId="5C4ED3C9">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a.投标函按招标文件规定填报了项目名称</w:t>
            </w:r>
            <w:r>
              <w:rPr>
                <w:rFonts w:hint="eastAsia" w:ascii="宋体" w:hAnsi="宋体"/>
                <w:bCs/>
                <w:sz w:val="21"/>
                <w:szCs w:val="21"/>
                <w:highlight w:val="none"/>
              </w:rPr>
              <w:t>、</w:t>
            </w:r>
            <w:r>
              <w:rPr>
                <w:rFonts w:ascii="宋体" w:hAnsi="宋体"/>
                <w:bCs/>
                <w:sz w:val="21"/>
                <w:szCs w:val="21"/>
                <w:highlight w:val="none"/>
              </w:rPr>
              <w:t>补遗书编号（如有）、质量要求、服务期限</w:t>
            </w:r>
            <w:r>
              <w:rPr>
                <w:rFonts w:hint="eastAsia" w:ascii="宋体" w:hAnsi="宋体"/>
                <w:bCs/>
                <w:sz w:val="21"/>
                <w:szCs w:val="21"/>
                <w:highlight w:val="none"/>
              </w:rPr>
              <w:t>、</w:t>
            </w:r>
            <w:r>
              <w:rPr>
                <w:rFonts w:ascii="宋体" w:hAnsi="宋体"/>
                <w:sz w:val="21"/>
                <w:szCs w:val="21"/>
                <w:highlight w:val="none"/>
              </w:rPr>
              <w:t>项目负责人</w:t>
            </w:r>
            <w:r>
              <w:rPr>
                <w:rFonts w:hint="eastAsia" w:ascii="宋体" w:hAnsi="宋体"/>
                <w:sz w:val="21"/>
                <w:szCs w:val="21"/>
                <w:highlight w:val="none"/>
              </w:rPr>
              <w:t>信息</w:t>
            </w:r>
            <w:r>
              <w:rPr>
                <w:rFonts w:ascii="宋体" w:hAnsi="宋体"/>
                <w:bCs/>
                <w:sz w:val="21"/>
                <w:szCs w:val="21"/>
                <w:highlight w:val="none"/>
              </w:rPr>
              <w:t>；</w:t>
            </w:r>
          </w:p>
          <w:p w14:paraId="6493B3D2">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b.投标文件组成齐全完整，内容均按规定填写。</w:t>
            </w:r>
          </w:p>
          <w:p w14:paraId="469BEE61">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（2）投标文件上法定代表人或其授权代理人的签字、投标人的单位章盖章齐全，符合招标文件规定。</w:t>
            </w:r>
          </w:p>
          <w:p w14:paraId="65E41836">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（3）投标人按照招标文件的规定提供了投标保证金，并符合投标人须知前附表3.4.1项的相关规定。</w:t>
            </w:r>
          </w:p>
          <w:p w14:paraId="1641186A">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（4）投标人法定代表人授权委托代理人签署投标文件的，须提交授权委托书，</w:t>
            </w:r>
            <w:r>
              <w:rPr>
                <w:rFonts w:hint="eastAsia" w:ascii="宋体" w:hAnsi="宋体" w:cs="宋体"/>
                <w:color w:val="000000"/>
                <w:sz w:val="21"/>
                <w:szCs w:val="21"/>
                <w:highlight w:val="none"/>
              </w:rPr>
              <w:t>授权委托书符合招标文件规定</w:t>
            </w:r>
            <w:r>
              <w:rPr>
                <w:rFonts w:ascii="宋体" w:hAnsi="宋体"/>
                <w:sz w:val="21"/>
                <w:szCs w:val="21"/>
                <w:highlight w:val="none"/>
              </w:rPr>
              <w:t>。</w:t>
            </w:r>
          </w:p>
          <w:p w14:paraId="3DDE00D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（5）投标人法定代表人亲自签署投标文件的，提供了法定代表人身份证明，并符合招标文件的规定。</w:t>
            </w:r>
          </w:p>
          <w:p w14:paraId="411B79F2">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（6）投标人</w:t>
            </w:r>
            <w:r>
              <w:rPr>
                <w:rFonts w:hint="eastAsia" w:ascii="宋体" w:hAnsi="宋体"/>
                <w:sz w:val="21"/>
                <w:szCs w:val="21"/>
                <w:highlight w:val="none"/>
              </w:rPr>
              <w:t>未</w:t>
            </w:r>
            <w:r>
              <w:rPr>
                <w:rFonts w:ascii="宋体" w:hAnsi="宋体"/>
                <w:sz w:val="21"/>
                <w:szCs w:val="21"/>
                <w:highlight w:val="none"/>
              </w:rPr>
              <w:t>以联合体形式投标。</w:t>
            </w:r>
          </w:p>
          <w:p w14:paraId="7A116557">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（7）投标人</w:t>
            </w:r>
            <w:r>
              <w:rPr>
                <w:rFonts w:hint="eastAsia" w:ascii="宋体" w:hAnsi="宋体"/>
                <w:sz w:val="21"/>
                <w:szCs w:val="21"/>
                <w:highlight w:val="none"/>
                <w:lang w:val="en-US" w:eastAsia="zh-CN"/>
              </w:rPr>
              <w:t>未对本项目提出分包</w:t>
            </w:r>
            <w:r>
              <w:rPr>
                <w:rFonts w:ascii="宋体" w:hAnsi="宋体"/>
                <w:sz w:val="21"/>
                <w:szCs w:val="21"/>
                <w:highlight w:val="none"/>
              </w:rPr>
              <w:t>计划。</w:t>
            </w:r>
          </w:p>
          <w:p w14:paraId="4614D89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（8）</w:t>
            </w:r>
            <w:r>
              <w:rPr>
                <w:rFonts w:hint="eastAsia" w:ascii="宋体" w:hAnsi="宋体"/>
                <w:sz w:val="21"/>
                <w:szCs w:val="21"/>
                <w:highlight w:val="none"/>
              </w:rPr>
              <w:t>同一投标人未提交两个以上不同的投标文件</w:t>
            </w:r>
            <w:r>
              <w:rPr>
                <w:rFonts w:ascii="宋体" w:hAnsi="宋体"/>
                <w:sz w:val="21"/>
                <w:szCs w:val="21"/>
                <w:highlight w:val="none"/>
              </w:rPr>
              <w:t>。</w:t>
            </w:r>
          </w:p>
          <w:p w14:paraId="58B2E28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（9）投标文件中未出现有关投标报价的内容。</w:t>
            </w:r>
          </w:p>
          <w:p w14:paraId="5CF8122D">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（10）投标文件载明的招标项目完成期限未超过招标文件规定。</w:t>
            </w:r>
          </w:p>
          <w:p w14:paraId="147021FD">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（11）投标文件对招标文件的实质性要求和条件作出响应。</w:t>
            </w:r>
          </w:p>
          <w:p w14:paraId="7AFDD24E">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（12）权利义务符合招标文件规定：</w:t>
            </w:r>
          </w:p>
          <w:p w14:paraId="6CBB3F24">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a.投标人应接受招标文件规定的风险划分原则，未提出新的风险划分办法；</w:t>
            </w:r>
          </w:p>
          <w:p w14:paraId="65103FE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b.投标人未增加发包人的责任范围，或减少投标人义务；</w:t>
            </w:r>
          </w:p>
          <w:p w14:paraId="0F886E8A">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c.投标人未提出不同的支付办法；</w:t>
            </w:r>
          </w:p>
          <w:p w14:paraId="563570B5">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d.投标人对合同纠纷、事故处理办法未提出异议；</w:t>
            </w:r>
          </w:p>
          <w:p w14:paraId="51B05609">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e.投标人在投标活动中无欺诈行为；</w:t>
            </w:r>
          </w:p>
          <w:p w14:paraId="4D552386">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f.投标人未对合同条款有重要保留。</w:t>
            </w:r>
          </w:p>
          <w:p w14:paraId="7A32670A">
            <w:pPr>
              <w:tabs>
                <w:tab w:val="left" w:pos="3060"/>
              </w:tabs>
              <w:snapToGrid w:val="0"/>
              <w:spacing w:line="320" w:lineRule="exact"/>
              <w:rPr>
                <w:rFonts w:ascii="宋体" w:hAnsi="宋体"/>
                <w:b/>
                <w:sz w:val="21"/>
                <w:szCs w:val="21"/>
                <w:highlight w:val="none"/>
              </w:rPr>
            </w:pPr>
            <w:r>
              <w:rPr>
                <w:rFonts w:ascii="宋体" w:hAnsi="宋体"/>
                <w:b/>
                <w:sz w:val="21"/>
                <w:szCs w:val="21"/>
                <w:highlight w:val="none"/>
              </w:rPr>
              <w:t>第二个信封（报价文件）评审标准：</w:t>
            </w:r>
          </w:p>
          <w:p w14:paraId="49E7859D">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（1）投标文件按照招标文件规定的格式、内容填写，字迹清晰可辨，内容齐全完整。</w:t>
            </w:r>
          </w:p>
          <w:p w14:paraId="5A6C26AB">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a. 投标函按招标文件规定填报了项目名称</w:t>
            </w:r>
            <w:r>
              <w:rPr>
                <w:rFonts w:hint="eastAsia" w:ascii="宋体" w:hAnsi="宋体"/>
                <w:bCs/>
                <w:sz w:val="21"/>
                <w:szCs w:val="21"/>
                <w:highlight w:val="none"/>
              </w:rPr>
              <w:t>、</w:t>
            </w:r>
            <w:r>
              <w:rPr>
                <w:rFonts w:ascii="宋体" w:hAnsi="宋体"/>
                <w:bCs/>
                <w:sz w:val="21"/>
                <w:szCs w:val="21"/>
                <w:highlight w:val="none"/>
              </w:rPr>
              <w:t>补遗书编号（如有）、投标</w:t>
            </w:r>
            <w:r>
              <w:rPr>
                <w:rFonts w:hint="eastAsia" w:ascii="宋体" w:hAnsi="宋体"/>
                <w:bCs/>
                <w:sz w:val="21"/>
                <w:szCs w:val="21"/>
                <w:highlight w:val="none"/>
                <w:lang w:val="en-US" w:eastAsia="zh-CN"/>
              </w:rPr>
              <w:t>总</w:t>
            </w:r>
            <w:r>
              <w:rPr>
                <w:rFonts w:hint="eastAsia" w:ascii="宋体" w:hAnsi="宋体"/>
                <w:bCs/>
                <w:sz w:val="21"/>
                <w:szCs w:val="21"/>
                <w:highlight w:val="none"/>
              </w:rPr>
              <w:t>报</w:t>
            </w:r>
            <w:r>
              <w:rPr>
                <w:rFonts w:ascii="宋体" w:hAnsi="宋体"/>
                <w:bCs/>
                <w:sz w:val="21"/>
                <w:szCs w:val="21"/>
                <w:highlight w:val="none"/>
              </w:rPr>
              <w:t>价（包括大写金额和小写金额）；</w:t>
            </w:r>
          </w:p>
          <w:p w14:paraId="78670172">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b．投标文件组成齐全完整，内容均按规定填写。</w:t>
            </w:r>
          </w:p>
          <w:p w14:paraId="50E40637">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（2）投标文件上法定代表人或其授权代理人的签字、投标人的单位章盖章齐全，符合招标文件规定。</w:t>
            </w:r>
          </w:p>
          <w:p w14:paraId="44C67B2B">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（3）投标</w:t>
            </w:r>
            <w:r>
              <w:rPr>
                <w:rFonts w:hint="eastAsia" w:ascii="宋体" w:hAnsi="宋体"/>
                <w:bCs/>
                <w:sz w:val="21"/>
                <w:szCs w:val="21"/>
                <w:highlight w:val="none"/>
                <w:lang w:val="en-US" w:eastAsia="zh-CN"/>
              </w:rPr>
              <w:t>总</w:t>
            </w:r>
            <w:r>
              <w:rPr>
                <w:rFonts w:ascii="宋体" w:hAnsi="宋体"/>
                <w:bCs/>
                <w:sz w:val="21"/>
                <w:szCs w:val="21"/>
                <w:highlight w:val="none"/>
              </w:rPr>
              <w:t>报价未超过招标文件设定的最高投标限价。</w:t>
            </w:r>
          </w:p>
          <w:p w14:paraId="7B0DC2F4">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（4）投标</w:t>
            </w:r>
            <w:r>
              <w:rPr>
                <w:rFonts w:hint="eastAsia" w:ascii="宋体" w:hAnsi="宋体"/>
                <w:bCs/>
                <w:sz w:val="21"/>
                <w:szCs w:val="21"/>
                <w:highlight w:val="none"/>
                <w:lang w:val="en-US" w:eastAsia="zh-CN"/>
              </w:rPr>
              <w:t>总</w:t>
            </w:r>
            <w:r>
              <w:rPr>
                <w:rFonts w:ascii="宋体" w:hAnsi="宋体"/>
                <w:bCs/>
                <w:sz w:val="21"/>
                <w:szCs w:val="21"/>
                <w:highlight w:val="none"/>
              </w:rPr>
              <w:t>报价的大写金额能够确定具体数值。</w:t>
            </w:r>
          </w:p>
          <w:p w14:paraId="42D0956F">
            <w:pPr>
              <w:tabs>
                <w:tab w:val="left" w:pos="3060"/>
              </w:tabs>
              <w:snapToGrid w:val="0"/>
              <w:spacing w:line="320" w:lineRule="exact"/>
              <w:ind w:firstLine="205" w:firstLineChars="98"/>
              <w:rPr>
                <w:highlight w:val="none"/>
              </w:rPr>
            </w:pPr>
            <w:r>
              <w:rPr>
                <w:rFonts w:ascii="宋体" w:hAnsi="宋体"/>
                <w:bCs/>
                <w:sz w:val="21"/>
                <w:szCs w:val="21"/>
                <w:highlight w:val="none"/>
              </w:rPr>
              <w:t>（5）同一投标人未提交两个以上不同的投标报价。</w:t>
            </w:r>
          </w:p>
        </w:tc>
      </w:tr>
      <w:tr w14:paraId="0E5F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DC5B381">
            <w:pPr>
              <w:snapToGrid w:val="0"/>
              <w:spacing w:line="320" w:lineRule="exact"/>
              <w:jc w:val="center"/>
              <w:rPr>
                <w:rFonts w:ascii="宋体" w:hAnsi="宋体"/>
                <w:sz w:val="21"/>
                <w:szCs w:val="21"/>
                <w:highlight w:val="none"/>
              </w:rPr>
            </w:pPr>
            <w:r>
              <w:rPr>
                <w:rFonts w:ascii="宋体" w:hAnsi="宋体"/>
                <w:sz w:val="21"/>
                <w:szCs w:val="21"/>
                <w:highlight w:val="none"/>
              </w:rPr>
              <w:t>2.1.2</w:t>
            </w:r>
          </w:p>
        </w:tc>
        <w:tc>
          <w:tcPr>
            <w:tcW w:w="1134" w:type="dxa"/>
            <w:noWrap w:val="0"/>
            <w:vAlign w:val="center"/>
          </w:tcPr>
          <w:p w14:paraId="190B5432">
            <w:pPr>
              <w:snapToGrid w:val="0"/>
              <w:spacing w:line="320" w:lineRule="exact"/>
              <w:jc w:val="center"/>
              <w:rPr>
                <w:rFonts w:ascii="宋体" w:hAnsi="宋体"/>
                <w:sz w:val="21"/>
                <w:szCs w:val="21"/>
                <w:highlight w:val="none"/>
              </w:rPr>
            </w:pPr>
            <w:r>
              <w:rPr>
                <w:rFonts w:ascii="宋体" w:hAnsi="宋体"/>
                <w:sz w:val="21"/>
                <w:szCs w:val="21"/>
                <w:highlight w:val="none"/>
              </w:rPr>
              <w:t>资格评审标准</w:t>
            </w:r>
          </w:p>
        </w:tc>
        <w:tc>
          <w:tcPr>
            <w:tcW w:w="7250" w:type="dxa"/>
            <w:noWrap w:val="0"/>
            <w:vAlign w:val="top"/>
          </w:tcPr>
          <w:p w14:paraId="004C9C03">
            <w:pPr>
              <w:tabs>
                <w:tab w:val="left" w:pos="3060"/>
              </w:tabs>
              <w:snapToGrid w:val="0"/>
              <w:spacing w:line="320" w:lineRule="exact"/>
              <w:rPr>
                <w:rFonts w:ascii="宋体" w:hAnsi="宋体"/>
                <w:sz w:val="21"/>
                <w:szCs w:val="21"/>
                <w:highlight w:val="none"/>
              </w:rPr>
            </w:pPr>
            <w:r>
              <w:rPr>
                <w:rFonts w:ascii="宋体" w:hAnsi="宋体"/>
                <w:sz w:val="21"/>
                <w:szCs w:val="21"/>
                <w:highlight w:val="none"/>
              </w:rPr>
              <w:t>（1）投标人具备有效的营业执照副本和组织机构代码证副本（按照“三证合一”或“五证合一”登记制度进行登记的，可仅提供营业执照副本）、资质证书和基本账户开户许可证（或基本存款账户信息）；</w:t>
            </w:r>
          </w:p>
          <w:p w14:paraId="6EE49A71">
            <w:pPr>
              <w:tabs>
                <w:tab w:val="left" w:pos="3060"/>
              </w:tabs>
              <w:snapToGrid w:val="0"/>
              <w:spacing w:line="320" w:lineRule="exact"/>
              <w:rPr>
                <w:rFonts w:ascii="宋体" w:hAnsi="宋体"/>
                <w:sz w:val="21"/>
                <w:szCs w:val="21"/>
                <w:highlight w:val="none"/>
              </w:rPr>
            </w:pPr>
            <w:r>
              <w:rPr>
                <w:rFonts w:ascii="宋体" w:hAnsi="宋体"/>
                <w:sz w:val="21"/>
                <w:szCs w:val="21"/>
                <w:highlight w:val="none"/>
              </w:rPr>
              <w:t>（2）投标人的资质等级符合招标文件规定；</w:t>
            </w:r>
          </w:p>
          <w:p w14:paraId="3E65D007">
            <w:pPr>
              <w:tabs>
                <w:tab w:val="left" w:pos="3060"/>
              </w:tabs>
              <w:snapToGrid w:val="0"/>
              <w:spacing w:line="320" w:lineRule="exact"/>
              <w:rPr>
                <w:rFonts w:ascii="宋体" w:hAnsi="宋体"/>
                <w:sz w:val="21"/>
                <w:szCs w:val="21"/>
                <w:highlight w:val="none"/>
              </w:rPr>
            </w:pPr>
            <w:r>
              <w:rPr>
                <w:rFonts w:ascii="宋体" w:hAnsi="宋体"/>
                <w:sz w:val="21"/>
                <w:szCs w:val="21"/>
                <w:highlight w:val="none"/>
              </w:rPr>
              <w:t>（3）投标人的类似项目业绩符合招标文件规定；</w:t>
            </w:r>
          </w:p>
          <w:p w14:paraId="0F089000">
            <w:pPr>
              <w:tabs>
                <w:tab w:val="left" w:pos="3060"/>
              </w:tabs>
              <w:snapToGrid w:val="0"/>
              <w:spacing w:line="320" w:lineRule="exact"/>
              <w:rPr>
                <w:rFonts w:ascii="宋体" w:hAnsi="宋体"/>
                <w:sz w:val="21"/>
                <w:szCs w:val="21"/>
                <w:highlight w:val="none"/>
              </w:rPr>
            </w:pPr>
            <w:r>
              <w:rPr>
                <w:rFonts w:ascii="宋体" w:hAnsi="宋体"/>
                <w:sz w:val="21"/>
                <w:szCs w:val="21"/>
                <w:highlight w:val="none"/>
              </w:rPr>
              <w:t>（4）投标人的信誉符合招标文件规定；</w:t>
            </w:r>
          </w:p>
          <w:p w14:paraId="789846A8">
            <w:pPr>
              <w:tabs>
                <w:tab w:val="left" w:pos="3060"/>
              </w:tabs>
              <w:snapToGrid w:val="0"/>
              <w:spacing w:line="320" w:lineRule="exact"/>
              <w:rPr>
                <w:rFonts w:hint="eastAsia"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投标人的项目负责人资格符合招标文件规定；</w:t>
            </w:r>
          </w:p>
          <w:p w14:paraId="66EA94A2">
            <w:pPr>
              <w:tabs>
                <w:tab w:val="left" w:pos="3060"/>
              </w:tabs>
              <w:snapToGrid w:val="0"/>
              <w:spacing w:line="320" w:lineRule="exact"/>
              <w:rPr>
                <w:rFonts w:ascii="宋体" w:hAnsi="宋体"/>
                <w:sz w:val="21"/>
                <w:szCs w:val="21"/>
                <w:highlight w:val="none"/>
              </w:rPr>
            </w:pPr>
            <w:r>
              <w:rPr>
                <w:rFonts w:hint="eastAsia" w:ascii="宋体" w:hAnsi="宋体"/>
                <w:sz w:val="21"/>
                <w:szCs w:val="21"/>
                <w:highlight w:val="none"/>
              </w:rPr>
              <w:t>（6）投标人的其他人员资格符合招标文件规定；</w:t>
            </w:r>
          </w:p>
          <w:p w14:paraId="5C7040DB">
            <w:pPr>
              <w:tabs>
                <w:tab w:val="left" w:pos="3060"/>
              </w:tabs>
              <w:snapToGrid w:val="0"/>
              <w:spacing w:line="320" w:lineRule="exact"/>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7</w:t>
            </w:r>
            <w:r>
              <w:rPr>
                <w:rFonts w:ascii="宋体" w:hAnsi="宋体"/>
                <w:sz w:val="21"/>
                <w:szCs w:val="21"/>
                <w:highlight w:val="none"/>
              </w:rPr>
              <w:t>）投标人不存在第二章“投标人须知”第1.4.3项或第1.4.4项规定的任何一种情形。</w:t>
            </w:r>
          </w:p>
        </w:tc>
      </w:tr>
      <w:tr w14:paraId="0E6C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5F31AC34">
            <w:pPr>
              <w:snapToGrid w:val="0"/>
              <w:spacing w:line="320" w:lineRule="exact"/>
              <w:jc w:val="center"/>
              <w:rPr>
                <w:rFonts w:ascii="宋体" w:hAnsi="宋体"/>
                <w:sz w:val="21"/>
                <w:szCs w:val="21"/>
                <w:highlight w:val="none"/>
              </w:rPr>
            </w:pPr>
            <w:r>
              <w:rPr>
                <w:rFonts w:ascii="宋体" w:hAnsi="宋体"/>
                <w:sz w:val="21"/>
                <w:szCs w:val="21"/>
                <w:highlight w:val="none"/>
              </w:rPr>
              <w:t>2.2.1</w:t>
            </w:r>
          </w:p>
        </w:tc>
        <w:tc>
          <w:tcPr>
            <w:tcW w:w="1134" w:type="dxa"/>
            <w:noWrap w:val="0"/>
            <w:vAlign w:val="center"/>
          </w:tcPr>
          <w:p w14:paraId="216DB21E">
            <w:pPr>
              <w:snapToGrid w:val="0"/>
              <w:spacing w:line="320" w:lineRule="exact"/>
              <w:jc w:val="center"/>
              <w:rPr>
                <w:rFonts w:ascii="宋体" w:hAnsi="宋体"/>
                <w:sz w:val="21"/>
                <w:szCs w:val="21"/>
                <w:highlight w:val="none"/>
              </w:rPr>
            </w:pPr>
            <w:r>
              <w:rPr>
                <w:rFonts w:ascii="宋体" w:hAnsi="宋体"/>
                <w:sz w:val="21"/>
                <w:szCs w:val="21"/>
                <w:highlight w:val="none"/>
              </w:rPr>
              <w:t>分值</w:t>
            </w:r>
          </w:p>
          <w:p w14:paraId="03D76ED2">
            <w:pPr>
              <w:snapToGrid w:val="0"/>
              <w:spacing w:line="320" w:lineRule="exact"/>
              <w:jc w:val="center"/>
              <w:rPr>
                <w:rFonts w:ascii="宋体" w:hAnsi="宋体"/>
                <w:sz w:val="21"/>
                <w:szCs w:val="21"/>
                <w:highlight w:val="none"/>
              </w:rPr>
            </w:pPr>
            <w:r>
              <w:rPr>
                <w:rFonts w:ascii="宋体" w:hAnsi="宋体"/>
                <w:sz w:val="21"/>
                <w:szCs w:val="21"/>
                <w:highlight w:val="none"/>
              </w:rPr>
              <w:t>构成</w:t>
            </w:r>
          </w:p>
        </w:tc>
        <w:tc>
          <w:tcPr>
            <w:tcW w:w="7250" w:type="dxa"/>
            <w:noWrap w:val="0"/>
            <w:vAlign w:val="center"/>
          </w:tcPr>
          <w:p w14:paraId="69E42000">
            <w:pPr>
              <w:autoSpaceDE w:val="0"/>
              <w:autoSpaceDN w:val="0"/>
              <w:adjustRightInd w:val="0"/>
              <w:snapToGrid w:val="0"/>
              <w:spacing w:line="320" w:lineRule="exact"/>
              <w:ind w:left="107"/>
              <w:jc w:val="left"/>
              <w:rPr>
                <w:rFonts w:ascii="宋体" w:hAnsi="宋体"/>
                <w:b/>
                <w:kern w:val="0"/>
                <w:sz w:val="21"/>
                <w:szCs w:val="21"/>
                <w:highlight w:val="none"/>
              </w:rPr>
            </w:pPr>
            <w:r>
              <w:rPr>
                <w:rFonts w:ascii="宋体" w:hAnsi="宋体"/>
                <w:b/>
                <w:kern w:val="0"/>
                <w:sz w:val="21"/>
                <w:szCs w:val="21"/>
                <w:highlight w:val="none"/>
              </w:rPr>
              <w:t>第一信封（商务及技术文件）评分分值构成：</w:t>
            </w:r>
          </w:p>
          <w:p w14:paraId="45FAE09D">
            <w:pPr>
              <w:autoSpaceDE w:val="0"/>
              <w:autoSpaceDN w:val="0"/>
              <w:adjustRightInd w:val="0"/>
              <w:snapToGrid w:val="0"/>
              <w:spacing w:line="320" w:lineRule="exact"/>
              <w:ind w:left="107"/>
              <w:jc w:val="left"/>
              <w:rPr>
                <w:rFonts w:ascii="宋体" w:hAnsi="宋体"/>
                <w:kern w:val="0"/>
                <w:sz w:val="21"/>
                <w:szCs w:val="21"/>
                <w:highlight w:val="none"/>
              </w:rPr>
            </w:pPr>
            <w:r>
              <w:rPr>
                <w:rFonts w:ascii="宋体" w:hAnsi="宋体"/>
                <w:kern w:val="0"/>
                <w:sz w:val="21"/>
                <w:szCs w:val="21"/>
                <w:highlight w:val="none"/>
              </w:rPr>
              <w:t>实施方案：</w:t>
            </w:r>
            <w:r>
              <w:rPr>
                <w:rFonts w:hint="eastAsia" w:ascii="宋体" w:hAnsi="宋体"/>
                <w:kern w:val="0"/>
                <w:sz w:val="21"/>
                <w:szCs w:val="21"/>
                <w:highlight w:val="none"/>
              </w:rPr>
              <w:t xml:space="preserve">    </w:t>
            </w:r>
            <w:r>
              <w:rPr>
                <w:rFonts w:hint="eastAsia" w:ascii="宋体" w:hAnsi="宋体"/>
                <w:kern w:val="0"/>
                <w:sz w:val="21"/>
                <w:szCs w:val="21"/>
                <w:highlight w:val="none"/>
                <w:lang w:val="en-US" w:eastAsia="zh-CN"/>
              </w:rPr>
              <w:t>40</w:t>
            </w:r>
            <w:r>
              <w:rPr>
                <w:rFonts w:ascii="宋体" w:hAnsi="宋体"/>
                <w:kern w:val="0"/>
                <w:sz w:val="21"/>
                <w:szCs w:val="21"/>
                <w:highlight w:val="none"/>
              </w:rPr>
              <w:t>分</w:t>
            </w:r>
          </w:p>
          <w:p w14:paraId="7407A38E">
            <w:pPr>
              <w:autoSpaceDE w:val="0"/>
              <w:autoSpaceDN w:val="0"/>
              <w:adjustRightInd w:val="0"/>
              <w:snapToGrid w:val="0"/>
              <w:spacing w:line="320" w:lineRule="exact"/>
              <w:ind w:left="107"/>
              <w:jc w:val="left"/>
              <w:rPr>
                <w:rFonts w:hint="eastAsia" w:ascii="宋体" w:hAnsi="宋体"/>
                <w:kern w:val="0"/>
                <w:sz w:val="21"/>
                <w:szCs w:val="21"/>
                <w:highlight w:val="none"/>
              </w:rPr>
            </w:pPr>
            <w:r>
              <w:rPr>
                <w:rFonts w:ascii="宋体" w:hAnsi="宋体"/>
                <w:kern w:val="0"/>
                <w:sz w:val="21"/>
                <w:szCs w:val="21"/>
                <w:highlight w:val="none"/>
              </w:rPr>
              <w:t xml:space="preserve">主要人员：    </w:t>
            </w:r>
            <w:r>
              <w:rPr>
                <w:rFonts w:hint="eastAsia" w:ascii="宋体" w:hAnsi="宋体"/>
                <w:kern w:val="0"/>
                <w:sz w:val="21"/>
                <w:szCs w:val="21"/>
                <w:highlight w:val="none"/>
                <w:lang w:val="en-US" w:eastAsia="zh-CN"/>
              </w:rPr>
              <w:t>15</w:t>
            </w:r>
            <w:r>
              <w:rPr>
                <w:rFonts w:ascii="宋体" w:hAnsi="宋体"/>
                <w:kern w:val="0"/>
                <w:sz w:val="21"/>
                <w:szCs w:val="21"/>
                <w:highlight w:val="none"/>
              </w:rPr>
              <w:t>分</w:t>
            </w:r>
          </w:p>
          <w:p w14:paraId="1C055AB4">
            <w:pPr>
              <w:autoSpaceDE w:val="0"/>
              <w:autoSpaceDN w:val="0"/>
              <w:adjustRightInd w:val="0"/>
              <w:snapToGrid w:val="0"/>
              <w:spacing w:line="320" w:lineRule="exact"/>
              <w:ind w:left="107"/>
              <w:jc w:val="left"/>
              <w:rPr>
                <w:rFonts w:ascii="宋体" w:hAnsi="宋体"/>
                <w:kern w:val="0"/>
                <w:sz w:val="21"/>
                <w:szCs w:val="21"/>
                <w:highlight w:val="none"/>
              </w:rPr>
            </w:pPr>
            <w:r>
              <w:rPr>
                <w:rFonts w:ascii="宋体" w:hAnsi="宋体"/>
                <w:kern w:val="0"/>
                <w:sz w:val="21"/>
                <w:szCs w:val="21"/>
                <w:highlight w:val="none"/>
              </w:rPr>
              <w:t xml:space="preserve">业    绩：    </w:t>
            </w:r>
            <w:r>
              <w:rPr>
                <w:rFonts w:hint="eastAsia" w:ascii="宋体" w:hAnsi="宋体"/>
                <w:kern w:val="0"/>
                <w:sz w:val="21"/>
                <w:szCs w:val="21"/>
                <w:highlight w:val="none"/>
                <w:lang w:val="en-US" w:eastAsia="zh-CN"/>
              </w:rPr>
              <w:t>15</w:t>
            </w:r>
            <w:r>
              <w:rPr>
                <w:rFonts w:ascii="宋体" w:hAnsi="宋体"/>
                <w:kern w:val="0"/>
                <w:sz w:val="21"/>
                <w:szCs w:val="21"/>
                <w:highlight w:val="none"/>
              </w:rPr>
              <w:t>分</w:t>
            </w:r>
          </w:p>
          <w:p w14:paraId="7E5D2264">
            <w:pPr>
              <w:autoSpaceDE w:val="0"/>
              <w:autoSpaceDN w:val="0"/>
              <w:adjustRightInd w:val="0"/>
              <w:snapToGrid w:val="0"/>
              <w:spacing w:line="320" w:lineRule="exact"/>
              <w:ind w:left="107"/>
              <w:jc w:val="left"/>
              <w:rPr>
                <w:rFonts w:ascii="宋体" w:hAnsi="宋体"/>
                <w:kern w:val="0"/>
                <w:sz w:val="21"/>
                <w:szCs w:val="21"/>
                <w:highlight w:val="none"/>
              </w:rPr>
            </w:pPr>
          </w:p>
          <w:p w14:paraId="2959273A">
            <w:pPr>
              <w:autoSpaceDE w:val="0"/>
              <w:autoSpaceDN w:val="0"/>
              <w:adjustRightInd w:val="0"/>
              <w:snapToGrid w:val="0"/>
              <w:spacing w:line="320" w:lineRule="exact"/>
              <w:ind w:left="107"/>
              <w:jc w:val="left"/>
              <w:rPr>
                <w:rFonts w:ascii="宋体" w:hAnsi="宋体"/>
                <w:b/>
                <w:kern w:val="0"/>
                <w:sz w:val="21"/>
                <w:szCs w:val="21"/>
                <w:highlight w:val="none"/>
              </w:rPr>
            </w:pPr>
            <w:r>
              <w:rPr>
                <w:rFonts w:ascii="宋体" w:hAnsi="宋体"/>
                <w:b/>
                <w:kern w:val="0"/>
                <w:sz w:val="21"/>
                <w:szCs w:val="21"/>
                <w:highlight w:val="none"/>
              </w:rPr>
              <w:t>第二信封（报价文件）评分分值构成：</w:t>
            </w:r>
          </w:p>
          <w:p w14:paraId="36B0FC21">
            <w:pPr>
              <w:autoSpaceDE w:val="0"/>
              <w:autoSpaceDN w:val="0"/>
              <w:adjustRightInd w:val="0"/>
              <w:snapToGrid w:val="0"/>
              <w:spacing w:line="320" w:lineRule="exact"/>
              <w:ind w:left="107"/>
              <w:jc w:val="left"/>
              <w:rPr>
                <w:rFonts w:ascii="宋体" w:hAnsi="宋体"/>
                <w:sz w:val="21"/>
                <w:szCs w:val="21"/>
                <w:highlight w:val="none"/>
              </w:rPr>
            </w:pPr>
            <w:r>
              <w:rPr>
                <w:rFonts w:ascii="宋体" w:hAnsi="宋体"/>
                <w:sz w:val="21"/>
                <w:szCs w:val="21"/>
                <w:highlight w:val="none"/>
              </w:rPr>
              <w:t xml:space="preserve">评 标 价：    </w:t>
            </w:r>
            <w:r>
              <w:rPr>
                <w:rFonts w:hint="eastAsia" w:ascii="宋体" w:hAnsi="宋体"/>
                <w:sz w:val="21"/>
                <w:szCs w:val="21"/>
                <w:highlight w:val="none"/>
              </w:rPr>
              <w:t>30</w:t>
            </w:r>
            <w:r>
              <w:rPr>
                <w:rFonts w:ascii="宋体" w:hAnsi="宋体"/>
                <w:sz w:val="21"/>
                <w:szCs w:val="21"/>
                <w:highlight w:val="none"/>
              </w:rPr>
              <w:t>分</w:t>
            </w:r>
            <w:r>
              <w:rPr>
                <w:rFonts w:hint="eastAsia" w:ascii="宋体" w:hAnsi="宋体"/>
                <w:sz w:val="21"/>
                <w:szCs w:val="21"/>
                <w:highlight w:val="none"/>
              </w:rPr>
              <w:t xml:space="preserve">  </w:t>
            </w:r>
          </w:p>
        </w:tc>
      </w:tr>
      <w:tr w14:paraId="6CCA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59" w:type="dxa"/>
            <w:noWrap w:val="0"/>
            <w:vAlign w:val="center"/>
          </w:tcPr>
          <w:p w14:paraId="24FAB0A0">
            <w:pPr>
              <w:snapToGrid w:val="0"/>
              <w:spacing w:line="320" w:lineRule="exact"/>
              <w:ind w:right="113"/>
              <w:jc w:val="center"/>
              <w:rPr>
                <w:rFonts w:ascii="宋体" w:hAnsi="宋体"/>
                <w:sz w:val="21"/>
                <w:szCs w:val="21"/>
                <w:highlight w:val="none"/>
              </w:rPr>
            </w:pPr>
            <w:r>
              <w:rPr>
                <w:rFonts w:ascii="宋体" w:hAnsi="宋体"/>
                <w:sz w:val="21"/>
                <w:szCs w:val="21"/>
                <w:highlight w:val="none"/>
              </w:rPr>
              <w:t>2.2.2</w:t>
            </w:r>
          </w:p>
        </w:tc>
        <w:tc>
          <w:tcPr>
            <w:tcW w:w="1134" w:type="dxa"/>
            <w:noWrap w:val="0"/>
            <w:vAlign w:val="center"/>
          </w:tcPr>
          <w:p w14:paraId="76FFB14E">
            <w:pPr>
              <w:snapToGrid w:val="0"/>
              <w:spacing w:line="320" w:lineRule="exact"/>
              <w:ind w:left="2"/>
              <w:jc w:val="center"/>
              <w:rPr>
                <w:rFonts w:ascii="宋体" w:hAnsi="宋体"/>
                <w:sz w:val="21"/>
                <w:szCs w:val="21"/>
                <w:highlight w:val="none"/>
              </w:rPr>
            </w:pPr>
            <w:r>
              <w:rPr>
                <w:rFonts w:ascii="宋体" w:hAnsi="宋体"/>
                <w:sz w:val="21"/>
                <w:szCs w:val="21"/>
                <w:highlight w:val="none"/>
              </w:rPr>
              <w:t>评标基准价计算方法</w:t>
            </w:r>
          </w:p>
        </w:tc>
        <w:tc>
          <w:tcPr>
            <w:tcW w:w="7250" w:type="dxa"/>
            <w:noWrap w:val="0"/>
            <w:vAlign w:val="center"/>
          </w:tcPr>
          <w:p w14:paraId="516F9A12">
            <w:pPr>
              <w:snapToGrid w:val="0"/>
              <w:spacing w:line="320" w:lineRule="exact"/>
              <w:jc w:val="left"/>
              <w:rPr>
                <w:rFonts w:ascii="宋体" w:hAnsi="宋体"/>
                <w:b/>
                <w:sz w:val="21"/>
                <w:szCs w:val="21"/>
                <w:highlight w:val="none"/>
              </w:rPr>
            </w:pPr>
            <w:r>
              <w:rPr>
                <w:rFonts w:ascii="宋体" w:hAnsi="宋体"/>
                <w:b/>
                <w:sz w:val="21"/>
                <w:szCs w:val="21"/>
                <w:highlight w:val="none"/>
              </w:rPr>
              <w:t>评标基准价的计算：</w:t>
            </w:r>
          </w:p>
          <w:p w14:paraId="2909B903">
            <w:pPr>
              <w:snapToGrid w:val="0"/>
              <w:spacing w:line="320" w:lineRule="exact"/>
              <w:ind w:right="113"/>
              <w:rPr>
                <w:rFonts w:ascii="宋体" w:hAnsi="宋体"/>
                <w:sz w:val="21"/>
                <w:szCs w:val="21"/>
                <w:highlight w:val="none"/>
              </w:rPr>
            </w:pPr>
            <w:r>
              <w:rPr>
                <w:rFonts w:ascii="宋体" w:hAnsi="宋体"/>
                <w:sz w:val="21"/>
                <w:szCs w:val="21"/>
                <w:highlight w:val="none"/>
              </w:rPr>
              <w:t>在开标现场，招标人将当场计算并宣布评标基准价。</w:t>
            </w:r>
          </w:p>
          <w:p w14:paraId="3F752F18">
            <w:pPr>
              <w:snapToGrid w:val="0"/>
              <w:spacing w:line="320" w:lineRule="exact"/>
              <w:ind w:left="113" w:right="113" w:firstLine="210" w:firstLineChars="100"/>
              <w:rPr>
                <w:rFonts w:ascii="宋体" w:hAnsi="宋体"/>
                <w:sz w:val="21"/>
                <w:szCs w:val="21"/>
                <w:highlight w:val="none"/>
              </w:rPr>
            </w:pPr>
            <w:r>
              <w:rPr>
                <w:rFonts w:ascii="宋体" w:hAnsi="宋体"/>
                <w:sz w:val="21"/>
                <w:szCs w:val="21"/>
                <w:highlight w:val="none"/>
              </w:rPr>
              <w:t>（1）评标价的确定：</w:t>
            </w:r>
          </w:p>
          <w:p w14:paraId="1988AC07">
            <w:pPr>
              <w:snapToGrid w:val="0"/>
              <w:spacing w:line="320" w:lineRule="exact"/>
              <w:ind w:left="113" w:right="113" w:firstLine="210" w:firstLineChars="100"/>
              <w:rPr>
                <w:rFonts w:ascii="宋体" w:hAnsi="宋体"/>
                <w:sz w:val="21"/>
                <w:szCs w:val="21"/>
                <w:highlight w:val="none"/>
              </w:rPr>
            </w:pPr>
            <w:r>
              <w:rPr>
                <w:rFonts w:ascii="宋体" w:hAnsi="宋体"/>
                <w:sz w:val="21"/>
                <w:szCs w:val="21"/>
                <w:highlight w:val="none"/>
              </w:rPr>
              <w:t>评标价=投标函文字报价</w:t>
            </w:r>
          </w:p>
          <w:p w14:paraId="04D640E1">
            <w:pPr>
              <w:snapToGrid w:val="0"/>
              <w:spacing w:line="320" w:lineRule="exact"/>
              <w:ind w:left="113" w:right="113" w:firstLine="210" w:firstLineChars="100"/>
              <w:rPr>
                <w:rFonts w:ascii="宋体" w:hAnsi="宋体"/>
                <w:sz w:val="21"/>
                <w:szCs w:val="21"/>
                <w:highlight w:val="none"/>
              </w:rPr>
            </w:pPr>
            <w:r>
              <w:rPr>
                <w:rFonts w:ascii="宋体" w:hAnsi="宋体"/>
                <w:sz w:val="21"/>
                <w:szCs w:val="21"/>
                <w:highlight w:val="none"/>
              </w:rPr>
              <w:t>（2）评标价平均值的计算：</w:t>
            </w:r>
          </w:p>
          <w:p w14:paraId="6F3EA0EF">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14:paraId="139E484A">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（3）评标基准价的确定：</w:t>
            </w:r>
          </w:p>
          <w:p w14:paraId="43625912">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将评标价平均值直接作为评标基准价（评标基准价保留小数点后两位，小数点后第三位四舍五入）。</w:t>
            </w:r>
          </w:p>
          <w:p w14:paraId="450768A5">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19B0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9" w:type="dxa"/>
            <w:noWrap w:val="0"/>
            <w:vAlign w:val="center"/>
          </w:tcPr>
          <w:p w14:paraId="6B2A4A7D">
            <w:pPr>
              <w:snapToGrid w:val="0"/>
              <w:spacing w:line="320" w:lineRule="exact"/>
              <w:ind w:right="113"/>
              <w:jc w:val="center"/>
              <w:rPr>
                <w:rFonts w:ascii="宋体" w:hAnsi="宋体"/>
                <w:sz w:val="21"/>
                <w:szCs w:val="21"/>
                <w:highlight w:val="none"/>
              </w:rPr>
            </w:pPr>
            <w:r>
              <w:rPr>
                <w:rFonts w:ascii="宋体" w:hAnsi="宋体"/>
                <w:sz w:val="21"/>
                <w:szCs w:val="21"/>
                <w:highlight w:val="none"/>
              </w:rPr>
              <w:t>2.2.3</w:t>
            </w:r>
          </w:p>
        </w:tc>
        <w:tc>
          <w:tcPr>
            <w:tcW w:w="1134" w:type="dxa"/>
            <w:noWrap w:val="0"/>
            <w:vAlign w:val="center"/>
          </w:tcPr>
          <w:p w14:paraId="5983CB83">
            <w:pPr>
              <w:snapToGrid w:val="0"/>
              <w:spacing w:line="320" w:lineRule="exact"/>
              <w:ind w:left="-42" w:leftChars="-15" w:right="-77"/>
              <w:rPr>
                <w:rFonts w:ascii="宋体" w:hAnsi="宋体"/>
                <w:sz w:val="21"/>
                <w:szCs w:val="21"/>
                <w:highlight w:val="none"/>
              </w:rPr>
            </w:pPr>
            <w:r>
              <w:rPr>
                <w:rFonts w:ascii="宋体" w:hAnsi="宋体"/>
                <w:sz w:val="21"/>
                <w:szCs w:val="21"/>
                <w:highlight w:val="none"/>
              </w:rPr>
              <w:t>评标价的偏差率计算公式</w:t>
            </w:r>
          </w:p>
        </w:tc>
        <w:tc>
          <w:tcPr>
            <w:tcW w:w="7250" w:type="dxa"/>
            <w:noWrap w:val="0"/>
            <w:vAlign w:val="center"/>
          </w:tcPr>
          <w:p w14:paraId="13BE52EC">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偏差率=100%×（投标人评标价-评标基准价）/评标基准价</w:t>
            </w:r>
          </w:p>
        </w:tc>
      </w:tr>
      <w:tr w14:paraId="0761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8" w:hRule="atLeast"/>
          <w:jc w:val="center"/>
        </w:trPr>
        <w:tc>
          <w:tcPr>
            <w:tcW w:w="959" w:type="dxa"/>
            <w:noWrap w:val="0"/>
            <w:vAlign w:val="center"/>
          </w:tcPr>
          <w:p w14:paraId="42B9260B">
            <w:pPr>
              <w:snapToGrid w:val="0"/>
              <w:spacing w:line="320" w:lineRule="exact"/>
              <w:ind w:right="113"/>
              <w:jc w:val="center"/>
              <w:rPr>
                <w:rFonts w:ascii="宋体" w:hAnsi="宋体"/>
                <w:sz w:val="21"/>
                <w:szCs w:val="21"/>
                <w:highlight w:val="none"/>
              </w:rPr>
            </w:pPr>
            <w:r>
              <w:rPr>
                <w:rFonts w:ascii="宋体" w:hAnsi="宋体"/>
                <w:sz w:val="21"/>
                <w:szCs w:val="21"/>
                <w:highlight w:val="none"/>
              </w:rPr>
              <w:t>3.6.1</w:t>
            </w:r>
          </w:p>
        </w:tc>
        <w:tc>
          <w:tcPr>
            <w:tcW w:w="1134" w:type="dxa"/>
            <w:noWrap w:val="0"/>
            <w:vAlign w:val="center"/>
          </w:tcPr>
          <w:p w14:paraId="1C297FB4">
            <w:pPr>
              <w:snapToGrid w:val="0"/>
              <w:spacing w:line="320" w:lineRule="exact"/>
              <w:ind w:left="-42" w:leftChars="-15" w:right="-77"/>
              <w:rPr>
                <w:rFonts w:ascii="宋体" w:hAnsi="宋体"/>
                <w:sz w:val="21"/>
                <w:szCs w:val="21"/>
                <w:highlight w:val="none"/>
              </w:rPr>
            </w:pPr>
            <w:r>
              <w:rPr>
                <w:rFonts w:ascii="宋体" w:hAnsi="宋体"/>
                <w:sz w:val="21"/>
                <w:szCs w:val="21"/>
                <w:highlight w:val="none"/>
              </w:rPr>
              <w:t>投标文件相关信息核查</w:t>
            </w:r>
          </w:p>
        </w:tc>
        <w:tc>
          <w:tcPr>
            <w:tcW w:w="7250" w:type="dxa"/>
            <w:noWrap w:val="0"/>
            <w:vAlign w:val="center"/>
          </w:tcPr>
          <w:p w14:paraId="4A0E122F">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本款修改为：</w:t>
            </w:r>
          </w:p>
          <w:p w14:paraId="402FE2D2">
            <w:pPr>
              <w:adjustRightInd w:val="0"/>
              <w:snapToGrid w:val="0"/>
              <w:spacing w:line="320" w:lineRule="exact"/>
              <w:ind w:firstLine="210" w:firstLineChars="100"/>
              <w:rPr>
                <w:rFonts w:hint="eastAsia" w:ascii="宋体" w:hAnsi="宋体"/>
                <w:sz w:val="21"/>
                <w:szCs w:val="21"/>
                <w:highlight w:val="none"/>
              </w:rPr>
            </w:pPr>
            <w:r>
              <w:rPr>
                <w:rFonts w:hint="eastAsia" w:ascii="宋体" w:hAnsi="宋体"/>
                <w:sz w:val="21"/>
                <w:szCs w:val="21"/>
                <w:highlight w:val="none"/>
              </w:rPr>
              <w:t>（1）投标人信用情况网页截图内容与在“国家企业信用信息公示系统”中严重违法失信名单（黑名单）信息（不含分公司）或在“信用中国”网站中失信被执行人、</w:t>
            </w:r>
            <w:r>
              <w:rPr>
                <w:rFonts w:hint="eastAsia" w:ascii="宋体" w:hAnsi="宋体"/>
                <w:sz w:val="21"/>
                <w:szCs w:val="21"/>
                <w:highlight w:val="none"/>
                <w:lang w:eastAsia="zh-CN"/>
              </w:rPr>
              <w:t>经营（活动）异常名录</w:t>
            </w:r>
            <w:r>
              <w:rPr>
                <w:rFonts w:hint="eastAsia" w:ascii="宋体" w:hAnsi="宋体"/>
                <w:sz w:val="21"/>
                <w:szCs w:val="21"/>
                <w:highlight w:val="none"/>
              </w:rPr>
              <w:t>、重大税收违法失信主体、政府采购严重违法失信行为记录名单（均不含分公司）的复核结果一致。如投标人未提供相关网页截图或所附截图与复核结果不一致，评标委员会应否决其投标。</w:t>
            </w:r>
          </w:p>
          <w:p w14:paraId="7E15471F">
            <w:pPr>
              <w:adjustRightInd w:val="0"/>
              <w:snapToGrid w:val="0"/>
              <w:spacing w:line="32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rPr>
              <w:t>（2评标委员会在评标时按照投标人提供的验证方式对电子保函或电子保证保险进行验证。如投标人未提供电子保函或电子保证保险的验证方式，或根据提供的验证方式无法核实的，评标委员会应否决其投标</w:t>
            </w:r>
            <w:r>
              <w:rPr>
                <w:rFonts w:hint="eastAsia" w:ascii="宋体" w:hAnsi="宋体"/>
                <w:sz w:val="21"/>
                <w:szCs w:val="21"/>
                <w:highlight w:val="none"/>
                <w:lang w:eastAsia="zh-CN"/>
              </w:rPr>
              <w:t>。</w:t>
            </w:r>
          </w:p>
          <w:p w14:paraId="1BB6AE31">
            <w:pPr>
              <w:pStyle w:val="4"/>
              <w:snapToGrid w:val="0"/>
              <w:spacing w:line="320" w:lineRule="exact"/>
              <w:ind w:firstLine="420" w:firstLineChars="200"/>
              <w:rPr>
                <w:rFonts w:ascii="宋体" w:hAnsi="宋体"/>
                <w:sz w:val="21"/>
                <w:szCs w:val="21"/>
                <w:highlight w:val="none"/>
              </w:rPr>
            </w:pPr>
            <w:r>
              <w:rPr>
                <w:rFonts w:hint="eastAsia" w:ascii="宋体" w:hAnsi="宋体"/>
                <w:sz w:val="21"/>
                <w:szCs w:val="21"/>
                <w:highlight w:val="none"/>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672815DA">
      <w:pPr>
        <w:jc w:val="right"/>
        <w:rPr>
          <w:szCs w:val="21"/>
          <w:highlight w:val="none"/>
        </w:rPr>
      </w:pPr>
      <w:r>
        <w:rPr>
          <w:sz w:val="24"/>
          <w:highlight w:val="none"/>
        </w:rPr>
        <w:br w:type="page"/>
      </w:r>
      <w:r>
        <w:rPr>
          <w:sz w:val="24"/>
          <w:highlight w:val="none"/>
        </w:rPr>
        <w:t>续上表</w:t>
      </w:r>
    </w:p>
    <w:tbl>
      <w:tblPr>
        <w:tblStyle w:val="10"/>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14:paraId="63DC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14:paraId="21D0A119">
            <w:pPr>
              <w:pStyle w:val="8"/>
              <w:spacing w:line="160" w:lineRule="atLeast"/>
              <w:jc w:val="center"/>
              <w:rPr>
                <w:rFonts w:ascii="Times New Roman" w:hAnsi="Times New Roman"/>
                <w:szCs w:val="21"/>
                <w:highlight w:val="none"/>
              </w:rPr>
            </w:pPr>
            <w:r>
              <w:rPr>
                <w:rFonts w:ascii="Times New Roman" w:hAnsi="Times New Roman"/>
                <w:szCs w:val="21"/>
                <w:highlight w:val="none"/>
              </w:rPr>
              <w:t>评分因素与权重分值</w:t>
            </w:r>
          </w:p>
        </w:tc>
        <w:tc>
          <w:tcPr>
            <w:tcW w:w="5845" w:type="dxa"/>
            <w:vMerge w:val="restart"/>
            <w:noWrap w:val="0"/>
            <w:vAlign w:val="center"/>
          </w:tcPr>
          <w:p w14:paraId="3D9BEA93">
            <w:pPr>
              <w:pStyle w:val="8"/>
              <w:spacing w:line="160" w:lineRule="atLeast"/>
              <w:jc w:val="center"/>
              <w:rPr>
                <w:rFonts w:ascii="Times New Roman" w:hAnsi="Times New Roman"/>
                <w:szCs w:val="21"/>
                <w:highlight w:val="none"/>
              </w:rPr>
            </w:pPr>
            <w:r>
              <w:rPr>
                <w:rFonts w:ascii="Times New Roman" w:hAnsi="Times New Roman"/>
                <w:szCs w:val="21"/>
                <w:highlight w:val="none"/>
              </w:rPr>
              <w:t>评分标准</w:t>
            </w:r>
          </w:p>
        </w:tc>
      </w:tr>
      <w:tr w14:paraId="11DE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40DD01DC">
            <w:pPr>
              <w:pStyle w:val="8"/>
              <w:spacing w:line="160" w:lineRule="atLeast"/>
              <w:jc w:val="center"/>
              <w:rPr>
                <w:rFonts w:ascii="Times New Roman" w:hAnsi="Times New Roman"/>
                <w:szCs w:val="21"/>
                <w:highlight w:val="none"/>
              </w:rPr>
            </w:pPr>
            <w:r>
              <w:rPr>
                <w:rFonts w:ascii="Times New Roman" w:hAnsi="Times New Roman"/>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0415EB99">
            <w:pPr>
              <w:pStyle w:val="8"/>
              <w:spacing w:line="160" w:lineRule="atLeast"/>
              <w:jc w:val="center"/>
              <w:rPr>
                <w:rFonts w:ascii="Times New Roman" w:hAnsi="Times New Roman"/>
                <w:szCs w:val="21"/>
                <w:highlight w:val="none"/>
              </w:rPr>
            </w:pPr>
            <w:r>
              <w:rPr>
                <w:rFonts w:ascii="Times New Roman" w:hAnsi="Times New Roman"/>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648129E1">
            <w:pPr>
              <w:pStyle w:val="8"/>
              <w:spacing w:line="160" w:lineRule="atLeast"/>
              <w:ind w:left="-53" w:leftChars="-19" w:right="-42" w:rightChars="-15" w:firstLine="1"/>
              <w:jc w:val="center"/>
              <w:rPr>
                <w:rFonts w:ascii="Times New Roman" w:hAnsi="Times New Roman"/>
                <w:szCs w:val="21"/>
                <w:highlight w:val="none"/>
              </w:rPr>
            </w:pPr>
            <w:r>
              <w:rPr>
                <w:rFonts w:ascii="Times New Roman" w:hAnsi="Times New Roman"/>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C51923">
            <w:pPr>
              <w:pStyle w:val="8"/>
              <w:spacing w:line="160" w:lineRule="atLeast"/>
              <w:jc w:val="center"/>
              <w:rPr>
                <w:rFonts w:ascii="Times New Roman" w:hAnsi="Times New Roman"/>
                <w:szCs w:val="21"/>
                <w:highlight w:val="none"/>
              </w:rPr>
            </w:pPr>
            <w:r>
              <w:rPr>
                <w:rStyle w:val="26"/>
                <w:rFonts w:ascii="Times New Roman" w:hAnsi="Times New Roman" w:cs="Times New Roman"/>
                <w:color w:val="auto"/>
                <w:highlight w:val="none"/>
              </w:rPr>
              <w:t>各评分因素细分项</w:t>
            </w:r>
          </w:p>
        </w:tc>
        <w:tc>
          <w:tcPr>
            <w:tcW w:w="567" w:type="dxa"/>
            <w:tcBorders>
              <w:left w:val="single" w:color="auto" w:sz="4" w:space="0"/>
            </w:tcBorders>
            <w:noWrap w:val="0"/>
            <w:vAlign w:val="center"/>
          </w:tcPr>
          <w:p w14:paraId="3A5A2F78">
            <w:pPr>
              <w:pStyle w:val="8"/>
              <w:spacing w:line="160" w:lineRule="atLeast"/>
              <w:jc w:val="center"/>
              <w:rPr>
                <w:rFonts w:ascii="Times New Roman" w:hAnsi="Times New Roman"/>
                <w:szCs w:val="21"/>
                <w:highlight w:val="none"/>
              </w:rPr>
            </w:pPr>
            <w:r>
              <w:rPr>
                <w:rFonts w:ascii="Times New Roman" w:hAnsi="Times New Roman"/>
                <w:szCs w:val="21"/>
                <w:highlight w:val="none"/>
              </w:rPr>
              <w:t>分值</w:t>
            </w:r>
          </w:p>
        </w:tc>
        <w:tc>
          <w:tcPr>
            <w:tcW w:w="5845" w:type="dxa"/>
            <w:vMerge w:val="continue"/>
            <w:noWrap w:val="0"/>
            <w:vAlign w:val="center"/>
          </w:tcPr>
          <w:p w14:paraId="27D0777A">
            <w:pPr>
              <w:pStyle w:val="8"/>
              <w:spacing w:line="160" w:lineRule="atLeast"/>
              <w:jc w:val="center"/>
              <w:rPr>
                <w:rFonts w:ascii="Times New Roman" w:hAnsi="Times New Roman"/>
                <w:szCs w:val="21"/>
                <w:highlight w:val="none"/>
              </w:rPr>
            </w:pPr>
          </w:p>
        </w:tc>
      </w:tr>
      <w:tr w14:paraId="7A11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4" w:space="0"/>
            </w:tcBorders>
            <w:noWrap w:val="0"/>
            <w:vAlign w:val="center"/>
          </w:tcPr>
          <w:p w14:paraId="2AE509AE">
            <w:pPr>
              <w:pStyle w:val="8"/>
              <w:spacing w:line="160" w:lineRule="atLeast"/>
              <w:jc w:val="center"/>
              <w:rPr>
                <w:rFonts w:ascii="Times New Roman" w:hAnsi="Times New Roman"/>
                <w:szCs w:val="21"/>
                <w:highlight w:val="none"/>
              </w:rPr>
            </w:pPr>
            <w:r>
              <w:rPr>
                <w:rFonts w:ascii="Times New Roman" w:hAnsi="Times New Roman"/>
                <w:szCs w:val="21"/>
                <w:highlight w:val="none"/>
              </w:rPr>
              <w:t>2.2.4（1）</w:t>
            </w:r>
          </w:p>
        </w:tc>
        <w:tc>
          <w:tcPr>
            <w:tcW w:w="741" w:type="dxa"/>
            <w:vMerge w:val="restart"/>
            <w:tcBorders>
              <w:top w:val="single" w:color="auto" w:sz="4" w:space="0"/>
            </w:tcBorders>
            <w:noWrap w:val="0"/>
            <w:vAlign w:val="center"/>
          </w:tcPr>
          <w:p w14:paraId="2F29D54C">
            <w:pPr>
              <w:pStyle w:val="8"/>
              <w:spacing w:line="160" w:lineRule="atLeast"/>
              <w:jc w:val="center"/>
              <w:rPr>
                <w:rFonts w:ascii="Times New Roman" w:hAnsi="Times New Roman"/>
                <w:szCs w:val="21"/>
                <w:highlight w:val="none"/>
              </w:rPr>
            </w:pPr>
            <w:r>
              <w:rPr>
                <w:rFonts w:ascii="Times New Roman" w:hAnsi="Times New Roman"/>
                <w:szCs w:val="21"/>
                <w:highlight w:val="none"/>
              </w:rPr>
              <w:t>实施方案</w:t>
            </w:r>
          </w:p>
        </w:tc>
        <w:tc>
          <w:tcPr>
            <w:tcW w:w="624" w:type="dxa"/>
            <w:vMerge w:val="restart"/>
            <w:tcBorders>
              <w:top w:val="single" w:color="auto" w:sz="4" w:space="0"/>
            </w:tcBorders>
            <w:noWrap w:val="0"/>
            <w:vAlign w:val="center"/>
          </w:tcPr>
          <w:p w14:paraId="21E1F3B7">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40</w:t>
            </w:r>
            <w:r>
              <w:rPr>
                <w:rFonts w:ascii="Times New Roman" w:hAnsi="Times New Roman"/>
                <w:szCs w:val="21"/>
                <w:highlight w:val="none"/>
              </w:rPr>
              <w:t>分</w:t>
            </w:r>
          </w:p>
        </w:tc>
        <w:tc>
          <w:tcPr>
            <w:tcW w:w="1134" w:type="dxa"/>
            <w:vMerge w:val="restart"/>
            <w:tcBorders>
              <w:top w:val="single" w:color="auto" w:sz="4" w:space="0"/>
            </w:tcBorders>
            <w:noWrap w:val="0"/>
            <w:vAlign w:val="center"/>
          </w:tcPr>
          <w:p w14:paraId="3149F30D">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工作</w:t>
            </w:r>
            <w:r>
              <w:rPr>
                <w:rFonts w:ascii="Times New Roman" w:hAnsi="Times New Roman"/>
                <w:szCs w:val="21"/>
                <w:highlight w:val="none"/>
              </w:rPr>
              <w:t>范围、内容、步骤和程序</w:t>
            </w:r>
          </w:p>
        </w:tc>
        <w:tc>
          <w:tcPr>
            <w:tcW w:w="567" w:type="dxa"/>
            <w:vMerge w:val="restart"/>
            <w:noWrap w:val="0"/>
            <w:vAlign w:val="center"/>
          </w:tcPr>
          <w:p w14:paraId="36A5DA48">
            <w:pPr>
              <w:pStyle w:val="8"/>
              <w:spacing w:line="160" w:lineRule="atLeast"/>
              <w:ind w:leftChars="-48" w:right="-42" w:rightChars="-15" w:hanging="134" w:hangingChars="64"/>
              <w:jc w:val="center"/>
              <w:rPr>
                <w:rFonts w:ascii="Times New Roman" w:hAnsi="Times New Roman"/>
                <w:szCs w:val="21"/>
                <w:highlight w:val="none"/>
              </w:rPr>
            </w:pPr>
            <w:r>
              <w:rPr>
                <w:rFonts w:hint="eastAsia" w:ascii="Times New Roman" w:hAnsi="Times New Roman"/>
                <w:szCs w:val="21"/>
                <w:highlight w:val="none"/>
                <w:lang w:val="en-US" w:eastAsia="zh-CN"/>
              </w:rPr>
              <w:t>15</w:t>
            </w:r>
            <w:r>
              <w:rPr>
                <w:rFonts w:ascii="Times New Roman" w:hAnsi="Times New Roman"/>
                <w:szCs w:val="21"/>
                <w:highlight w:val="none"/>
              </w:rPr>
              <w:t>分</w:t>
            </w:r>
          </w:p>
        </w:tc>
        <w:tc>
          <w:tcPr>
            <w:tcW w:w="5845" w:type="dxa"/>
            <w:noWrap w:val="0"/>
            <w:vAlign w:val="center"/>
          </w:tcPr>
          <w:p w14:paraId="7E4B1A17">
            <w:pPr>
              <w:pStyle w:val="8"/>
              <w:jc w:val="left"/>
              <w:rPr>
                <w:rFonts w:ascii="Times New Roman" w:hAnsi="Times New Roman"/>
                <w:szCs w:val="21"/>
                <w:highlight w:val="none"/>
              </w:rPr>
            </w:pPr>
            <w:r>
              <w:rPr>
                <w:rFonts w:ascii="Times New Roman" w:hAnsi="Times New Roman"/>
                <w:szCs w:val="21"/>
                <w:highlight w:val="none"/>
              </w:rPr>
              <w:t>描述</w:t>
            </w:r>
            <w:r>
              <w:rPr>
                <w:rFonts w:hint="eastAsia" w:ascii="Times New Roman" w:hAnsi="Times New Roman"/>
                <w:szCs w:val="21"/>
                <w:highlight w:val="none"/>
              </w:rPr>
              <w:t>一般</w:t>
            </w:r>
            <w:r>
              <w:rPr>
                <w:rFonts w:ascii="Times New Roman" w:hAnsi="Times New Roman"/>
                <w:szCs w:val="21"/>
                <w:highlight w:val="none"/>
              </w:rPr>
              <w:t>，步骤、程序、可行性一般，得</w:t>
            </w:r>
            <w:r>
              <w:rPr>
                <w:rFonts w:hint="eastAsia" w:ascii="Times New Roman" w:hAnsi="Times New Roman"/>
                <w:szCs w:val="21"/>
                <w:highlight w:val="none"/>
                <w:lang w:val="en-US" w:eastAsia="zh-CN"/>
              </w:rPr>
              <w:t>9</w:t>
            </w:r>
            <w:r>
              <w:rPr>
                <w:rFonts w:ascii="Times New Roman" w:hAnsi="Times New Roman"/>
                <w:szCs w:val="21"/>
                <w:highlight w:val="none"/>
              </w:rPr>
              <w:t>分；</w:t>
            </w:r>
          </w:p>
        </w:tc>
      </w:tr>
      <w:tr w14:paraId="3F6B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14:paraId="7340CEAF">
            <w:pPr>
              <w:pStyle w:val="8"/>
              <w:spacing w:line="160" w:lineRule="atLeast"/>
              <w:jc w:val="center"/>
              <w:rPr>
                <w:rFonts w:ascii="Times New Roman" w:hAnsi="Times New Roman"/>
                <w:szCs w:val="21"/>
                <w:highlight w:val="none"/>
              </w:rPr>
            </w:pPr>
          </w:p>
        </w:tc>
        <w:tc>
          <w:tcPr>
            <w:tcW w:w="741" w:type="dxa"/>
            <w:vMerge w:val="continue"/>
            <w:noWrap w:val="0"/>
            <w:vAlign w:val="center"/>
          </w:tcPr>
          <w:p w14:paraId="21F012F7">
            <w:pPr>
              <w:pStyle w:val="8"/>
              <w:spacing w:line="160" w:lineRule="atLeast"/>
              <w:jc w:val="center"/>
              <w:rPr>
                <w:rFonts w:ascii="Times New Roman" w:hAnsi="Times New Roman"/>
                <w:szCs w:val="21"/>
                <w:highlight w:val="none"/>
              </w:rPr>
            </w:pPr>
          </w:p>
        </w:tc>
        <w:tc>
          <w:tcPr>
            <w:tcW w:w="624" w:type="dxa"/>
            <w:vMerge w:val="continue"/>
            <w:noWrap w:val="0"/>
            <w:vAlign w:val="center"/>
          </w:tcPr>
          <w:p w14:paraId="6B116039">
            <w:pPr>
              <w:pStyle w:val="8"/>
              <w:spacing w:line="160" w:lineRule="atLeast"/>
              <w:jc w:val="center"/>
              <w:rPr>
                <w:rFonts w:ascii="Times New Roman" w:hAnsi="Times New Roman"/>
                <w:szCs w:val="21"/>
                <w:highlight w:val="none"/>
              </w:rPr>
            </w:pPr>
          </w:p>
        </w:tc>
        <w:tc>
          <w:tcPr>
            <w:tcW w:w="1134" w:type="dxa"/>
            <w:vMerge w:val="continue"/>
            <w:noWrap w:val="0"/>
            <w:vAlign w:val="center"/>
          </w:tcPr>
          <w:p w14:paraId="0459E807">
            <w:pPr>
              <w:pStyle w:val="8"/>
              <w:spacing w:line="160" w:lineRule="atLeast"/>
              <w:jc w:val="center"/>
              <w:rPr>
                <w:rFonts w:ascii="Times New Roman" w:hAnsi="Times New Roman"/>
                <w:szCs w:val="21"/>
                <w:highlight w:val="none"/>
              </w:rPr>
            </w:pPr>
          </w:p>
        </w:tc>
        <w:tc>
          <w:tcPr>
            <w:tcW w:w="567" w:type="dxa"/>
            <w:vMerge w:val="continue"/>
            <w:noWrap w:val="0"/>
            <w:vAlign w:val="center"/>
          </w:tcPr>
          <w:p w14:paraId="12AB22BC">
            <w:pPr>
              <w:pStyle w:val="8"/>
              <w:spacing w:line="160" w:lineRule="atLeast"/>
              <w:ind w:leftChars="-48" w:right="-42" w:rightChars="-15" w:hanging="134" w:hangingChars="64"/>
              <w:jc w:val="center"/>
              <w:rPr>
                <w:rFonts w:ascii="Times New Roman" w:hAnsi="Times New Roman"/>
                <w:szCs w:val="21"/>
                <w:highlight w:val="none"/>
              </w:rPr>
            </w:pPr>
          </w:p>
        </w:tc>
        <w:tc>
          <w:tcPr>
            <w:tcW w:w="5845" w:type="dxa"/>
            <w:noWrap w:val="0"/>
            <w:vAlign w:val="center"/>
          </w:tcPr>
          <w:p w14:paraId="5F2C41B5">
            <w:pPr>
              <w:pStyle w:val="8"/>
              <w:jc w:val="left"/>
              <w:rPr>
                <w:rFonts w:ascii="Times New Roman" w:hAnsi="Times New Roman"/>
                <w:spacing w:val="-4"/>
                <w:szCs w:val="21"/>
                <w:highlight w:val="none"/>
              </w:rPr>
            </w:pPr>
            <w:r>
              <w:rPr>
                <w:rFonts w:ascii="Times New Roman" w:hAnsi="Times New Roman"/>
                <w:szCs w:val="21"/>
                <w:highlight w:val="none"/>
              </w:rPr>
              <w:t>描述较准确、步骤和程序较全面、具备一定可行性</w:t>
            </w:r>
            <w:r>
              <w:rPr>
                <w:rFonts w:ascii="Times New Roman" w:hAnsi="Times New Roman"/>
                <w:spacing w:val="-4"/>
                <w:szCs w:val="21"/>
                <w:highlight w:val="none"/>
              </w:rPr>
              <w:t>，得</w:t>
            </w:r>
            <w:r>
              <w:rPr>
                <w:rFonts w:hint="eastAsia" w:ascii="Times New Roman" w:hAnsi="Times New Roman"/>
                <w:szCs w:val="21"/>
                <w:highlight w:val="none"/>
                <w:lang w:val="en-US" w:eastAsia="zh-CN"/>
              </w:rPr>
              <w:t>9</w:t>
            </w:r>
            <w:r>
              <w:rPr>
                <w:rFonts w:ascii="Times New Roman" w:hAnsi="Times New Roman"/>
                <w:szCs w:val="21"/>
                <w:highlight w:val="none"/>
              </w:rPr>
              <w:t>－</w:t>
            </w:r>
            <w:r>
              <w:rPr>
                <w:rFonts w:hint="eastAsia" w:ascii="Times New Roman" w:hAnsi="Times New Roman"/>
                <w:szCs w:val="21"/>
                <w:highlight w:val="none"/>
                <w:lang w:val="en-US" w:eastAsia="zh-CN"/>
              </w:rPr>
              <w:t>12</w:t>
            </w:r>
            <w:r>
              <w:rPr>
                <w:rFonts w:ascii="Times New Roman" w:hAnsi="Times New Roman"/>
                <w:spacing w:val="-4"/>
                <w:szCs w:val="21"/>
                <w:highlight w:val="none"/>
              </w:rPr>
              <w:t>分；</w:t>
            </w:r>
          </w:p>
        </w:tc>
      </w:tr>
      <w:tr w14:paraId="1023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14:paraId="1AA5873F">
            <w:pPr>
              <w:pStyle w:val="8"/>
              <w:spacing w:line="160" w:lineRule="atLeast"/>
              <w:jc w:val="center"/>
              <w:rPr>
                <w:rFonts w:ascii="Times New Roman" w:hAnsi="Times New Roman"/>
                <w:szCs w:val="21"/>
                <w:highlight w:val="none"/>
              </w:rPr>
            </w:pPr>
          </w:p>
        </w:tc>
        <w:tc>
          <w:tcPr>
            <w:tcW w:w="741" w:type="dxa"/>
            <w:vMerge w:val="continue"/>
            <w:noWrap w:val="0"/>
            <w:vAlign w:val="center"/>
          </w:tcPr>
          <w:p w14:paraId="4F57A7EA">
            <w:pPr>
              <w:pStyle w:val="8"/>
              <w:spacing w:line="160" w:lineRule="atLeast"/>
              <w:jc w:val="center"/>
              <w:rPr>
                <w:rFonts w:ascii="Times New Roman" w:hAnsi="Times New Roman"/>
                <w:szCs w:val="21"/>
                <w:highlight w:val="none"/>
              </w:rPr>
            </w:pPr>
          </w:p>
        </w:tc>
        <w:tc>
          <w:tcPr>
            <w:tcW w:w="624" w:type="dxa"/>
            <w:vMerge w:val="continue"/>
            <w:noWrap w:val="0"/>
            <w:vAlign w:val="center"/>
          </w:tcPr>
          <w:p w14:paraId="5B1AA71D">
            <w:pPr>
              <w:pStyle w:val="8"/>
              <w:spacing w:line="160" w:lineRule="atLeast"/>
              <w:jc w:val="center"/>
              <w:rPr>
                <w:rFonts w:ascii="Times New Roman" w:hAnsi="Times New Roman"/>
                <w:szCs w:val="21"/>
                <w:highlight w:val="none"/>
              </w:rPr>
            </w:pPr>
          </w:p>
        </w:tc>
        <w:tc>
          <w:tcPr>
            <w:tcW w:w="1134" w:type="dxa"/>
            <w:vMerge w:val="continue"/>
            <w:noWrap w:val="0"/>
            <w:vAlign w:val="center"/>
          </w:tcPr>
          <w:p w14:paraId="1E8E096C">
            <w:pPr>
              <w:pStyle w:val="8"/>
              <w:spacing w:line="160" w:lineRule="atLeast"/>
              <w:jc w:val="center"/>
              <w:rPr>
                <w:rFonts w:ascii="Times New Roman" w:hAnsi="Times New Roman"/>
                <w:szCs w:val="21"/>
                <w:highlight w:val="none"/>
              </w:rPr>
            </w:pPr>
          </w:p>
        </w:tc>
        <w:tc>
          <w:tcPr>
            <w:tcW w:w="567" w:type="dxa"/>
            <w:vMerge w:val="continue"/>
            <w:noWrap w:val="0"/>
            <w:vAlign w:val="center"/>
          </w:tcPr>
          <w:p w14:paraId="78392CB5">
            <w:pPr>
              <w:pStyle w:val="8"/>
              <w:spacing w:line="160" w:lineRule="atLeast"/>
              <w:ind w:leftChars="-48" w:right="-42" w:rightChars="-15" w:hanging="134" w:hangingChars="64"/>
              <w:jc w:val="center"/>
              <w:rPr>
                <w:rFonts w:ascii="Times New Roman" w:hAnsi="Times New Roman"/>
                <w:szCs w:val="21"/>
                <w:highlight w:val="none"/>
              </w:rPr>
            </w:pPr>
          </w:p>
        </w:tc>
        <w:tc>
          <w:tcPr>
            <w:tcW w:w="5845" w:type="dxa"/>
            <w:noWrap w:val="0"/>
            <w:vAlign w:val="center"/>
          </w:tcPr>
          <w:p w14:paraId="2C8FD59C">
            <w:pPr>
              <w:pStyle w:val="8"/>
              <w:jc w:val="left"/>
              <w:rPr>
                <w:rFonts w:ascii="Times New Roman" w:hAnsi="Times New Roman"/>
                <w:szCs w:val="21"/>
                <w:highlight w:val="none"/>
              </w:rPr>
            </w:pPr>
            <w:r>
              <w:rPr>
                <w:rFonts w:ascii="Times New Roman" w:hAnsi="Times New Roman"/>
                <w:szCs w:val="21"/>
                <w:highlight w:val="none"/>
              </w:rPr>
              <w:t>描述准确、步骤和程序全面、具体、可行，得</w:t>
            </w:r>
            <w:r>
              <w:rPr>
                <w:rFonts w:hint="eastAsia" w:ascii="Times New Roman" w:hAnsi="Times New Roman"/>
                <w:szCs w:val="21"/>
                <w:highlight w:val="none"/>
                <w:lang w:val="en-US" w:eastAsia="zh-CN"/>
              </w:rPr>
              <w:t>12</w:t>
            </w:r>
            <w:r>
              <w:rPr>
                <w:rFonts w:ascii="Times New Roman" w:hAnsi="Times New Roman"/>
                <w:szCs w:val="21"/>
                <w:highlight w:val="none"/>
              </w:rPr>
              <w:t>－</w:t>
            </w:r>
            <w:r>
              <w:rPr>
                <w:rFonts w:hint="eastAsia" w:ascii="Times New Roman" w:hAnsi="Times New Roman"/>
                <w:szCs w:val="21"/>
                <w:highlight w:val="none"/>
                <w:lang w:val="en-US" w:eastAsia="zh-CN"/>
              </w:rPr>
              <w:t>15</w:t>
            </w:r>
            <w:r>
              <w:rPr>
                <w:rFonts w:ascii="Times New Roman" w:hAnsi="Times New Roman"/>
                <w:szCs w:val="21"/>
                <w:highlight w:val="none"/>
              </w:rPr>
              <w:t>分。</w:t>
            </w:r>
          </w:p>
        </w:tc>
      </w:tr>
      <w:tr w14:paraId="01BE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28086EF6">
            <w:pPr>
              <w:pStyle w:val="8"/>
              <w:spacing w:line="160" w:lineRule="atLeast"/>
              <w:jc w:val="center"/>
              <w:rPr>
                <w:rFonts w:ascii="Times New Roman" w:hAnsi="Times New Roman"/>
                <w:szCs w:val="21"/>
                <w:highlight w:val="none"/>
              </w:rPr>
            </w:pPr>
          </w:p>
        </w:tc>
        <w:tc>
          <w:tcPr>
            <w:tcW w:w="741" w:type="dxa"/>
            <w:vMerge w:val="continue"/>
            <w:noWrap w:val="0"/>
            <w:vAlign w:val="top"/>
          </w:tcPr>
          <w:p w14:paraId="3D80E311">
            <w:pPr>
              <w:pStyle w:val="8"/>
              <w:spacing w:line="160" w:lineRule="atLeast"/>
              <w:jc w:val="center"/>
              <w:rPr>
                <w:rFonts w:ascii="Times New Roman" w:hAnsi="Times New Roman"/>
                <w:szCs w:val="21"/>
                <w:highlight w:val="none"/>
              </w:rPr>
            </w:pPr>
          </w:p>
        </w:tc>
        <w:tc>
          <w:tcPr>
            <w:tcW w:w="624" w:type="dxa"/>
            <w:vMerge w:val="continue"/>
            <w:noWrap w:val="0"/>
            <w:vAlign w:val="center"/>
          </w:tcPr>
          <w:p w14:paraId="18F86ED5">
            <w:pPr>
              <w:pStyle w:val="8"/>
              <w:spacing w:line="160" w:lineRule="atLeast"/>
              <w:jc w:val="center"/>
              <w:rPr>
                <w:rFonts w:ascii="Times New Roman" w:hAnsi="Times New Roman"/>
                <w:szCs w:val="21"/>
                <w:highlight w:val="none"/>
              </w:rPr>
            </w:pPr>
          </w:p>
        </w:tc>
        <w:tc>
          <w:tcPr>
            <w:tcW w:w="1134" w:type="dxa"/>
            <w:vMerge w:val="restart"/>
            <w:noWrap w:val="0"/>
            <w:vAlign w:val="center"/>
          </w:tcPr>
          <w:p w14:paraId="50BB75FD">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工作</w:t>
            </w:r>
            <w:r>
              <w:rPr>
                <w:rFonts w:ascii="Times New Roman" w:hAnsi="Times New Roman"/>
                <w:szCs w:val="21"/>
                <w:highlight w:val="none"/>
              </w:rPr>
              <w:t>重点及难点分析</w:t>
            </w:r>
          </w:p>
        </w:tc>
        <w:tc>
          <w:tcPr>
            <w:tcW w:w="567" w:type="dxa"/>
            <w:vMerge w:val="restart"/>
            <w:noWrap w:val="0"/>
            <w:vAlign w:val="center"/>
          </w:tcPr>
          <w:p w14:paraId="638564EA">
            <w:pPr>
              <w:pStyle w:val="8"/>
              <w:spacing w:line="160" w:lineRule="atLeast"/>
              <w:ind w:leftChars="-48" w:right="-42" w:rightChars="-15" w:hanging="134" w:hangingChars="64"/>
              <w:jc w:val="center"/>
              <w:rPr>
                <w:rFonts w:ascii="Times New Roman" w:hAnsi="Times New Roman"/>
                <w:szCs w:val="21"/>
                <w:highlight w:val="none"/>
              </w:rPr>
            </w:pPr>
            <w:r>
              <w:rPr>
                <w:rFonts w:hint="eastAsia" w:ascii="Times New Roman" w:hAnsi="Times New Roman"/>
                <w:szCs w:val="21"/>
                <w:highlight w:val="none"/>
                <w:lang w:val="en-US" w:eastAsia="zh-CN"/>
              </w:rPr>
              <w:t>15</w:t>
            </w:r>
            <w:r>
              <w:rPr>
                <w:rFonts w:ascii="Times New Roman" w:hAnsi="Times New Roman"/>
                <w:szCs w:val="21"/>
                <w:highlight w:val="none"/>
              </w:rPr>
              <w:t>分</w:t>
            </w:r>
          </w:p>
        </w:tc>
        <w:tc>
          <w:tcPr>
            <w:tcW w:w="5845" w:type="dxa"/>
            <w:noWrap w:val="0"/>
            <w:vAlign w:val="center"/>
          </w:tcPr>
          <w:p w14:paraId="442B2BE9">
            <w:pPr>
              <w:pStyle w:val="8"/>
              <w:jc w:val="left"/>
              <w:rPr>
                <w:rFonts w:ascii="Times New Roman" w:hAnsi="Times New Roman"/>
                <w:szCs w:val="21"/>
                <w:highlight w:val="none"/>
              </w:rPr>
            </w:pPr>
            <w:r>
              <w:rPr>
                <w:rFonts w:ascii="Times New Roman" w:hAnsi="Times New Roman"/>
                <w:szCs w:val="21"/>
                <w:highlight w:val="none"/>
              </w:rPr>
              <w:t>一般，得</w:t>
            </w:r>
            <w:r>
              <w:rPr>
                <w:rFonts w:hint="eastAsia" w:ascii="Times New Roman" w:hAnsi="Times New Roman"/>
                <w:szCs w:val="21"/>
                <w:highlight w:val="none"/>
                <w:lang w:val="en-US" w:eastAsia="zh-CN"/>
              </w:rPr>
              <w:t>9</w:t>
            </w:r>
            <w:r>
              <w:rPr>
                <w:rFonts w:ascii="Times New Roman" w:hAnsi="Times New Roman"/>
                <w:szCs w:val="21"/>
                <w:highlight w:val="none"/>
              </w:rPr>
              <w:t>分；</w:t>
            </w:r>
          </w:p>
        </w:tc>
      </w:tr>
      <w:tr w14:paraId="7089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2E35429C">
            <w:pPr>
              <w:pStyle w:val="8"/>
              <w:spacing w:line="160" w:lineRule="atLeast"/>
              <w:jc w:val="center"/>
              <w:rPr>
                <w:rFonts w:ascii="Times New Roman" w:hAnsi="Times New Roman"/>
                <w:szCs w:val="21"/>
                <w:highlight w:val="none"/>
              </w:rPr>
            </w:pPr>
          </w:p>
        </w:tc>
        <w:tc>
          <w:tcPr>
            <w:tcW w:w="741" w:type="dxa"/>
            <w:vMerge w:val="continue"/>
            <w:noWrap w:val="0"/>
            <w:vAlign w:val="top"/>
          </w:tcPr>
          <w:p w14:paraId="2E963057">
            <w:pPr>
              <w:pStyle w:val="8"/>
              <w:spacing w:line="160" w:lineRule="atLeast"/>
              <w:jc w:val="center"/>
              <w:rPr>
                <w:rFonts w:ascii="Times New Roman" w:hAnsi="Times New Roman"/>
                <w:szCs w:val="21"/>
                <w:highlight w:val="none"/>
              </w:rPr>
            </w:pPr>
          </w:p>
        </w:tc>
        <w:tc>
          <w:tcPr>
            <w:tcW w:w="624" w:type="dxa"/>
            <w:vMerge w:val="continue"/>
            <w:noWrap w:val="0"/>
            <w:vAlign w:val="top"/>
          </w:tcPr>
          <w:p w14:paraId="59A9B86C">
            <w:pPr>
              <w:pStyle w:val="8"/>
              <w:spacing w:line="160" w:lineRule="atLeast"/>
              <w:jc w:val="center"/>
              <w:rPr>
                <w:rFonts w:ascii="Times New Roman" w:hAnsi="Times New Roman"/>
                <w:szCs w:val="21"/>
                <w:highlight w:val="none"/>
              </w:rPr>
            </w:pPr>
          </w:p>
        </w:tc>
        <w:tc>
          <w:tcPr>
            <w:tcW w:w="1134" w:type="dxa"/>
            <w:vMerge w:val="continue"/>
            <w:noWrap w:val="0"/>
            <w:vAlign w:val="top"/>
          </w:tcPr>
          <w:p w14:paraId="76C1008A">
            <w:pPr>
              <w:pStyle w:val="8"/>
              <w:spacing w:line="160" w:lineRule="atLeast"/>
              <w:jc w:val="center"/>
              <w:rPr>
                <w:rFonts w:ascii="Times New Roman" w:hAnsi="Times New Roman"/>
                <w:szCs w:val="21"/>
                <w:highlight w:val="none"/>
              </w:rPr>
            </w:pPr>
          </w:p>
        </w:tc>
        <w:tc>
          <w:tcPr>
            <w:tcW w:w="567" w:type="dxa"/>
            <w:vMerge w:val="continue"/>
            <w:noWrap w:val="0"/>
            <w:vAlign w:val="center"/>
          </w:tcPr>
          <w:p w14:paraId="71CBDA79">
            <w:pPr>
              <w:pStyle w:val="8"/>
              <w:spacing w:line="160" w:lineRule="atLeast"/>
              <w:jc w:val="center"/>
              <w:rPr>
                <w:rFonts w:ascii="Times New Roman" w:hAnsi="Times New Roman"/>
                <w:szCs w:val="21"/>
                <w:highlight w:val="none"/>
              </w:rPr>
            </w:pPr>
          </w:p>
        </w:tc>
        <w:tc>
          <w:tcPr>
            <w:tcW w:w="5845" w:type="dxa"/>
            <w:noWrap w:val="0"/>
            <w:vAlign w:val="center"/>
          </w:tcPr>
          <w:p w14:paraId="22184675">
            <w:pPr>
              <w:pStyle w:val="8"/>
              <w:jc w:val="left"/>
              <w:rPr>
                <w:rFonts w:ascii="Times New Roman" w:hAnsi="Times New Roman"/>
                <w:szCs w:val="21"/>
                <w:highlight w:val="none"/>
              </w:rPr>
            </w:pPr>
            <w:r>
              <w:rPr>
                <w:rFonts w:ascii="Times New Roman" w:hAnsi="Times New Roman"/>
                <w:szCs w:val="21"/>
                <w:highlight w:val="none"/>
              </w:rPr>
              <w:t>分析较全面、措施较得力</w:t>
            </w:r>
            <w:r>
              <w:rPr>
                <w:rFonts w:hint="eastAsia" w:ascii="Times New Roman" w:hAnsi="Times New Roman"/>
                <w:szCs w:val="21"/>
                <w:highlight w:val="none"/>
              </w:rPr>
              <w:t>，得</w:t>
            </w:r>
            <w:r>
              <w:rPr>
                <w:rFonts w:hint="eastAsia" w:ascii="Times New Roman" w:hAnsi="Times New Roman"/>
                <w:szCs w:val="21"/>
                <w:highlight w:val="none"/>
                <w:lang w:val="en-US" w:eastAsia="zh-CN"/>
              </w:rPr>
              <w:t>9</w:t>
            </w:r>
            <w:r>
              <w:rPr>
                <w:rFonts w:hint="eastAsia" w:ascii="Times New Roman" w:hAnsi="Times New Roman"/>
                <w:szCs w:val="21"/>
                <w:highlight w:val="none"/>
              </w:rPr>
              <w:t>－</w:t>
            </w:r>
            <w:r>
              <w:rPr>
                <w:rFonts w:hint="eastAsia" w:ascii="Times New Roman" w:hAnsi="Times New Roman"/>
                <w:szCs w:val="21"/>
                <w:highlight w:val="none"/>
                <w:lang w:val="en-US" w:eastAsia="zh-CN"/>
              </w:rPr>
              <w:t>12</w:t>
            </w:r>
            <w:r>
              <w:rPr>
                <w:rFonts w:ascii="Times New Roman" w:hAnsi="Times New Roman"/>
                <w:szCs w:val="21"/>
                <w:highlight w:val="none"/>
              </w:rPr>
              <w:t>分；</w:t>
            </w:r>
          </w:p>
        </w:tc>
      </w:tr>
      <w:tr w14:paraId="6B05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5CD03936">
            <w:pPr>
              <w:pStyle w:val="8"/>
              <w:spacing w:line="160" w:lineRule="atLeast"/>
              <w:jc w:val="center"/>
              <w:rPr>
                <w:rFonts w:ascii="Times New Roman" w:hAnsi="Times New Roman"/>
                <w:szCs w:val="21"/>
                <w:highlight w:val="none"/>
              </w:rPr>
            </w:pPr>
          </w:p>
        </w:tc>
        <w:tc>
          <w:tcPr>
            <w:tcW w:w="741" w:type="dxa"/>
            <w:vMerge w:val="continue"/>
            <w:noWrap w:val="0"/>
            <w:vAlign w:val="top"/>
          </w:tcPr>
          <w:p w14:paraId="75BB2F6B">
            <w:pPr>
              <w:pStyle w:val="8"/>
              <w:spacing w:line="160" w:lineRule="atLeast"/>
              <w:jc w:val="center"/>
              <w:rPr>
                <w:rFonts w:ascii="Times New Roman" w:hAnsi="Times New Roman"/>
                <w:szCs w:val="21"/>
                <w:highlight w:val="none"/>
              </w:rPr>
            </w:pPr>
          </w:p>
        </w:tc>
        <w:tc>
          <w:tcPr>
            <w:tcW w:w="624" w:type="dxa"/>
            <w:vMerge w:val="continue"/>
            <w:noWrap w:val="0"/>
            <w:vAlign w:val="top"/>
          </w:tcPr>
          <w:p w14:paraId="5F275559">
            <w:pPr>
              <w:pStyle w:val="8"/>
              <w:spacing w:line="160" w:lineRule="atLeast"/>
              <w:jc w:val="center"/>
              <w:rPr>
                <w:rFonts w:ascii="Times New Roman" w:hAnsi="Times New Roman"/>
                <w:szCs w:val="21"/>
                <w:highlight w:val="none"/>
              </w:rPr>
            </w:pPr>
          </w:p>
        </w:tc>
        <w:tc>
          <w:tcPr>
            <w:tcW w:w="1134" w:type="dxa"/>
            <w:vMerge w:val="continue"/>
            <w:noWrap w:val="0"/>
            <w:vAlign w:val="top"/>
          </w:tcPr>
          <w:p w14:paraId="578E85B3">
            <w:pPr>
              <w:pStyle w:val="8"/>
              <w:spacing w:line="160" w:lineRule="atLeast"/>
              <w:jc w:val="center"/>
              <w:rPr>
                <w:rFonts w:ascii="Times New Roman" w:hAnsi="Times New Roman"/>
                <w:szCs w:val="21"/>
                <w:highlight w:val="none"/>
              </w:rPr>
            </w:pPr>
          </w:p>
        </w:tc>
        <w:tc>
          <w:tcPr>
            <w:tcW w:w="567" w:type="dxa"/>
            <w:vMerge w:val="continue"/>
            <w:noWrap w:val="0"/>
            <w:vAlign w:val="center"/>
          </w:tcPr>
          <w:p w14:paraId="31B2AFD3">
            <w:pPr>
              <w:pStyle w:val="8"/>
              <w:spacing w:line="160" w:lineRule="atLeast"/>
              <w:jc w:val="center"/>
              <w:rPr>
                <w:rFonts w:ascii="Times New Roman" w:hAnsi="Times New Roman"/>
                <w:szCs w:val="21"/>
                <w:highlight w:val="none"/>
              </w:rPr>
            </w:pPr>
          </w:p>
        </w:tc>
        <w:tc>
          <w:tcPr>
            <w:tcW w:w="5845" w:type="dxa"/>
            <w:noWrap w:val="0"/>
            <w:vAlign w:val="center"/>
          </w:tcPr>
          <w:p w14:paraId="56EE79EB">
            <w:pPr>
              <w:pStyle w:val="8"/>
              <w:jc w:val="left"/>
              <w:rPr>
                <w:rFonts w:ascii="Times New Roman" w:hAnsi="Times New Roman"/>
                <w:szCs w:val="21"/>
                <w:highlight w:val="none"/>
              </w:rPr>
            </w:pPr>
            <w:r>
              <w:rPr>
                <w:rFonts w:ascii="Times New Roman" w:hAnsi="Times New Roman"/>
                <w:szCs w:val="21"/>
                <w:highlight w:val="none"/>
              </w:rPr>
              <w:t>分析透彻、措施具体得力，得</w:t>
            </w:r>
            <w:r>
              <w:rPr>
                <w:rFonts w:hint="eastAsia" w:ascii="Times New Roman" w:hAnsi="Times New Roman"/>
                <w:szCs w:val="21"/>
                <w:highlight w:val="none"/>
                <w:lang w:val="en-US" w:eastAsia="zh-CN"/>
              </w:rPr>
              <w:t>12</w:t>
            </w:r>
            <w:r>
              <w:rPr>
                <w:rFonts w:ascii="Times New Roman" w:hAnsi="Times New Roman"/>
                <w:szCs w:val="21"/>
                <w:highlight w:val="none"/>
              </w:rPr>
              <w:t>－</w:t>
            </w:r>
            <w:r>
              <w:rPr>
                <w:rFonts w:hint="eastAsia" w:ascii="Times New Roman" w:hAnsi="Times New Roman"/>
                <w:szCs w:val="21"/>
                <w:highlight w:val="none"/>
                <w:lang w:val="en-US" w:eastAsia="zh-CN"/>
              </w:rPr>
              <w:t>15</w:t>
            </w:r>
            <w:r>
              <w:rPr>
                <w:rFonts w:ascii="Times New Roman" w:hAnsi="Times New Roman"/>
                <w:szCs w:val="21"/>
                <w:highlight w:val="none"/>
              </w:rPr>
              <w:t>分。</w:t>
            </w:r>
          </w:p>
        </w:tc>
      </w:tr>
      <w:tr w14:paraId="1A1B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4043B0D5">
            <w:pPr>
              <w:pStyle w:val="8"/>
              <w:spacing w:line="160" w:lineRule="atLeast"/>
              <w:jc w:val="center"/>
              <w:rPr>
                <w:rFonts w:ascii="Times New Roman" w:hAnsi="Times New Roman"/>
                <w:szCs w:val="21"/>
                <w:highlight w:val="none"/>
              </w:rPr>
            </w:pPr>
          </w:p>
        </w:tc>
        <w:tc>
          <w:tcPr>
            <w:tcW w:w="741" w:type="dxa"/>
            <w:vMerge w:val="continue"/>
            <w:noWrap w:val="0"/>
            <w:vAlign w:val="top"/>
          </w:tcPr>
          <w:p w14:paraId="79CFD702">
            <w:pPr>
              <w:pStyle w:val="8"/>
              <w:spacing w:line="160" w:lineRule="atLeast"/>
              <w:jc w:val="center"/>
              <w:rPr>
                <w:rFonts w:ascii="Times New Roman" w:hAnsi="Times New Roman"/>
                <w:szCs w:val="21"/>
                <w:highlight w:val="none"/>
              </w:rPr>
            </w:pPr>
          </w:p>
        </w:tc>
        <w:tc>
          <w:tcPr>
            <w:tcW w:w="624" w:type="dxa"/>
            <w:vMerge w:val="continue"/>
            <w:noWrap w:val="0"/>
            <w:vAlign w:val="center"/>
          </w:tcPr>
          <w:p w14:paraId="72A9509B">
            <w:pPr>
              <w:pStyle w:val="8"/>
              <w:spacing w:line="160" w:lineRule="atLeast"/>
              <w:jc w:val="center"/>
              <w:rPr>
                <w:rFonts w:ascii="Times New Roman" w:hAnsi="Times New Roman"/>
                <w:szCs w:val="21"/>
                <w:highlight w:val="none"/>
              </w:rPr>
            </w:pPr>
          </w:p>
        </w:tc>
        <w:tc>
          <w:tcPr>
            <w:tcW w:w="1134" w:type="dxa"/>
            <w:vMerge w:val="restart"/>
            <w:noWrap w:val="0"/>
            <w:vAlign w:val="center"/>
          </w:tcPr>
          <w:p w14:paraId="14833B4B">
            <w:pPr>
              <w:pStyle w:val="8"/>
              <w:spacing w:line="160" w:lineRule="atLeast"/>
              <w:ind w:right="-78" w:rightChars="-28"/>
              <w:jc w:val="center"/>
              <w:rPr>
                <w:rFonts w:ascii="Times New Roman" w:hAnsi="Times New Roman"/>
                <w:szCs w:val="21"/>
                <w:highlight w:val="none"/>
              </w:rPr>
            </w:pPr>
            <w:r>
              <w:rPr>
                <w:rFonts w:ascii="Times New Roman" w:hAnsi="Times New Roman"/>
                <w:szCs w:val="21"/>
                <w:highlight w:val="none"/>
              </w:rPr>
              <w:t>工作质量</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进度</w:t>
            </w:r>
            <w:r>
              <w:rPr>
                <w:rFonts w:ascii="Times New Roman" w:hAnsi="Times New Roman"/>
                <w:szCs w:val="21"/>
                <w:highlight w:val="none"/>
              </w:rPr>
              <w:t>控制方法及措施</w:t>
            </w:r>
          </w:p>
        </w:tc>
        <w:tc>
          <w:tcPr>
            <w:tcW w:w="567" w:type="dxa"/>
            <w:vMerge w:val="restart"/>
            <w:noWrap w:val="0"/>
            <w:vAlign w:val="center"/>
          </w:tcPr>
          <w:p w14:paraId="4F11CE25">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10</w:t>
            </w:r>
            <w:r>
              <w:rPr>
                <w:rFonts w:ascii="Times New Roman" w:hAnsi="Times New Roman"/>
                <w:szCs w:val="21"/>
                <w:highlight w:val="none"/>
              </w:rPr>
              <w:t>分</w:t>
            </w:r>
          </w:p>
        </w:tc>
        <w:tc>
          <w:tcPr>
            <w:tcW w:w="5845" w:type="dxa"/>
            <w:noWrap w:val="0"/>
            <w:vAlign w:val="center"/>
          </w:tcPr>
          <w:p w14:paraId="7F47CB36">
            <w:pPr>
              <w:pStyle w:val="8"/>
              <w:spacing w:line="300" w:lineRule="exact"/>
              <w:jc w:val="left"/>
              <w:rPr>
                <w:rFonts w:ascii="Times New Roman" w:hAnsi="Times New Roman"/>
                <w:szCs w:val="21"/>
                <w:highlight w:val="none"/>
              </w:rPr>
            </w:pPr>
            <w:r>
              <w:rPr>
                <w:rFonts w:ascii="Times New Roman" w:hAnsi="Times New Roman"/>
                <w:szCs w:val="21"/>
                <w:highlight w:val="none"/>
              </w:rPr>
              <w:t>拟采取的控制方法及措施符合法律法规要求，针对性、可操作性一般，得</w:t>
            </w:r>
            <w:r>
              <w:rPr>
                <w:rFonts w:hint="eastAsia" w:ascii="Times New Roman" w:hAnsi="Times New Roman"/>
                <w:szCs w:val="21"/>
                <w:highlight w:val="none"/>
                <w:lang w:val="en-US" w:eastAsia="zh-CN"/>
              </w:rPr>
              <w:t>6</w:t>
            </w:r>
            <w:r>
              <w:rPr>
                <w:rFonts w:ascii="Times New Roman" w:hAnsi="Times New Roman"/>
                <w:szCs w:val="21"/>
                <w:highlight w:val="none"/>
              </w:rPr>
              <w:t>分；</w:t>
            </w:r>
          </w:p>
        </w:tc>
      </w:tr>
      <w:tr w14:paraId="4027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1AB580E1">
            <w:pPr>
              <w:pStyle w:val="8"/>
              <w:spacing w:line="160" w:lineRule="atLeast"/>
              <w:jc w:val="center"/>
              <w:rPr>
                <w:rFonts w:ascii="Times New Roman" w:hAnsi="Times New Roman"/>
                <w:szCs w:val="21"/>
                <w:highlight w:val="none"/>
              </w:rPr>
            </w:pPr>
          </w:p>
        </w:tc>
        <w:tc>
          <w:tcPr>
            <w:tcW w:w="741" w:type="dxa"/>
            <w:vMerge w:val="continue"/>
            <w:noWrap w:val="0"/>
            <w:vAlign w:val="top"/>
          </w:tcPr>
          <w:p w14:paraId="373BEEDB">
            <w:pPr>
              <w:pStyle w:val="8"/>
              <w:spacing w:line="160" w:lineRule="atLeast"/>
              <w:jc w:val="center"/>
              <w:rPr>
                <w:rFonts w:ascii="Times New Roman" w:hAnsi="Times New Roman"/>
                <w:szCs w:val="21"/>
                <w:highlight w:val="none"/>
              </w:rPr>
            </w:pPr>
          </w:p>
        </w:tc>
        <w:tc>
          <w:tcPr>
            <w:tcW w:w="624" w:type="dxa"/>
            <w:vMerge w:val="continue"/>
            <w:noWrap w:val="0"/>
            <w:vAlign w:val="top"/>
          </w:tcPr>
          <w:p w14:paraId="0D7BF651">
            <w:pPr>
              <w:pStyle w:val="8"/>
              <w:spacing w:line="160" w:lineRule="atLeast"/>
              <w:jc w:val="center"/>
              <w:rPr>
                <w:rFonts w:ascii="Times New Roman" w:hAnsi="Times New Roman"/>
                <w:szCs w:val="21"/>
                <w:highlight w:val="none"/>
              </w:rPr>
            </w:pPr>
          </w:p>
        </w:tc>
        <w:tc>
          <w:tcPr>
            <w:tcW w:w="1134" w:type="dxa"/>
            <w:vMerge w:val="continue"/>
            <w:noWrap w:val="0"/>
            <w:vAlign w:val="top"/>
          </w:tcPr>
          <w:p w14:paraId="5AEDBA02">
            <w:pPr>
              <w:pStyle w:val="8"/>
              <w:spacing w:line="160" w:lineRule="atLeast"/>
              <w:jc w:val="center"/>
              <w:rPr>
                <w:rFonts w:ascii="Times New Roman" w:hAnsi="Times New Roman"/>
                <w:szCs w:val="21"/>
                <w:highlight w:val="none"/>
              </w:rPr>
            </w:pPr>
          </w:p>
        </w:tc>
        <w:tc>
          <w:tcPr>
            <w:tcW w:w="567" w:type="dxa"/>
            <w:vMerge w:val="continue"/>
            <w:noWrap w:val="0"/>
            <w:vAlign w:val="center"/>
          </w:tcPr>
          <w:p w14:paraId="5B1DDA83">
            <w:pPr>
              <w:pStyle w:val="8"/>
              <w:spacing w:line="160" w:lineRule="atLeast"/>
              <w:jc w:val="center"/>
              <w:rPr>
                <w:rFonts w:ascii="Times New Roman" w:hAnsi="Times New Roman"/>
                <w:szCs w:val="21"/>
                <w:highlight w:val="none"/>
              </w:rPr>
            </w:pPr>
          </w:p>
        </w:tc>
        <w:tc>
          <w:tcPr>
            <w:tcW w:w="5845" w:type="dxa"/>
            <w:noWrap w:val="0"/>
            <w:vAlign w:val="center"/>
          </w:tcPr>
          <w:p w14:paraId="4603AE39">
            <w:pPr>
              <w:pStyle w:val="8"/>
              <w:spacing w:line="300" w:lineRule="exact"/>
              <w:jc w:val="left"/>
              <w:rPr>
                <w:rFonts w:ascii="Times New Roman" w:hAnsi="Times New Roman"/>
                <w:szCs w:val="21"/>
                <w:highlight w:val="none"/>
              </w:rPr>
            </w:pPr>
            <w:r>
              <w:rPr>
                <w:rFonts w:ascii="Times New Roman" w:hAnsi="Times New Roman"/>
                <w:szCs w:val="21"/>
                <w:highlight w:val="none"/>
              </w:rPr>
              <w:t>拟采取的控制方法及措施符合法律法规要求，针对性、可操作性较强，得</w:t>
            </w:r>
            <w:r>
              <w:rPr>
                <w:rFonts w:hint="eastAsia" w:ascii="Times New Roman" w:hAnsi="Times New Roman"/>
                <w:szCs w:val="21"/>
                <w:highlight w:val="none"/>
                <w:lang w:val="en-US" w:eastAsia="zh-CN"/>
              </w:rPr>
              <w:t>6</w:t>
            </w:r>
            <w:r>
              <w:rPr>
                <w:rFonts w:ascii="Times New Roman" w:hAnsi="Times New Roman"/>
                <w:szCs w:val="21"/>
                <w:highlight w:val="none"/>
              </w:rPr>
              <w:t>－</w:t>
            </w:r>
            <w:r>
              <w:rPr>
                <w:rFonts w:hint="eastAsia" w:ascii="Times New Roman" w:hAnsi="Times New Roman"/>
                <w:szCs w:val="21"/>
                <w:highlight w:val="none"/>
                <w:lang w:val="en-US" w:eastAsia="zh-CN"/>
              </w:rPr>
              <w:t>8</w:t>
            </w:r>
            <w:r>
              <w:rPr>
                <w:rFonts w:ascii="Times New Roman" w:hAnsi="Times New Roman"/>
                <w:szCs w:val="21"/>
                <w:highlight w:val="none"/>
              </w:rPr>
              <w:t>分；</w:t>
            </w:r>
          </w:p>
        </w:tc>
      </w:tr>
      <w:tr w14:paraId="3697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41" w:type="dxa"/>
            <w:vMerge w:val="continue"/>
            <w:noWrap w:val="0"/>
            <w:vAlign w:val="top"/>
          </w:tcPr>
          <w:p w14:paraId="51D76354">
            <w:pPr>
              <w:pStyle w:val="8"/>
              <w:spacing w:line="160" w:lineRule="atLeast"/>
              <w:jc w:val="center"/>
              <w:rPr>
                <w:rFonts w:ascii="Times New Roman" w:hAnsi="Times New Roman"/>
                <w:szCs w:val="21"/>
                <w:highlight w:val="none"/>
              </w:rPr>
            </w:pPr>
          </w:p>
        </w:tc>
        <w:tc>
          <w:tcPr>
            <w:tcW w:w="741" w:type="dxa"/>
            <w:vMerge w:val="continue"/>
            <w:noWrap w:val="0"/>
            <w:vAlign w:val="top"/>
          </w:tcPr>
          <w:p w14:paraId="095ED36D">
            <w:pPr>
              <w:pStyle w:val="8"/>
              <w:spacing w:line="160" w:lineRule="atLeast"/>
              <w:jc w:val="center"/>
              <w:rPr>
                <w:rFonts w:ascii="Times New Roman" w:hAnsi="Times New Roman"/>
                <w:szCs w:val="21"/>
                <w:highlight w:val="none"/>
              </w:rPr>
            </w:pPr>
          </w:p>
        </w:tc>
        <w:tc>
          <w:tcPr>
            <w:tcW w:w="624" w:type="dxa"/>
            <w:vMerge w:val="continue"/>
            <w:noWrap w:val="0"/>
            <w:vAlign w:val="top"/>
          </w:tcPr>
          <w:p w14:paraId="225E1D49">
            <w:pPr>
              <w:pStyle w:val="8"/>
              <w:spacing w:line="160" w:lineRule="atLeast"/>
              <w:jc w:val="center"/>
              <w:rPr>
                <w:rFonts w:ascii="Times New Roman" w:hAnsi="Times New Roman"/>
                <w:szCs w:val="21"/>
                <w:highlight w:val="none"/>
              </w:rPr>
            </w:pPr>
          </w:p>
        </w:tc>
        <w:tc>
          <w:tcPr>
            <w:tcW w:w="1134" w:type="dxa"/>
            <w:vMerge w:val="continue"/>
            <w:noWrap w:val="0"/>
            <w:vAlign w:val="top"/>
          </w:tcPr>
          <w:p w14:paraId="3B6DAA23">
            <w:pPr>
              <w:pStyle w:val="8"/>
              <w:spacing w:line="160" w:lineRule="atLeast"/>
              <w:jc w:val="center"/>
              <w:rPr>
                <w:rFonts w:ascii="Times New Roman" w:hAnsi="Times New Roman"/>
                <w:szCs w:val="21"/>
                <w:highlight w:val="none"/>
              </w:rPr>
            </w:pPr>
          </w:p>
        </w:tc>
        <w:tc>
          <w:tcPr>
            <w:tcW w:w="567" w:type="dxa"/>
            <w:vMerge w:val="continue"/>
            <w:noWrap w:val="0"/>
            <w:vAlign w:val="center"/>
          </w:tcPr>
          <w:p w14:paraId="113B20B2">
            <w:pPr>
              <w:pStyle w:val="8"/>
              <w:spacing w:line="160" w:lineRule="atLeast"/>
              <w:jc w:val="center"/>
              <w:rPr>
                <w:rFonts w:ascii="Times New Roman" w:hAnsi="Times New Roman"/>
                <w:szCs w:val="21"/>
                <w:highlight w:val="none"/>
              </w:rPr>
            </w:pPr>
          </w:p>
        </w:tc>
        <w:tc>
          <w:tcPr>
            <w:tcW w:w="5845" w:type="dxa"/>
            <w:tcBorders>
              <w:bottom w:val="single" w:color="auto" w:sz="4" w:space="0"/>
            </w:tcBorders>
            <w:noWrap w:val="0"/>
            <w:vAlign w:val="center"/>
          </w:tcPr>
          <w:p w14:paraId="08D44BC9">
            <w:pPr>
              <w:pStyle w:val="8"/>
              <w:spacing w:line="300" w:lineRule="exact"/>
              <w:jc w:val="left"/>
              <w:rPr>
                <w:rFonts w:ascii="Times New Roman" w:hAnsi="Times New Roman"/>
                <w:szCs w:val="21"/>
                <w:highlight w:val="none"/>
              </w:rPr>
            </w:pPr>
            <w:r>
              <w:rPr>
                <w:rFonts w:ascii="Times New Roman" w:hAnsi="Times New Roman"/>
                <w:szCs w:val="21"/>
                <w:highlight w:val="none"/>
              </w:rPr>
              <w:t>拟采取的控制方法及措施符合法律法规要求，针对性、可操作性强，得</w:t>
            </w:r>
            <w:r>
              <w:rPr>
                <w:rFonts w:hint="eastAsia" w:ascii="Times New Roman" w:hAnsi="Times New Roman"/>
                <w:szCs w:val="21"/>
                <w:highlight w:val="none"/>
                <w:lang w:val="en-US" w:eastAsia="zh-CN"/>
              </w:rPr>
              <w:t>8</w:t>
            </w:r>
            <w:r>
              <w:rPr>
                <w:rFonts w:ascii="Times New Roman" w:hAnsi="Times New Roman"/>
                <w:szCs w:val="21"/>
                <w:highlight w:val="none"/>
              </w:rPr>
              <w:t>－</w:t>
            </w:r>
            <w:r>
              <w:rPr>
                <w:rFonts w:hint="eastAsia" w:ascii="Times New Roman" w:hAnsi="Times New Roman"/>
                <w:szCs w:val="21"/>
                <w:highlight w:val="none"/>
                <w:lang w:val="en-US" w:eastAsia="zh-CN"/>
              </w:rPr>
              <w:t>10</w:t>
            </w:r>
            <w:r>
              <w:rPr>
                <w:rFonts w:ascii="Times New Roman" w:hAnsi="Times New Roman"/>
                <w:szCs w:val="21"/>
                <w:highlight w:val="none"/>
              </w:rPr>
              <w:t>分。</w:t>
            </w:r>
          </w:p>
        </w:tc>
      </w:tr>
      <w:tr w14:paraId="5F74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41" w:type="dxa"/>
            <w:vMerge w:val="restart"/>
            <w:tcBorders>
              <w:top w:val="nil"/>
            </w:tcBorders>
            <w:noWrap w:val="0"/>
            <w:vAlign w:val="center"/>
          </w:tcPr>
          <w:p w14:paraId="1ED7099D">
            <w:pPr>
              <w:pStyle w:val="8"/>
              <w:spacing w:line="160" w:lineRule="atLeast"/>
              <w:jc w:val="center"/>
              <w:rPr>
                <w:rFonts w:ascii="Times New Roman" w:hAnsi="Times New Roman"/>
                <w:szCs w:val="21"/>
                <w:highlight w:val="none"/>
              </w:rPr>
            </w:pPr>
            <w:r>
              <w:rPr>
                <w:rFonts w:ascii="Times New Roman" w:hAnsi="Times New Roman"/>
                <w:szCs w:val="21"/>
                <w:highlight w:val="none"/>
              </w:rPr>
              <w:t>2.2.4（2）</w:t>
            </w:r>
          </w:p>
        </w:tc>
        <w:tc>
          <w:tcPr>
            <w:tcW w:w="741" w:type="dxa"/>
            <w:vMerge w:val="restart"/>
            <w:tcBorders>
              <w:top w:val="nil"/>
            </w:tcBorders>
            <w:noWrap w:val="0"/>
            <w:vAlign w:val="center"/>
          </w:tcPr>
          <w:p w14:paraId="65C287F1">
            <w:pPr>
              <w:pStyle w:val="8"/>
              <w:spacing w:line="160" w:lineRule="atLeast"/>
              <w:jc w:val="center"/>
              <w:rPr>
                <w:rFonts w:ascii="Times New Roman" w:hAnsi="Times New Roman"/>
                <w:szCs w:val="21"/>
                <w:highlight w:val="none"/>
              </w:rPr>
            </w:pPr>
            <w:r>
              <w:rPr>
                <w:rFonts w:ascii="Times New Roman" w:hAnsi="Times New Roman"/>
                <w:szCs w:val="21"/>
                <w:highlight w:val="none"/>
              </w:rPr>
              <w:t>主要人员</w:t>
            </w:r>
          </w:p>
        </w:tc>
        <w:tc>
          <w:tcPr>
            <w:tcW w:w="624" w:type="dxa"/>
            <w:vMerge w:val="restart"/>
            <w:tcBorders>
              <w:top w:val="nil"/>
            </w:tcBorders>
            <w:noWrap w:val="0"/>
            <w:vAlign w:val="center"/>
          </w:tcPr>
          <w:p w14:paraId="1AFB8F0E">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15</w:t>
            </w:r>
            <w:r>
              <w:rPr>
                <w:rFonts w:ascii="Times New Roman" w:hAnsi="Times New Roman"/>
                <w:szCs w:val="21"/>
                <w:highlight w:val="none"/>
              </w:rPr>
              <w:t>分</w:t>
            </w:r>
          </w:p>
        </w:tc>
        <w:tc>
          <w:tcPr>
            <w:tcW w:w="1134" w:type="dxa"/>
            <w:tcBorders>
              <w:bottom w:val="single" w:color="auto" w:sz="4" w:space="0"/>
            </w:tcBorders>
            <w:noWrap w:val="0"/>
            <w:vAlign w:val="center"/>
          </w:tcPr>
          <w:p w14:paraId="2A7D200E">
            <w:pPr>
              <w:jc w:val="center"/>
              <w:rPr>
                <w:kern w:val="2"/>
                <w:sz w:val="21"/>
                <w:szCs w:val="21"/>
                <w:highlight w:val="none"/>
              </w:rPr>
            </w:pPr>
            <w:r>
              <w:rPr>
                <w:kern w:val="2"/>
                <w:sz w:val="21"/>
                <w:szCs w:val="21"/>
                <w:highlight w:val="none"/>
              </w:rPr>
              <w:t>项目负责人</w:t>
            </w:r>
          </w:p>
        </w:tc>
        <w:tc>
          <w:tcPr>
            <w:tcW w:w="567" w:type="dxa"/>
            <w:tcBorders>
              <w:bottom w:val="single" w:color="auto" w:sz="4" w:space="0"/>
            </w:tcBorders>
            <w:noWrap w:val="0"/>
            <w:vAlign w:val="center"/>
          </w:tcPr>
          <w:p w14:paraId="1325E4EB">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5</w:t>
            </w:r>
            <w:r>
              <w:rPr>
                <w:rFonts w:ascii="Times New Roman" w:hAnsi="Times New Roman"/>
                <w:szCs w:val="21"/>
                <w:highlight w:val="none"/>
              </w:rPr>
              <w:t>分</w:t>
            </w:r>
          </w:p>
        </w:tc>
        <w:tc>
          <w:tcPr>
            <w:tcW w:w="5845" w:type="dxa"/>
            <w:tcBorders>
              <w:bottom w:val="single" w:color="auto" w:sz="4" w:space="0"/>
            </w:tcBorders>
            <w:noWrap w:val="0"/>
            <w:vAlign w:val="center"/>
          </w:tcPr>
          <w:p w14:paraId="424A014D">
            <w:pPr>
              <w:pStyle w:val="4"/>
              <w:numPr>
                <w:ilvl w:val="0"/>
                <w:numId w:val="0"/>
              </w:numPr>
              <w:rPr>
                <w:rFonts w:hint="eastAsia" w:ascii="宋体" w:hAnsi="宋体" w:eastAsia="宋体" w:cs="宋体"/>
                <w:sz w:val="21"/>
                <w:highlight w:val="none"/>
              </w:rPr>
            </w:pPr>
            <w:r>
              <w:rPr>
                <w:rFonts w:hint="eastAsia" w:ascii="宋体" w:hAnsi="宋体" w:eastAsia="宋体" w:cs="宋体"/>
                <w:sz w:val="21"/>
                <w:highlight w:val="none"/>
                <w:lang w:val="en-US" w:eastAsia="zh-CN"/>
              </w:rPr>
              <w:t>1.</w:t>
            </w:r>
            <w:r>
              <w:rPr>
                <w:rFonts w:hint="eastAsia" w:ascii="宋体" w:hAnsi="宋体" w:eastAsia="宋体" w:cs="宋体"/>
                <w:sz w:val="21"/>
                <w:highlight w:val="none"/>
              </w:rPr>
              <w:t>投标人满足“资格审查条件（项目负责人最低要求）”得</w:t>
            </w:r>
            <w:r>
              <w:rPr>
                <w:rFonts w:hint="eastAsia" w:ascii="宋体" w:hAnsi="宋体" w:eastAsia="宋体" w:cs="宋体"/>
                <w:sz w:val="21"/>
                <w:highlight w:val="none"/>
                <w:lang w:val="en-US" w:eastAsia="zh-CN"/>
              </w:rPr>
              <w:t>3</w:t>
            </w:r>
            <w:r>
              <w:rPr>
                <w:rFonts w:hint="eastAsia" w:ascii="宋体" w:hAnsi="宋体" w:eastAsia="宋体" w:cs="宋体"/>
                <w:sz w:val="21"/>
                <w:highlight w:val="none"/>
              </w:rPr>
              <w:t>分，</w:t>
            </w:r>
          </w:p>
          <w:p w14:paraId="179BA223">
            <w:pPr>
              <w:pStyle w:val="4"/>
              <w:numPr>
                <w:ilvl w:val="0"/>
                <w:numId w:val="0"/>
              </w:numPr>
              <w:rPr>
                <w:rFonts w:hint="eastAsia" w:ascii="宋体" w:hAnsi="宋体" w:eastAsia="宋体" w:cs="宋体"/>
                <w:highlight w:val="none"/>
              </w:rPr>
            </w:pPr>
            <w:r>
              <w:rPr>
                <w:rFonts w:hint="eastAsia" w:ascii="宋体" w:hAnsi="宋体" w:eastAsia="宋体" w:cs="宋体"/>
                <w:sz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highlight w:val="none"/>
              </w:rPr>
              <w:t>每增加1项满足“资格审查条件（项目负责人最低要求）”的业绩加</w:t>
            </w:r>
            <w:r>
              <w:rPr>
                <w:rFonts w:hint="eastAsia" w:ascii="宋体" w:hAnsi="宋体" w:cs="宋体"/>
                <w:sz w:val="21"/>
                <w:highlight w:val="none"/>
                <w:lang w:val="en-US" w:eastAsia="zh-CN"/>
              </w:rPr>
              <w:t>2</w:t>
            </w:r>
            <w:r>
              <w:rPr>
                <w:rFonts w:hint="eastAsia" w:ascii="宋体" w:hAnsi="宋体" w:eastAsia="宋体" w:cs="宋体"/>
                <w:sz w:val="21"/>
                <w:highlight w:val="none"/>
              </w:rPr>
              <w:t>分，最多加</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分。</w:t>
            </w:r>
          </w:p>
        </w:tc>
      </w:tr>
      <w:tr w14:paraId="781D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741" w:type="dxa"/>
            <w:vMerge w:val="continue"/>
            <w:noWrap w:val="0"/>
            <w:vAlign w:val="center"/>
          </w:tcPr>
          <w:p w14:paraId="6A7864CB">
            <w:pPr>
              <w:pStyle w:val="8"/>
              <w:spacing w:line="160" w:lineRule="atLeast"/>
              <w:jc w:val="center"/>
              <w:rPr>
                <w:rFonts w:ascii="Times New Roman" w:hAnsi="Times New Roman"/>
                <w:szCs w:val="21"/>
                <w:highlight w:val="none"/>
              </w:rPr>
            </w:pPr>
          </w:p>
        </w:tc>
        <w:tc>
          <w:tcPr>
            <w:tcW w:w="741" w:type="dxa"/>
            <w:vMerge w:val="continue"/>
            <w:noWrap w:val="0"/>
            <w:vAlign w:val="center"/>
          </w:tcPr>
          <w:p w14:paraId="6BB022DC">
            <w:pPr>
              <w:pStyle w:val="8"/>
              <w:spacing w:line="160" w:lineRule="atLeast"/>
              <w:jc w:val="center"/>
              <w:rPr>
                <w:rFonts w:ascii="Times New Roman" w:hAnsi="Times New Roman"/>
                <w:szCs w:val="21"/>
                <w:highlight w:val="none"/>
              </w:rPr>
            </w:pPr>
          </w:p>
        </w:tc>
        <w:tc>
          <w:tcPr>
            <w:tcW w:w="624" w:type="dxa"/>
            <w:vMerge w:val="continue"/>
            <w:noWrap w:val="0"/>
            <w:vAlign w:val="center"/>
          </w:tcPr>
          <w:p w14:paraId="5BA66EE8">
            <w:pPr>
              <w:pStyle w:val="8"/>
              <w:spacing w:line="160" w:lineRule="atLeast"/>
              <w:jc w:val="center"/>
              <w:rPr>
                <w:rFonts w:ascii="Times New Roman" w:hAnsi="Times New Roman"/>
                <w:szCs w:val="21"/>
                <w:highlight w:val="none"/>
              </w:rPr>
            </w:pPr>
          </w:p>
        </w:tc>
        <w:tc>
          <w:tcPr>
            <w:tcW w:w="1134" w:type="dxa"/>
            <w:tcBorders>
              <w:bottom w:val="single" w:color="auto" w:sz="4" w:space="0"/>
            </w:tcBorders>
            <w:noWrap w:val="0"/>
            <w:vAlign w:val="center"/>
          </w:tcPr>
          <w:p w14:paraId="70AD056A">
            <w:pPr>
              <w:rPr>
                <w:kern w:val="2"/>
                <w:sz w:val="21"/>
                <w:szCs w:val="21"/>
                <w:highlight w:val="none"/>
              </w:rPr>
            </w:pPr>
            <w:r>
              <w:rPr>
                <w:rFonts w:hint="eastAsia"/>
                <w:kern w:val="2"/>
                <w:sz w:val="21"/>
                <w:szCs w:val="21"/>
                <w:highlight w:val="none"/>
              </w:rPr>
              <w:t>其他人员</w:t>
            </w:r>
          </w:p>
        </w:tc>
        <w:tc>
          <w:tcPr>
            <w:tcW w:w="567" w:type="dxa"/>
            <w:tcBorders>
              <w:bottom w:val="single" w:color="auto" w:sz="4" w:space="0"/>
            </w:tcBorders>
            <w:noWrap w:val="0"/>
            <w:vAlign w:val="center"/>
          </w:tcPr>
          <w:p w14:paraId="125E61EE">
            <w:pPr>
              <w:pStyle w:val="8"/>
              <w:spacing w:line="160" w:lineRule="atLeast"/>
              <w:jc w:val="center"/>
              <w:rPr>
                <w:rFonts w:ascii="Times New Roman" w:hAnsi="Times New Roman"/>
                <w:szCs w:val="21"/>
                <w:highlight w:val="none"/>
              </w:rPr>
            </w:pPr>
            <w:r>
              <w:rPr>
                <w:rFonts w:hint="eastAsia" w:ascii="Times New Roman" w:hAnsi="Times New Roman"/>
                <w:szCs w:val="21"/>
                <w:highlight w:val="none"/>
              </w:rPr>
              <w:t>1</w:t>
            </w:r>
            <w:r>
              <w:rPr>
                <w:rFonts w:ascii="Times New Roman" w:hAnsi="Times New Roman"/>
                <w:szCs w:val="21"/>
                <w:highlight w:val="none"/>
              </w:rPr>
              <w:t>0分</w:t>
            </w:r>
          </w:p>
        </w:tc>
        <w:tc>
          <w:tcPr>
            <w:tcW w:w="5845" w:type="dxa"/>
            <w:tcBorders>
              <w:bottom w:val="single" w:color="auto" w:sz="4" w:space="0"/>
            </w:tcBorders>
            <w:noWrap w:val="0"/>
            <w:vAlign w:val="center"/>
          </w:tcPr>
          <w:p w14:paraId="6D12803A">
            <w:pPr>
              <w:pStyle w:val="4"/>
              <w:numPr>
                <w:ilvl w:val="0"/>
                <w:numId w:val="0"/>
              </w:num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投标人满足“资格审查条件（其他人员最低要求）”得6分。</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其他人员中每增加1名</w:t>
            </w:r>
            <w:r>
              <w:rPr>
                <w:rFonts w:hint="eastAsia" w:ascii="宋体" w:hAnsi="宋体" w:cs="宋体"/>
                <w:sz w:val="21"/>
                <w:szCs w:val="21"/>
                <w:highlight w:val="none"/>
                <w:lang w:val="en-US" w:eastAsia="zh-CN"/>
              </w:rPr>
              <w:t>持有</w:t>
            </w:r>
            <w:r>
              <w:rPr>
                <w:rFonts w:hint="eastAsia" w:ascii="宋体" w:hAnsi="宋体" w:eastAsia="宋体" w:cs="宋体"/>
                <w:sz w:val="21"/>
                <w:szCs w:val="21"/>
                <w:highlight w:val="none"/>
              </w:rPr>
              <w:t>高级会计师</w:t>
            </w:r>
            <w:r>
              <w:rPr>
                <w:rFonts w:hint="eastAsia" w:ascii="宋体" w:hAnsi="宋体" w:cs="宋体"/>
                <w:sz w:val="21"/>
                <w:szCs w:val="21"/>
                <w:highlight w:val="none"/>
                <w:lang w:val="en-US" w:eastAsia="zh-CN"/>
              </w:rPr>
              <w:t>证书人员</w:t>
            </w:r>
            <w:r>
              <w:rPr>
                <w:rFonts w:hint="eastAsia" w:ascii="宋体" w:hAnsi="宋体" w:eastAsia="宋体" w:cs="宋体"/>
                <w:sz w:val="21"/>
                <w:szCs w:val="21"/>
                <w:highlight w:val="none"/>
                <w:lang w:val="en-US" w:eastAsia="zh-CN"/>
              </w:rPr>
              <w:t>加1分，</w:t>
            </w:r>
            <w:r>
              <w:rPr>
                <w:rFonts w:hint="eastAsia" w:ascii="宋体" w:hAnsi="宋体" w:eastAsia="宋体" w:cs="宋体"/>
                <w:color w:val="auto"/>
                <w:kern w:val="2"/>
                <w:sz w:val="21"/>
                <w:szCs w:val="21"/>
                <w:highlight w:val="none"/>
                <w:lang w:eastAsia="zh-CN"/>
              </w:rPr>
              <w:t>每增加</w:t>
            </w:r>
            <w:r>
              <w:rPr>
                <w:rFonts w:hint="eastAsia" w:ascii="宋体" w:hAnsi="宋体" w:eastAsia="宋体" w:cs="宋体"/>
                <w:color w:val="auto"/>
                <w:kern w:val="2"/>
                <w:sz w:val="21"/>
                <w:szCs w:val="21"/>
                <w:highlight w:val="none"/>
              </w:rPr>
              <w:t>一名</w:t>
            </w:r>
            <w:r>
              <w:rPr>
                <w:rFonts w:hint="eastAsia" w:ascii="宋体" w:hAnsi="宋体" w:cs="宋体"/>
                <w:color w:val="auto"/>
                <w:kern w:val="2"/>
                <w:sz w:val="21"/>
                <w:szCs w:val="21"/>
                <w:highlight w:val="none"/>
                <w:lang w:val="en-US" w:eastAsia="zh-CN"/>
              </w:rPr>
              <w:t>持有</w:t>
            </w:r>
            <w:r>
              <w:rPr>
                <w:rFonts w:hint="eastAsia" w:ascii="宋体" w:hAnsi="宋体" w:eastAsia="宋体" w:cs="宋体"/>
                <w:color w:val="auto"/>
                <w:kern w:val="2"/>
                <w:sz w:val="21"/>
                <w:szCs w:val="21"/>
                <w:highlight w:val="none"/>
                <w:lang w:val="en-US" w:eastAsia="zh-CN"/>
              </w:rPr>
              <w:t>注册会计师</w:t>
            </w:r>
            <w:r>
              <w:rPr>
                <w:rFonts w:hint="eastAsia" w:ascii="宋体" w:hAnsi="宋体" w:cs="宋体"/>
                <w:color w:val="auto"/>
                <w:kern w:val="2"/>
                <w:sz w:val="21"/>
                <w:szCs w:val="21"/>
                <w:highlight w:val="none"/>
                <w:lang w:val="en-US" w:eastAsia="zh-CN"/>
              </w:rPr>
              <w:t>证书人员</w:t>
            </w:r>
            <w:r>
              <w:rPr>
                <w:rFonts w:hint="eastAsia" w:ascii="宋体" w:hAnsi="宋体" w:eastAsia="宋体" w:cs="宋体"/>
                <w:color w:val="auto"/>
                <w:kern w:val="2"/>
                <w:sz w:val="21"/>
                <w:szCs w:val="21"/>
                <w:highlight w:val="none"/>
              </w:rPr>
              <w:t>加2分</w:t>
            </w:r>
            <w:r>
              <w:rPr>
                <w:rFonts w:hint="eastAsia" w:ascii="宋体" w:hAnsi="宋体" w:eastAsia="宋体" w:cs="宋体"/>
                <w:sz w:val="21"/>
                <w:szCs w:val="21"/>
                <w:highlight w:val="none"/>
              </w:rPr>
              <w:t>，最高加4分。</w:t>
            </w:r>
          </w:p>
          <w:p w14:paraId="64D5FE3F">
            <w:pPr>
              <w:pStyle w:val="4"/>
              <w:numPr>
                <w:ilvl w:val="0"/>
                <w:numId w:val="0"/>
              </w:numPr>
              <w:rPr>
                <w:rFonts w:hint="eastAsia" w:ascii="宋体" w:hAnsi="宋体" w:eastAsia="宋体" w:cs="宋体"/>
                <w:sz w:val="21"/>
                <w:szCs w:val="21"/>
                <w:highlight w:val="none"/>
              </w:rPr>
            </w:pPr>
            <w:r>
              <w:rPr>
                <w:rFonts w:hint="eastAsia" w:ascii="宋体" w:hAnsi="宋体" w:eastAsia="宋体" w:cs="宋体"/>
                <w:sz w:val="21"/>
                <w:szCs w:val="21"/>
                <w:highlight w:val="none"/>
              </w:rPr>
              <w:t>（注：若1名成员同时具有注册会计师</w:t>
            </w:r>
            <w:r>
              <w:rPr>
                <w:rFonts w:hint="eastAsia" w:ascii="宋体" w:hAnsi="宋体" w:cs="宋体"/>
                <w:sz w:val="21"/>
                <w:szCs w:val="21"/>
                <w:highlight w:val="none"/>
                <w:lang w:val="en-US" w:eastAsia="zh-CN"/>
              </w:rPr>
              <w:t>证书</w:t>
            </w:r>
            <w:r>
              <w:rPr>
                <w:rFonts w:hint="eastAsia" w:ascii="宋体" w:hAnsi="宋体" w:eastAsia="宋体" w:cs="宋体"/>
                <w:sz w:val="21"/>
                <w:szCs w:val="21"/>
                <w:highlight w:val="none"/>
              </w:rPr>
              <w:t>和高级会计师</w:t>
            </w:r>
            <w:r>
              <w:rPr>
                <w:rFonts w:hint="eastAsia" w:ascii="宋体" w:hAnsi="宋体" w:cs="宋体"/>
                <w:sz w:val="21"/>
                <w:szCs w:val="21"/>
                <w:highlight w:val="none"/>
                <w:lang w:val="en-US" w:eastAsia="zh-CN"/>
              </w:rPr>
              <w:t>证书</w:t>
            </w:r>
            <w:r>
              <w:rPr>
                <w:rFonts w:hint="eastAsia" w:ascii="宋体" w:hAnsi="宋体" w:eastAsia="宋体" w:cs="宋体"/>
                <w:sz w:val="21"/>
                <w:szCs w:val="21"/>
                <w:highlight w:val="none"/>
              </w:rPr>
              <w:t>，可同时加分）</w:t>
            </w:r>
          </w:p>
        </w:tc>
      </w:tr>
      <w:tr w14:paraId="2DCE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741" w:type="dxa"/>
            <w:tcBorders>
              <w:top w:val="nil"/>
            </w:tcBorders>
            <w:noWrap w:val="0"/>
            <w:vAlign w:val="center"/>
          </w:tcPr>
          <w:p w14:paraId="21262BE5">
            <w:pPr>
              <w:pStyle w:val="8"/>
              <w:spacing w:line="160" w:lineRule="atLeast"/>
              <w:jc w:val="center"/>
              <w:rPr>
                <w:rFonts w:ascii="Times New Roman" w:hAnsi="Times New Roman"/>
                <w:szCs w:val="21"/>
                <w:highlight w:val="none"/>
              </w:rPr>
            </w:pPr>
            <w:r>
              <w:rPr>
                <w:rFonts w:ascii="Times New Roman" w:hAnsi="Times New Roman"/>
                <w:szCs w:val="21"/>
                <w:highlight w:val="none"/>
              </w:rPr>
              <w:t>2.2.4（3）</w:t>
            </w:r>
          </w:p>
        </w:tc>
        <w:tc>
          <w:tcPr>
            <w:tcW w:w="741" w:type="dxa"/>
            <w:tcBorders>
              <w:top w:val="nil"/>
            </w:tcBorders>
            <w:noWrap w:val="0"/>
            <w:vAlign w:val="center"/>
          </w:tcPr>
          <w:p w14:paraId="76409387">
            <w:pPr>
              <w:pStyle w:val="8"/>
              <w:spacing w:line="160" w:lineRule="atLeast"/>
              <w:jc w:val="center"/>
              <w:rPr>
                <w:rFonts w:ascii="Times New Roman" w:hAnsi="Times New Roman"/>
                <w:szCs w:val="21"/>
                <w:highlight w:val="none"/>
              </w:rPr>
            </w:pPr>
            <w:r>
              <w:rPr>
                <w:rFonts w:ascii="Times New Roman" w:hAnsi="Times New Roman"/>
                <w:szCs w:val="21"/>
                <w:highlight w:val="none"/>
              </w:rPr>
              <w:t>评标价</w:t>
            </w:r>
          </w:p>
        </w:tc>
        <w:tc>
          <w:tcPr>
            <w:tcW w:w="624" w:type="dxa"/>
            <w:tcBorders>
              <w:top w:val="nil"/>
              <w:bottom w:val="single" w:color="auto" w:sz="4" w:space="0"/>
            </w:tcBorders>
            <w:noWrap w:val="0"/>
            <w:vAlign w:val="center"/>
          </w:tcPr>
          <w:p w14:paraId="6F1637F5">
            <w:pPr>
              <w:pStyle w:val="8"/>
              <w:spacing w:line="160" w:lineRule="atLeast"/>
              <w:jc w:val="center"/>
              <w:rPr>
                <w:rFonts w:ascii="Times New Roman" w:hAnsi="Times New Roman"/>
                <w:szCs w:val="21"/>
                <w:highlight w:val="none"/>
              </w:rPr>
            </w:pPr>
            <w:r>
              <w:rPr>
                <w:rFonts w:hint="eastAsia" w:ascii="Times New Roman" w:hAnsi="Times New Roman"/>
                <w:szCs w:val="21"/>
                <w:highlight w:val="none"/>
              </w:rPr>
              <w:t>3</w:t>
            </w:r>
            <w:r>
              <w:rPr>
                <w:rFonts w:ascii="Times New Roman" w:hAnsi="Times New Roman"/>
                <w:szCs w:val="21"/>
                <w:highlight w:val="none"/>
              </w:rPr>
              <w:t>0分</w:t>
            </w:r>
          </w:p>
        </w:tc>
        <w:tc>
          <w:tcPr>
            <w:tcW w:w="7546" w:type="dxa"/>
            <w:gridSpan w:val="3"/>
            <w:tcBorders>
              <w:bottom w:val="single" w:color="auto" w:sz="4" w:space="0"/>
            </w:tcBorders>
            <w:noWrap w:val="0"/>
            <w:vAlign w:val="center"/>
          </w:tcPr>
          <w:p w14:paraId="1DD32A3A">
            <w:pPr>
              <w:rPr>
                <w:kern w:val="2"/>
                <w:sz w:val="21"/>
                <w:szCs w:val="21"/>
                <w:highlight w:val="none"/>
              </w:rPr>
            </w:pPr>
            <w:r>
              <w:rPr>
                <w:kern w:val="2"/>
                <w:sz w:val="21"/>
                <w:szCs w:val="21"/>
                <w:highlight w:val="none"/>
              </w:rPr>
              <w:t>评标价得分计算公式示例：</w:t>
            </w:r>
          </w:p>
          <w:p w14:paraId="0FFD635F">
            <w:pPr>
              <w:rPr>
                <w:kern w:val="2"/>
                <w:sz w:val="21"/>
                <w:szCs w:val="21"/>
                <w:highlight w:val="none"/>
              </w:rPr>
            </w:pPr>
            <w:r>
              <w:rPr>
                <w:kern w:val="2"/>
                <w:sz w:val="21"/>
                <w:szCs w:val="21"/>
                <w:highlight w:val="none"/>
              </w:rPr>
              <w:t>（1）如果投标人的评标价＞评标基准价，则评标价得分=F-（投标人评标价-评标基准价）/评标基准价×100×E1；</w:t>
            </w:r>
          </w:p>
          <w:p w14:paraId="225DD368">
            <w:pPr>
              <w:rPr>
                <w:kern w:val="2"/>
                <w:sz w:val="21"/>
                <w:szCs w:val="21"/>
                <w:highlight w:val="none"/>
              </w:rPr>
            </w:pPr>
            <w:r>
              <w:rPr>
                <w:kern w:val="2"/>
                <w:sz w:val="21"/>
                <w:szCs w:val="21"/>
                <w:highlight w:val="none"/>
              </w:rPr>
              <w:t>（2）如果投标人的评标价≤评标基准价，则评标价得分=F+（投标人评标价-评标基准价）/评标基准价×100×E2。</w:t>
            </w:r>
          </w:p>
          <w:p w14:paraId="4021647E">
            <w:pPr>
              <w:jc w:val="left"/>
              <w:rPr>
                <w:sz w:val="21"/>
                <w:szCs w:val="21"/>
                <w:highlight w:val="none"/>
              </w:rPr>
            </w:pPr>
            <w:r>
              <w:rPr>
                <w:sz w:val="21"/>
                <w:szCs w:val="21"/>
                <w:highlight w:val="none"/>
              </w:rPr>
              <w:t>其中，F=</w:t>
            </w:r>
            <w:r>
              <w:rPr>
                <w:rFonts w:hint="eastAsia"/>
                <w:sz w:val="21"/>
                <w:szCs w:val="21"/>
                <w:highlight w:val="none"/>
              </w:rPr>
              <w:t>3</w:t>
            </w:r>
            <w:r>
              <w:rPr>
                <w:sz w:val="21"/>
                <w:szCs w:val="21"/>
                <w:highlight w:val="none"/>
              </w:rPr>
              <w:t>0；E1=0.</w:t>
            </w:r>
            <w:r>
              <w:rPr>
                <w:rFonts w:hint="eastAsia"/>
                <w:sz w:val="21"/>
                <w:szCs w:val="21"/>
                <w:highlight w:val="none"/>
                <w:lang w:val="en-US" w:eastAsia="zh-CN"/>
              </w:rPr>
              <w:t>4</w:t>
            </w:r>
            <w:r>
              <w:rPr>
                <w:sz w:val="21"/>
                <w:szCs w:val="21"/>
                <w:highlight w:val="none"/>
              </w:rPr>
              <w:t>；E2=0.</w:t>
            </w:r>
            <w:r>
              <w:rPr>
                <w:rFonts w:hint="eastAsia"/>
                <w:sz w:val="21"/>
                <w:szCs w:val="21"/>
                <w:highlight w:val="none"/>
                <w:lang w:val="en-US" w:eastAsia="zh-CN"/>
              </w:rPr>
              <w:t>2</w:t>
            </w:r>
            <w:r>
              <w:rPr>
                <w:sz w:val="21"/>
                <w:szCs w:val="21"/>
                <w:highlight w:val="none"/>
              </w:rPr>
              <w:t>；评标价最低得分为0分。</w:t>
            </w:r>
          </w:p>
          <w:p w14:paraId="66D18A23">
            <w:pPr>
              <w:jc w:val="left"/>
              <w:rPr>
                <w:kern w:val="2"/>
                <w:sz w:val="21"/>
                <w:szCs w:val="21"/>
                <w:highlight w:val="none"/>
              </w:rPr>
            </w:pPr>
            <w:r>
              <w:rPr>
                <w:kern w:val="2"/>
                <w:sz w:val="21"/>
                <w:szCs w:val="21"/>
                <w:highlight w:val="none"/>
              </w:rPr>
              <w:t>评标价得分保留两位小数，第三位四舍五入。</w:t>
            </w:r>
          </w:p>
        </w:tc>
      </w:tr>
      <w:tr w14:paraId="5FED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noWrap w:val="0"/>
            <w:vAlign w:val="center"/>
          </w:tcPr>
          <w:p w14:paraId="6BED8682">
            <w:pPr>
              <w:pStyle w:val="8"/>
              <w:spacing w:line="160" w:lineRule="atLeast"/>
              <w:jc w:val="center"/>
              <w:rPr>
                <w:rFonts w:ascii="Times New Roman" w:hAnsi="Times New Roman"/>
                <w:szCs w:val="21"/>
                <w:highlight w:val="none"/>
              </w:rPr>
            </w:pPr>
            <w:r>
              <w:rPr>
                <w:rFonts w:ascii="Times New Roman" w:hAnsi="Times New Roman"/>
                <w:szCs w:val="21"/>
                <w:highlight w:val="none"/>
              </w:rPr>
              <w:t>2.2.4（4）</w:t>
            </w:r>
          </w:p>
        </w:tc>
        <w:tc>
          <w:tcPr>
            <w:tcW w:w="741" w:type="dxa"/>
            <w:noWrap w:val="0"/>
            <w:vAlign w:val="center"/>
          </w:tcPr>
          <w:p w14:paraId="5C04E0DD">
            <w:pPr>
              <w:pStyle w:val="8"/>
              <w:spacing w:line="160" w:lineRule="atLeast"/>
              <w:jc w:val="center"/>
              <w:rPr>
                <w:rFonts w:ascii="Times New Roman" w:hAnsi="Times New Roman"/>
                <w:szCs w:val="21"/>
                <w:highlight w:val="none"/>
              </w:rPr>
            </w:pPr>
            <w:r>
              <w:rPr>
                <w:rFonts w:ascii="Times New Roman" w:hAnsi="Times New Roman"/>
                <w:szCs w:val="21"/>
                <w:highlight w:val="none"/>
              </w:rPr>
              <w:t>其他因素</w:t>
            </w:r>
          </w:p>
        </w:tc>
        <w:tc>
          <w:tcPr>
            <w:tcW w:w="624" w:type="dxa"/>
            <w:tcBorders>
              <w:top w:val="single" w:color="auto" w:sz="4" w:space="0"/>
            </w:tcBorders>
            <w:noWrap w:val="0"/>
            <w:vAlign w:val="center"/>
          </w:tcPr>
          <w:p w14:paraId="4485393A">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15</w:t>
            </w:r>
            <w:r>
              <w:rPr>
                <w:rFonts w:ascii="Times New Roman" w:hAnsi="Times New Roman"/>
                <w:szCs w:val="21"/>
                <w:highlight w:val="none"/>
              </w:rPr>
              <w:t>分</w:t>
            </w:r>
          </w:p>
        </w:tc>
        <w:tc>
          <w:tcPr>
            <w:tcW w:w="1134" w:type="dxa"/>
            <w:tcBorders>
              <w:top w:val="single" w:color="auto" w:sz="4" w:space="0"/>
            </w:tcBorders>
            <w:noWrap w:val="0"/>
            <w:vAlign w:val="center"/>
          </w:tcPr>
          <w:p w14:paraId="6EB86643">
            <w:pPr>
              <w:pStyle w:val="8"/>
              <w:spacing w:line="160" w:lineRule="atLeast"/>
              <w:jc w:val="center"/>
              <w:rPr>
                <w:rFonts w:ascii="Times New Roman" w:hAnsi="Times New Roman"/>
                <w:szCs w:val="21"/>
                <w:highlight w:val="none"/>
              </w:rPr>
            </w:pPr>
            <w:r>
              <w:rPr>
                <w:rFonts w:ascii="Times New Roman" w:hAnsi="Times New Roman"/>
                <w:szCs w:val="21"/>
                <w:highlight w:val="none"/>
              </w:rPr>
              <w:t>业绩</w:t>
            </w:r>
          </w:p>
        </w:tc>
        <w:tc>
          <w:tcPr>
            <w:tcW w:w="567" w:type="dxa"/>
            <w:tcBorders>
              <w:top w:val="single" w:color="auto" w:sz="4" w:space="0"/>
            </w:tcBorders>
            <w:noWrap w:val="0"/>
            <w:vAlign w:val="center"/>
          </w:tcPr>
          <w:p w14:paraId="0BA5B428">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15</w:t>
            </w:r>
            <w:r>
              <w:rPr>
                <w:rFonts w:ascii="Times New Roman" w:hAnsi="Times New Roman"/>
                <w:szCs w:val="21"/>
                <w:highlight w:val="none"/>
              </w:rPr>
              <w:t>分</w:t>
            </w:r>
          </w:p>
        </w:tc>
        <w:tc>
          <w:tcPr>
            <w:tcW w:w="5845" w:type="dxa"/>
            <w:tcBorders>
              <w:top w:val="single" w:color="auto" w:sz="4" w:space="0"/>
            </w:tcBorders>
            <w:noWrap w:val="0"/>
            <w:vAlign w:val="center"/>
          </w:tcPr>
          <w:p w14:paraId="477C62FF">
            <w:pPr>
              <w:rPr>
                <w:kern w:val="2"/>
                <w:sz w:val="21"/>
                <w:szCs w:val="21"/>
                <w:highlight w:val="none"/>
              </w:rPr>
            </w:pPr>
            <w:r>
              <w:rPr>
                <w:kern w:val="2"/>
                <w:sz w:val="21"/>
                <w:szCs w:val="21"/>
                <w:highlight w:val="none"/>
              </w:rPr>
              <w:t>满足</w:t>
            </w:r>
            <w:r>
              <w:rPr>
                <w:rFonts w:hint="eastAsia"/>
                <w:kern w:val="2"/>
                <w:sz w:val="21"/>
                <w:szCs w:val="21"/>
                <w:highlight w:val="none"/>
              </w:rPr>
              <w:t>“</w:t>
            </w:r>
            <w:r>
              <w:rPr>
                <w:kern w:val="2"/>
                <w:sz w:val="21"/>
                <w:szCs w:val="21"/>
                <w:highlight w:val="none"/>
              </w:rPr>
              <w:t>资格审查条件（业绩最低要求）</w:t>
            </w:r>
            <w:r>
              <w:rPr>
                <w:rFonts w:hint="eastAsia"/>
                <w:kern w:val="2"/>
                <w:sz w:val="21"/>
                <w:szCs w:val="21"/>
                <w:highlight w:val="none"/>
              </w:rPr>
              <w:t>”</w:t>
            </w:r>
            <w:r>
              <w:rPr>
                <w:kern w:val="2"/>
                <w:sz w:val="21"/>
                <w:szCs w:val="21"/>
                <w:highlight w:val="none"/>
              </w:rPr>
              <w:t>得</w:t>
            </w:r>
            <w:r>
              <w:rPr>
                <w:rFonts w:hint="eastAsia"/>
                <w:kern w:val="2"/>
                <w:sz w:val="21"/>
                <w:szCs w:val="21"/>
                <w:highlight w:val="none"/>
                <w:lang w:val="en-US" w:eastAsia="zh-CN"/>
              </w:rPr>
              <w:t>9</w:t>
            </w:r>
            <w:r>
              <w:rPr>
                <w:kern w:val="2"/>
                <w:sz w:val="21"/>
                <w:szCs w:val="21"/>
                <w:highlight w:val="none"/>
              </w:rPr>
              <w:t>分；</w:t>
            </w:r>
          </w:p>
          <w:p w14:paraId="2A743B56">
            <w:pPr>
              <w:rPr>
                <w:sz w:val="21"/>
                <w:szCs w:val="21"/>
                <w:highlight w:val="none"/>
              </w:rPr>
            </w:pPr>
            <w:r>
              <w:rPr>
                <w:kern w:val="2"/>
                <w:sz w:val="21"/>
                <w:szCs w:val="21"/>
                <w:highlight w:val="none"/>
              </w:rPr>
              <w:t>每增加一个满足</w:t>
            </w:r>
            <w:r>
              <w:rPr>
                <w:rFonts w:hint="eastAsia"/>
                <w:kern w:val="2"/>
                <w:sz w:val="21"/>
                <w:szCs w:val="21"/>
                <w:highlight w:val="none"/>
              </w:rPr>
              <w:t>“</w:t>
            </w:r>
            <w:r>
              <w:rPr>
                <w:kern w:val="2"/>
                <w:sz w:val="21"/>
                <w:szCs w:val="21"/>
                <w:highlight w:val="none"/>
              </w:rPr>
              <w:t>资格审查条件（业绩最低要求）</w:t>
            </w:r>
            <w:r>
              <w:rPr>
                <w:rFonts w:hint="eastAsia"/>
                <w:kern w:val="2"/>
                <w:sz w:val="21"/>
                <w:szCs w:val="21"/>
                <w:highlight w:val="none"/>
              </w:rPr>
              <w:t>”</w:t>
            </w:r>
            <w:r>
              <w:rPr>
                <w:kern w:val="2"/>
                <w:sz w:val="21"/>
                <w:szCs w:val="21"/>
                <w:highlight w:val="none"/>
              </w:rPr>
              <w:t>的业绩，加</w:t>
            </w:r>
            <w:r>
              <w:rPr>
                <w:rFonts w:hint="eastAsia"/>
                <w:kern w:val="2"/>
                <w:sz w:val="21"/>
                <w:szCs w:val="21"/>
                <w:highlight w:val="none"/>
                <w:lang w:val="en-US" w:eastAsia="zh-CN"/>
              </w:rPr>
              <w:t>3</w:t>
            </w:r>
            <w:r>
              <w:rPr>
                <w:kern w:val="2"/>
                <w:sz w:val="21"/>
                <w:szCs w:val="21"/>
                <w:highlight w:val="none"/>
              </w:rPr>
              <w:t>分，最多加</w:t>
            </w:r>
            <w:r>
              <w:rPr>
                <w:rFonts w:hint="eastAsia"/>
                <w:kern w:val="2"/>
                <w:sz w:val="21"/>
                <w:szCs w:val="21"/>
                <w:highlight w:val="none"/>
                <w:lang w:val="en-US" w:eastAsia="zh-CN"/>
              </w:rPr>
              <w:t>6</w:t>
            </w:r>
            <w:r>
              <w:rPr>
                <w:kern w:val="2"/>
                <w:sz w:val="21"/>
                <w:szCs w:val="21"/>
                <w:highlight w:val="none"/>
              </w:rPr>
              <w:t>分。</w:t>
            </w:r>
          </w:p>
        </w:tc>
      </w:tr>
    </w:tbl>
    <w:p w14:paraId="029F52A5">
      <w:pPr>
        <w:pStyle w:val="8"/>
        <w:rPr>
          <w:rFonts w:ascii="Times New Roman" w:hAnsi="Times New Roman"/>
          <w:szCs w:val="21"/>
          <w:highlight w:val="none"/>
        </w:rPr>
      </w:pPr>
    </w:p>
    <w:p w14:paraId="3EEFFA61">
      <w:pPr>
        <w:ind w:firstLine="400" w:firstLineChars="200"/>
        <w:rPr>
          <w:kern w:val="0"/>
          <w:sz w:val="20"/>
          <w:highlight w:val="none"/>
          <w:lang w:val="zh-CN"/>
        </w:rPr>
      </w:pPr>
      <w:r>
        <w:rPr>
          <w:kern w:val="0"/>
          <w:sz w:val="20"/>
          <w:highlight w:val="none"/>
          <w:lang w:val="zh-CN"/>
        </w:rPr>
        <w:t>注：1、第2.2.4（1）项各评委打分保留1位小数，投标人该项得分以各评委打分平均值计算所得，保留两位小数，第三位小数四舍五入。</w:t>
      </w:r>
    </w:p>
    <w:p w14:paraId="10F73EF7">
      <w:pPr>
        <w:ind w:firstLine="800" w:firstLineChars="400"/>
      </w:pPr>
      <w:r>
        <w:rPr>
          <w:kern w:val="0"/>
          <w:sz w:val="20"/>
          <w:highlight w:val="none"/>
          <w:lang w:val="zh-CN"/>
        </w:rPr>
        <w:t>2、第2.2.4（1）项评审因素缺项则该项得0分。</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E650C"/>
    <w:multiLevelType w:val="multilevel"/>
    <w:tmpl w:val="4C6E650C"/>
    <w:lvl w:ilvl="0" w:tentative="0">
      <w:start w:val="1"/>
      <w:numFmt w:val="decimal"/>
      <w:pStyle w:val="3"/>
      <w:suff w:val="space"/>
      <w:lvlText w:val="%1."/>
      <w:lvlJc w:val="left"/>
      <w:pPr>
        <w:tabs>
          <w:tab w:val="left" w:pos="0"/>
        </w:tabs>
        <w:ind w:left="0" w:firstLine="0"/>
      </w:pPr>
      <w:rPr>
        <w:rFonts w:hint="default" w:ascii="Times New Roman" w:hAnsi="Times New Roman" w:eastAsia="宋体"/>
        <w:b/>
        <w:i w:val="0"/>
        <w:sz w:val="21"/>
        <w:szCs w:val="21"/>
      </w:rPr>
    </w:lvl>
    <w:lvl w:ilvl="1" w:tentative="0">
      <w:start w:val="1"/>
      <w:numFmt w:val="decimal"/>
      <w:pStyle w:val="2"/>
      <w:suff w:val="space"/>
      <w:lvlText w:val="%1.%2"/>
      <w:lvlJc w:val="left"/>
      <w:pPr>
        <w:tabs>
          <w:tab w:val="left" w:pos="0"/>
        </w:tabs>
        <w:ind w:left="240" w:firstLine="0"/>
      </w:pPr>
      <w:rPr>
        <w:rFonts w:hint="default" w:ascii="Times New Roman" w:hAnsi="Times New Roman" w:eastAsia="宋体"/>
        <w:b/>
        <w:i w:val="0"/>
        <w:sz w:val="21"/>
        <w:szCs w:val="21"/>
      </w:rPr>
    </w:lvl>
    <w:lvl w:ilvl="2" w:tentative="0">
      <w:start w:val="1"/>
      <w:numFmt w:val="decimal"/>
      <w:suff w:val="space"/>
      <w:lvlText w:val="%1.%2.%3"/>
      <w:lvlJc w:val="left"/>
      <w:pPr>
        <w:ind w:left="993" w:firstLine="0"/>
      </w:pPr>
      <w:rPr>
        <w:rFonts w:hint="default" w:ascii="Times New Roman" w:hAnsi="Times New Roman" w:eastAsia="宋体"/>
        <w:b/>
        <w:i w:val="0"/>
        <w:sz w:val="32"/>
      </w:rPr>
    </w:lvl>
    <w:lvl w:ilvl="3" w:tentative="0">
      <w:start w:val="1"/>
      <w:numFmt w:val="decimal"/>
      <w:suff w:val="space"/>
      <w:lvlText w:val="%1.%2.%3.%4"/>
      <w:lvlJc w:val="left"/>
      <w:pPr>
        <w:ind w:left="0" w:firstLine="0"/>
      </w:pPr>
      <w:rPr>
        <w:rFonts w:hint="default" w:ascii="Times New Roman" w:hAnsi="Times New Roman" w:eastAsia="宋体"/>
        <w:b/>
        <w:i w:val="0"/>
        <w:sz w:val="24"/>
      </w:rPr>
    </w:lvl>
    <w:lvl w:ilvl="4" w:tentative="0">
      <w:start w:val="1"/>
      <w:numFmt w:val="decimal"/>
      <w:suff w:val="space"/>
      <w:lvlText w:val="%1.%2.%3.%4.%5"/>
      <w:lvlJc w:val="left"/>
      <w:pPr>
        <w:ind w:left="0" w:firstLine="0"/>
      </w:pPr>
      <w:rPr>
        <w:rFonts w:hint="default" w:ascii="Times New Roman" w:hAnsi="Times New Roman" w:eastAsia="宋体"/>
        <w:b/>
        <w:i w:val="0"/>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14797"/>
    <w:rsid w:val="2F8266AE"/>
    <w:rsid w:val="4B632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240"/>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0"/>
        <w:numId w:val="1"/>
      </w:numPr>
      <w:spacing w:before="50" w:after="50" w:line="416" w:lineRule="auto"/>
      <w:outlineLvl w:val="2"/>
    </w:pPr>
    <w:rPr>
      <w:rFonts w:ascii="宋体" w:hAnsi="宋体" w:eastAsia="宋体" w:cs="Times New Roman"/>
      <w:b/>
      <w:bCs/>
      <w:sz w:val="21"/>
      <w:szCs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kern w:val="2"/>
      <w:szCs w:val="24"/>
    </w:rPr>
  </w:style>
  <w:style w:type="paragraph" w:customStyle="1" w:styleId="5">
    <w:name w:val="正文部分 Char Char Char"/>
    <w:basedOn w:val="4"/>
    <w:next w:val="6"/>
    <w:qFormat/>
    <w:uiPriority w:val="0"/>
    <w:pPr>
      <w:spacing w:line="460" w:lineRule="exact"/>
      <w:textAlignment w:val="baseline"/>
    </w:pPr>
    <w:rPr>
      <w:rFonts w:ascii="等线" w:hAnsi="等线" w:eastAsia="等线"/>
    </w:rPr>
  </w:style>
  <w:style w:type="paragraph" w:customStyle="1" w:styleId="6">
    <w:name w:val="章标题"/>
    <w:basedOn w:val="7"/>
    <w:qFormat/>
    <w:uiPriority w:val="0"/>
    <w:rPr>
      <w:rFonts w:ascii="等线" w:hAnsi="等线"/>
    </w:rPr>
  </w:style>
  <w:style w:type="paragraph" w:styleId="7">
    <w:name w:val="Title"/>
    <w:basedOn w:val="1"/>
    <w:next w:val="1"/>
    <w:qFormat/>
    <w:uiPriority w:val="0"/>
    <w:pPr>
      <w:spacing w:before="240" w:after="60"/>
      <w:jc w:val="center"/>
      <w:outlineLvl w:val="0"/>
    </w:pPr>
    <w:rPr>
      <w:rFonts w:ascii="Arial" w:hAnsi="Arial" w:cs="Arial"/>
      <w:b/>
      <w:bCs/>
      <w:sz w:val="32"/>
      <w:szCs w:val="32"/>
    </w:rPr>
  </w:style>
  <w:style w:type="paragraph" w:styleId="8">
    <w:name w:val="Plain Text"/>
    <w:basedOn w:val="1"/>
    <w:qFormat/>
    <w:uiPriority w:val="0"/>
    <w:rPr>
      <w:rFonts w:ascii="宋体" w:hAnsi="Courier New"/>
      <w:kern w:val="2"/>
      <w:sz w:val="21"/>
    </w:rPr>
  </w:style>
  <w:style w:type="paragraph" w:styleId="9">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12">
    <w:name w:val="样式22"/>
    <w:basedOn w:val="13"/>
    <w:qFormat/>
    <w:uiPriority w:val="0"/>
    <w:pPr>
      <w:tabs>
        <w:tab w:val="left" w:pos="0"/>
      </w:tabs>
      <w:ind w:left="0" w:firstLine="200" w:firstLineChars="200"/>
    </w:pPr>
  </w:style>
  <w:style w:type="paragraph" w:customStyle="1" w:styleId="13">
    <w:name w:val="样式21"/>
    <w:basedOn w:val="3"/>
    <w:qFormat/>
    <w:uiPriority w:val="0"/>
    <w:pPr>
      <w:spacing w:before="0" w:after="0" w:line="360" w:lineRule="auto"/>
      <w:ind w:left="200" w:hanging="200" w:hangingChars="200"/>
    </w:pPr>
    <w:rPr>
      <w:sz w:val="24"/>
    </w:rPr>
  </w:style>
  <w:style w:type="paragraph" w:customStyle="1" w:styleId="14">
    <w:name w:val="样式23"/>
    <w:basedOn w:val="15"/>
    <w:qFormat/>
    <w:uiPriority w:val="0"/>
    <w:pPr>
      <w:tabs>
        <w:tab w:val="left" w:pos="0"/>
      </w:tabs>
    </w:pPr>
    <w:rPr>
      <w:sz w:val="24"/>
    </w:rPr>
  </w:style>
  <w:style w:type="paragraph" w:customStyle="1" w:styleId="15">
    <w:name w:val="样式17"/>
    <w:basedOn w:val="16"/>
    <w:qFormat/>
    <w:uiPriority w:val="0"/>
    <w:pPr>
      <w:tabs>
        <w:tab w:val="left" w:pos="0"/>
      </w:tabs>
      <w:ind w:firstLine="200" w:firstLineChars="200"/>
    </w:pPr>
  </w:style>
  <w:style w:type="paragraph" w:customStyle="1" w:styleId="16">
    <w:name w:val="样式16"/>
    <w:basedOn w:val="3"/>
    <w:qFormat/>
    <w:uiPriority w:val="0"/>
    <w:pPr>
      <w:spacing w:before="0" w:after="0" w:line="360" w:lineRule="auto"/>
    </w:pPr>
    <w:rPr>
      <w:sz w:val="28"/>
    </w:rPr>
  </w:style>
  <w:style w:type="paragraph" w:customStyle="1" w:styleId="17">
    <w:name w:val="样式 首行缩进:  1 厘米 行距: 固定值 25 磅"/>
    <w:basedOn w:val="1"/>
    <w:qFormat/>
    <w:uiPriority w:val="0"/>
    <w:pPr>
      <w:adjustRightInd w:val="0"/>
      <w:spacing w:line="440" w:lineRule="exact"/>
      <w:ind w:firstLine="480" w:firstLineChars="200"/>
      <w:textAlignment w:val="baseline"/>
    </w:pPr>
    <w:rPr>
      <w:rFonts w:ascii="宋体" w:hAnsi="宋体" w:cs="Arial"/>
      <w:kern w:val="2"/>
      <w:sz w:val="24"/>
      <w:szCs w:val="28"/>
    </w:rPr>
  </w:style>
  <w:style w:type="paragraph" w:customStyle="1" w:styleId="18">
    <w:name w:val="样式26"/>
    <w:basedOn w:val="19"/>
    <w:qFormat/>
    <w:uiPriority w:val="0"/>
    <w:pPr>
      <w:tabs>
        <w:tab w:val="left" w:pos="0"/>
      </w:tabs>
      <w:ind w:firstLine="562"/>
    </w:pPr>
    <w:rPr>
      <w:sz w:val="24"/>
    </w:rPr>
  </w:style>
  <w:style w:type="paragraph" w:customStyle="1" w:styleId="19">
    <w:name w:val="样式24"/>
    <w:basedOn w:val="3"/>
    <w:qFormat/>
    <w:uiPriority w:val="0"/>
    <w:pPr>
      <w:spacing w:before="0" w:after="0" w:line="360" w:lineRule="auto"/>
      <w:ind w:firstLine="200" w:firstLineChars="200"/>
    </w:pPr>
    <w:rPr>
      <w:sz w:val="28"/>
    </w:rPr>
  </w:style>
  <w:style w:type="paragraph" w:customStyle="1" w:styleId="20">
    <w:name w:val="样式25"/>
    <w:basedOn w:val="21"/>
    <w:qFormat/>
    <w:uiPriority w:val="0"/>
    <w:pPr>
      <w:tabs>
        <w:tab w:val="left" w:pos="0"/>
      </w:tabs>
    </w:pPr>
    <w:rPr>
      <w:sz w:val="24"/>
    </w:rPr>
  </w:style>
  <w:style w:type="paragraph" w:customStyle="1" w:styleId="21">
    <w:name w:val="样式20"/>
    <w:basedOn w:val="3"/>
    <w:qFormat/>
    <w:uiPriority w:val="0"/>
    <w:pPr>
      <w:spacing w:before="0" w:after="0" w:line="360" w:lineRule="auto"/>
      <w:ind w:firstLine="200" w:firstLineChars="200"/>
    </w:pPr>
  </w:style>
  <w:style w:type="paragraph" w:customStyle="1" w:styleId="22">
    <w:name w:val="样式27"/>
    <w:basedOn w:val="3"/>
    <w:qFormat/>
    <w:uiPriority w:val="0"/>
    <w:pPr>
      <w:spacing w:before="0" w:after="0" w:line="360" w:lineRule="auto"/>
      <w:ind w:firstLine="200" w:firstLineChars="200"/>
    </w:pPr>
    <w:rPr>
      <w:sz w:val="24"/>
    </w:rPr>
  </w:style>
  <w:style w:type="paragraph" w:customStyle="1" w:styleId="23">
    <w:name w:val="样式124"/>
    <w:basedOn w:val="3"/>
    <w:qFormat/>
    <w:uiPriority w:val="0"/>
    <w:pPr>
      <w:spacing w:before="0" w:after="0" w:line="360" w:lineRule="auto"/>
      <w:ind w:firstLine="200" w:firstLineChars="200"/>
    </w:pPr>
    <w:rPr>
      <w:sz w:val="24"/>
    </w:rPr>
  </w:style>
  <w:style w:type="paragraph" w:customStyle="1" w:styleId="24">
    <w:name w:val="样式30"/>
    <w:basedOn w:val="3"/>
    <w:qFormat/>
    <w:uiPriority w:val="0"/>
    <w:pPr>
      <w:spacing w:before="0" w:after="0" w:line="360" w:lineRule="auto"/>
      <w:ind w:firstLine="200" w:firstLineChars="200"/>
    </w:pPr>
    <w:rPr>
      <w:sz w:val="24"/>
    </w:rPr>
  </w:style>
  <w:style w:type="paragraph" w:customStyle="1" w:styleId="25">
    <w:name w:val="样式54"/>
    <w:basedOn w:val="2"/>
    <w:qFormat/>
    <w:uiPriority w:val="0"/>
    <w:pPr>
      <w:spacing w:before="0" w:after="0" w:line="360" w:lineRule="auto"/>
      <w:jc w:val="center"/>
    </w:pPr>
  </w:style>
  <w:style w:type="character" w:customStyle="1" w:styleId="26">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5054</Words>
  <Characters>5429</Characters>
  <Lines>0</Lines>
  <Paragraphs>0</Paragraphs>
  <TotalTime>0</TotalTime>
  <ScaleCrop>false</ScaleCrop>
  <LinksUpToDate>false</LinksUpToDate>
  <CharactersWithSpaces>5496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2025-07-30T08:06:00Z</dcterms:created>
  <dc:creator>zjyd-2</dc:creator>
  <cp:lastModifiedBy>李娜</cp:lastModifiedBy>
  <dcterms:modified xsi:type="dcterms:W3CDTF">2025-08-13T00:51:14Z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CF58DBFDBD8A45269F9CDECC14BC5366_12</vt:lpwstr>
  </property>
  <property fmtid="{D5CDD505-2E9C-101B-9397-08002B2CF9AE}" pid="4" name="KSOTemplateDocerSaveRecord">
    <vt:lpwstr>eyJoZGlkIjoiOWYyZDYxNTJjZmI2NmVkYTMyOWVjMGFiZjEzZGM5NjgiLCJ1c2VySWQiOiIxNTI1NDExOTAzIn0=</vt:lpwstr>
  </property>
</Properties>
</file>