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0006B">
      <w:pPr>
        <w:shd w:val="clear" w:color="auto" w:fill="auto"/>
        <w:spacing w:line="360" w:lineRule="auto"/>
        <w:outlineLvl w:val="1"/>
        <w:rPr>
          <w:rFonts w:hint="eastAsia" w:ascii="宋体" w:hAnsi="宋体"/>
          <w:b/>
          <w:bCs/>
          <w:color w:val="auto"/>
          <w:sz w:val="28"/>
          <w:szCs w:val="36"/>
          <w:highlight w:val="none"/>
        </w:rPr>
      </w:pPr>
      <w:r>
        <w:rPr>
          <w:rFonts w:ascii="宋体" w:hAnsi="宋体"/>
          <w:b/>
          <w:bCs/>
          <w:color w:val="auto"/>
          <w:sz w:val="28"/>
          <w:szCs w:val="36"/>
          <w:highlight w:val="none"/>
        </w:rPr>
        <w:t>附件</w:t>
      </w:r>
      <w:r>
        <w:rPr>
          <w:rFonts w:hint="eastAsia" w:ascii="宋体" w:hAnsi="宋体"/>
          <w:b/>
          <w:bCs/>
          <w:color w:val="auto"/>
          <w:sz w:val="28"/>
          <w:szCs w:val="36"/>
          <w:highlight w:val="none"/>
        </w:rPr>
        <w:t>1</w:t>
      </w:r>
      <w:r>
        <w:rPr>
          <w:rFonts w:ascii="宋体" w:hAnsi="宋体"/>
          <w:b/>
          <w:bCs/>
          <w:color w:val="auto"/>
          <w:sz w:val="28"/>
          <w:szCs w:val="36"/>
          <w:highlight w:val="none"/>
        </w:rPr>
        <w:t xml:space="preserve"> 资格</w:t>
      </w:r>
      <w:r>
        <w:rPr>
          <w:rFonts w:hint="eastAsia" w:ascii="宋体" w:hAnsi="宋体"/>
          <w:b/>
          <w:bCs/>
          <w:color w:val="auto"/>
          <w:sz w:val="28"/>
          <w:szCs w:val="36"/>
          <w:highlight w:val="none"/>
        </w:rPr>
        <w:t>审查条件</w:t>
      </w:r>
      <w:bookmarkStart w:id="7" w:name="_GoBack"/>
      <w:bookmarkEnd w:id="7"/>
    </w:p>
    <w:p w14:paraId="3978E070">
      <w:pPr>
        <w:shd w:val="clear" w:color="auto" w:fill="auto"/>
        <w:spacing w:line="360" w:lineRule="auto"/>
        <w:jc w:val="center"/>
        <w:rPr>
          <w:rFonts w:hint="eastAsia"/>
          <w:color w:val="auto"/>
          <w:sz w:val="24"/>
          <w:highlight w:val="none"/>
        </w:rPr>
      </w:pPr>
      <w:r>
        <w:rPr>
          <w:rStyle w:val="19"/>
          <w:rFonts w:hint="eastAsia" w:ascii="宋体" w:hAnsi="宋体" w:eastAsia="宋体"/>
          <w:b/>
          <w:color w:val="auto"/>
          <w:highlight w:val="none"/>
        </w:rPr>
        <w:t>附录1  资格审查条件（资质最低条件）</w:t>
      </w:r>
    </w:p>
    <w:tbl>
      <w:tblPr>
        <w:tblStyle w:val="17"/>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14:paraId="56B4963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14:paraId="788DA7A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ascii="宋体" w:hAnsi="宋体"/>
                <w:color w:val="auto"/>
                <w:sz w:val="24"/>
                <w:highlight w:val="none"/>
              </w:rPr>
            </w:pPr>
            <w:r>
              <w:rPr>
                <w:rFonts w:hint="eastAsia" w:ascii="宋体" w:hAnsi="宋体"/>
                <w:color w:val="auto"/>
                <w:sz w:val="24"/>
                <w:highlight w:val="none"/>
              </w:rPr>
              <w:t>资质要求</w:t>
            </w:r>
          </w:p>
        </w:tc>
      </w:tr>
      <w:tr w14:paraId="7A2A55D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14:paraId="3F75DF1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具有独立法人资格，持有有效的企业营业执照。</w:t>
            </w:r>
          </w:p>
        </w:tc>
      </w:tr>
    </w:tbl>
    <w:p w14:paraId="00B0D28F">
      <w:pPr>
        <w:shd w:val="clear" w:color="auto" w:fill="auto"/>
        <w:spacing w:line="360" w:lineRule="auto"/>
        <w:jc w:val="center"/>
        <w:rPr>
          <w:rStyle w:val="20"/>
          <w:rFonts w:ascii="宋体" w:hAnsi="宋体" w:eastAsia="宋体"/>
          <w:b/>
          <w:color w:val="auto"/>
          <w:highlight w:val="none"/>
        </w:rPr>
      </w:pPr>
    </w:p>
    <w:p w14:paraId="0620EFB3">
      <w:pPr>
        <w:pStyle w:val="16"/>
        <w:shd w:val="clear" w:color="auto" w:fill="auto"/>
        <w:ind w:firstLine="0" w:firstLineChars="0"/>
        <w:jc w:val="center"/>
        <w:rPr>
          <w:rFonts w:hint="eastAsia"/>
          <w:color w:val="auto"/>
          <w:highlight w:val="none"/>
        </w:rPr>
      </w:pPr>
    </w:p>
    <w:p w14:paraId="1F44B8B1">
      <w:pPr>
        <w:shd w:val="clear" w:color="auto" w:fill="auto"/>
        <w:spacing w:line="360" w:lineRule="auto"/>
        <w:jc w:val="center"/>
        <w:rPr>
          <w:rFonts w:hint="eastAsia"/>
          <w:color w:val="auto"/>
          <w:sz w:val="24"/>
          <w:highlight w:val="none"/>
        </w:rPr>
      </w:pPr>
      <w:r>
        <w:rPr>
          <w:rStyle w:val="20"/>
          <w:rFonts w:hint="eastAsia" w:ascii="宋体" w:hAnsi="宋体" w:eastAsia="宋体"/>
          <w:b/>
          <w:color w:val="auto"/>
          <w:highlight w:val="none"/>
        </w:rPr>
        <w:t>附录</w:t>
      </w:r>
      <w:r>
        <w:rPr>
          <w:rStyle w:val="20"/>
          <w:rFonts w:ascii="宋体" w:hAnsi="宋体" w:eastAsia="宋体"/>
          <w:b/>
          <w:color w:val="auto"/>
          <w:highlight w:val="none"/>
        </w:rPr>
        <w:t xml:space="preserve">2 </w:t>
      </w:r>
      <w:r>
        <w:rPr>
          <w:rStyle w:val="20"/>
          <w:rFonts w:hint="eastAsia" w:ascii="宋体" w:hAnsi="宋体" w:eastAsia="宋体"/>
          <w:b/>
          <w:color w:val="auto"/>
          <w:highlight w:val="none"/>
        </w:rPr>
        <w:t xml:space="preserve"> 资格审查条件（</w:t>
      </w:r>
      <w:r>
        <w:rPr>
          <w:rFonts w:hint="eastAsia" w:ascii="宋体" w:hAnsi="宋体"/>
          <w:b/>
          <w:color w:val="auto"/>
          <w:sz w:val="24"/>
          <w:highlight w:val="none"/>
        </w:rPr>
        <w:t>业绩最低条件</w:t>
      </w:r>
      <w:r>
        <w:rPr>
          <w:rStyle w:val="20"/>
          <w:rFonts w:hint="eastAsia" w:ascii="宋体" w:hAnsi="宋体" w:eastAsia="宋体"/>
          <w:b/>
          <w:color w:val="auto"/>
          <w:highlight w:val="none"/>
        </w:rPr>
        <w:t>）</w:t>
      </w:r>
    </w:p>
    <w:tbl>
      <w:tblPr>
        <w:tblStyle w:val="17"/>
        <w:tblpPr w:leftFromText="180" w:rightFromText="180" w:vertAnchor="text" w:horzAnchor="margin" w:tblpXSpec="center" w:tblpY="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3E3C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322" w:type="dxa"/>
            <w:noWrap w:val="0"/>
            <w:vAlign w:val="center"/>
          </w:tcPr>
          <w:p w14:paraId="74B7946D">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ascii="宋体" w:hAnsi="宋体"/>
                <w:color w:val="auto"/>
                <w:sz w:val="24"/>
                <w:highlight w:val="none"/>
              </w:rPr>
            </w:pPr>
            <w:r>
              <w:rPr>
                <w:rFonts w:hint="eastAsia" w:ascii="宋体" w:hAnsi="宋体"/>
                <w:color w:val="auto"/>
                <w:sz w:val="24"/>
                <w:highlight w:val="none"/>
              </w:rPr>
              <w:t>业绩要求</w:t>
            </w:r>
          </w:p>
        </w:tc>
      </w:tr>
      <w:tr w14:paraId="5FF4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9322" w:type="dxa"/>
            <w:noWrap w:val="0"/>
            <w:vAlign w:val="center"/>
          </w:tcPr>
          <w:p w14:paraId="4FFBAC15">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近</w:t>
            </w:r>
            <w:r>
              <w:rPr>
                <w:rFonts w:hint="eastAsia" w:ascii="宋体" w:hAnsi="宋体"/>
                <w:color w:val="auto"/>
                <w:sz w:val="24"/>
                <w:highlight w:val="none"/>
              </w:rPr>
              <w:t>3</w:t>
            </w:r>
            <w:r>
              <w:rPr>
                <w:rFonts w:hint="eastAsia" w:ascii="宋体" w:hAnsi="宋体"/>
                <w:color w:val="auto"/>
                <w:sz w:val="24"/>
                <w:highlight w:val="none"/>
                <w:lang w:val="en-US" w:eastAsia="zh-CN"/>
              </w:rPr>
              <w:t>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2</w:t>
            </w:r>
            <w:r>
              <w:rPr>
                <w:rFonts w:ascii="宋体" w:hAnsi="宋体"/>
                <w:color w:val="auto"/>
                <w:sz w:val="24"/>
                <w:highlight w:val="none"/>
              </w:rPr>
              <w:t>年</w:t>
            </w:r>
            <w:r>
              <w:rPr>
                <w:rFonts w:hint="eastAsia" w:ascii="宋体" w:hAnsi="宋体"/>
                <w:color w:val="auto"/>
                <w:sz w:val="24"/>
                <w:highlight w:val="none"/>
                <w:lang w:val="en-US" w:eastAsia="zh-CN"/>
              </w:rPr>
              <w:t>8月</w:t>
            </w:r>
            <w:r>
              <w:rPr>
                <w:rFonts w:ascii="宋体" w:hAnsi="宋体"/>
                <w:color w:val="auto"/>
                <w:sz w:val="24"/>
                <w:highlight w:val="none"/>
              </w:rPr>
              <w:t>1日至今，以合同签订时间为准）承</w:t>
            </w:r>
            <w:r>
              <w:rPr>
                <w:rFonts w:hint="eastAsia" w:ascii="宋体" w:hAnsi="宋体"/>
                <w:color w:val="auto"/>
                <w:sz w:val="24"/>
                <w:highlight w:val="none"/>
                <w:lang w:val="en-US" w:eastAsia="zh-CN"/>
              </w:rPr>
              <w:t>揽</w:t>
            </w:r>
            <w:r>
              <w:rPr>
                <w:rFonts w:ascii="宋体" w:hAnsi="宋体"/>
                <w:color w:val="auto"/>
                <w:sz w:val="24"/>
                <w:highlight w:val="none"/>
              </w:rPr>
              <w:t>过1项</w:t>
            </w:r>
            <w:r>
              <w:rPr>
                <w:rFonts w:hint="eastAsia" w:ascii="宋体" w:hAnsi="宋体"/>
                <w:color w:val="auto"/>
                <w:sz w:val="24"/>
                <w:highlight w:val="none"/>
              </w:rPr>
              <w:t>党政机关</w:t>
            </w:r>
            <w:r>
              <w:rPr>
                <w:rFonts w:hint="eastAsia" w:ascii="宋体" w:hAnsi="宋体"/>
                <w:color w:val="auto"/>
                <w:sz w:val="24"/>
                <w:highlight w:val="none"/>
                <w:lang w:val="en-US" w:eastAsia="zh-CN"/>
              </w:rPr>
              <w:t>或</w:t>
            </w:r>
            <w:r>
              <w:rPr>
                <w:rFonts w:hint="eastAsia" w:ascii="宋体" w:hAnsi="宋体"/>
                <w:color w:val="auto"/>
                <w:sz w:val="24"/>
                <w:highlight w:val="none"/>
              </w:rPr>
              <w:t>企事业单位物业服务项目。</w:t>
            </w:r>
          </w:p>
        </w:tc>
      </w:tr>
    </w:tbl>
    <w:p w14:paraId="3172BD0D">
      <w:pPr>
        <w:shd w:val="clear" w:color="auto" w:fill="auto"/>
        <w:tabs>
          <w:tab w:val="left" w:pos="3300"/>
        </w:tabs>
        <w:spacing w:line="360" w:lineRule="auto"/>
        <w:jc w:val="center"/>
        <w:rPr>
          <w:rFonts w:ascii="宋体" w:hAnsi="宋体"/>
          <w:b/>
          <w:color w:val="auto"/>
          <w:sz w:val="24"/>
          <w:highlight w:val="none"/>
        </w:rPr>
      </w:pPr>
    </w:p>
    <w:p w14:paraId="5E26804C">
      <w:pPr>
        <w:shd w:val="clear" w:color="auto" w:fill="auto"/>
        <w:spacing w:line="360" w:lineRule="auto"/>
        <w:jc w:val="center"/>
        <w:rPr>
          <w:rFonts w:ascii="宋体" w:hAnsi="宋体"/>
          <w:b/>
          <w:color w:val="auto"/>
          <w:sz w:val="24"/>
          <w:highlight w:val="none"/>
        </w:rPr>
      </w:pPr>
    </w:p>
    <w:p w14:paraId="7F35E1A5">
      <w:pPr>
        <w:shd w:val="clear" w:color="auto" w:fill="auto"/>
        <w:spacing w:line="360" w:lineRule="auto"/>
        <w:jc w:val="center"/>
        <w:rPr>
          <w:rFonts w:hint="eastAsia"/>
          <w:color w:val="auto"/>
          <w:sz w:val="24"/>
          <w:highlight w:val="none"/>
        </w:rPr>
      </w:pPr>
      <w:r>
        <w:rPr>
          <w:rFonts w:hint="eastAsia" w:ascii="宋体" w:hAnsi="宋体"/>
          <w:b/>
          <w:color w:val="auto"/>
          <w:sz w:val="24"/>
          <w:highlight w:val="none"/>
        </w:rPr>
        <w:t>附录</w:t>
      </w:r>
      <w:r>
        <w:rPr>
          <w:rFonts w:ascii="宋体" w:hAnsi="宋体"/>
          <w:b/>
          <w:color w:val="auto"/>
          <w:sz w:val="24"/>
          <w:highlight w:val="none"/>
        </w:rPr>
        <w:t>3</w:t>
      </w:r>
      <w:r>
        <w:rPr>
          <w:rFonts w:hint="eastAsia" w:ascii="宋体" w:hAnsi="宋体"/>
          <w:b/>
          <w:color w:val="auto"/>
          <w:sz w:val="24"/>
          <w:highlight w:val="none"/>
        </w:rPr>
        <w:t xml:space="preserve">  资格审查条件（信誉最低条件）</w:t>
      </w:r>
    </w:p>
    <w:tbl>
      <w:tblPr>
        <w:tblStyle w:val="17"/>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14:paraId="728E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14:paraId="2A72D3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ascii="宋体" w:hAnsi="宋体"/>
                <w:color w:val="auto"/>
                <w:sz w:val="24"/>
                <w:highlight w:val="none"/>
              </w:rPr>
            </w:pPr>
            <w:r>
              <w:rPr>
                <w:rFonts w:hint="eastAsia" w:ascii="宋体" w:hAnsi="宋体"/>
                <w:color w:val="auto"/>
                <w:sz w:val="24"/>
                <w:highlight w:val="none"/>
              </w:rPr>
              <w:t>信誉要求</w:t>
            </w:r>
          </w:p>
        </w:tc>
      </w:tr>
      <w:tr w14:paraId="4C20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9343" w:type="dxa"/>
            <w:noWrap w:val="0"/>
            <w:vAlign w:val="center"/>
          </w:tcPr>
          <w:p w14:paraId="504718D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投标人在近1年(202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8月</w:t>
            </w:r>
            <w:r>
              <w:rPr>
                <w:rFonts w:hint="eastAsia" w:ascii="宋体" w:hAnsi="宋体"/>
                <w:color w:val="auto"/>
                <w:sz w:val="24"/>
                <w:highlight w:val="none"/>
              </w:rPr>
              <w:t>1日至今)中不曾在物业服务合同中违约而被驱逐或因投标人自身的原因而使物业服务项目合同被解除。</w:t>
            </w:r>
          </w:p>
        </w:tc>
      </w:tr>
    </w:tbl>
    <w:p w14:paraId="5DFC53D8">
      <w:pPr>
        <w:shd w:val="clear" w:color="auto" w:fill="auto"/>
        <w:tabs>
          <w:tab w:val="left" w:pos="3300"/>
        </w:tabs>
        <w:spacing w:line="360" w:lineRule="auto"/>
        <w:jc w:val="center"/>
        <w:rPr>
          <w:rFonts w:ascii="宋体" w:hAnsi="宋体"/>
          <w:b/>
          <w:color w:val="auto"/>
          <w:sz w:val="24"/>
          <w:highlight w:val="none"/>
        </w:rPr>
      </w:pPr>
    </w:p>
    <w:p w14:paraId="551C8DB8">
      <w:pPr>
        <w:shd w:val="clear" w:color="auto" w:fill="auto"/>
        <w:spacing w:line="360" w:lineRule="auto"/>
        <w:jc w:val="center"/>
        <w:rPr>
          <w:rFonts w:ascii="宋体" w:hAnsi="宋体"/>
          <w:b/>
          <w:color w:val="auto"/>
          <w:sz w:val="24"/>
          <w:highlight w:val="none"/>
        </w:rPr>
      </w:pPr>
    </w:p>
    <w:p w14:paraId="2AC5623F">
      <w:pPr>
        <w:shd w:val="clear" w:color="auto" w:fill="auto"/>
        <w:spacing w:line="360" w:lineRule="auto"/>
        <w:jc w:val="center"/>
        <w:rPr>
          <w:rFonts w:ascii="宋体" w:hAnsi="宋体"/>
          <w:b/>
          <w:color w:val="auto"/>
          <w:sz w:val="24"/>
          <w:highlight w:val="none"/>
        </w:rPr>
      </w:pPr>
      <w:r>
        <w:rPr>
          <w:rFonts w:hint="eastAsia" w:ascii="宋体" w:hAnsi="宋体"/>
          <w:b/>
          <w:color w:val="auto"/>
          <w:sz w:val="24"/>
          <w:highlight w:val="none"/>
        </w:rPr>
        <w:t>附录4  资格审查条件（主要人员最低要求）</w:t>
      </w:r>
    </w:p>
    <w:tbl>
      <w:tblPr>
        <w:tblStyle w:val="17"/>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766"/>
        <w:gridCol w:w="6874"/>
      </w:tblGrid>
      <w:tr w14:paraId="2E5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52" w:type="dxa"/>
            <w:noWrap w:val="0"/>
            <w:vAlign w:val="center"/>
          </w:tcPr>
          <w:p w14:paraId="1287CC9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人员</w:t>
            </w:r>
          </w:p>
        </w:tc>
        <w:tc>
          <w:tcPr>
            <w:tcW w:w="766" w:type="dxa"/>
            <w:noWrap w:val="0"/>
            <w:vAlign w:val="center"/>
          </w:tcPr>
          <w:p w14:paraId="2DF192A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数量</w:t>
            </w:r>
          </w:p>
        </w:tc>
        <w:tc>
          <w:tcPr>
            <w:tcW w:w="6874" w:type="dxa"/>
            <w:noWrap w:val="0"/>
            <w:vAlign w:val="center"/>
          </w:tcPr>
          <w:p w14:paraId="78EF26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ascii="宋体" w:hAnsi="宋体"/>
                <w:color w:val="auto"/>
                <w:sz w:val="24"/>
                <w:highlight w:val="none"/>
              </w:rPr>
            </w:pPr>
            <w:r>
              <w:rPr>
                <w:rFonts w:hint="eastAsia" w:ascii="宋体" w:hAnsi="宋体"/>
                <w:color w:val="auto"/>
                <w:sz w:val="24"/>
                <w:highlight w:val="none"/>
              </w:rPr>
              <w:t>资格要求</w:t>
            </w:r>
          </w:p>
        </w:tc>
      </w:tr>
      <w:tr w14:paraId="2FA8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852" w:type="dxa"/>
            <w:noWrap w:val="0"/>
            <w:vAlign w:val="center"/>
          </w:tcPr>
          <w:p w14:paraId="5F4FD9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项目负责人</w:t>
            </w:r>
          </w:p>
        </w:tc>
        <w:tc>
          <w:tcPr>
            <w:tcW w:w="766" w:type="dxa"/>
            <w:noWrap w:val="0"/>
            <w:vAlign w:val="center"/>
          </w:tcPr>
          <w:p w14:paraId="01C71C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1人</w:t>
            </w:r>
          </w:p>
        </w:tc>
        <w:tc>
          <w:tcPr>
            <w:tcW w:w="6874" w:type="dxa"/>
            <w:noWrap w:val="0"/>
            <w:vAlign w:val="center"/>
          </w:tcPr>
          <w:p w14:paraId="186486D1">
            <w:pPr>
              <w:pStyle w:val="5"/>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highlight w:val="none"/>
                <w:u w:val="single"/>
              </w:rPr>
            </w:pPr>
            <w:r>
              <w:rPr>
                <w:rFonts w:hint="eastAsia" w:ascii="宋体" w:hAnsi="宋体"/>
                <w:color w:val="auto"/>
                <w:sz w:val="24"/>
                <w:highlight w:val="none"/>
                <w:lang w:val="en-US" w:eastAsia="zh-CN"/>
              </w:rPr>
              <w:t>45</w:t>
            </w:r>
            <w:r>
              <w:rPr>
                <w:rFonts w:hint="eastAsia" w:ascii="宋体" w:hAnsi="宋体"/>
                <w:color w:val="auto"/>
                <w:sz w:val="24"/>
                <w:highlight w:val="none"/>
              </w:rPr>
              <w:t>周岁及以下，</w:t>
            </w:r>
            <w:r>
              <w:rPr>
                <w:rFonts w:hint="eastAsia" w:ascii="宋体" w:hAnsi="宋体"/>
                <w:color w:val="auto"/>
                <w:sz w:val="24"/>
                <w:highlight w:val="none"/>
                <w:lang w:val="en-US" w:eastAsia="zh-CN"/>
              </w:rPr>
              <w:t>本科</w:t>
            </w:r>
            <w:r>
              <w:rPr>
                <w:rFonts w:hint="eastAsia" w:ascii="宋体" w:hAnsi="宋体"/>
                <w:color w:val="auto"/>
                <w:sz w:val="24"/>
                <w:highlight w:val="none"/>
              </w:rPr>
              <w:t>及以上学历。</w:t>
            </w:r>
            <w:r>
              <w:rPr>
                <w:rFonts w:ascii="宋体" w:hAnsi="宋体"/>
                <w:color w:val="auto"/>
                <w:sz w:val="24"/>
                <w:highlight w:val="none"/>
              </w:rPr>
              <w:t>近</w:t>
            </w:r>
            <w:r>
              <w:rPr>
                <w:rFonts w:hint="eastAsia" w:ascii="宋体" w:hAnsi="宋体"/>
                <w:color w:val="auto"/>
                <w:sz w:val="24"/>
                <w:highlight w:val="none"/>
              </w:rPr>
              <w:t>3</w:t>
            </w:r>
            <w:r>
              <w:rPr>
                <w:rFonts w:ascii="宋体" w:hAnsi="宋体"/>
                <w:color w:val="auto"/>
                <w:sz w:val="24"/>
                <w:highlight w:val="none"/>
              </w:rPr>
              <w:t>年内（20</w:t>
            </w:r>
            <w:r>
              <w:rPr>
                <w:rFonts w:hint="eastAsia" w:ascii="宋体" w:hAnsi="宋体"/>
                <w:color w:val="auto"/>
                <w:sz w:val="24"/>
                <w:highlight w:val="none"/>
              </w:rPr>
              <w:t>2</w:t>
            </w:r>
            <w:r>
              <w:rPr>
                <w:rFonts w:hint="eastAsia" w:ascii="宋体" w:hAnsi="宋体"/>
                <w:color w:val="auto"/>
                <w:sz w:val="24"/>
                <w:highlight w:val="none"/>
                <w:lang w:val="en-US" w:eastAsia="zh-CN"/>
              </w:rPr>
              <w:t>2</w:t>
            </w:r>
            <w:r>
              <w:rPr>
                <w:rFonts w:ascii="宋体" w:hAnsi="宋体"/>
                <w:color w:val="auto"/>
                <w:sz w:val="24"/>
                <w:highlight w:val="none"/>
              </w:rPr>
              <w:t>年</w:t>
            </w:r>
            <w:r>
              <w:rPr>
                <w:rFonts w:hint="eastAsia" w:ascii="宋体" w:hAnsi="宋体"/>
                <w:color w:val="auto"/>
                <w:sz w:val="24"/>
                <w:highlight w:val="none"/>
                <w:lang w:val="en-US" w:eastAsia="zh-CN"/>
              </w:rPr>
              <w:t>8月</w:t>
            </w:r>
            <w:r>
              <w:rPr>
                <w:rFonts w:ascii="宋体" w:hAnsi="宋体"/>
                <w:color w:val="auto"/>
                <w:sz w:val="24"/>
                <w:highlight w:val="none"/>
              </w:rPr>
              <w:t>1日至今，以合同签订时间为准）</w:t>
            </w:r>
            <w:r>
              <w:rPr>
                <w:rFonts w:hint="eastAsia" w:ascii="宋体" w:hAnsi="宋体"/>
                <w:color w:val="auto"/>
                <w:sz w:val="24"/>
                <w:highlight w:val="none"/>
                <w:lang w:val="en-US" w:eastAsia="zh-CN"/>
              </w:rPr>
              <w:t>担任</w:t>
            </w:r>
            <w:r>
              <w:rPr>
                <w:rFonts w:ascii="宋体" w:hAnsi="宋体"/>
                <w:color w:val="auto"/>
                <w:sz w:val="24"/>
                <w:highlight w:val="none"/>
              </w:rPr>
              <w:t>过1项</w:t>
            </w:r>
            <w:r>
              <w:rPr>
                <w:rFonts w:hint="eastAsia" w:ascii="宋体" w:hAnsi="宋体"/>
                <w:color w:val="auto"/>
                <w:sz w:val="24"/>
                <w:highlight w:val="none"/>
              </w:rPr>
              <w:t>党政机关</w:t>
            </w:r>
            <w:r>
              <w:rPr>
                <w:rFonts w:hint="eastAsia" w:ascii="宋体" w:hAnsi="宋体"/>
                <w:color w:val="auto"/>
                <w:sz w:val="24"/>
                <w:highlight w:val="none"/>
                <w:lang w:val="en-US" w:eastAsia="zh-CN"/>
              </w:rPr>
              <w:t>或</w:t>
            </w:r>
            <w:r>
              <w:rPr>
                <w:rFonts w:hint="eastAsia" w:ascii="宋体" w:hAnsi="宋体"/>
                <w:color w:val="auto"/>
                <w:sz w:val="24"/>
                <w:highlight w:val="none"/>
              </w:rPr>
              <w:t>企事业单位物业服务项目的项目负责人。</w:t>
            </w:r>
          </w:p>
        </w:tc>
      </w:tr>
    </w:tbl>
    <w:p w14:paraId="419D899A">
      <w:pPr>
        <w:shd w:val="clear" w:color="auto" w:fill="auto"/>
        <w:rPr>
          <w:rFonts w:ascii="宋体" w:hAnsi="宋体"/>
          <w:b/>
          <w:bCs/>
          <w:color w:val="auto"/>
          <w:sz w:val="24"/>
          <w:highlight w:val="none"/>
        </w:rPr>
      </w:pPr>
    </w:p>
    <w:p w14:paraId="574B5BAE">
      <w:pPr>
        <w:shd w:val="clear" w:color="auto" w:fill="auto"/>
        <w:outlineLvl w:val="1"/>
        <w:rPr>
          <w:rFonts w:ascii="宋体" w:hAnsi="宋体"/>
          <w:color w:val="auto"/>
          <w:sz w:val="28"/>
          <w:szCs w:val="28"/>
          <w:highlight w:val="none"/>
        </w:rPr>
      </w:pPr>
      <w:r>
        <w:rPr>
          <w:rFonts w:ascii="宋体" w:hAnsi="宋体"/>
          <w:bCs/>
          <w:color w:val="auto"/>
          <w:sz w:val="28"/>
          <w:szCs w:val="28"/>
          <w:highlight w:val="none"/>
        </w:rPr>
        <w:br w:type="page"/>
      </w:r>
      <w:bookmarkStart w:id="0" w:name="_Toc155970156"/>
      <w:bookmarkStart w:id="1" w:name="_Toc155970200"/>
      <w:r>
        <w:rPr>
          <w:rFonts w:hint="eastAsia" w:ascii="宋体" w:hAnsi="宋体"/>
          <w:b/>
          <w:bCs/>
          <w:color w:val="auto"/>
          <w:sz w:val="28"/>
          <w:szCs w:val="36"/>
          <w:highlight w:val="none"/>
        </w:rPr>
        <w:t>附件2 评标办法</w:t>
      </w:r>
      <w:bookmarkEnd w:id="0"/>
      <w:bookmarkEnd w:id="1"/>
    </w:p>
    <w:p w14:paraId="4CB4930A">
      <w:pPr>
        <w:shd w:val="clear" w:color="auto" w:fill="auto"/>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评标办法（综合评估法）</w:t>
      </w:r>
    </w:p>
    <w:p w14:paraId="2FA6C970">
      <w:pPr>
        <w:shd w:val="clear" w:color="auto" w:fill="auto"/>
        <w:autoSpaceDE w:val="0"/>
        <w:autoSpaceDN w:val="0"/>
        <w:adjustRightInd w:val="0"/>
        <w:snapToGrid w:val="0"/>
        <w:spacing w:line="360" w:lineRule="auto"/>
        <w:ind w:right="113"/>
        <w:jc w:val="left"/>
        <w:rPr>
          <w:rFonts w:ascii="宋体" w:hAnsi="宋体"/>
          <w:b/>
          <w:bCs/>
          <w:color w:val="auto"/>
          <w:sz w:val="24"/>
          <w:szCs w:val="32"/>
          <w:highlight w:val="none"/>
        </w:rPr>
      </w:pPr>
      <w:r>
        <w:rPr>
          <w:rFonts w:hint="eastAsia" w:ascii="宋体" w:hAnsi="宋体"/>
          <w:b/>
          <w:bCs/>
          <w:color w:val="auto"/>
          <w:sz w:val="24"/>
          <w:szCs w:val="32"/>
          <w:highlight w:val="none"/>
        </w:rPr>
        <w:t>评标办法前附表</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7"/>
        <w:gridCol w:w="1589"/>
        <w:gridCol w:w="6405"/>
      </w:tblGrid>
      <w:tr w14:paraId="72C6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66" w:type="dxa"/>
            <w:gridSpan w:val="2"/>
            <w:noWrap w:val="0"/>
            <w:vAlign w:val="center"/>
          </w:tcPr>
          <w:p w14:paraId="28C4F680">
            <w:pPr>
              <w:shd w:val="clear" w:color="auto" w:fill="auto"/>
              <w:adjustRightInd w:val="0"/>
              <w:snapToGrid w:val="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6405" w:type="dxa"/>
            <w:noWrap w:val="0"/>
            <w:vAlign w:val="center"/>
          </w:tcPr>
          <w:p w14:paraId="657F0CC6">
            <w:pPr>
              <w:shd w:val="clear" w:color="auto" w:fill="auto"/>
              <w:adjustRightInd w:val="0"/>
              <w:snapToGrid w:val="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评审因素与评审标准</w:t>
            </w:r>
          </w:p>
        </w:tc>
      </w:tr>
      <w:tr w14:paraId="1320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077" w:type="dxa"/>
            <w:noWrap w:val="0"/>
            <w:vAlign w:val="center"/>
          </w:tcPr>
          <w:p w14:paraId="53B96257">
            <w:pPr>
              <w:shd w:val="clear" w:color="auto" w:fill="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589" w:type="dxa"/>
            <w:noWrap w:val="0"/>
            <w:vAlign w:val="center"/>
          </w:tcPr>
          <w:p w14:paraId="07EE43E9">
            <w:pPr>
              <w:shd w:val="clear" w:color="auto" w:fill="auto"/>
              <w:jc w:val="center"/>
              <w:rPr>
                <w:rFonts w:hint="eastAsia" w:ascii="宋体" w:hAnsi="宋体" w:cs="宋体"/>
                <w:b/>
                <w:color w:val="auto"/>
                <w:sz w:val="21"/>
                <w:szCs w:val="21"/>
                <w:highlight w:val="none"/>
              </w:rPr>
            </w:pPr>
            <w:r>
              <w:rPr>
                <w:rFonts w:hint="eastAsia" w:ascii="宋体" w:hAnsi="宋体" w:cs="宋体"/>
                <w:color w:val="auto"/>
                <w:sz w:val="21"/>
                <w:szCs w:val="21"/>
                <w:highlight w:val="none"/>
              </w:rPr>
              <w:t>评标办法</w:t>
            </w:r>
          </w:p>
        </w:tc>
        <w:tc>
          <w:tcPr>
            <w:tcW w:w="6405" w:type="dxa"/>
            <w:noWrap w:val="0"/>
            <w:vAlign w:val="center"/>
          </w:tcPr>
          <w:p w14:paraId="15011C08">
            <w:pPr>
              <w:keepNext w:val="0"/>
              <w:keepLines w:val="0"/>
              <w:pageBreakBefore w:val="0"/>
              <w:shd w:val="clear" w:color="auto" w:fill="auto"/>
              <w:kinsoku/>
              <w:wordWrap/>
              <w:overflowPunct/>
              <w:topLinePunct w:val="0"/>
              <w:autoSpaceDE/>
              <w:autoSpaceDN/>
              <w:bidi w:val="0"/>
              <w:snapToGrid/>
              <w:spacing w:line="360" w:lineRule="exact"/>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14:paraId="3F7CD8A8">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（1）评标价低的投标人优先；</w:t>
            </w:r>
          </w:p>
          <w:p w14:paraId="300B46A4">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（2）服务方案得分较高的投标人优先；</w:t>
            </w:r>
          </w:p>
          <w:p w14:paraId="6EB695B5">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cs="宋体"/>
                <w:color w:val="auto"/>
                <w:sz w:val="21"/>
                <w:szCs w:val="21"/>
                <w:highlight w:val="none"/>
              </w:rPr>
            </w:pPr>
            <w:r>
              <w:rPr>
                <w:rFonts w:hint="eastAsia" w:ascii="宋体" w:hAnsi="宋体" w:cs="宋体"/>
                <w:color w:val="auto"/>
                <w:sz w:val="21"/>
                <w:szCs w:val="21"/>
                <w:highlight w:val="none"/>
              </w:rPr>
              <w:t>（3）投标人近3年内满足资格审查条件(业绩最低条件)要求的业绩</w:t>
            </w:r>
            <w:r>
              <w:rPr>
                <w:rFonts w:hint="eastAsia" w:ascii="宋体" w:hAnsi="宋体" w:cs="宋体"/>
                <w:color w:val="auto"/>
                <w:sz w:val="21"/>
                <w:szCs w:val="21"/>
                <w:highlight w:val="none"/>
                <w:lang w:val="en-US" w:eastAsia="zh-CN"/>
              </w:rPr>
              <w:t>数量多</w:t>
            </w:r>
            <w:r>
              <w:rPr>
                <w:rFonts w:hint="eastAsia" w:ascii="宋体" w:hAnsi="宋体" w:cs="宋体"/>
                <w:color w:val="auto"/>
                <w:sz w:val="21"/>
                <w:szCs w:val="21"/>
                <w:highlight w:val="none"/>
              </w:rPr>
              <w:t>的优先。</w:t>
            </w:r>
          </w:p>
        </w:tc>
      </w:tr>
      <w:tr w14:paraId="696E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077" w:type="dxa"/>
            <w:noWrap w:val="0"/>
            <w:vAlign w:val="center"/>
          </w:tcPr>
          <w:p w14:paraId="531B80A3">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2.1.1</w:t>
            </w:r>
          </w:p>
          <w:p w14:paraId="7144743A">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2.1.3</w:t>
            </w:r>
          </w:p>
        </w:tc>
        <w:tc>
          <w:tcPr>
            <w:tcW w:w="1589" w:type="dxa"/>
            <w:noWrap w:val="0"/>
            <w:vAlign w:val="center"/>
          </w:tcPr>
          <w:p w14:paraId="779BE694">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形式评审与响应性评审标准</w:t>
            </w:r>
          </w:p>
        </w:tc>
        <w:tc>
          <w:tcPr>
            <w:tcW w:w="6405" w:type="dxa"/>
            <w:noWrap w:val="0"/>
            <w:vAlign w:val="top"/>
          </w:tcPr>
          <w:p w14:paraId="29A68EB9">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第一个信封（商务及</w:t>
            </w:r>
            <w:r>
              <w:rPr>
                <w:rFonts w:hint="eastAsia" w:ascii="宋体" w:hAnsi="宋体" w:cs="宋体"/>
                <w:b/>
                <w:bCs/>
                <w:color w:val="auto"/>
                <w:sz w:val="21"/>
                <w:szCs w:val="21"/>
                <w:highlight w:val="none"/>
                <w:lang w:val="en-US" w:eastAsia="zh-CN"/>
              </w:rPr>
              <w:t>服务方案</w:t>
            </w:r>
            <w:r>
              <w:rPr>
                <w:rFonts w:hint="eastAsia" w:ascii="宋体" w:hAnsi="宋体" w:cs="宋体"/>
                <w:b/>
                <w:bCs/>
                <w:color w:val="auto"/>
                <w:sz w:val="21"/>
                <w:szCs w:val="21"/>
                <w:highlight w:val="none"/>
              </w:rPr>
              <w:t>）评审标准:</w:t>
            </w:r>
          </w:p>
          <w:p w14:paraId="34F28820">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641155D1">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a.投标函按招标文件规定填报了项目名称、补遗书编号（如有）、项目负责人姓名、服务期限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服务标准</w:t>
            </w:r>
            <w:r>
              <w:rPr>
                <w:rFonts w:hint="eastAsia" w:ascii="宋体" w:hAnsi="宋体" w:cs="宋体"/>
                <w:color w:val="auto"/>
                <w:sz w:val="21"/>
                <w:szCs w:val="21"/>
                <w:highlight w:val="none"/>
                <w:lang w:val="en-US" w:eastAsia="zh-CN"/>
              </w:rPr>
              <w:t>和安全目标</w:t>
            </w:r>
            <w:r>
              <w:rPr>
                <w:rFonts w:hint="eastAsia" w:ascii="宋体" w:hAnsi="宋体" w:cs="宋体"/>
                <w:color w:val="auto"/>
                <w:sz w:val="21"/>
                <w:szCs w:val="21"/>
                <w:highlight w:val="none"/>
              </w:rPr>
              <w:t>；</w:t>
            </w:r>
          </w:p>
          <w:p w14:paraId="2D545DA2">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b.投标文件组成齐全完整，内容均按规定填写。</w:t>
            </w:r>
          </w:p>
          <w:p w14:paraId="713A91B3">
            <w:pPr>
              <w:keepNext w:val="0"/>
              <w:keepLines w:val="0"/>
              <w:pageBreakBefore w:val="0"/>
              <w:shd w:val="clear" w:color="auto" w:fill="auto"/>
              <w:kinsoku/>
              <w:wordWrap/>
              <w:overflowPunct/>
              <w:topLinePunct w:val="0"/>
              <w:autoSpaceDE/>
              <w:autoSpaceDN/>
              <w:bidi w:val="0"/>
              <w:snapToGrid/>
              <w:spacing w:line="360" w:lineRule="exac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）投标文件上法定代表人或其授权代理人的签字、投标人的单位章盖章齐全，符合招标文件规定。</w:t>
            </w:r>
          </w:p>
          <w:p w14:paraId="5B0E4C0C">
            <w:pPr>
              <w:keepNext w:val="0"/>
              <w:keepLines w:val="0"/>
              <w:pageBreakBefore w:val="0"/>
              <w:shd w:val="clear" w:color="auto" w:fill="auto"/>
              <w:kinsoku/>
              <w:wordWrap/>
              <w:overflowPunct/>
              <w:topLinePunct w:val="0"/>
              <w:autoSpaceDE/>
              <w:autoSpaceDN/>
              <w:bidi w:val="0"/>
              <w:snapToGrid/>
              <w:spacing w:line="360" w:lineRule="exac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3</w:t>
            </w:r>
            <w:r>
              <w:rPr>
                <w:rFonts w:hint="eastAsia" w:ascii="宋体" w:hAnsi="宋体" w:eastAsia="宋体" w:cs="宋体"/>
                <w:color w:val="auto"/>
                <w:sz w:val="21"/>
                <w:szCs w:val="21"/>
                <w:highlight w:val="none"/>
              </w:rPr>
              <w:t>）投标人按照招标文件投标人须知前附表第3.4.1条的规定提供了投标保证金。</w:t>
            </w:r>
          </w:p>
          <w:p w14:paraId="370D9093">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（4）投标人法定代表人授权委托代理人签署投标文件的，须提交授权委托书，</w:t>
            </w:r>
            <w:r>
              <w:rPr>
                <w:rFonts w:hint="eastAsia" w:ascii="宋体" w:hAnsi="宋体" w:cs="宋体"/>
                <w:color w:val="auto"/>
                <w:sz w:val="21"/>
                <w:szCs w:val="21"/>
                <w:highlight w:val="none"/>
                <w:lang w:val="en-US" w:eastAsia="zh-CN"/>
              </w:rPr>
              <w:t>授权委托书的签字盖章符合招标文件规定</w:t>
            </w:r>
            <w:r>
              <w:rPr>
                <w:rFonts w:hint="eastAsia" w:ascii="宋体" w:hAnsi="宋体" w:cs="宋体"/>
                <w:color w:val="auto"/>
                <w:sz w:val="21"/>
                <w:szCs w:val="21"/>
                <w:highlight w:val="none"/>
                <w:lang w:eastAsia="zh-CN"/>
              </w:rPr>
              <w:t>。</w:t>
            </w:r>
          </w:p>
          <w:p w14:paraId="13C83DA9">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（5）投标人法定代表人亲自签署投标文件的，提供了法定代表人身份证明，并符合招标文件的规定。</w:t>
            </w:r>
          </w:p>
          <w:p w14:paraId="0990BA12">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）投标人未以联合体形式投标。</w:t>
            </w:r>
          </w:p>
          <w:p w14:paraId="5F97C0ED">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）同一投标人未提交两个以上不同的投标文件或备选方案。</w:t>
            </w:r>
          </w:p>
          <w:p w14:paraId="035E5074">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）投标文件中未出现有关投标报价的内容。</w:t>
            </w:r>
          </w:p>
          <w:p w14:paraId="7602D605">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）投标文件载明的招标项目服务期限符合招标文件规定。</w:t>
            </w:r>
          </w:p>
          <w:p w14:paraId="4EDA40B7">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）投标文件对招标文件的实质性要求和条件做出响应。</w:t>
            </w:r>
          </w:p>
          <w:p w14:paraId="6C76C623">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）权利义务符合招标文件规定：</w:t>
            </w:r>
          </w:p>
          <w:p w14:paraId="4ABF3256">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a.投标人应接受招标文件规定的风险划分原则，未提出新的风险划分办法；</w:t>
            </w:r>
          </w:p>
          <w:p w14:paraId="2F3635F3">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b.投标人未增加发包人的责任范围，或减少投标人义务；</w:t>
            </w:r>
          </w:p>
          <w:p w14:paraId="02277383">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c.投标人未提出不同的支付办法；</w:t>
            </w:r>
          </w:p>
          <w:p w14:paraId="4DD62444">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14:paraId="02F828FB">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14:paraId="31F59ED4">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f.投标人未对合同条款有重要保留。</w:t>
            </w:r>
          </w:p>
          <w:p w14:paraId="1E31B5DA">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第二个信封（报价文件）评审标准：</w:t>
            </w:r>
          </w:p>
          <w:p w14:paraId="19F74550">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18183D59">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a.投标函按招标文件规定填报了项目名称、补遗书编号（如有）、投标价（包括大写金额和小写金额）；</w:t>
            </w:r>
          </w:p>
          <w:p w14:paraId="71F2824F">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b.投标文件组成齐全完整，内容均按规定填写。</w:t>
            </w:r>
          </w:p>
          <w:p w14:paraId="658016FA">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14:paraId="73C64786">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eastAsia="宋体" w:cs="宋体"/>
                <w:color w:val="auto"/>
                <w:sz w:val="21"/>
                <w:szCs w:val="21"/>
                <w:highlight w:val="none"/>
              </w:rPr>
              <w:t>投标函中的投标报价未超过招标文件设定的最高投标限价。</w:t>
            </w:r>
          </w:p>
          <w:p w14:paraId="6CFBB03F">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（4）投标报价中报价的大写金额能够确定具体数值。</w:t>
            </w:r>
          </w:p>
          <w:p w14:paraId="72271998">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（5）报价清单中的投标报价与投标函大写金额一致。</w:t>
            </w:r>
          </w:p>
          <w:p w14:paraId="351E062F">
            <w:pPr>
              <w:pStyle w:val="2"/>
              <w:keepNext w:val="0"/>
              <w:keepLines w:val="0"/>
              <w:pageBreakBefore w:val="0"/>
              <w:shd w:val="clear" w:color="auto" w:fill="auto"/>
              <w:kinsoku/>
              <w:wordWrap/>
              <w:overflowPunct/>
              <w:topLinePunct w:val="0"/>
              <w:autoSpaceDE/>
              <w:autoSpaceDN/>
              <w:bidi w:val="0"/>
              <w:snapToGrid/>
              <w:spacing w:line="360" w:lineRule="exact"/>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）同一投标人未提交两个以上不同的投标报价。</w:t>
            </w:r>
          </w:p>
          <w:p w14:paraId="0BAC69B0">
            <w:pPr>
              <w:pStyle w:val="2"/>
              <w:keepNext w:val="0"/>
              <w:keepLines w:val="0"/>
              <w:pageBreakBefore w:val="0"/>
              <w:shd w:val="clear" w:color="auto" w:fill="auto"/>
              <w:kinsoku/>
              <w:wordWrap/>
              <w:overflowPunct/>
              <w:topLinePunct w:val="0"/>
              <w:autoSpaceDE/>
              <w:autoSpaceDN/>
              <w:bidi w:val="0"/>
              <w:snapToGrid/>
              <w:spacing w:line="360" w:lineRule="exact"/>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）投标人未提交调价函。</w:t>
            </w:r>
          </w:p>
        </w:tc>
      </w:tr>
      <w:tr w14:paraId="4810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077" w:type="dxa"/>
            <w:noWrap w:val="0"/>
            <w:vAlign w:val="center"/>
          </w:tcPr>
          <w:p w14:paraId="79EE89E5">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2.1.2</w:t>
            </w:r>
          </w:p>
        </w:tc>
        <w:tc>
          <w:tcPr>
            <w:tcW w:w="1589" w:type="dxa"/>
            <w:noWrap w:val="0"/>
            <w:vAlign w:val="center"/>
          </w:tcPr>
          <w:p w14:paraId="3C2BFD94">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资格评审标准</w:t>
            </w:r>
          </w:p>
        </w:tc>
        <w:tc>
          <w:tcPr>
            <w:tcW w:w="6405" w:type="dxa"/>
            <w:noWrap w:val="0"/>
            <w:vAlign w:val="top"/>
          </w:tcPr>
          <w:p w14:paraId="4B5E78D7">
            <w:pPr>
              <w:pStyle w:val="2"/>
              <w:keepNext w:val="0"/>
              <w:keepLines w:val="0"/>
              <w:pageBreakBefore w:val="0"/>
              <w:shd w:val="clear" w:color="auto" w:fill="auto"/>
              <w:kinsoku/>
              <w:wordWrap/>
              <w:overflowPunct/>
              <w:topLinePunct w:val="0"/>
              <w:autoSpaceDE/>
              <w:autoSpaceDN/>
              <w:bidi w:val="0"/>
              <w:snapToGrid/>
              <w:spacing w:line="360" w:lineRule="exact"/>
              <w:rPr>
                <w:rFonts w:cs="宋体"/>
                <w:color w:val="auto"/>
                <w:sz w:val="21"/>
                <w:szCs w:val="21"/>
                <w:highlight w:val="none"/>
              </w:rPr>
            </w:pPr>
            <w:r>
              <w:rPr>
                <w:rFonts w:hint="eastAsia" w:cs="宋体"/>
                <w:color w:val="auto"/>
                <w:sz w:val="21"/>
                <w:szCs w:val="21"/>
                <w:highlight w:val="none"/>
              </w:rPr>
              <w:t>（1）投标人具备有效的营业执照、组织机构代码证（三证合一或五证合一的除外）和基本账户开户许可证（或基本存款账户信息）。</w:t>
            </w:r>
          </w:p>
          <w:p w14:paraId="2D6E46B4">
            <w:pPr>
              <w:pStyle w:val="2"/>
              <w:keepNext w:val="0"/>
              <w:keepLines w:val="0"/>
              <w:pageBreakBefore w:val="0"/>
              <w:shd w:val="clear" w:color="auto" w:fill="auto"/>
              <w:kinsoku/>
              <w:wordWrap/>
              <w:overflowPunct/>
              <w:topLinePunct w:val="0"/>
              <w:autoSpaceDE/>
              <w:autoSpaceDN/>
              <w:bidi w:val="0"/>
              <w:snapToGrid/>
              <w:spacing w:line="360" w:lineRule="exact"/>
              <w:rPr>
                <w:rFonts w:hint="eastAsia" w:cs="宋体"/>
                <w:color w:val="auto"/>
                <w:sz w:val="21"/>
                <w:szCs w:val="21"/>
                <w:highlight w:val="none"/>
              </w:rPr>
            </w:pPr>
            <w:r>
              <w:rPr>
                <w:rFonts w:hint="eastAsia" w:cs="宋体"/>
                <w:color w:val="auto"/>
                <w:sz w:val="21"/>
                <w:szCs w:val="21"/>
                <w:highlight w:val="none"/>
              </w:rPr>
              <w:t>（2）投标人的资质符合招标文件规定（如有）。</w:t>
            </w:r>
          </w:p>
          <w:p w14:paraId="404C870B">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（3）投标人的类似项目业绩符合招标文件规定。</w:t>
            </w:r>
          </w:p>
          <w:p w14:paraId="20AEB839">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（4）投标人的信誉符合招标文件规定。</w:t>
            </w:r>
          </w:p>
          <w:p w14:paraId="77105C92">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（5）投标人的项目负责人符合招标文件规定。</w:t>
            </w:r>
          </w:p>
          <w:p w14:paraId="07E396C6">
            <w:pPr>
              <w:keepNext w:val="0"/>
              <w:keepLines w:val="0"/>
              <w:pageBreakBefore w:val="0"/>
              <w:shd w:val="clear" w:color="auto" w:fill="auto"/>
              <w:tabs>
                <w:tab w:val="left" w:pos="3060"/>
              </w:tabs>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）投标人不存在第二章“投标人须知”第1.4.3项或第1.4.4项规定的任何一种情形。</w:t>
            </w:r>
          </w:p>
        </w:tc>
      </w:tr>
      <w:tr w14:paraId="7546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077" w:type="dxa"/>
            <w:noWrap w:val="0"/>
            <w:vAlign w:val="center"/>
          </w:tcPr>
          <w:p w14:paraId="5C99233C">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2.2.1</w:t>
            </w:r>
          </w:p>
        </w:tc>
        <w:tc>
          <w:tcPr>
            <w:tcW w:w="1589" w:type="dxa"/>
            <w:noWrap w:val="0"/>
            <w:vAlign w:val="center"/>
          </w:tcPr>
          <w:p w14:paraId="3AA6D4F0">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分值构成</w:t>
            </w:r>
          </w:p>
          <w:p w14:paraId="23458B1F">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（总分100分）</w:t>
            </w:r>
          </w:p>
        </w:tc>
        <w:tc>
          <w:tcPr>
            <w:tcW w:w="6405" w:type="dxa"/>
            <w:noWrap w:val="0"/>
            <w:vAlign w:val="center"/>
          </w:tcPr>
          <w:p w14:paraId="09AACF9E">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第一个信封（商务及</w:t>
            </w:r>
            <w:r>
              <w:rPr>
                <w:rFonts w:hint="eastAsia" w:ascii="宋体" w:hAnsi="宋体" w:cs="宋体"/>
                <w:b/>
                <w:color w:val="auto"/>
                <w:sz w:val="21"/>
                <w:szCs w:val="21"/>
                <w:highlight w:val="none"/>
                <w:lang w:val="en-US" w:eastAsia="zh-CN"/>
              </w:rPr>
              <w:t>服务方案</w:t>
            </w:r>
            <w:r>
              <w:rPr>
                <w:rFonts w:hint="eastAsia" w:ascii="宋体" w:hAnsi="宋体" w:cs="宋体"/>
                <w:b/>
                <w:color w:val="auto"/>
                <w:sz w:val="21"/>
                <w:szCs w:val="21"/>
                <w:highlight w:val="none"/>
              </w:rPr>
              <w:t>）评分分值构成：</w:t>
            </w:r>
          </w:p>
          <w:p w14:paraId="489B1138">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bCs/>
                <w:color w:val="auto"/>
                <w:sz w:val="21"/>
                <w:szCs w:val="21"/>
                <w:highlight w:val="none"/>
              </w:rPr>
            </w:pPr>
            <w:r>
              <w:rPr>
                <w:rFonts w:hint="eastAsia" w:ascii="宋体" w:hAnsi="宋体" w:cs="宋体"/>
                <w:bCs/>
                <w:color w:val="auto"/>
                <w:spacing w:val="60"/>
                <w:kern w:val="0"/>
                <w:sz w:val="21"/>
                <w:szCs w:val="21"/>
                <w:highlight w:val="none"/>
                <w:fitText w:val="1200" w:id="517278272"/>
              </w:rPr>
              <w:t>服务方</w:t>
            </w:r>
            <w:r>
              <w:rPr>
                <w:rFonts w:hint="eastAsia" w:ascii="宋体" w:hAnsi="宋体" w:cs="宋体"/>
                <w:bCs/>
                <w:color w:val="auto"/>
                <w:spacing w:val="0"/>
                <w:kern w:val="0"/>
                <w:sz w:val="21"/>
                <w:szCs w:val="21"/>
                <w:highlight w:val="none"/>
                <w:fitText w:val="1200" w:id="517278272"/>
              </w:rPr>
              <w:t>案</w:t>
            </w:r>
            <w:r>
              <w:rPr>
                <w:rFonts w:hint="eastAsia" w:ascii="宋体" w:hAnsi="宋体" w:cs="宋体"/>
                <w:bCs/>
                <w:color w:val="auto"/>
                <w:sz w:val="21"/>
                <w:szCs w:val="21"/>
                <w:highlight w:val="none"/>
              </w:rPr>
              <w:t>：50分</w:t>
            </w:r>
          </w:p>
          <w:p w14:paraId="6E2FF57C">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bCs/>
                <w:color w:val="auto"/>
                <w:sz w:val="21"/>
                <w:szCs w:val="21"/>
                <w:highlight w:val="none"/>
              </w:rPr>
            </w:pPr>
            <w:bookmarkStart w:id="2" w:name="_Toc4458"/>
            <w:bookmarkStart w:id="3" w:name="_Toc9557"/>
            <w:bookmarkStart w:id="4" w:name="_Toc68032927"/>
            <w:r>
              <w:rPr>
                <w:rFonts w:hint="eastAsia" w:ascii="宋体" w:hAnsi="宋体" w:cs="宋体"/>
                <w:bCs/>
                <w:color w:val="auto"/>
                <w:spacing w:val="60"/>
                <w:kern w:val="0"/>
                <w:sz w:val="21"/>
                <w:szCs w:val="21"/>
                <w:highlight w:val="none"/>
                <w:fitText w:val="1200" w:id="1311970727"/>
              </w:rPr>
              <w:t>企业业</w:t>
            </w:r>
            <w:r>
              <w:rPr>
                <w:rFonts w:hint="eastAsia" w:ascii="宋体" w:hAnsi="宋体" w:cs="宋体"/>
                <w:bCs/>
                <w:color w:val="auto"/>
                <w:spacing w:val="0"/>
                <w:kern w:val="0"/>
                <w:sz w:val="21"/>
                <w:szCs w:val="21"/>
                <w:highlight w:val="none"/>
                <w:fitText w:val="1200" w:id="1311970727"/>
              </w:rPr>
              <w:t>绩</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10</w:t>
            </w:r>
            <w:r>
              <w:rPr>
                <w:rFonts w:hint="eastAsia" w:ascii="宋体" w:hAnsi="宋体" w:cs="宋体"/>
                <w:bCs/>
                <w:color w:val="auto"/>
                <w:sz w:val="21"/>
                <w:szCs w:val="21"/>
                <w:highlight w:val="none"/>
              </w:rPr>
              <w:t>分</w:t>
            </w:r>
            <w:bookmarkEnd w:id="2"/>
            <w:bookmarkEnd w:id="3"/>
            <w:bookmarkEnd w:id="4"/>
          </w:p>
          <w:p w14:paraId="2ABF177C">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项目负责人：</w:t>
            </w:r>
            <w:r>
              <w:rPr>
                <w:rFonts w:hint="eastAsia" w:ascii="宋体" w:hAnsi="宋体" w:cs="宋体"/>
                <w:bCs/>
                <w:color w:val="auto"/>
                <w:sz w:val="21"/>
                <w:szCs w:val="21"/>
                <w:highlight w:val="none"/>
                <w:lang w:val="en-US" w:eastAsia="zh-CN"/>
              </w:rPr>
              <w:t>10</w:t>
            </w:r>
            <w:r>
              <w:rPr>
                <w:rFonts w:hint="eastAsia" w:ascii="宋体" w:hAnsi="宋体" w:cs="宋体"/>
                <w:bCs/>
                <w:color w:val="auto"/>
                <w:sz w:val="21"/>
                <w:szCs w:val="21"/>
                <w:highlight w:val="none"/>
              </w:rPr>
              <w:t>分</w:t>
            </w:r>
          </w:p>
          <w:p w14:paraId="200BB05E">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第二个信封（报价文件）评分分值构成：</w:t>
            </w:r>
          </w:p>
          <w:p w14:paraId="0AA793C1">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pacing w:val="142"/>
                <w:kern w:val="0"/>
                <w:sz w:val="21"/>
                <w:szCs w:val="21"/>
                <w:highlight w:val="none"/>
                <w:fitText w:val="1200" w:id="355032438"/>
              </w:rPr>
              <w:t>评标</w:t>
            </w:r>
            <w:r>
              <w:rPr>
                <w:rFonts w:hint="eastAsia" w:ascii="宋体" w:hAnsi="宋体" w:cs="宋体"/>
                <w:color w:val="auto"/>
                <w:spacing w:val="1"/>
                <w:kern w:val="0"/>
                <w:sz w:val="21"/>
                <w:szCs w:val="21"/>
                <w:highlight w:val="none"/>
                <w:fitText w:val="1200" w:id="355032438"/>
              </w:rPr>
              <w:t>价</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0分</w:t>
            </w:r>
          </w:p>
        </w:tc>
      </w:tr>
      <w:tr w14:paraId="1D13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077" w:type="dxa"/>
            <w:noWrap w:val="0"/>
            <w:vAlign w:val="center"/>
          </w:tcPr>
          <w:p w14:paraId="0F0A457B">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2.2.2</w:t>
            </w:r>
          </w:p>
        </w:tc>
        <w:tc>
          <w:tcPr>
            <w:tcW w:w="1589" w:type="dxa"/>
            <w:noWrap w:val="0"/>
            <w:vAlign w:val="center"/>
          </w:tcPr>
          <w:p w14:paraId="52B51F8D">
            <w:pPr>
              <w:shd w:val="clear" w:color="auto" w:fill="auto"/>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评标基准价</w:t>
            </w:r>
          </w:p>
          <w:p w14:paraId="17340FE4">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计算方法</w:t>
            </w:r>
          </w:p>
        </w:tc>
        <w:tc>
          <w:tcPr>
            <w:tcW w:w="6405" w:type="dxa"/>
            <w:noWrap w:val="0"/>
            <w:vAlign w:val="center"/>
          </w:tcPr>
          <w:p w14:paraId="24EB943D">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在第二个信封开标现场，招标人当场计算并宣布评标基准价。</w:t>
            </w:r>
          </w:p>
          <w:p w14:paraId="2618D4AC">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(1)评标价的确定：</w:t>
            </w:r>
          </w:p>
          <w:p w14:paraId="7026F4D0">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评标价=投标函文字报价</w:t>
            </w:r>
          </w:p>
          <w:p w14:paraId="7B16675B">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(2)评标价平均值的计算：</w:t>
            </w:r>
          </w:p>
          <w:p w14:paraId="7AD024FD">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14:paraId="5F460578">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(3)评标基准价的确定：</w:t>
            </w:r>
          </w:p>
          <w:p w14:paraId="31ACD6BB">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评标价平均值直接作为评标基准价（评标基准价保留小数点后两位，小数点后第三位四舍五入）。</w:t>
            </w:r>
          </w:p>
          <w:p w14:paraId="37CD97A8">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03DB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077" w:type="dxa"/>
            <w:noWrap w:val="0"/>
            <w:vAlign w:val="center"/>
          </w:tcPr>
          <w:p w14:paraId="4A0687DF">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2.2.3</w:t>
            </w:r>
          </w:p>
        </w:tc>
        <w:tc>
          <w:tcPr>
            <w:tcW w:w="1589" w:type="dxa"/>
            <w:noWrap w:val="0"/>
            <w:vAlign w:val="center"/>
          </w:tcPr>
          <w:p w14:paraId="45B4F0BC">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评标价的偏差率计算公式</w:t>
            </w:r>
          </w:p>
        </w:tc>
        <w:tc>
          <w:tcPr>
            <w:tcW w:w="6405" w:type="dxa"/>
            <w:noWrap w:val="0"/>
            <w:vAlign w:val="center"/>
          </w:tcPr>
          <w:p w14:paraId="6A65D64D">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不适用</w:t>
            </w:r>
          </w:p>
        </w:tc>
      </w:tr>
      <w:tr w14:paraId="3A54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077" w:type="dxa"/>
            <w:noWrap w:val="0"/>
            <w:vAlign w:val="center"/>
          </w:tcPr>
          <w:p w14:paraId="4295ED5B">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3.6.1</w:t>
            </w:r>
          </w:p>
        </w:tc>
        <w:tc>
          <w:tcPr>
            <w:tcW w:w="1589" w:type="dxa"/>
            <w:noWrap w:val="0"/>
            <w:vAlign w:val="center"/>
          </w:tcPr>
          <w:p w14:paraId="0F7C5DDC">
            <w:pPr>
              <w:shd w:val="clear" w:color="auto" w:fill="auto"/>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6405" w:type="dxa"/>
            <w:noWrap w:val="0"/>
            <w:vAlign w:val="center"/>
          </w:tcPr>
          <w:p w14:paraId="618ECB09">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本款修改为：</w:t>
            </w:r>
          </w:p>
          <w:p w14:paraId="05BEC08A">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在评标过程中，评标委员会应对以下信息进行查询：</w:t>
            </w:r>
          </w:p>
          <w:p w14:paraId="287A97F2">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（1）投标人信用情况网页截图内容与在“国家企业信用信息公示系统”中严重违法失信企业名单（不含分公司）</w:t>
            </w:r>
            <w:r>
              <w:rPr>
                <w:rFonts w:hint="eastAsia" w:ascii="宋体" w:hAnsi="宋体"/>
                <w:snapToGrid w:val="0"/>
                <w:color w:val="auto"/>
                <w:kern w:val="0"/>
                <w:sz w:val="21"/>
                <w:szCs w:val="21"/>
                <w:highlight w:val="none"/>
                <w:lang w:val="en-US" w:eastAsia="zh-CN"/>
              </w:rPr>
              <w:t>和</w:t>
            </w:r>
            <w:r>
              <w:rPr>
                <w:rFonts w:hint="eastAsia" w:ascii="宋体" w:hAnsi="宋体"/>
                <w:snapToGrid w:val="0"/>
                <w:color w:val="auto"/>
                <w:kern w:val="0"/>
                <w:sz w:val="21"/>
                <w:szCs w:val="21"/>
                <w:highlight w:val="none"/>
              </w:rPr>
              <w:t>在“信用中国”网站中失信被执行人名单、</w:t>
            </w:r>
            <w:r>
              <w:rPr>
                <w:rFonts w:hint="eastAsia" w:ascii="宋体" w:hAnsi="宋体"/>
                <w:snapToGrid w:val="0"/>
                <w:color w:val="auto"/>
                <w:kern w:val="0"/>
                <w:sz w:val="21"/>
                <w:szCs w:val="21"/>
                <w:highlight w:val="none"/>
                <w:lang w:eastAsia="zh-CN"/>
              </w:rPr>
              <w:t>经营（活动）异常名录</w:t>
            </w:r>
            <w:r>
              <w:rPr>
                <w:rFonts w:hint="eastAsia" w:ascii="宋体" w:hAnsi="宋体"/>
                <w:snapToGrid w:val="0"/>
                <w:color w:val="auto"/>
                <w:kern w:val="0"/>
                <w:sz w:val="21"/>
                <w:szCs w:val="21"/>
                <w:highlight w:val="none"/>
              </w:rPr>
              <w:t>、</w:t>
            </w:r>
            <w:r>
              <w:rPr>
                <w:rFonts w:hint="eastAsia" w:ascii="宋体" w:hAnsi="宋体"/>
                <w:snapToGrid w:val="0"/>
                <w:color w:val="auto"/>
                <w:kern w:val="0"/>
                <w:sz w:val="21"/>
                <w:szCs w:val="21"/>
                <w:highlight w:val="none"/>
                <w:lang w:eastAsia="zh-CN"/>
              </w:rPr>
              <w:t>重大税收违法失信主体、安全生产严重失信主体名单</w:t>
            </w:r>
            <w:r>
              <w:rPr>
                <w:rFonts w:hint="eastAsia" w:ascii="宋体" w:hAnsi="宋体"/>
                <w:snapToGrid w:val="0"/>
                <w:color w:val="auto"/>
                <w:kern w:val="0"/>
                <w:sz w:val="21"/>
                <w:szCs w:val="21"/>
                <w:highlight w:val="none"/>
              </w:rPr>
              <w:t>、政府采购严重违法失信名单（均不含分公司）的复核结果一致。</w:t>
            </w:r>
          </w:p>
          <w:p w14:paraId="374402E3">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如投标人未提供相关网页截图或所附截图与复核结果不一致导致不能满足资格评审</w:t>
            </w:r>
            <w:r>
              <w:rPr>
                <w:rFonts w:hint="eastAsia" w:ascii="宋体" w:hAnsi="宋体"/>
                <w:snapToGrid w:val="0"/>
                <w:color w:val="auto"/>
                <w:kern w:val="0"/>
                <w:sz w:val="21"/>
                <w:szCs w:val="21"/>
                <w:highlight w:val="none"/>
                <w:lang w:val="en-US" w:eastAsia="zh-CN"/>
              </w:rPr>
              <w:t>标准</w:t>
            </w:r>
            <w:r>
              <w:rPr>
                <w:rFonts w:hint="eastAsia" w:ascii="宋体" w:hAnsi="宋体"/>
                <w:snapToGrid w:val="0"/>
                <w:color w:val="auto"/>
                <w:kern w:val="0"/>
                <w:sz w:val="21"/>
                <w:szCs w:val="21"/>
                <w:highlight w:val="none"/>
              </w:rPr>
              <w:t>的，评标委员会应否决其投标。</w:t>
            </w:r>
          </w:p>
          <w:p w14:paraId="52494B26">
            <w:pPr>
              <w:keepNext w:val="0"/>
              <w:keepLines w:val="0"/>
              <w:pageBreakBefore w:val="0"/>
              <w:shd w:val="clear" w:color="auto" w:fill="auto"/>
              <w:kinsoku/>
              <w:wordWrap/>
              <w:overflowPunct/>
              <w:topLinePunct w:val="0"/>
              <w:autoSpaceDE/>
              <w:autoSpaceDN/>
              <w:bidi w:val="0"/>
              <w:adjustRightInd w:val="0"/>
              <w:snapToGrid/>
              <w:spacing w:line="360" w:lineRule="exact"/>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14:paraId="7911C8F0">
            <w:pPr>
              <w:keepNext w:val="0"/>
              <w:keepLines w:val="0"/>
              <w:pageBreakBefore w:val="0"/>
              <w:shd w:val="clear" w:color="auto" w:fill="auto"/>
              <w:kinsoku/>
              <w:wordWrap/>
              <w:overflowPunct/>
              <w:topLinePunct w:val="0"/>
              <w:autoSpaceDE/>
              <w:autoSpaceDN/>
              <w:bidi w:val="0"/>
              <w:snapToGrid/>
              <w:spacing w:line="360" w:lineRule="exact"/>
              <w:rPr>
                <w:rFonts w:hint="eastAsia" w:ascii="宋体" w:hAnsi="宋体" w:cs="宋体"/>
                <w:color w:val="auto"/>
                <w:sz w:val="21"/>
                <w:szCs w:val="21"/>
                <w:highlight w:val="none"/>
              </w:rPr>
            </w:pPr>
            <w:r>
              <w:rPr>
                <w:rFonts w:hint="eastAsia" w:ascii="宋体" w:hAnsi="宋体"/>
                <w:snapToGrid w:val="0"/>
                <w:color w:val="auto"/>
                <w:kern w:val="0"/>
                <w:sz w:val="21"/>
                <w:szCs w:val="21"/>
                <w:highlight w:val="none"/>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14:paraId="1A9AEEDF">
      <w:pPr>
        <w:shd w:val="clear" w:color="auto" w:fill="auto"/>
        <w:rPr>
          <w:b/>
          <w:bCs/>
          <w:color w:val="auto"/>
          <w:sz w:val="24"/>
          <w:szCs w:val="32"/>
          <w:highlight w:val="none"/>
        </w:rPr>
        <w:sectPr>
          <w:headerReference r:id="rId3" w:type="default"/>
          <w:pgSz w:w="11906" w:h="16838"/>
          <w:pgMar w:top="1417" w:right="1361" w:bottom="1361" w:left="1417" w:header="851" w:footer="737" w:gutter="0"/>
          <w:pgBorders w:offsetFrom="page">
            <w:top w:val="none" w:sz="0" w:space="0"/>
            <w:left w:val="none" w:sz="0" w:space="0"/>
            <w:bottom w:val="none" w:sz="0" w:space="0"/>
            <w:right w:val="none" w:sz="0" w:space="0"/>
          </w:pgBorders>
          <w:pgNumType w:fmt="numberInDash"/>
          <w:cols w:space="720" w:num="1"/>
          <w:rtlGutter w:val="0"/>
          <w:docGrid w:linePitch="312" w:charSpace="0"/>
        </w:sectPr>
      </w:pPr>
      <w:bookmarkStart w:id="5" w:name="_Toc155970201"/>
      <w:bookmarkStart w:id="6" w:name="_Toc155970157"/>
    </w:p>
    <w:p w14:paraId="05E1FD39">
      <w:pPr>
        <w:shd w:val="clear" w:color="auto" w:fill="auto"/>
        <w:rPr>
          <w:b/>
          <w:bCs/>
          <w:color w:val="auto"/>
          <w:sz w:val="24"/>
          <w:szCs w:val="32"/>
          <w:highlight w:val="none"/>
        </w:rPr>
      </w:pPr>
      <w:r>
        <w:rPr>
          <w:rFonts w:hint="eastAsia"/>
          <w:b/>
          <w:bCs/>
          <w:color w:val="auto"/>
          <w:sz w:val="24"/>
          <w:szCs w:val="32"/>
          <w:highlight w:val="none"/>
        </w:rPr>
        <w:t>评分细则</w:t>
      </w:r>
      <w:bookmarkEnd w:id="5"/>
      <w:bookmarkEnd w:id="6"/>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128"/>
        <w:gridCol w:w="1492"/>
        <w:gridCol w:w="4305"/>
        <w:gridCol w:w="1323"/>
      </w:tblGrid>
      <w:tr w14:paraId="19FF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gridSpan w:val="2"/>
            <w:noWrap w:val="0"/>
            <w:vAlign w:val="center"/>
          </w:tcPr>
          <w:p w14:paraId="31E8F208">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条款号</w:t>
            </w:r>
          </w:p>
        </w:tc>
        <w:tc>
          <w:tcPr>
            <w:tcW w:w="1492" w:type="dxa"/>
            <w:noWrap w:val="0"/>
            <w:vAlign w:val="center"/>
          </w:tcPr>
          <w:p w14:paraId="65A77BA0">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评分因素</w:t>
            </w:r>
          </w:p>
        </w:tc>
        <w:tc>
          <w:tcPr>
            <w:tcW w:w="5628" w:type="dxa"/>
            <w:gridSpan w:val="2"/>
            <w:noWrap w:val="0"/>
            <w:vAlign w:val="center"/>
          </w:tcPr>
          <w:p w14:paraId="625648A2">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评分标准</w:t>
            </w:r>
          </w:p>
        </w:tc>
      </w:tr>
      <w:tr w14:paraId="71C8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23" w:type="dxa"/>
            <w:vMerge w:val="restart"/>
            <w:noWrap w:val="0"/>
            <w:vAlign w:val="center"/>
          </w:tcPr>
          <w:p w14:paraId="40BD7B0D">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2.2.4（1）</w:t>
            </w:r>
          </w:p>
        </w:tc>
        <w:tc>
          <w:tcPr>
            <w:tcW w:w="1128" w:type="dxa"/>
            <w:vMerge w:val="restart"/>
            <w:noWrap w:val="0"/>
            <w:vAlign w:val="center"/>
          </w:tcPr>
          <w:p w14:paraId="5807DEF8">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服务</w:t>
            </w:r>
          </w:p>
          <w:p w14:paraId="258DCD10">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w:t>
            </w:r>
          </w:p>
          <w:p w14:paraId="179AF6CF">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（50分）</w:t>
            </w:r>
          </w:p>
        </w:tc>
        <w:tc>
          <w:tcPr>
            <w:tcW w:w="1492" w:type="dxa"/>
            <w:vMerge w:val="restart"/>
            <w:noWrap w:val="0"/>
            <w:vAlign w:val="center"/>
          </w:tcPr>
          <w:p w14:paraId="5994141E">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整体服务方案</w:t>
            </w:r>
          </w:p>
          <w:p w14:paraId="3D1043A6">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（5分）</w:t>
            </w:r>
          </w:p>
        </w:tc>
        <w:tc>
          <w:tcPr>
            <w:tcW w:w="4305" w:type="dxa"/>
            <w:noWrap w:val="0"/>
            <w:vAlign w:val="center"/>
          </w:tcPr>
          <w:p w14:paraId="1B6A23C2">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方案明确详尽，具体完善，科学合理，与本项目的实际情况契合度高、针对性和操作性强</w:t>
            </w:r>
          </w:p>
        </w:tc>
        <w:tc>
          <w:tcPr>
            <w:tcW w:w="1323" w:type="dxa"/>
            <w:noWrap w:val="0"/>
            <w:vAlign w:val="center"/>
          </w:tcPr>
          <w:p w14:paraId="32827C6C">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4.</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-5.0</w:t>
            </w:r>
          </w:p>
        </w:tc>
      </w:tr>
      <w:tr w14:paraId="513D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vMerge w:val="continue"/>
            <w:noWrap w:val="0"/>
            <w:vAlign w:val="center"/>
          </w:tcPr>
          <w:p w14:paraId="2313A25E">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2BDC0C41">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726629CE">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49087939">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方案较明确、较具体，合理可行，与本项目的实际情况契合度较高，可操作</w:t>
            </w:r>
          </w:p>
        </w:tc>
        <w:tc>
          <w:tcPr>
            <w:tcW w:w="1323" w:type="dxa"/>
            <w:noWrap w:val="0"/>
            <w:vAlign w:val="center"/>
          </w:tcPr>
          <w:p w14:paraId="563EBCEF">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lang w:val="en-US" w:eastAsia="zh-CN"/>
              </w:rPr>
              <w:t>3.0</w:t>
            </w:r>
            <w:r>
              <w:rPr>
                <w:rFonts w:hint="eastAsia" w:ascii="宋体" w:hAnsi="宋体" w:eastAsia="宋体" w:cs="宋体"/>
                <w:bCs/>
                <w:snapToGrid/>
                <w:color w:val="auto"/>
                <w:spacing w:val="0"/>
                <w:kern w:val="21"/>
                <w:sz w:val="21"/>
                <w:szCs w:val="21"/>
                <w:highlight w:val="none"/>
              </w:rPr>
              <w:t>-4.0</w:t>
            </w:r>
          </w:p>
        </w:tc>
      </w:tr>
      <w:tr w14:paraId="0440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3" w:type="dxa"/>
            <w:vMerge w:val="continue"/>
            <w:noWrap w:val="0"/>
            <w:vAlign w:val="center"/>
          </w:tcPr>
          <w:p w14:paraId="6436CB4C">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336CE969">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697490FE">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0246A7FD">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基本满足招标文件及项目要求</w:t>
            </w:r>
          </w:p>
        </w:tc>
        <w:tc>
          <w:tcPr>
            <w:tcW w:w="1323" w:type="dxa"/>
            <w:noWrap w:val="0"/>
            <w:vAlign w:val="center"/>
          </w:tcPr>
          <w:p w14:paraId="17EC4C8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3.0</w:t>
            </w:r>
          </w:p>
        </w:tc>
      </w:tr>
      <w:tr w14:paraId="0F75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23" w:type="dxa"/>
            <w:vMerge w:val="continue"/>
            <w:noWrap w:val="0"/>
            <w:vAlign w:val="center"/>
          </w:tcPr>
          <w:p w14:paraId="4D629039">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6DDB206C">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restart"/>
            <w:noWrap w:val="0"/>
            <w:vAlign w:val="center"/>
          </w:tcPr>
          <w:p w14:paraId="06C5E472">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保洁及绿化</w:t>
            </w:r>
          </w:p>
          <w:p w14:paraId="724905B6">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服务方案</w:t>
            </w:r>
          </w:p>
          <w:p w14:paraId="7D979BDB">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（10分）</w:t>
            </w:r>
          </w:p>
        </w:tc>
        <w:tc>
          <w:tcPr>
            <w:tcW w:w="4305" w:type="dxa"/>
            <w:noWrap w:val="0"/>
            <w:vAlign w:val="center"/>
          </w:tcPr>
          <w:p w14:paraId="45A65E32">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方案明确详尽，具体完善，科学合理，与本项目的实际情况契合度高、针对性和操作性强</w:t>
            </w:r>
          </w:p>
        </w:tc>
        <w:tc>
          <w:tcPr>
            <w:tcW w:w="1323" w:type="dxa"/>
            <w:noWrap w:val="0"/>
            <w:vAlign w:val="center"/>
          </w:tcPr>
          <w:p w14:paraId="5AFF5267">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8.</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-10.0</w:t>
            </w:r>
          </w:p>
        </w:tc>
      </w:tr>
      <w:tr w14:paraId="1055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23" w:type="dxa"/>
            <w:vMerge w:val="continue"/>
            <w:noWrap w:val="0"/>
            <w:vAlign w:val="center"/>
          </w:tcPr>
          <w:p w14:paraId="5F29E0AA">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2C4D6B75">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106F069C">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0AC615C7">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方案较明确、较具体，合理可行，与本项目的实际情况契合度较高，可操作</w:t>
            </w:r>
          </w:p>
        </w:tc>
        <w:tc>
          <w:tcPr>
            <w:tcW w:w="1323" w:type="dxa"/>
            <w:noWrap w:val="0"/>
            <w:vAlign w:val="center"/>
          </w:tcPr>
          <w:p w14:paraId="417E0CAF">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6.</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-8.0</w:t>
            </w:r>
          </w:p>
        </w:tc>
      </w:tr>
      <w:tr w14:paraId="7678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3" w:type="dxa"/>
            <w:vMerge w:val="continue"/>
            <w:noWrap w:val="0"/>
            <w:vAlign w:val="center"/>
          </w:tcPr>
          <w:p w14:paraId="1F5609BE">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2ECEA6CE">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35BD578E">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43D1E1DD">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基本满足招标文件及项目要求</w:t>
            </w:r>
          </w:p>
        </w:tc>
        <w:tc>
          <w:tcPr>
            <w:tcW w:w="1323" w:type="dxa"/>
            <w:noWrap w:val="0"/>
            <w:vAlign w:val="center"/>
          </w:tcPr>
          <w:p w14:paraId="10DE6AB6">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6.0</w:t>
            </w:r>
          </w:p>
        </w:tc>
      </w:tr>
      <w:tr w14:paraId="0238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3" w:type="dxa"/>
            <w:vMerge w:val="continue"/>
            <w:noWrap w:val="0"/>
            <w:vAlign w:val="center"/>
          </w:tcPr>
          <w:p w14:paraId="75C23949">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2AA7A462">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restart"/>
            <w:noWrap w:val="0"/>
            <w:vAlign w:val="center"/>
          </w:tcPr>
          <w:p w14:paraId="471EB392">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秩序维护</w:t>
            </w:r>
          </w:p>
          <w:p w14:paraId="1D6B5E67">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服务方案</w:t>
            </w:r>
          </w:p>
          <w:p w14:paraId="378725B5">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（10分）</w:t>
            </w:r>
          </w:p>
        </w:tc>
        <w:tc>
          <w:tcPr>
            <w:tcW w:w="4305" w:type="dxa"/>
            <w:noWrap w:val="0"/>
            <w:vAlign w:val="center"/>
          </w:tcPr>
          <w:p w14:paraId="6B58CA61">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方案明确详尽，具体完善，科学合理，与本项目的实际情况契合度高、针对性和操作性强</w:t>
            </w:r>
          </w:p>
        </w:tc>
        <w:tc>
          <w:tcPr>
            <w:tcW w:w="1323" w:type="dxa"/>
            <w:noWrap w:val="0"/>
            <w:vAlign w:val="center"/>
          </w:tcPr>
          <w:p w14:paraId="1D3DF39D">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8.</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-10.0</w:t>
            </w:r>
          </w:p>
        </w:tc>
      </w:tr>
      <w:tr w14:paraId="7543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23" w:type="dxa"/>
            <w:vMerge w:val="continue"/>
            <w:noWrap w:val="0"/>
            <w:vAlign w:val="center"/>
          </w:tcPr>
          <w:p w14:paraId="21A3F9C9">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746B082D">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6AAC51A7">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54874C1D">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方案较明确、较具体，合理可行，与本项目的实际情况契合度较高，可操作</w:t>
            </w:r>
          </w:p>
        </w:tc>
        <w:tc>
          <w:tcPr>
            <w:tcW w:w="1323" w:type="dxa"/>
            <w:noWrap w:val="0"/>
            <w:vAlign w:val="center"/>
          </w:tcPr>
          <w:p w14:paraId="219021A7">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6.</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-8.0</w:t>
            </w:r>
          </w:p>
        </w:tc>
      </w:tr>
      <w:tr w14:paraId="444B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3" w:type="dxa"/>
            <w:vMerge w:val="continue"/>
            <w:noWrap w:val="0"/>
            <w:vAlign w:val="center"/>
          </w:tcPr>
          <w:p w14:paraId="288811F7">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730F26A3">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363C40E6">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4276F883">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基本满足招标文件及项目要求</w:t>
            </w:r>
          </w:p>
        </w:tc>
        <w:tc>
          <w:tcPr>
            <w:tcW w:w="1323" w:type="dxa"/>
            <w:noWrap w:val="0"/>
            <w:vAlign w:val="center"/>
          </w:tcPr>
          <w:p w14:paraId="7BB366E6">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6.0</w:t>
            </w:r>
          </w:p>
        </w:tc>
      </w:tr>
      <w:tr w14:paraId="3E35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23" w:type="dxa"/>
            <w:vMerge w:val="continue"/>
            <w:noWrap w:val="0"/>
            <w:vAlign w:val="center"/>
          </w:tcPr>
          <w:p w14:paraId="5796C804">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6BB61A25">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restart"/>
            <w:noWrap w:val="0"/>
            <w:vAlign w:val="center"/>
          </w:tcPr>
          <w:p w14:paraId="0E7EA303">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设备维保、</w:t>
            </w:r>
          </w:p>
          <w:p w14:paraId="617F6906">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检修及保障服务方案</w:t>
            </w:r>
          </w:p>
          <w:p w14:paraId="52BC821C">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（5分）</w:t>
            </w:r>
          </w:p>
        </w:tc>
        <w:tc>
          <w:tcPr>
            <w:tcW w:w="4305" w:type="dxa"/>
            <w:noWrap w:val="0"/>
            <w:vAlign w:val="center"/>
          </w:tcPr>
          <w:p w14:paraId="795488AB">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方案明确详尽，具体完善，科学合理，与本项目的实际情况契合度高、针对性和操作性强</w:t>
            </w:r>
          </w:p>
        </w:tc>
        <w:tc>
          <w:tcPr>
            <w:tcW w:w="1323" w:type="dxa"/>
            <w:noWrap w:val="0"/>
            <w:vAlign w:val="center"/>
          </w:tcPr>
          <w:p w14:paraId="0289941B">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4.</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-5.0</w:t>
            </w:r>
          </w:p>
        </w:tc>
      </w:tr>
      <w:tr w14:paraId="175D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3" w:type="dxa"/>
            <w:vMerge w:val="continue"/>
            <w:noWrap w:val="0"/>
            <w:vAlign w:val="center"/>
          </w:tcPr>
          <w:p w14:paraId="07092191">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1D7A2D76">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663BA36D">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6A90612E">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方案较明确、较具体，合理可行，与本项目的实际情况契合度较高，可操作</w:t>
            </w:r>
          </w:p>
        </w:tc>
        <w:tc>
          <w:tcPr>
            <w:tcW w:w="1323" w:type="dxa"/>
            <w:noWrap w:val="0"/>
            <w:vAlign w:val="center"/>
          </w:tcPr>
          <w:p w14:paraId="7456D07D">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lang w:val="en-US" w:eastAsia="zh-CN"/>
              </w:rPr>
              <w:t>3.0</w:t>
            </w:r>
            <w:r>
              <w:rPr>
                <w:rFonts w:hint="eastAsia" w:ascii="宋体" w:hAnsi="宋体" w:eastAsia="宋体" w:cs="宋体"/>
                <w:bCs/>
                <w:snapToGrid/>
                <w:color w:val="auto"/>
                <w:spacing w:val="0"/>
                <w:kern w:val="21"/>
                <w:sz w:val="21"/>
                <w:szCs w:val="21"/>
                <w:highlight w:val="none"/>
              </w:rPr>
              <w:t>-4.0</w:t>
            </w:r>
          </w:p>
        </w:tc>
      </w:tr>
      <w:tr w14:paraId="762C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3" w:type="dxa"/>
            <w:vMerge w:val="continue"/>
            <w:noWrap w:val="0"/>
            <w:vAlign w:val="center"/>
          </w:tcPr>
          <w:p w14:paraId="16BCED07">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2F83C006">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6D751D99">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3931ABB8">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基本满足招标文件及项目要求</w:t>
            </w:r>
          </w:p>
        </w:tc>
        <w:tc>
          <w:tcPr>
            <w:tcW w:w="1323" w:type="dxa"/>
            <w:noWrap w:val="0"/>
            <w:vAlign w:val="center"/>
          </w:tcPr>
          <w:p w14:paraId="6F21923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3.0</w:t>
            </w:r>
          </w:p>
        </w:tc>
      </w:tr>
      <w:tr w14:paraId="3BBC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23" w:type="dxa"/>
            <w:vMerge w:val="continue"/>
            <w:noWrap w:val="0"/>
            <w:vAlign w:val="center"/>
          </w:tcPr>
          <w:p w14:paraId="4F0C8FF3">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7E7DABE4">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restart"/>
            <w:noWrap w:val="0"/>
            <w:vAlign w:val="center"/>
          </w:tcPr>
          <w:p w14:paraId="50D77521">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形象岗及会务服务方案（5分）</w:t>
            </w:r>
          </w:p>
        </w:tc>
        <w:tc>
          <w:tcPr>
            <w:tcW w:w="4305" w:type="dxa"/>
            <w:noWrap w:val="0"/>
            <w:vAlign w:val="center"/>
          </w:tcPr>
          <w:p w14:paraId="4568055A">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方案明确详尽，具体完善，科学合理，与本项目的实际情况契合度高、针对性和操作性强</w:t>
            </w:r>
          </w:p>
        </w:tc>
        <w:tc>
          <w:tcPr>
            <w:tcW w:w="1323" w:type="dxa"/>
            <w:noWrap w:val="0"/>
            <w:vAlign w:val="center"/>
          </w:tcPr>
          <w:p w14:paraId="460F1662">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4.</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-5.0</w:t>
            </w:r>
          </w:p>
        </w:tc>
      </w:tr>
      <w:tr w14:paraId="0089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23" w:type="dxa"/>
            <w:vMerge w:val="continue"/>
            <w:noWrap w:val="0"/>
            <w:vAlign w:val="center"/>
          </w:tcPr>
          <w:p w14:paraId="62152612">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49974C2C">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15E24898">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1C958DFF">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方案较明确、较具体，合理可行，与本项目的实际情况契合度较高，可操作</w:t>
            </w:r>
          </w:p>
        </w:tc>
        <w:tc>
          <w:tcPr>
            <w:tcW w:w="1323" w:type="dxa"/>
            <w:noWrap w:val="0"/>
            <w:vAlign w:val="center"/>
          </w:tcPr>
          <w:p w14:paraId="66D12D05">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lang w:val="en-US" w:eastAsia="zh-CN"/>
              </w:rPr>
              <w:t>3.0</w:t>
            </w:r>
            <w:r>
              <w:rPr>
                <w:rFonts w:hint="eastAsia" w:ascii="宋体" w:hAnsi="宋体" w:eastAsia="宋体" w:cs="宋体"/>
                <w:bCs/>
                <w:snapToGrid/>
                <w:color w:val="auto"/>
                <w:spacing w:val="0"/>
                <w:kern w:val="21"/>
                <w:sz w:val="21"/>
                <w:szCs w:val="21"/>
                <w:highlight w:val="none"/>
              </w:rPr>
              <w:t>-4.0</w:t>
            </w:r>
          </w:p>
        </w:tc>
      </w:tr>
      <w:tr w14:paraId="2C6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3" w:type="dxa"/>
            <w:vMerge w:val="continue"/>
            <w:noWrap w:val="0"/>
            <w:vAlign w:val="center"/>
          </w:tcPr>
          <w:p w14:paraId="3663DC96">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76CCD74B">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12602077">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752E3AF1">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基本满足招标文件及项目要求</w:t>
            </w:r>
          </w:p>
        </w:tc>
        <w:tc>
          <w:tcPr>
            <w:tcW w:w="1323" w:type="dxa"/>
            <w:noWrap w:val="0"/>
            <w:vAlign w:val="center"/>
          </w:tcPr>
          <w:p w14:paraId="55C7F4B7">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3.0</w:t>
            </w:r>
          </w:p>
        </w:tc>
      </w:tr>
      <w:tr w14:paraId="2D1A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3" w:type="dxa"/>
            <w:vMerge w:val="continue"/>
            <w:noWrap w:val="0"/>
            <w:vAlign w:val="center"/>
          </w:tcPr>
          <w:p w14:paraId="0B53A37D">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08E5B972">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restart"/>
            <w:noWrap w:val="0"/>
            <w:vAlign w:val="center"/>
          </w:tcPr>
          <w:p w14:paraId="4FE7256F">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安全检查、特殊时段专项安全检查</w:t>
            </w:r>
          </w:p>
          <w:p w14:paraId="66114E87">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方案及计划</w:t>
            </w:r>
          </w:p>
          <w:p w14:paraId="1CEEA353">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（10分）</w:t>
            </w:r>
          </w:p>
        </w:tc>
        <w:tc>
          <w:tcPr>
            <w:tcW w:w="4305" w:type="dxa"/>
            <w:noWrap w:val="0"/>
            <w:vAlign w:val="center"/>
          </w:tcPr>
          <w:p w14:paraId="57998AD0">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方案明确详尽，具体完善，科学合理，与本项目的实际情况契合度高、针对性和操作性强</w:t>
            </w:r>
          </w:p>
        </w:tc>
        <w:tc>
          <w:tcPr>
            <w:tcW w:w="1323" w:type="dxa"/>
            <w:noWrap w:val="0"/>
            <w:vAlign w:val="center"/>
          </w:tcPr>
          <w:p w14:paraId="6DACBEC3">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8.</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-10.0</w:t>
            </w:r>
          </w:p>
        </w:tc>
      </w:tr>
      <w:tr w14:paraId="028D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23" w:type="dxa"/>
            <w:vMerge w:val="continue"/>
            <w:noWrap w:val="0"/>
            <w:vAlign w:val="center"/>
          </w:tcPr>
          <w:p w14:paraId="6CA62757">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3AC12EEE">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0732F819">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3107053D">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方案较明确、较具体，合理可行，与本项目的实际情况契合度较高，可操作</w:t>
            </w:r>
          </w:p>
        </w:tc>
        <w:tc>
          <w:tcPr>
            <w:tcW w:w="1323" w:type="dxa"/>
            <w:noWrap w:val="0"/>
            <w:vAlign w:val="center"/>
          </w:tcPr>
          <w:p w14:paraId="26CEE26D">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6.</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-8.0</w:t>
            </w:r>
          </w:p>
        </w:tc>
      </w:tr>
      <w:tr w14:paraId="313B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vMerge w:val="continue"/>
            <w:noWrap w:val="0"/>
            <w:vAlign w:val="center"/>
          </w:tcPr>
          <w:p w14:paraId="05BC3C49">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04DEC8F7">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57D7F896">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42C82DC1">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基本满足招标文件及项目要求</w:t>
            </w:r>
          </w:p>
        </w:tc>
        <w:tc>
          <w:tcPr>
            <w:tcW w:w="1323" w:type="dxa"/>
            <w:noWrap w:val="0"/>
            <w:vAlign w:val="center"/>
          </w:tcPr>
          <w:p w14:paraId="276D754E">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6.0</w:t>
            </w:r>
          </w:p>
        </w:tc>
      </w:tr>
      <w:tr w14:paraId="3412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23" w:type="dxa"/>
            <w:vMerge w:val="continue"/>
            <w:noWrap w:val="0"/>
            <w:vAlign w:val="center"/>
          </w:tcPr>
          <w:p w14:paraId="4221AEEA">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3C77C2E5">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restart"/>
            <w:noWrap w:val="0"/>
            <w:vAlign w:val="center"/>
          </w:tcPr>
          <w:p w14:paraId="09ED0ABA">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服务质量保证措施、应急处理措施及保密措施</w:t>
            </w:r>
          </w:p>
          <w:p w14:paraId="4D3CB5F4">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（5分）</w:t>
            </w:r>
          </w:p>
        </w:tc>
        <w:tc>
          <w:tcPr>
            <w:tcW w:w="4305" w:type="dxa"/>
            <w:noWrap w:val="0"/>
            <w:vAlign w:val="center"/>
          </w:tcPr>
          <w:p w14:paraId="13ADA0A4">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措施得力，与本项目的实际情况契合度高、可行性强且有承诺</w:t>
            </w:r>
          </w:p>
        </w:tc>
        <w:tc>
          <w:tcPr>
            <w:tcW w:w="1323" w:type="dxa"/>
            <w:noWrap w:val="0"/>
            <w:vAlign w:val="center"/>
          </w:tcPr>
          <w:p w14:paraId="753DAD47">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4.</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-5.0</w:t>
            </w:r>
          </w:p>
        </w:tc>
      </w:tr>
      <w:tr w14:paraId="5000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vMerge w:val="continue"/>
            <w:noWrap w:val="0"/>
            <w:vAlign w:val="center"/>
          </w:tcPr>
          <w:p w14:paraId="2C6BC5D1">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61E9E2FB">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09D8F7D3">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2E03AEB1">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与本项目的实际情况契合度较高，合理可行</w:t>
            </w:r>
          </w:p>
        </w:tc>
        <w:tc>
          <w:tcPr>
            <w:tcW w:w="1323" w:type="dxa"/>
            <w:noWrap w:val="0"/>
            <w:vAlign w:val="center"/>
          </w:tcPr>
          <w:p w14:paraId="23EEE07D">
            <w:pPr>
              <w:pStyle w:val="21"/>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lang w:val="en-US" w:eastAsia="zh-CN"/>
              </w:rPr>
              <w:t>3.0</w:t>
            </w:r>
            <w:r>
              <w:rPr>
                <w:rFonts w:hint="eastAsia" w:ascii="宋体" w:hAnsi="宋体" w:eastAsia="宋体" w:cs="宋体"/>
                <w:bCs/>
                <w:snapToGrid/>
                <w:color w:val="auto"/>
                <w:spacing w:val="0"/>
                <w:kern w:val="21"/>
                <w:sz w:val="21"/>
                <w:szCs w:val="21"/>
                <w:highlight w:val="none"/>
              </w:rPr>
              <w:t>-4.0</w:t>
            </w:r>
          </w:p>
        </w:tc>
      </w:tr>
      <w:tr w14:paraId="4A58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vMerge w:val="continue"/>
            <w:noWrap w:val="0"/>
            <w:vAlign w:val="center"/>
          </w:tcPr>
          <w:p w14:paraId="632636CC">
            <w:pPr>
              <w:shd w:val="clear" w:color="auto" w:fill="auto"/>
              <w:jc w:val="center"/>
              <w:rPr>
                <w:rFonts w:hint="eastAsia" w:ascii="宋体" w:hAnsi="宋体" w:eastAsia="宋体" w:cs="宋体"/>
                <w:bCs/>
                <w:snapToGrid/>
                <w:color w:val="auto"/>
                <w:spacing w:val="0"/>
                <w:kern w:val="21"/>
                <w:sz w:val="21"/>
                <w:szCs w:val="21"/>
                <w:highlight w:val="none"/>
              </w:rPr>
            </w:pPr>
          </w:p>
        </w:tc>
        <w:tc>
          <w:tcPr>
            <w:tcW w:w="1128" w:type="dxa"/>
            <w:vMerge w:val="continue"/>
            <w:noWrap w:val="0"/>
            <w:vAlign w:val="center"/>
          </w:tcPr>
          <w:p w14:paraId="47B1AA48">
            <w:pPr>
              <w:shd w:val="clear" w:color="auto" w:fill="auto"/>
              <w:jc w:val="center"/>
              <w:rPr>
                <w:rFonts w:hint="eastAsia" w:ascii="宋体" w:hAnsi="宋体" w:eastAsia="宋体" w:cs="宋体"/>
                <w:bCs/>
                <w:snapToGrid/>
                <w:color w:val="auto"/>
                <w:spacing w:val="0"/>
                <w:kern w:val="21"/>
                <w:sz w:val="21"/>
                <w:szCs w:val="21"/>
                <w:highlight w:val="none"/>
              </w:rPr>
            </w:pPr>
          </w:p>
        </w:tc>
        <w:tc>
          <w:tcPr>
            <w:tcW w:w="1492" w:type="dxa"/>
            <w:vMerge w:val="continue"/>
            <w:noWrap w:val="0"/>
            <w:vAlign w:val="center"/>
          </w:tcPr>
          <w:p w14:paraId="64750999">
            <w:pPr>
              <w:shd w:val="clear" w:color="auto" w:fill="auto"/>
              <w:jc w:val="center"/>
              <w:rPr>
                <w:rFonts w:hint="eastAsia" w:ascii="宋体" w:hAnsi="宋体" w:eastAsia="宋体" w:cs="宋体"/>
                <w:bCs/>
                <w:snapToGrid/>
                <w:color w:val="auto"/>
                <w:spacing w:val="0"/>
                <w:kern w:val="21"/>
                <w:sz w:val="21"/>
                <w:szCs w:val="21"/>
                <w:highlight w:val="none"/>
              </w:rPr>
            </w:pPr>
          </w:p>
        </w:tc>
        <w:tc>
          <w:tcPr>
            <w:tcW w:w="4305" w:type="dxa"/>
            <w:noWrap w:val="0"/>
            <w:vAlign w:val="center"/>
          </w:tcPr>
          <w:p w14:paraId="6C497668">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基本满足招标文件及项目要求</w:t>
            </w:r>
          </w:p>
        </w:tc>
        <w:tc>
          <w:tcPr>
            <w:tcW w:w="1323" w:type="dxa"/>
            <w:noWrap w:val="0"/>
            <w:vAlign w:val="center"/>
          </w:tcPr>
          <w:p w14:paraId="62D254C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3.0</w:t>
            </w:r>
          </w:p>
        </w:tc>
      </w:tr>
      <w:tr w14:paraId="04A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3" w:type="dxa"/>
            <w:vMerge w:val="restart"/>
            <w:noWrap w:val="0"/>
            <w:vAlign w:val="center"/>
          </w:tcPr>
          <w:p w14:paraId="5CFCF211">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2.2.4（2）</w:t>
            </w:r>
          </w:p>
        </w:tc>
        <w:tc>
          <w:tcPr>
            <w:tcW w:w="2620" w:type="dxa"/>
            <w:gridSpan w:val="2"/>
            <w:vMerge w:val="restart"/>
            <w:noWrap w:val="0"/>
            <w:vAlign w:val="center"/>
          </w:tcPr>
          <w:p w14:paraId="7E80456A">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企业业绩</w:t>
            </w:r>
          </w:p>
          <w:p w14:paraId="6155BFD7">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w:t>
            </w:r>
            <w:r>
              <w:rPr>
                <w:rFonts w:hint="eastAsia" w:ascii="宋体" w:hAnsi="宋体" w:eastAsia="宋体" w:cs="宋体"/>
                <w:bCs/>
                <w:snapToGrid/>
                <w:color w:val="auto"/>
                <w:spacing w:val="0"/>
                <w:kern w:val="21"/>
                <w:sz w:val="21"/>
                <w:szCs w:val="21"/>
                <w:highlight w:val="none"/>
                <w:lang w:val="en-US" w:eastAsia="zh-CN"/>
              </w:rPr>
              <w:t>10</w:t>
            </w:r>
            <w:r>
              <w:rPr>
                <w:rFonts w:hint="eastAsia" w:ascii="宋体" w:hAnsi="宋体" w:eastAsia="宋体" w:cs="宋体"/>
                <w:bCs/>
                <w:snapToGrid/>
                <w:color w:val="auto"/>
                <w:spacing w:val="0"/>
                <w:kern w:val="21"/>
                <w:sz w:val="21"/>
                <w:szCs w:val="21"/>
                <w:highlight w:val="none"/>
              </w:rPr>
              <w:t>分）</w:t>
            </w:r>
          </w:p>
        </w:tc>
        <w:tc>
          <w:tcPr>
            <w:tcW w:w="5628" w:type="dxa"/>
            <w:gridSpan w:val="2"/>
            <w:noWrap w:val="0"/>
            <w:vAlign w:val="center"/>
          </w:tcPr>
          <w:p w14:paraId="5A49DB6A">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满足附录2资格审查条件（业绩最低要求）的，得</w:t>
            </w:r>
            <w:r>
              <w:rPr>
                <w:rFonts w:hint="eastAsia" w:ascii="宋体" w:hAnsi="宋体" w:eastAsia="宋体" w:cs="宋体"/>
                <w:snapToGrid/>
                <w:color w:val="auto"/>
                <w:spacing w:val="0"/>
                <w:kern w:val="21"/>
                <w:sz w:val="21"/>
                <w:szCs w:val="21"/>
                <w:highlight w:val="none"/>
                <w:lang w:val="en-US" w:eastAsia="zh-CN"/>
              </w:rPr>
              <w:t>6</w:t>
            </w:r>
            <w:r>
              <w:rPr>
                <w:rFonts w:hint="eastAsia" w:ascii="宋体" w:hAnsi="宋体" w:eastAsia="宋体" w:cs="宋体"/>
                <w:snapToGrid/>
                <w:color w:val="auto"/>
                <w:spacing w:val="0"/>
                <w:kern w:val="21"/>
                <w:sz w:val="21"/>
                <w:szCs w:val="21"/>
                <w:highlight w:val="none"/>
              </w:rPr>
              <w:t>分</w:t>
            </w:r>
          </w:p>
        </w:tc>
      </w:tr>
      <w:tr w14:paraId="6438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3" w:type="dxa"/>
            <w:vMerge w:val="continue"/>
            <w:noWrap w:val="0"/>
            <w:vAlign w:val="center"/>
          </w:tcPr>
          <w:p w14:paraId="793FFED4">
            <w:pPr>
              <w:shd w:val="clear" w:color="auto" w:fill="auto"/>
              <w:jc w:val="center"/>
              <w:rPr>
                <w:rFonts w:hint="eastAsia" w:ascii="宋体" w:hAnsi="宋体" w:eastAsia="宋体" w:cs="宋体"/>
                <w:bCs/>
                <w:snapToGrid/>
                <w:color w:val="auto"/>
                <w:spacing w:val="0"/>
                <w:kern w:val="21"/>
                <w:sz w:val="21"/>
                <w:szCs w:val="21"/>
                <w:highlight w:val="none"/>
              </w:rPr>
            </w:pPr>
          </w:p>
        </w:tc>
        <w:tc>
          <w:tcPr>
            <w:tcW w:w="2620" w:type="dxa"/>
            <w:gridSpan w:val="2"/>
            <w:vMerge w:val="continue"/>
            <w:noWrap w:val="0"/>
            <w:vAlign w:val="center"/>
          </w:tcPr>
          <w:p w14:paraId="3B346248">
            <w:pPr>
              <w:shd w:val="clear" w:color="auto" w:fill="auto"/>
              <w:jc w:val="center"/>
              <w:rPr>
                <w:rFonts w:hint="eastAsia" w:ascii="宋体" w:hAnsi="宋体" w:eastAsia="宋体" w:cs="宋体"/>
                <w:bCs/>
                <w:snapToGrid/>
                <w:color w:val="auto"/>
                <w:spacing w:val="0"/>
                <w:kern w:val="21"/>
                <w:sz w:val="21"/>
                <w:szCs w:val="21"/>
                <w:highlight w:val="none"/>
              </w:rPr>
            </w:pPr>
          </w:p>
        </w:tc>
        <w:tc>
          <w:tcPr>
            <w:tcW w:w="5628" w:type="dxa"/>
            <w:gridSpan w:val="2"/>
            <w:noWrap w:val="0"/>
            <w:vAlign w:val="center"/>
          </w:tcPr>
          <w:p w14:paraId="09765F7A">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每增加1项满足附录2资格审查条件（业绩最低要求）的业绩加</w:t>
            </w:r>
            <w:r>
              <w:rPr>
                <w:rFonts w:hint="eastAsia" w:ascii="宋体" w:hAnsi="宋体" w:eastAsia="宋体" w:cs="宋体"/>
                <w:snapToGrid/>
                <w:color w:val="auto"/>
                <w:spacing w:val="0"/>
                <w:kern w:val="21"/>
                <w:sz w:val="21"/>
                <w:szCs w:val="21"/>
                <w:highlight w:val="none"/>
                <w:lang w:val="en-US" w:eastAsia="zh-CN"/>
              </w:rPr>
              <w:t>2</w:t>
            </w:r>
            <w:r>
              <w:rPr>
                <w:rFonts w:hint="eastAsia" w:ascii="宋体" w:hAnsi="宋体" w:eastAsia="宋体" w:cs="宋体"/>
                <w:snapToGrid/>
                <w:color w:val="auto"/>
                <w:spacing w:val="0"/>
                <w:kern w:val="21"/>
                <w:sz w:val="21"/>
                <w:szCs w:val="21"/>
                <w:highlight w:val="none"/>
              </w:rPr>
              <w:t>分，最多加</w:t>
            </w:r>
            <w:r>
              <w:rPr>
                <w:rFonts w:hint="eastAsia" w:ascii="宋体" w:hAnsi="宋体" w:eastAsia="宋体" w:cs="宋体"/>
                <w:snapToGrid/>
                <w:color w:val="auto"/>
                <w:spacing w:val="0"/>
                <w:kern w:val="21"/>
                <w:sz w:val="21"/>
                <w:szCs w:val="21"/>
                <w:highlight w:val="none"/>
                <w:lang w:val="en-US" w:eastAsia="zh-CN"/>
              </w:rPr>
              <w:t>4</w:t>
            </w:r>
            <w:r>
              <w:rPr>
                <w:rFonts w:hint="eastAsia" w:ascii="宋体" w:hAnsi="宋体" w:eastAsia="宋体" w:cs="宋体"/>
                <w:snapToGrid/>
                <w:color w:val="auto"/>
                <w:spacing w:val="0"/>
                <w:kern w:val="21"/>
                <w:sz w:val="21"/>
                <w:szCs w:val="21"/>
                <w:highlight w:val="none"/>
              </w:rPr>
              <w:t>分。</w:t>
            </w:r>
          </w:p>
        </w:tc>
      </w:tr>
      <w:tr w14:paraId="1CC1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3" w:type="dxa"/>
            <w:vMerge w:val="restart"/>
            <w:noWrap w:val="0"/>
            <w:vAlign w:val="center"/>
          </w:tcPr>
          <w:p w14:paraId="57F23D17">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2.2.4（3）</w:t>
            </w:r>
          </w:p>
        </w:tc>
        <w:tc>
          <w:tcPr>
            <w:tcW w:w="2620" w:type="dxa"/>
            <w:gridSpan w:val="2"/>
            <w:vMerge w:val="restart"/>
            <w:noWrap w:val="0"/>
            <w:vAlign w:val="center"/>
          </w:tcPr>
          <w:p w14:paraId="022EF6CE">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项目负责人（1</w:t>
            </w:r>
            <w:r>
              <w:rPr>
                <w:rFonts w:hint="eastAsia" w:ascii="宋体" w:hAnsi="宋体" w:eastAsia="宋体" w:cs="宋体"/>
                <w:bCs/>
                <w:snapToGrid/>
                <w:color w:val="auto"/>
                <w:spacing w:val="0"/>
                <w:kern w:val="21"/>
                <w:sz w:val="21"/>
                <w:szCs w:val="21"/>
                <w:highlight w:val="none"/>
                <w:lang w:val="en-US" w:eastAsia="zh-CN"/>
              </w:rPr>
              <w:t>0</w:t>
            </w:r>
            <w:r>
              <w:rPr>
                <w:rFonts w:hint="eastAsia" w:ascii="宋体" w:hAnsi="宋体" w:eastAsia="宋体" w:cs="宋体"/>
                <w:bCs/>
                <w:snapToGrid/>
                <w:color w:val="auto"/>
                <w:spacing w:val="0"/>
                <w:kern w:val="21"/>
                <w:sz w:val="21"/>
                <w:szCs w:val="21"/>
                <w:highlight w:val="none"/>
              </w:rPr>
              <w:t>分）</w:t>
            </w:r>
          </w:p>
        </w:tc>
        <w:tc>
          <w:tcPr>
            <w:tcW w:w="5628" w:type="dxa"/>
            <w:gridSpan w:val="2"/>
            <w:noWrap w:val="0"/>
            <w:vAlign w:val="center"/>
          </w:tcPr>
          <w:p w14:paraId="37999D8C">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满足附录4资格审查条件（主要人员最低要求）的，得</w:t>
            </w:r>
            <w:r>
              <w:rPr>
                <w:rFonts w:hint="eastAsia" w:ascii="宋体" w:hAnsi="宋体" w:eastAsia="宋体" w:cs="宋体"/>
                <w:snapToGrid/>
                <w:color w:val="auto"/>
                <w:spacing w:val="0"/>
                <w:kern w:val="21"/>
                <w:sz w:val="21"/>
                <w:szCs w:val="21"/>
                <w:highlight w:val="none"/>
                <w:lang w:val="en-US" w:eastAsia="zh-CN"/>
              </w:rPr>
              <w:t>6</w:t>
            </w:r>
            <w:r>
              <w:rPr>
                <w:rFonts w:hint="eastAsia" w:ascii="宋体" w:hAnsi="宋体" w:eastAsia="宋体" w:cs="宋体"/>
                <w:snapToGrid/>
                <w:color w:val="auto"/>
                <w:spacing w:val="0"/>
                <w:kern w:val="21"/>
                <w:sz w:val="21"/>
                <w:szCs w:val="21"/>
                <w:highlight w:val="none"/>
              </w:rPr>
              <w:t>分</w:t>
            </w:r>
          </w:p>
        </w:tc>
      </w:tr>
      <w:tr w14:paraId="2BCD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23" w:type="dxa"/>
            <w:vMerge w:val="continue"/>
            <w:noWrap w:val="0"/>
            <w:vAlign w:val="center"/>
          </w:tcPr>
          <w:p w14:paraId="70039D44">
            <w:pPr>
              <w:shd w:val="clear" w:color="auto" w:fill="auto"/>
              <w:jc w:val="center"/>
              <w:rPr>
                <w:rFonts w:hint="eastAsia" w:ascii="宋体" w:hAnsi="宋体" w:eastAsia="宋体" w:cs="宋体"/>
                <w:bCs/>
                <w:snapToGrid/>
                <w:color w:val="auto"/>
                <w:spacing w:val="0"/>
                <w:kern w:val="21"/>
                <w:sz w:val="21"/>
                <w:szCs w:val="21"/>
                <w:highlight w:val="none"/>
              </w:rPr>
            </w:pPr>
          </w:p>
        </w:tc>
        <w:tc>
          <w:tcPr>
            <w:tcW w:w="2620" w:type="dxa"/>
            <w:gridSpan w:val="2"/>
            <w:vMerge w:val="continue"/>
            <w:noWrap w:val="0"/>
            <w:vAlign w:val="center"/>
          </w:tcPr>
          <w:p w14:paraId="63FDF558">
            <w:pPr>
              <w:shd w:val="clear" w:color="auto" w:fill="auto"/>
              <w:jc w:val="center"/>
              <w:rPr>
                <w:rFonts w:hint="eastAsia" w:ascii="宋体" w:hAnsi="宋体" w:eastAsia="宋体" w:cs="宋体"/>
                <w:bCs/>
                <w:snapToGrid/>
                <w:color w:val="auto"/>
                <w:spacing w:val="0"/>
                <w:kern w:val="21"/>
                <w:sz w:val="21"/>
                <w:szCs w:val="21"/>
                <w:highlight w:val="none"/>
              </w:rPr>
            </w:pPr>
          </w:p>
        </w:tc>
        <w:tc>
          <w:tcPr>
            <w:tcW w:w="5628" w:type="dxa"/>
            <w:gridSpan w:val="2"/>
            <w:noWrap w:val="0"/>
            <w:vAlign w:val="center"/>
          </w:tcPr>
          <w:p w14:paraId="5BA3ED1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每增加1项满足附录4资格审查条件（主要人员最低要求）的业绩加</w:t>
            </w:r>
            <w:r>
              <w:rPr>
                <w:rFonts w:hint="eastAsia" w:ascii="宋体" w:hAnsi="宋体" w:eastAsia="宋体" w:cs="宋体"/>
                <w:snapToGrid/>
                <w:color w:val="auto"/>
                <w:spacing w:val="0"/>
                <w:kern w:val="21"/>
                <w:sz w:val="21"/>
                <w:szCs w:val="21"/>
                <w:highlight w:val="none"/>
                <w:lang w:val="en-US" w:eastAsia="zh-CN"/>
              </w:rPr>
              <w:t>2</w:t>
            </w:r>
            <w:r>
              <w:rPr>
                <w:rFonts w:hint="eastAsia" w:ascii="宋体" w:hAnsi="宋体" w:eastAsia="宋体" w:cs="宋体"/>
                <w:snapToGrid/>
                <w:color w:val="auto"/>
                <w:spacing w:val="0"/>
                <w:kern w:val="21"/>
                <w:sz w:val="21"/>
                <w:szCs w:val="21"/>
                <w:highlight w:val="none"/>
              </w:rPr>
              <w:t>分，最多加</w:t>
            </w:r>
            <w:r>
              <w:rPr>
                <w:rFonts w:hint="eastAsia" w:ascii="宋体" w:hAnsi="宋体" w:eastAsia="宋体" w:cs="宋体"/>
                <w:snapToGrid/>
                <w:color w:val="auto"/>
                <w:spacing w:val="0"/>
                <w:kern w:val="21"/>
                <w:sz w:val="21"/>
                <w:szCs w:val="21"/>
                <w:highlight w:val="none"/>
                <w:lang w:val="en-US" w:eastAsia="zh-CN"/>
              </w:rPr>
              <w:t>4</w:t>
            </w:r>
            <w:r>
              <w:rPr>
                <w:rFonts w:hint="eastAsia" w:ascii="宋体" w:hAnsi="宋体" w:eastAsia="宋体" w:cs="宋体"/>
                <w:snapToGrid/>
                <w:color w:val="auto"/>
                <w:spacing w:val="0"/>
                <w:kern w:val="21"/>
                <w:sz w:val="21"/>
                <w:szCs w:val="21"/>
                <w:highlight w:val="none"/>
              </w:rPr>
              <w:t>分。</w:t>
            </w:r>
          </w:p>
        </w:tc>
      </w:tr>
      <w:tr w14:paraId="759E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823" w:type="dxa"/>
            <w:noWrap w:val="0"/>
            <w:vAlign w:val="center"/>
          </w:tcPr>
          <w:p w14:paraId="647D759C">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2.2.4（4）</w:t>
            </w:r>
          </w:p>
        </w:tc>
        <w:tc>
          <w:tcPr>
            <w:tcW w:w="2620" w:type="dxa"/>
            <w:gridSpan w:val="2"/>
            <w:noWrap w:val="0"/>
            <w:vAlign w:val="center"/>
          </w:tcPr>
          <w:p w14:paraId="26B38215">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lang w:val="en-US" w:eastAsia="zh-CN"/>
              </w:rPr>
              <w:t>评标价</w:t>
            </w:r>
            <w:r>
              <w:rPr>
                <w:rFonts w:hint="eastAsia" w:ascii="宋体" w:hAnsi="宋体" w:eastAsia="宋体" w:cs="宋体"/>
                <w:bCs/>
                <w:snapToGrid/>
                <w:color w:val="auto"/>
                <w:spacing w:val="0"/>
                <w:kern w:val="21"/>
                <w:sz w:val="21"/>
                <w:szCs w:val="21"/>
                <w:highlight w:val="none"/>
              </w:rPr>
              <w:t>评分标准</w:t>
            </w:r>
          </w:p>
          <w:p w14:paraId="3725694A">
            <w:pPr>
              <w:shd w:val="clear" w:color="auto" w:fill="auto"/>
              <w:jc w:val="center"/>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w:t>
            </w:r>
            <w:r>
              <w:rPr>
                <w:rFonts w:hint="eastAsia" w:ascii="宋体" w:hAnsi="宋体" w:eastAsia="宋体" w:cs="宋体"/>
                <w:bCs/>
                <w:snapToGrid/>
                <w:color w:val="auto"/>
                <w:spacing w:val="0"/>
                <w:kern w:val="21"/>
                <w:sz w:val="21"/>
                <w:szCs w:val="21"/>
                <w:highlight w:val="none"/>
                <w:lang w:val="en-US" w:eastAsia="zh-CN"/>
              </w:rPr>
              <w:t>3</w:t>
            </w:r>
            <w:r>
              <w:rPr>
                <w:rFonts w:hint="eastAsia" w:ascii="宋体" w:hAnsi="宋体" w:eastAsia="宋体" w:cs="宋体"/>
                <w:bCs/>
                <w:snapToGrid/>
                <w:color w:val="auto"/>
                <w:spacing w:val="0"/>
                <w:kern w:val="21"/>
                <w:sz w:val="21"/>
                <w:szCs w:val="21"/>
                <w:highlight w:val="none"/>
              </w:rPr>
              <w:t>0分）</w:t>
            </w:r>
          </w:p>
        </w:tc>
        <w:tc>
          <w:tcPr>
            <w:tcW w:w="5628" w:type="dxa"/>
            <w:gridSpan w:val="2"/>
            <w:noWrap w:val="0"/>
            <w:vAlign w:val="center"/>
          </w:tcPr>
          <w:p w14:paraId="43757A3B">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321" w:firstLineChars="153"/>
              <w:jc w:val="lef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a.如果投标人的</w:t>
            </w:r>
            <w:r>
              <w:rPr>
                <w:rFonts w:hint="eastAsia" w:ascii="宋体" w:hAnsi="宋体" w:eastAsia="宋体" w:cs="宋体"/>
                <w:bCs/>
                <w:snapToGrid/>
                <w:color w:val="auto"/>
                <w:spacing w:val="0"/>
                <w:kern w:val="21"/>
                <w:sz w:val="21"/>
                <w:szCs w:val="21"/>
                <w:highlight w:val="none"/>
                <w:lang w:val="en-US" w:eastAsia="zh-CN"/>
              </w:rPr>
              <w:t>评标</w:t>
            </w:r>
            <w:r>
              <w:rPr>
                <w:rFonts w:hint="eastAsia" w:ascii="宋体" w:hAnsi="宋体" w:eastAsia="宋体" w:cs="宋体"/>
                <w:bCs/>
                <w:snapToGrid/>
                <w:color w:val="auto"/>
                <w:spacing w:val="0"/>
                <w:kern w:val="21"/>
                <w:sz w:val="21"/>
                <w:szCs w:val="21"/>
                <w:highlight w:val="none"/>
              </w:rPr>
              <w:t>价＞评标基准价，则评标价得分＝</w:t>
            </w:r>
            <w:r>
              <w:rPr>
                <w:rFonts w:hint="eastAsia" w:ascii="宋体" w:hAnsi="宋体" w:eastAsia="宋体" w:cs="宋体"/>
                <w:bCs/>
                <w:snapToGrid/>
                <w:color w:val="auto"/>
                <w:spacing w:val="0"/>
                <w:kern w:val="21"/>
                <w:sz w:val="21"/>
                <w:szCs w:val="21"/>
                <w:highlight w:val="none"/>
                <w:lang w:val="en-US" w:eastAsia="zh-CN"/>
              </w:rPr>
              <w:t>3</w:t>
            </w:r>
            <w:r>
              <w:rPr>
                <w:rFonts w:hint="eastAsia" w:ascii="宋体" w:hAnsi="宋体" w:eastAsia="宋体" w:cs="宋体"/>
                <w:bCs/>
                <w:snapToGrid/>
                <w:color w:val="auto"/>
                <w:spacing w:val="0"/>
                <w:kern w:val="21"/>
                <w:sz w:val="21"/>
                <w:szCs w:val="21"/>
                <w:highlight w:val="none"/>
              </w:rPr>
              <w:t>0－</w:t>
            </w:r>
            <w:r>
              <w:rPr>
                <w:rFonts w:hint="default"/>
                <w:color w:val="auto"/>
                <w:kern w:val="2"/>
                <w:sz w:val="21"/>
                <w:szCs w:val="21"/>
                <w:highlight w:val="none"/>
              </w:rPr>
              <w:t>（投标人评标价-评标基准价）/评标基准价</w:t>
            </w:r>
            <w:r>
              <w:rPr>
                <w:rFonts w:hint="eastAsia" w:ascii="宋体" w:hAnsi="宋体" w:eastAsia="宋体" w:cs="宋体"/>
                <w:bCs/>
                <w:snapToGrid/>
                <w:color w:val="auto"/>
                <w:spacing w:val="0"/>
                <w:kern w:val="21"/>
                <w:sz w:val="21"/>
                <w:szCs w:val="21"/>
                <w:highlight w:val="none"/>
              </w:rPr>
              <w:t>×100×E1；</w:t>
            </w:r>
          </w:p>
          <w:p w14:paraId="23DE72D2">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321" w:firstLineChars="153"/>
              <w:jc w:val="lef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b.如果投标人的</w:t>
            </w:r>
            <w:r>
              <w:rPr>
                <w:rFonts w:hint="eastAsia" w:ascii="宋体" w:hAnsi="宋体" w:eastAsia="宋体" w:cs="宋体"/>
                <w:bCs/>
                <w:snapToGrid/>
                <w:color w:val="auto"/>
                <w:spacing w:val="0"/>
                <w:kern w:val="21"/>
                <w:sz w:val="21"/>
                <w:szCs w:val="21"/>
                <w:highlight w:val="none"/>
                <w:lang w:val="en-US" w:eastAsia="zh-CN"/>
              </w:rPr>
              <w:t>评标</w:t>
            </w:r>
            <w:r>
              <w:rPr>
                <w:rFonts w:hint="eastAsia" w:ascii="宋体" w:hAnsi="宋体" w:eastAsia="宋体" w:cs="宋体"/>
                <w:bCs/>
                <w:snapToGrid/>
                <w:color w:val="auto"/>
                <w:spacing w:val="0"/>
                <w:kern w:val="21"/>
                <w:sz w:val="21"/>
                <w:szCs w:val="21"/>
                <w:highlight w:val="none"/>
              </w:rPr>
              <w:t>价≤评标基准价，则评标价得分＝</w:t>
            </w:r>
            <w:r>
              <w:rPr>
                <w:rFonts w:hint="eastAsia" w:ascii="宋体" w:hAnsi="宋体" w:eastAsia="宋体" w:cs="宋体"/>
                <w:bCs/>
                <w:snapToGrid/>
                <w:color w:val="auto"/>
                <w:spacing w:val="0"/>
                <w:kern w:val="21"/>
                <w:sz w:val="21"/>
                <w:szCs w:val="21"/>
                <w:highlight w:val="none"/>
                <w:lang w:val="en-US" w:eastAsia="zh-CN"/>
              </w:rPr>
              <w:t>3</w:t>
            </w:r>
            <w:r>
              <w:rPr>
                <w:rFonts w:hint="eastAsia" w:ascii="宋体" w:hAnsi="宋体" w:eastAsia="宋体" w:cs="宋体"/>
                <w:bCs/>
                <w:snapToGrid/>
                <w:color w:val="auto"/>
                <w:spacing w:val="0"/>
                <w:kern w:val="21"/>
                <w:sz w:val="21"/>
                <w:szCs w:val="21"/>
                <w:highlight w:val="none"/>
              </w:rPr>
              <w:t>0＋</w:t>
            </w:r>
            <w:r>
              <w:rPr>
                <w:rFonts w:hint="default"/>
                <w:color w:val="auto"/>
                <w:kern w:val="2"/>
                <w:sz w:val="21"/>
                <w:szCs w:val="21"/>
                <w:highlight w:val="none"/>
              </w:rPr>
              <w:t>（投标人评标价-评标基准价）/评标基准价</w:t>
            </w:r>
            <w:r>
              <w:rPr>
                <w:rFonts w:hint="eastAsia" w:ascii="宋体" w:hAnsi="宋体" w:eastAsia="宋体" w:cs="宋体"/>
                <w:bCs/>
                <w:snapToGrid/>
                <w:color w:val="auto"/>
                <w:spacing w:val="0"/>
                <w:kern w:val="21"/>
                <w:sz w:val="21"/>
                <w:szCs w:val="21"/>
                <w:highlight w:val="none"/>
              </w:rPr>
              <w:t>×100×E2；</w:t>
            </w:r>
          </w:p>
          <w:p w14:paraId="0F50EB4F">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321" w:firstLineChars="153"/>
              <w:jc w:val="left"/>
              <w:textAlignment w:val="auto"/>
              <w:rPr>
                <w:rFonts w:hint="eastAsia" w:ascii="宋体" w:hAnsi="宋体" w:eastAsia="宋体" w:cs="宋体"/>
                <w:bCs/>
                <w:snapToGrid/>
                <w:color w:val="auto"/>
                <w:spacing w:val="0"/>
                <w:kern w:val="21"/>
                <w:sz w:val="21"/>
                <w:szCs w:val="21"/>
                <w:highlight w:val="none"/>
              </w:rPr>
            </w:pPr>
            <w:r>
              <w:rPr>
                <w:rFonts w:hint="eastAsia" w:ascii="宋体" w:hAnsi="宋体" w:eastAsia="宋体" w:cs="宋体"/>
                <w:bCs/>
                <w:snapToGrid/>
                <w:color w:val="auto"/>
                <w:spacing w:val="0"/>
                <w:kern w:val="21"/>
                <w:sz w:val="21"/>
                <w:szCs w:val="21"/>
                <w:highlight w:val="none"/>
              </w:rPr>
              <w:t>其中，E1是</w:t>
            </w:r>
            <w:r>
              <w:rPr>
                <w:rFonts w:hint="eastAsia" w:ascii="宋体" w:hAnsi="宋体" w:eastAsia="宋体" w:cs="宋体"/>
                <w:bCs/>
                <w:snapToGrid/>
                <w:color w:val="auto"/>
                <w:spacing w:val="0"/>
                <w:kern w:val="21"/>
                <w:sz w:val="21"/>
                <w:szCs w:val="21"/>
                <w:highlight w:val="none"/>
                <w:lang w:val="en-US" w:eastAsia="zh-CN"/>
              </w:rPr>
              <w:t>评标</w:t>
            </w:r>
            <w:r>
              <w:rPr>
                <w:rFonts w:hint="eastAsia" w:ascii="宋体" w:hAnsi="宋体" w:eastAsia="宋体" w:cs="宋体"/>
                <w:bCs/>
                <w:snapToGrid/>
                <w:color w:val="auto"/>
                <w:spacing w:val="0"/>
                <w:kern w:val="21"/>
                <w:sz w:val="21"/>
                <w:szCs w:val="21"/>
                <w:highlight w:val="none"/>
              </w:rPr>
              <w:t>价每高于评标基准价一个百分点的扣分值，E1＝0.</w:t>
            </w:r>
            <w:r>
              <w:rPr>
                <w:rFonts w:hint="eastAsia" w:ascii="宋体" w:hAnsi="宋体" w:eastAsia="宋体" w:cs="宋体"/>
                <w:bCs/>
                <w:snapToGrid/>
                <w:color w:val="auto"/>
                <w:spacing w:val="0"/>
                <w:kern w:val="21"/>
                <w:sz w:val="21"/>
                <w:szCs w:val="21"/>
                <w:highlight w:val="none"/>
                <w:lang w:val="en-US" w:eastAsia="zh-CN"/>
              </w:rPr>
              <w:t>2</w:t>
            </w:r>
            <w:r>
              <w:rPr>
                <w:rFonts w:hint="eastAsia" w:ascii="宋体" w:hAnsi="宋体" w:eastAsia="宋体" w:cs="宋体"/>
                <w:bCs/>
                <w:snapToGrid/>
                <w:color w:val="auto"/>
                <w:spacing w:val="0"/>
                <w:kern w:val="21"/>
                <w:sz w:val="21"/>
                <w:szCs w:val="21"/>
                <w:highlight w:val="none"/>
              </w:rPr>
              <w:t>；E2是</w:t>
            </w:r>
            <w:r>
              <w:rPr>
                <w:rFonts w:hint="eastAsia" w:ascii="宋体" w:hAnsi="宋体" w:eastAsia="宋体" w:cs="宋体"/>
                <w:bCs/>
                <w:snapToGrid/>
                <w:color w:val="auto"/>
                <w:spacing w:val="0"/>
                <w:kern w:val="21"/>
                <w:sz w:val="21"/>
                <w:szCs w:val="21"/>
                <w:highlight w:val="none"/>
                <w:lang w:val="en-US" w:eastAsia="zh-CN"/>
              </w:rPr>
              <w:t>评标</w:t>
            </w:r>
            <w:r>
              <w:rPr>
                <w:rFonts w:hint="eastAsia" w:ascii="宋体" w:hAnsi="宋体" w:eastAsia="宋体" w:cs="宋体"/>
                <w:bCs/>
                <w:snapToGrid/>
                <w:color w:val="auto"/>
                <w:spacing w:val="0"/>
                <w:kern w:val="21"/>
                <w:sz w:val="21"/>
                <w:szCs w:val="21"/>
                <w:highlight w:val="none"/>
              </w:rPr>
              <w:t>价每低于评标基准价一个百分点的扣分值，E2＝0.</w:t>
            </w:r>
            <w:r>
              <w:rPr>
                <w:rFonts w:hint="eastAsia" w:ascii="宋体" w:hAnsi="宋体" w:eastAsia="宋体" w:cs="宋体"/>
                <w:bCs/>
                <w:snapToGrid/>
                <w:color w:val="auto"/>
                <w:spacing w:val="0"/>
                <w:kern w:val="21"/>
                <w:sz w:val="21"/>
                <w:szCs w:val="21"/>
                <w:highlight w:val="none"/>
                <w:lang w:val="en-US" w:eastAsia="zh-CN"/>
              </w:rPr>
              <w:t>1</w:t>
            </w:r>
            <w:r>
              <w:rPr>
                <w:rFonts w:hint="eastAsia" w:ascii="宋体" w:hAnsi="宋体" w:eastAsia="宋体" w:cs="宋体"/>
                <w:bCs/>
                <w:snapToGrid/>
                <w:color w:val="auto"/>
                <w:spacing w:val="0"/>
                <w:kern w:val="21"/>
                <w:sz w:val="21"/>
                <w:szCs w:val="21"/>
                <w:highlight w:val="none"/>
              </w:rPr>
              <w:t>。</w:t>
            </w:r>
          </w:p>
        </w:tc>
      </w:tr>
    </w:tbl>
    <w:p w14:paraId="31AC3AEA">
      <w:pPr>
        <w:pStyle w:val="13"/>
        <w:shd w:val="clear" w:color="auto" w:fill="auto"/>
        <w:adjustRightInd w:val="0"/>
        <w:snapToGrid w:val="0"/>
        <w:spacing w:line="360" w:lineRule="auto"/>
        <w:jc w:val="left"/>
        <w:textAlignment w:val="baseline"/>
        <w:rPr>
          <w:rFonts w:hAnsi="宋体"/>
          <w:snapToGrid w:val="0"/>
          <w:color w:val="auto"/>
          <w:kern w:val="0"/>
          <w:sz w:val="21"/>
          <w:szCs w:val="21"/>
          <w:highlight w:val="none"/>
        </w:rPr>
      </w:pPr>
      <w:r>
        <w:rPr>
          <w:rFonts w:hAnsi="宋体"/>
          <w:snapToGrid w:val="0"/>
          <w:color w:val="auto"/>
          <w:kern w:val="0"/>
          <w:sz w:val="21"/>
          <w:szCs w:val="21"/>
          <w:highlight w:val="none"/>
        </w:rPr>
        <w:t>注：</w:t>
      </w:r>
    </w:p>
    <w:p w14:paraId="6FEDC591">
      <w:pPr>
        <w:pStyle w:val="13"/>
        <w:shd w:val="clear" w:color="auto" w:fill="auto"/>
        <w:adjustRightInd w:val="0"/>
        <w:snapToGrid w:val="0"/>
        <w:spacing w:line="360" w:lineRule="auto"/>
        <w:jc w:val="left"/>
        <w:textAlignment w:val="baseline"/>
        <w:rPr>
          <w:rFonts w:hAnsi="宋体"/>
          <w:snapToGrid w:val="0"/>
          <w:color w:val="auto"/>
          <w:kern w:val="0"/>
          <w:sz w:val="21"/>
          <w:szCs w:val="21"/>
          <w:highlight w:val="none"/>
        </w:rPr>
      </w:pPr>
      <w:r>
        <w:rPr>
          <w:rFonts w:hint="eastAsia" w:hAnsi="宋体"/>
          <w:snapToGrid w:val="0"/>
          <w:color w:val="auto"/>
          <w:kern w:val="0"/>
          <w:sz w:val="21"/>
          <w:szCs w:val="21"/>
          <w:highlight w:val="none"/>
        </w:rPr>
        <w:t>1、评委打分保留1位小数；</w:t>
      </w:r>
    </w:p>
    <w:p w14:paraId="0A550DF6">
      <w:pPr>
        <w:pStyle w:val="13"/>
        <w:shd w:val="clear" w:color="auto" w:fill="auto"/>
        <w:adjustRightInd w:val="0"/>
        <w:snapToGrid w:val="0"/>
        <w:spacing w:line="360" w:lineRule="auto"/>
        <w:jc w:val="left"/>
        <w:textAlignment w:val="baseline"/>
        <w:rPr>
          <w:rFonts w:hAnsi="宋体"/>
          <w:snapToGrid w:val="0"/>
          <w:color w:val="auto"/>
          <w:kern w:val="0"/>
          <w:sz w:val="21"/>
          <w:szCs w:val="21"/>
          <w:highlight w:val="none"/>
        </w:rPr>
      </w:pPr>
      <w:r>
        <w:rPr>
          <w:rFonts w:hint="eastAsia" w:hAnsi="宋体"/>
          <w:snapToGrid w:val="0"/>
          <w:color w:val="auto"/>
          <w:kern w:val="0"/>
          <w:sz w:val="21"/>
          <w:szCs w:val="21"/>
          <w:highlight w:val="none"/>
        </w:rPr>
        <w:t>2、各评分因素得分以评标委员会各成员的打分平均值确定，保留 2 位小数；</w:t>
      </w:r>
    </w:p>
    <w:p w14:paraId="07CA6401">
      <w:r>
        <w:rPr>
          <w:rFonts w:hAnsi="宋体"/>
          <w:snapToGrid w:val="0"/>
          <w:color w:val="auto"/>
          <w:kern w:val="0"/>
          <w:sz w:val="21"/>
          <w:szCs w:val="21"/>
          <w:highlight w:val="none"/>
        </w:rPr>
        <w:t>3</w:t>
      </w:r>
      <w:r>
        <w:rPr>
          <w:rFonts w:hint="eastAsia" w:hAnsi="宋体"/>
          <w:snapToGrid w:val="0"/>
          <w:color w:val="auto"/>
          <w:kern w:val="0"/>
          <w:sz w:val="21"/>
          <w:szCs w:val="21"/>
          <w:highlight w:val="none"/>
        </w:rPr>
        <w:t>、服务方案各评分因素细分项缺项，则该项得 0 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5E18">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9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宋体" w:hAnsi="宋体" w:eastAsia="宋体"/>
      <w:sz w:val="24"/>
    </w:rPr>
  </w:style>
  <w:style w:type="paragraph" w:styleId="3">
    <w:name w:val="Body Text 2"/>
    <w:basedOn w:val="1"/>
    <w:qFormat/>
    <w:uiPriority w:val="0"/>
    <w:rPr>
      <w:sz w:val="28"/>
      <w:szCs w:val="20"/>
    </w:rPr>
  </w:style>
  <w:style w:type="paragraph" w:styleId="4">
    <w:name w:val="table of authorities"/>
    <w:basedOn w:val="1"/>
    <w:next w:val="1"/>
    <w:qFormat/>
    <w:uiPriority w:val="0"/>
    <w:pPr>
      <w:ind w:left="420" w:leftChars="200"/>
    </w:pPr>
  </w:style>
  <w:style w:type="paragraph" w:styleId="5">
    <w:name w:val="annotation text"/>
    <w:basedOn w:val="1"/>
    <w:next w:val="4"/>
    <w:qFormat/>
    <w:uiPriority w:val="0"/>
    <w:pPr>
      <w:jc w:val="left"/>
    </w:pPr>
  </w:style>
  <w:style w:type="paragraph" w:styleId="6">
    <w:name w:val="Body Text 3"/>
    <w:basedOn w:val="1"/>
    <w:next w:val="7"/>
    <w:qFormat/>
    <w:uiPriority w:val="0"/>
    <w:pPr>
      <w:spacing w:line="400" w:lineRule="exact"/>
    </w:pPr>
    <w:rPr>
      <w:bCs/>
      <w:sz w:val="24"/>
      <w:szCs w:val="20"/>
    </w:rPr>
  </w:style>
  <w:style w:type="paragraph" w:styleId="7">
    <w:name w:val="List 2"/>
    <w:basedOn w:val="1"/>
    <w:next w:val="8"/>
    <w:qFormat/>
    <w:uiPriority w:val="0"/>
    <w:pPr>
      <w:ind w:left="100" w:leftChars="200" w:hanging="200" w:hangingChars="200"/>
    </w:pPr>
    <w:rPr>
      <w:rFonts w:ascii="Times New Roman" w:hAnsi="Times New Roman" w:eastAsia="宋体" w:cs="Times New Roman"/>
      <w:szCs w:val="24"/>
    </w:rPr>
  </w:style>
  <w:style w:type="paragraph" w:styleId="8">
    <w:name w:val="Date"/>
    <w:basedOn w:val="1"/>
    <w:next w:val="1"/>
    <w:qFormat/>
    <w:uiPriority w:val="0"/>
    <w:pPr>
      <w:ind w:left="100" w:leftChars="2500"/>
    </w:pPr>
  </w:style>
  <w:style w:type="paragraph" w:styleId="9">
    <w:name w:val="Body Text Indent"/>
    <w:basedOn w:val="1"/>
    <w:next w:val="10"/>
    <w:qFormat/>
    <w:uiPriority w:val="0"/>
    <w:pPr>
      <w:spacing w:line="360" w:lineRule="auto"/>
      <w:ind w:firstLine="480" w:firstLineChars="200"/>
    </w:pPr>
    <w:rPr>
      <w:rFonts w:ascii="宋体" w:hAnsi="宋体"/>
      <w:sz w:val="24"/>
    </w:rPr>
  </w:style>
  <w:style w:type="paragraph" w:styleId="10">
    <w:name w:val="Body Text Indent 2"/>
    <w:basedOn w:val="1"/>
    <w:qFormat/>
    <w:uiPriority w:val="0"/>
    <w:pPr>
      <w:spacing w:line="520" w:lineRule="exact"/>
      <w:ind w:firstLine="480" w:firstLineChars="200"/>
    </w:pPr>
    <w:rPr>
      <w:rFonts w:ascii="宋体" w:hAnsi="宋体"/>
      <w:color w:val="000000"/>
      <w:sz w:val="24"/>
    </w:rPr>
  </w:style>
  <w:style w:type="paragraph" w:styleId="11">
    <w:name w:val="List Continue"/>
    <w:basedOn w:val="1"/>
    <w:next w:val="12"/>
    <w:qFormat/>
    <w:uiPriority w:val="0"/>
    <w:pPr>
      <w:spacing w:after="120"/>
      <w:ind w:left="420" w:firstLine="3584"/>
    </w:pPr>
  </w:style>
  <w:style w:type="paragraph" w:styleId="12">
    <w:name w:val="Body Text First Indent"/>
    <w:basedOn w:val="2"/>
    <w:next w:val="6"/>
    <w:qFormat/>
    <w:uiPriority w:val="0"/>
    <w:pPr>
      <w:autoSpaceDE w:val="0"/>
      <w:autoSpaceDN w:val="0"/>
      <w:adjustRightInd w:val="0"/>
      <w:spacing w:after="120" w:afterLines="0"/>
      <w:ind w:firstLine="420"/>
      <w:jc w:val="left"/>
      <w:textAlignment w:val="baseline"/>
    </w:pPr>
  </w:style>
  <w:style w:type="paragraph" w:styleId="13">
    <w:name w:val="Plain Text"/>
    <w:basedOn w:val="1"/>
    <w:next w:val="2"/>
    <w:qFormat/>
    <w:uiPriority w:val="0"/>
    <w:rPr>
      <w:rFonts w:ascii="宋体" w:hAnsi="Courier New" w:cs="Courier New"/>
      <w:szCs w:val="21"/>
    </w:rPr>
  </w:style>
  <w:style w:type="paragraph" w:styleId="14">
    <w:name w:val="footer"/>
    <w:basedOn w:val="1"/>
    <w:uiPriority w:val="0"/>
    <w:pPr>
      <w:tabs>
        <w:tab w:val="center" w:pos="4153"/>
        <w:tab w:val="right" w:pos="8306"/>
      </w:tabs>
      <w:snapToGrid w:val="0"/>
      <w:jc w:val="left"/>
    </w:pPr>
    <w:rPr>
      <w:sz w:val="18"/>
    </w:rPr>
  </w:style>
  <w:style w:type="paragraph" w:styleId="15">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First Indent 2"/>
    <w:basedOn w:val="9"/>
    <w:next w:val="11"/>
    <w:qFormat/>
    <w:uiPriority w:val="99"/>
    <w:pPr>
      <w:ind w:firstLine="420" w:firstLineChars="200"/>
    </w:pPr>
    <w:rPr>
      <w:color w:val="000000"/>
    </w:rPr>
  </w:style>
  <w:style w:type="character" w:customStyle="1" w:styleId="19">
    <w:name w:val="目录4 Char"/>
    <w:qFormat/>
    <w:uiPriority w:val="0"/>
    <w:rPr>
      <w:rFonts w:ascii="黑体" w:eastAsia="黑体"/>
      <w:kern w:val="2"/>
      <w:sz w:val="24"/>
      <w:szCs w:val="24"/>
      <w:lang w:val="en-US" w:eastAsia="zh-CN" w:bidi="ar-SA"/>
    </w:rPr>
  </w:style>
  <w:style w:type="character" w:customStyle="1" w:styleId="20">
    <w:name w:val="目录4 Char Char"/>
    <w:qFormat/>
    <w:uiPriority w:val="0"/>
    <w:rPr>
      <w:rFonts w:ascii="黑体" w:eastAsia="黑体"/>
      <w:kern w:val="2"/>
      <w:sz w:val="24"/>
      <w:szCs w:val="24"/>
      <w:lang w:val="en-US" w:eastAsia="zh-CN" w:bidi="ar-SA"/>
    </w:rPr>
  </w:style>
  <w:style w:type="paragraph" w:styleId="21">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2025-08-07T00:23:27Z</dcterms:created>
  <dc:creator>Administrator</dc:creator>
  <cp:lastModifiedBy>李娜</cp:lastModifiedBy>
  <dcterms:modified xsi:type="dcterms:W3CDTF">2025-08-07T00:23:52Z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F26CD5C2A23845449CC18AA52DC001AD_12</vt:lpwstr>
  </property>
</Properties>
</file>