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E4A84">
      <w:pPr>
        <w:adjustRightInd w:val="0"/>
        <w:spacing w:after="0" w:line="400" w:lineRule="atLeast"/>
        <w:ind w:firstLine="420" w:firstLineChars="175"/>
        <w:jc w:val="both"/>
        <w:rPr>
          <w:rFonts w:hint="eastAsia" w:ascii="宋体" w:hAnsi="宋体" w:eastAsia="宋体" w:cs="Times New Roman"/>
          <w:sz w:val="24"/>
          <w14:ligatures w14:val="none"/>
        </w:rPr>
      </w:pPr>
      <w:bookmarkStart w:id="2" w:name="_GoBack"/>
      <w:bookmarkEnd w:id="2"/>
      <w:r>
        <w:rPr>
          <w:rFonts w:hint="eastAsia" w:ascii="宋体" w:hAnsi="宋体" w:eastAsia="宋体" w:cs="Times New Roman"/>
          <w:sz w:val="24"/>
          <w14:ligatures w14:val="none"/>
        </w:rPr>
        <w:t>附件2：评标办法</w:t>
      </w:r>
    </w:p>
    <w:p w14:paraId="102D7A94">
      <w:pPr>
        <w:spacing w:after="0" w:line="240" w:lineRule="auto"/>
        <w:jc w:val="both"/>
        <w:rPr>
          <w:rFonts w:hint="eastAsia" w:ascii="宋体" w:hAnsi="宋体" w:eastAsia="宋体" w:cs="Times New Roman"/>
          <w:bCs/>
          <w:kern w:val="0"/>
          <w:sz w:val="30"/>
          <w:szCs w:val="30"/>
          <w14:ligatures w14:val="none"/>
        </w:rPr>
      </w:pPr>
      <w:r>
        <w:rPr>
          <w:rFonts w:hint="eastAsia" w:ascii="宋体" w:hAnsi="宋体" w:eastAsia="宋体" w:cs="Times New Roman"/>
          <w:sz w:val="21"/>
          <w:szCs w:val="22"/>
          <w14:ligatures w14:val="none"/>
        </w:rPr>
        <w:t>评标办法前附表</w:t>
      </w:r>
      <w:r>
        <w:rPr>
          <w:rFonts w:hint="eastAsia" w:ascii="宋体" w:hAnsi="宋体" w:eastAsia="宋体" w:cs="Times New Roman"/>
          <w:sz w:val="21"/>
          <w:szCs w:val="21"/>
          <w14:ligatures w14:val="none"/>
        </w:rPr>
        <w:t xml:space="preserve"> </w:t>
      </w:r>
    </w:p>
    <w:tbl>
      <w:tblPr>
        <w:tblStyle w:val="1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14:paraId="5D1C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14:paraId="3BC44453">
            <w:pPr>
              <w:spacing w:before="100" w:beforeAutospacing="1" w:after="100" w:afterAutospacing="1" w:line="240" w:lineRule="auto"/>
              <w:jc w:val="center"/>
              <w:rPr>
                <w:rFonts w:hint="eastAsia" w:ascii="宋体" w:hAnsi="宋体" w:eastAsia="宋体" w:cs="Times New Roman"/>
                <w:sz w:val="21"/>
                <w:szCs w:val="21"/>
                <w14:ligatures w14:val="none"/>
              </w:rPr>
            </w:pPr>
            <w:bookmarkStart w:id="0" w:name="OLE_LINK2"/>
            <w:r>
              <w:rPr>
                <w:rFonts w:hint="eastAsia" w:ascii="宋体" w:hAnsi="宋体" w:eastAsia="宋体" w:cs="Times New Roman"/>
                <w:sz w:val="21"/>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14:paraId="737E05B5">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14:paraId="44ADDDA0">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评审因素与评审标准 </w:t>
            </w:r>
          </w:p>
        </w:tc>
      </w:tr>
      <w:tr w14:paraId="105B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A22C652">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14:paraId="431EEDF6">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14:paraId="149BDCB9">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名中标候选人；综合评分相等时，评标委员会依次按照以下优先顺序推荐中标候选人：</w:t>
            </w:r>
          </w:p>
          <w:p w14:paraId="3A6F5D54">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（1）评标价低的投标人优先；</w:t>
            </w:r>
          </w:p>
          <w:p w14:paraId="5D5C3B3A">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（2）技术得分较高的投标人优先；</w:t>
            </w:r>
          </w:p>
          <w:p w14:paraId="36590680">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（3）满足资格审查条件(业绩最低要求)的</w:t>
            </w:r>
            <w:r>
              <w:rPr>
                <w:rFonts w:hint="eastAsia" w:ascii="宋体" w:hAnsi="宋体" w:eastAsia="宋体" w:cs="宋体"/>
                <w:bCs/>
                <w:sz w:val="21"/>
                <w:szCs w:val="21"/>
                <w14:ligatures w14:val="none"/>
              </w:rPr>
              <w:t>业绩</w:t>
            </w:r>
            <w:r>
              <w:rPr>
                <w:rFonts w:hint="eastAsia" w:ascii="宋体" w:hAnsi="宋体" w:eastAsia="宋体" w:cs="Times New Roman"/>
                <w:sz w:val="21"/>
                <w:szCs w:val="21"/>
                <w14:ligatures w14:val="none"/>
              </w:rPr>
              <w:t xml:space="preserve">累计金额高的优先。 </w:t>
            </w:r>
          </w:p>
        </w:tc>
      </w:tr>
      <w:tr w14:paraId="2B69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123E4773">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2.1.1</w:t>
            </w:r>
          </w:p>
          <w:p w14:paraId="7A47C736">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2.1.</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14:paraId="2EB26AEA">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0DBC5612">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第一个信封（商务及技术文件）评审标准:</w:t>
            </w:r>
          </w:p>
          <w:p w14:paraId="0D3EB9D3">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（1）投标文件按照招标文件规定的格式、内容填写，字迹清晰可辨：</w:t>
            </w:r>
          </w:p>
          <w:p w14:paraId="3A6B797E">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a．投标函按招标文件规定填报了项目名称、补遗书编号（如有）、服务期限、质量要求及安全目标；</w:t>
            </w:r>
          </w:p>
          <w:p w14:paraId="4820A632">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b．投标文件组成齐全完整，内容均按规定填写。</w:t>
            </w:r>
          </w:p>
          <w:p w14:paraId="2794BAAF">
            <w:pPr>
              <w:widowControl/>
              <w:spacing w:after="0" w:line="360" w:lineRule="exact"/>
              <w:ind w:firstLine="420" w:firstLineChars="200"/>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（2）投标文件上法定代表人或其委托代理人的签字、投标人的单位章盖章齐全，符合招标文件规定。</w:t>
            </w:r>
          </w:p>
          <w:p w14:paraId="0FCAA258">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（3）投标人按照招标文件规定的金额、形式、时效和内容提供了投标保证金，并符合投标人须知前附表3.4.1项的相关规定。</w:t>
            </w:r>
          </w:p>
          <w:p w14:paraId="6BC2CA7B">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（4）投标人法定代表人授权委托代理人签署投标文件的，须提交授权委托书，且授权人和被授权人均在授权书上签名。</w:t>
            </w:r>
          </w:p>
          <w:p w14:paraId="2ADEB996">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（5）投标人法定代表人亲自签署投标文件的，提供了法定代表人身份证明，且法定代表人在法定代表人身份证明上签名。</w:t>
            </w:r>
          </w:p>
          <w:p w14:paraId="3D826E5C">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（6）投标人未以联合体形式投标。</w:t>
            </w:r>
          </w:p>
          <w:p w14:paraId="4FD0821B">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（7）同一投标人未提交两个以上不同的投标文件。</w:t>
            </w:r>
          </w:p>
          <w:p w14:paraId="0D1C38FA">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8</w:t>
            </w:r>
            <w:r>
              <w:rPr>
                <w:rFonts w:hint="eastAsia" w:ascii="宋体" w:hAnsi="宋体" w:eastAsia="宋体" w:cs="Times New Roman"/>
                <w:sz w:val="21"/>
                <w:szCs w:val="21"/>
                <w14:ligatures w14:val="none"/>
              </w:rPr>
              <w:t>）投标文件中未出现有关投标报价的内容。</w:t>
            </w:r>
          </w:p>
          <w:p w14:paraId="0EC28945">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9</w:t>
            </w:r>
            <w:r>
              <w:rPr>
                <w:rFonts w:hint="eastAsia" w:ascii="宋体" w:hAnsi="宋体" w:eastAsia="宋体" w:cs="Times New Roman"/>
                <w:sz w:val="21"/>
                <w:szCs w:val="21"/>
                <w14:ligatures w14:val="none"/>
              </w:rPr>
              <w:t>）投标文件载明的招标项目完成期限符合招标文件规定的时限。</w:t>
            </w:r>
          </w:p>
          <w:p w14:paraId="5818C341">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10</w:t>
            </w:r>
            <w:r>
              <w:rPr>
                <w:rFonts w:hint="eastAsia" w:ascii="宋体" w:hAnsi="宋体" w:eastAsia="宋体" w:cs="Times New Roman"/>
                <w:sz w:val="21"/>
                <w:szCs w:val="21"/>
                <w14:ligatures w14:val="none"/>
              </w:rPr>
              <w:t>）投标人未对本项目提出分包计划。</w:t>
            </w:r>
          </w:p>
          <w:p w14:paraId="49076E61">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）投标文件对招标文件的实质性要求和条件作出响应。</w:t>
            </w:r>
          </w:p>
          <w:p w14:paraId="3D2249F1">
            <w:pPr>
              <w:tabs>
                <w:tab w:val="left" w:pos="3060"/>
              </w:tabs>
              <w:spacing w:after="0" w:line="360" w:lineRule="exact"/>
              <w:ind w:firstLine="525" w:firstLineChars="2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）权利义务符合招标文件规定：</w:t>
            </w:r>
          </w:p>
          <w:p w14:paraId="677B800F">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a.投标人应接受招标文件规定的风险划分原则，未提出新的风险划分办法；</w:t>
            </w:r>
          </w:p>
          <w:p w14:paraId="07ECB3AB">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b.投标人未增加发包人的责任范围，或减少投标人义务；</w:t>
            </w:r>
          </w:p>
          <w:p w14:paraId="1EB55009">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c.投标人未提出不同的支付办法；</w:t>
            </w:r>
          </w:p>
          <w:p w14:paraId="2CCC237E">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d.投标人对合同纠纷、事故处理办法未提出异议；</w:t>
            </w:r>
          </w:p>
          <w:p w14:paraId="2E7A516C">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e.投标人在投标活动中无欺诈行为；</w:t>
            </w:r>
          </w:p>
          <w:p w14:paraId="25925C00">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f.投标人未对合同条款有重要保留。</w:t>
            </w:r>
          </w:p>
          <w:p w14:paraId="7AE03594">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第二个信封（报价文件）评审标准：</w:t>
            </w:r>
          </w:p>
          <w:p w14:paraId="067456D8">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（1）投标文件按照招标文件规定的格式、内容填写，字迹清晰可辨：</w:t>
            </w:r>
          </w:p>
          <w:p w14:paraId="38345B7C">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a.投标函按招标文件规定填报了项目名称、补遗书编号（如有）、投标价（包括大写金额和小写金额）；</w:t>
            </w:r>
          </w:p>
          <w:p w14:paraId="4BA674AB">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b．已</w:t>
            </w:r>
            <w:r>
              <w:rPr>
                <w:rFonts w:hint="eastAsia" w:ascii="宋体" w:hAnsi="宋体" w:eastAsia="宋体" w:cs="Times New Roman"/>
                <w:sz w:val="21"/>
                <w:szCs w:val="21"/>
                <w14:ligatures w14:val="none"/>
              </w:rPr>
              <w:t>标价</w:t>
            </w:r>
            <w:r>
              <w:rPr>
                <w:rFonts w:hint="eastAsia" w:ascii="宋体" w:hAnsi="宋体" w:eastAsia="宋体" w:cs="Times New Roman"/>
                <w:bCs/>
                <w:sz w:val="21"/>
                <w:szCs w:val="21"/>
                <w14:ligatures w14:val="none"/>
              </w:rPr>
              <w:t>清单说明文字与招标文件规定一致，未进行实质性修改和删减；</w:t>
            </w:r>
          </w:p>
          <w:p w14:paraId="4BD6AF0B">
            <w:pPr>
              <w:tabs>
                <w:tab w:val="left" w:pos="3060"/>
              </w:tabs>
              <w:spacing w:after="0" w:line="360" w:lineRule="exact"/>
              <w:ind w:firstLine="420" w:firstLineChars="2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c．投标文件组成齐全完整，内容均按规定填写。</w:t>
            </w:r>
          </w:p>
          <w:p w14:paraId="06061A8E">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bCs/>
                <w:sz w:val="21"/>
                <w:szCs w:val="21"/>
                <w14:ligatures w14:val="none"/>
              </w:rPr>
              <w:t>（2）投标</w:t>
            </w:r>
            <w:r>
              <w:rPr>
                <w:rFonts w:hint="eastAsia" w:ascii="宋体" w:hAnsi="宋体" w:eastAsia="宋体" w:cs="Times New Roman"/>
                <w:sz w:val="21"/>
                <w:szCs w:val="21"/>
                <w14:ligatures w14:val="none"/>
              </w:rPr>
              <w:t>文件</w:t>
            </w:r>
            <w:r>
              <w:rPr>
                <w:rFonts w:hint="eastAsia" w:ascii="宋体" w:hAnsi="宋体" w:eastAsia="宋体" w:cs="Times New Roman"/>
                <w:bCs/>
                <w:sz w:val="21"/>
                <w:szCs w:val="21"/>
                <w14:ligatures w14:val="none"/>
              </w:rPr>
              <w:t>上法定代表人或其授权代理人的签字、投标人的单位章盖章齐全，符合招标文件规定。</w:t>
            </w:r>
          </w:p>
          <w:p w14:paraId="33358018">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（3）投标报价未超过招标文件设定的最高投标限价。</w:t>
            </w:r>
          </w:p>
          <w:p w14:paraId="267FEFA3">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（4）投标报价的大写金额能够确定具体数值。</w:t>
            </w:r>
          </w:p>
          <w:p w14:paraId="15190EAB">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（5）同一投标人未提交两个以上不同的投标报价。</w:t>
            </w:r>
          </w:p>
          <w:p w14:paraId="7D547069">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hint="eastAsia" w:ascii="宋体" w:hAnsi="宋体" w:eastAsia="宋体" w:cs="Times New Roman"/>
                <w:bCs/>
                <w:sz w:val="21"/>
                <w:szCs w:val="21"/>
                <w14:ligatures w14:val="none"/>
              </w:rPr>
              <w:t>已</w:t>
            </w:r>
            <w:r>
              <w:rPr>
                <w:rFonts w:hint="eastAsia" w:ascii="宋体" w:hAnsi="宋体" w:eastAsia="宋体" w:cs="Times New Roman"/>
                <w:sz w:val="21"/>
                <w:szCs w:val="21"/>
                <w14:ligatures w14:val="none"/>
              </w:rPr>
              <w:t>标价清单中的投标报价和投标函大写金额报价一致。</w:t>
            </w:r>
          </w:p>
        </w:tc>
      </w:tr>
      <w:tr w14:paraId="568D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08400F22">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14:paraId="1C9135EA">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09CE0C15">
            <w:pPr>
              <w:numPr>
                <w:ilvl w:val="0"/>
                <w:numId w:val="1"/>
              </w:numPr>
              <w:tabs>
                <w:tab w:val="left" w:pos="3060"/>
              </w:tabs>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投标人具备有效的营业执照</w:t>
            </w:r>
            <w:bookmarkStart w:id="1" w:name="OLE_LINK1"/>
            <w:r>
              <w:rPr>
                <w:rFonts w:hint="eastAsia" w:ascii="宋体" w:hAnsi="宋体" w:eastAsia="宋体" w:cs="Times New Roman"/>
                <w:sz w:val="21"/>
                <w:szCs w:val="21"/>
                <w14:ligatures w14:val="none"/>
              </w:rPr>
              <w:t>（或事业单位法人证书）</w:t>
            </w:r>
            <w:bookmarkEnd w:id="1"/>
            <w:r>
              <w:rPr>
                <w:rFonts w:hint="eastAsia" w:ascii="宋体" w:hAnsi="宋体" w:eastAsia="宋体" w:cs="Times New Roman"/>
                <w:sz w:val="21"/>
                <w:szCs w:val="21"/>
                <w14:ligatures w14:val="none"/>
              </w:rPr>
              <w:t>和基本账户开户许可证或基本存款账户信息。</w:t>
            </w:r>
          </w:p>
          <w:p w14:paraId="40B22C57">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（2）投标人的资质等级招标文件规定。</w:t>
            </w:r>
          </w:p>
          <w:p w14:paraId="0E5BCD9D">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（3）投标人的业绩符合招标文件规定。</w:t>
            </w:r>
          </w:p>
          <w:p w14:paraId="72EBC8DD">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（4）投标人的信誉符合招标文件规定。</w:t>
            </w:r>
          </w:p>
          <w:p w14:paraId="5A85B567">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（5）投标人不存在第二章“投标人须知”第1.4.3项或1.4.4项规定的任何一种情形。</w:t>
            </w:r>
          </w:p>
        </w:tc>
      </w:tr>
      <w:tr w14:paraId="635A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7DF73ED0">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14:paraId="1131BFB4">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14:paraId="3C9425E5">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b/>
                <w:sz w:val="21"/>
                <w:szCs w:val="21"/>
                <w14:ligatures w14:val="none"/>
              </w:rPr>
              <w:t>第一个信封（商务及技术文件）评分分值构成：</w:t>
            </w:r>
          </w:p>
          <w:p w14:paraId="1A7EA34D">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业 </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绩：       1</w:t>
            </w:r>
            <w:r>
              <w:rPr>
                <w:rFonts w:ascii="宋体" w:hAnsi="宋体" w:eastAsia="宋体" w:cs="Times New Roman"/>
                <w:sz w:val="21"/>
                <w:szCs w:val="21"/>
                <w14:ligatures w14:val="none"/>
              </w:rPr>
              <w:t>0</w:t>
            </w:r>
            <w:r>
              <w:rPr>
                <w:rFonts w:hint="eastAsia" w:ascii="宋体" w:hAnsi="宋体" w:eastAsia="宋体" w:cs="Times New Roman"/>
                <w:sz w:val="21"/>
                <w:szCs w:val="21"/>
                <w14:ligatures w14:val="none"/>
              </w:rPr>
              <w:t>分</w:t>
            </w:r>
          </w:p>
          <w:p w14:paraId="074B840A">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技术人员：       1</w:t>
            </w:r>
            <w:r>
              <w:rPr>
                <w:rFonts w:ascii="宋体" w:hAnsi="宋体" w:eastAsia="宋体" w:cs="Times New Roman"/>
                <w:sz w:val="21"/>
                <w:szCs w:val="21"/>
                <w14:ligatures w14:val="none"/>
              </w:rPr>
              <w:t>0</w:t>
            </w:r>
            <w:r>
              <w:rPr>
                <w:rFonts w:hint="eastAsia" w:ascii="宋体" w:hAnsi="宋体" w:eastAsia="宋体" w:cs="Times New Roman"/>
                <w:sz w:val="21"/>
                <w:szCs w:val="21"/>
                <w14:ligatures w14:val="none"/>
              </w:rPr>
              <w:t>分</w:t>
            </w:r>
          </w:p>
          <w:p w14:paraId="7715168C">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服务方案：       </w:t>
            </w:r>
            <w:r>
              <w:rPr>
                <w:rFonts w:ascii="宋体" w:hAnsi="宋体" w:eastAsia="宋体" w:cs="Times New Roman"/>
                <w:sz w:val="21"/>
                <w:szCs w:val="21"/>
                <w14:ligatures w14:val="none"/>
              </w:rPr>
              <w:t>50</w:t>
            </w:r>
            <w:r>
              <w:rPr>
                <w:rFonts w:hint="eastAsia" w:ascii="宋体" w:hAnsi="宋体" w:eastAsia="宋体" w:cs="Times New Roman"/>
                <w:sz w:val="21"/>
                <w:szCs w:val="21"/>
                <w14:ligatures w14:val="none"/>
              </w:rPr>
              <w:t>分</w:t>
            </w:r>
          </w:p>
          <w:p w14:paraId="7F0EEB6C">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b/>
                <w:sz w:val="21"/>
                <w:szCs w:val="21"/>
                <w14:ligatures w14:val="none"/>
              </w:rPr>
              <w:t>第二个信封（报价文件）评分分值构成：</w:t>
            </w:r>
          </w:p>
          <w:p w14:paraId="7A6A8418">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 标 价：       </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0分</w:t>
            </w:r>
          </w:p>
        </w:tc>
      </w:tr>
      <w:tr w14:paraId="7D9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2244DDD9">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14:paraId="46FF9191">
            <w:pPr>
              <w:spacing w:before="100" w:beforeAutospacing="1" w:after="100" w:afterAutospacing="1"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14:paraId="5580494E">
            <w:pPr>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评标基准价的计算： </w:t>
            </w:r>
          </w:p>
          <w:p w14:paraId="3589292D">
            <w:pPr>
              <w:tabs>
                <w:tab w:val="left" w:pos="3060"/>
              </w:tabs>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(1)评标价的确定：</w:t>
            </w:r>
          </w:p>
          <w:p w14:paraId="69FD7624">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评标价=投标函文字报价</w:t>
            </w:r>
          </w:p>
          <w:p w14:paraId="3BAA3844">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(2)评标价平均值的计算：</w:t>
            </w:r>
          </w:p>
          <w:p w14:paraId="0C3D65D8">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A78BA7B">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(3)评标基准价的确定：</w:t>
            </w:r>
          </w:p>
          <w:p w14:paraId="7496BE32">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评标价平均值直接作为评标基准价。</w:t>
            </w:r>
          </w:p>
          <w:p w14:paraId="560B893C">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评标基准价保留小数点后两位，小数点后第三位四舍五入。</w:t>
            </w:r>
          </w:p>
          <w:p w14:paraId="139CB36B">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2"/>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9E0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5BAA9E9D">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14:paraId="3B93E080">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14:paraId="331864D2">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偏差率=100%×(投标人评标价-评标基准价)/评标基准价</w:t>
            </w:r>
          </w:p>
        </w:tc>
      </w:tr>
      <w:tr w14:paraId="25A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6024352">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14:paraId="5FDD83C5">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14:paraId="5014F462">
            <w:pPr>
              <w:adjustRightInd w:val="0"/>
              <w:snapToGrid w:val="0"/>
              <w:spacing w:after="0" w:line="300" w:lineRule="exact"/>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在评标过程中，评标委员会应对以下信息进行查询：</w:t>
            </w:r>
          </w:p>
          <w:p w14:paraId="4EF028F2">
            <w:pPr>
              <w:spacing w:after="0" w:line="240" w:lineRule="auto"/>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14:paraId="6E5FA17B">
            <w:pPr>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14:paraId="65C2D628">
            <w:pPr>
              <w:spacing w:after="0" w:line="360" w:lineRule="exact"/>
              <w:ind w:firstLine="420" w:firstLineChars="200"/>
              <w:jc w:val="both"/>
              <w:rPr>
                <w:rFonts w:ascii="Calibri" w:hAnsi="Calibri" w:eastAsia="宋体" w:cs="Times New Roman"/>
                <w:sz w:val="21"/>
                <w14:ligatures w14:val="none"/>
              </w:rPr>
            </w:pPr>
            <w:r>
              <w:rPr>
                <w:rFonts w:hint="eastAsia" w:ascii="宋体" w:hAnsi="宋体" w:eastAsia="宋体" w:cs="Times New Roman"/>
                <w:sz w:val="21"/>
                <w:szCs w:val="21"/>
                <w14:ligatures w14:val="none"/>
              </w:rPr>
              <w:t>如投标人未提供相关网页截图或所附截图与复核结果不一致，评标委员会应否决其投标。</w:t>
            </w:r>
          </w:p>
          <w:p w14:paraId="7E9E9AB6">
            <w:pPr>
              <w:spacing w:after="0" w:line="360" w:lineRule="exact"/>
              <w:ind w:firstLine="420" w:firstLineChars="200"/>
              <w:jc w:val="both"/>
              <w:rPr>
                <w:rFonts w:ascii="Times New Roman" w:hAnsi="Times New Roman" w:eastAsia="宋体" w:cs="Times New Roman"/>
                <w:sz w:val="21"/>
                <w:szCs w:val="22"/>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5857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5D31BE1F">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需要补充的其他内容：无</w:t>
            </w:r>
          </w:p>
        </w:tc>
      </w:tr>
    </w:tbl>
    <w:p w14:paraId="321E16A9">
      <w:pPr>
        <w:spacing w:after="0" w:line="240" w:lineRule="auto"/>
        <w:rPr>
          <w:rFonts w:hint="eastAsia" w:ascii="宋体" w:hAnsi="宋体" w:eastAsia="宋体" w:cs="Times New Roman"/>
          <w:sz w:val="21"/>
          <w:szCs w:val="21"/>
          <w14:ligatures w14:val="none"/>
        </w:rPr>
      </w:pPr>
      <w:r>
        <w:rPr>
          <w:rFonts w:ascii="宋体" w:hAnsi="宋体" w:eastAsia="宋体" w:cs="Times New Roman"/>
          <w:sz w:val="21"/>
          <w:szCs w:val="21"/>
          <w14:ligatures w14:val="none"/>
        </w:rPr>
        <w:br w:type="page"/>
      </w:r>
      <w:r>
        <w:rPr>
          <w:rFonts w:hint="eastAsia" w:ascii="宋体" w:hAnsi="宋体" w:eastAsia="宋体" w:cs="Times New Roman"/>
          <w:sz w:val="21"/>
          <w:szCs w:val="21"/>
          <w14:ligatures w14:val="none"/>
        </w:rPr>
        <w:t>具体评分标准如下：</w:t>
      </w:r>
    </w:p>
    <w:tbl>
      <w:tblPr>
        <w:tblStyle w:val="1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14:paraId="2EF77C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14:paraId="47581787">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序号</w:t>
            </w:r>
          </w:p>
        </w:tc>
        <w:tc>
          <w:tcPr>
            <w:tcW w:w="2154" w:type="dxa"/>
            <w:gridSpan w:val="2"/>
            <w:vAlign w:val="center"/>
          </w:tcPr>
          <w:p w14:paraId="198B707C">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评审项目</w:t>
            </w:r>
          </w:p>
        </w:tc>
        <w:tc>
          <w:tcPr>
            <w:tcW w:w="843" w:type="dxa"/>
            <w:vAlign w:val="center"/>
          </w:tcPr>
          <w:p w14:paraId="156701BE">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标准分</w:t>
            </w:r>
          </w:p>
        </w:tc>
        <w:tc>
          <w:tcPr>
            <w:tcW w:w="5978" w:type="dxa"/>
            <w:vAlign w:val="center"/>
          </w:tcPr>
          <w:p w14:paraId="2BBA8E72">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分</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标</w:t>
            </w:r>
            <w:r>
              <w:rPr>
                <w:rFonts w:ascii="宋体" w:hAnsi="宋体" w:eastAsia="宋体" w:cs="Times New Roman"/>
                <w:sz w:val="21"/>
                <w:szCs w:val="21"/>
                <w14:ligatures w14:val="none"/>
              </w:rPr>
              <w:t xml:space="preserve">     </w:t>
            </w:r>
            <w:r>
              <w:rPr>
                <w:rFonts w:hint="eastAsia" w:ascii="宋体" w:hAnsi="宋体" w:eastAsia="宋体" w:cs="Times New Roman"/>
                <w:sz w:val="21"/>
                <w:szCs w:val="21"/>
                <w14:ligatures w14:val="none"/>
              </w:rPr>
              <w:t>准</w:t>
            </w:r>
          </w:p>
        </w:tc>
      </w:tr>
      <w:tr w14:paraId="1AB689E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67754F28">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（1）</w:t>
            </w:r>
          </w:p>
        </w:tc>
        <w:tc>
          <w:tcPr>
            <w:tcW w:w="2154" w:type="dxa"/>
            <w:gridSpan w:val="2"/>
            <w:vAlign w:val="center"/>
          </w:tcPr>
          <w:p w14:paraId="1A6A987C">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业绩</w:t>
            </w:r>
          </w:p>
        </w:tc>
        <w:tc>
          <w:tcPr>
            <w:tcW w:w="843" w:type="dxa"/>
            <w:vAlign w:val="center"/>
          </w:tcPr>
          <w:p w14:paraId="0668968E">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1</w:t>
            </w:r>
            <w:r>
              <w:rPr>
                <w:rFonts w:ascii="宋体" w:hAnsi="宋体" w:eastAsia="宋体" w:cs="宋体"/>
                <w:bCs/>
                <w:sz w:val="21"/>
                <w:szCs w:val="21"/>
                <w14:ligatures w14:val="none"/>
              </w:rPr>
              <w:t>0</w:t>
            </w:r>
            <w:r>
              <w:rPr>
                <w:rFonts w:hint="eastAsia" w:ascii="宋体" w:hAnsi="宋体" w:eastAsia="宋体" w:cs="宋体"/>
                <w:bCs/>
                <w:sz w:val="21"/>
                <w:szCs w:val="21"/>
                <w14:ligatures w14:val="none"/>
              </w:rPr>
              <w:t>分</w:t>
            </w:r>
          </w:p>
        </w:tc>
        <w:tc>
          <w:tcPr>
            <w:tcW w:w="5978" w:type="dxa"/>
            <w:vAlign w:val="center"/>
          </w:tcPr>
          <w:p w14:paraId="75648054">
            <w:pPr>
              <w:snapToGrid w:val="0"/>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满足资格审查条件(业绩最低要求)得6分；</w:t>
            </w:r>
          </w:p>
          <w:p w14:paraId="2B9BFFF1">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Times New Roman"/>
                <w:sz w:val="21"/>
                <w:szCs w:val="21"/>
                <w14:ligatures w14:val="none"/>
              </w:rPr>
              <w:t>每增加一项满足资格审查条件(业绩最低要求)的</w:t>
            </w:r>
            <w:r>
              <w:rPr>
                <w:rFonts w:hint="eastAsia" w:ascii="宋体" w:hAnsi="宋体" w:eastAsia="宋体" w:cs="宋体"/>
                <w:bCs/>
                <w:sz w:val="21"/>
                <w:szCs w:val="21"/>
                <w14:ligatures w14:val="none"/>
              </w:rPr>
              <w:t>业绩加2分，最高加4分。</w:t>
            </w:r>
          </w:p>
        </w:tc>
      </w:tr>
      <w:tr w14:paraId="45383A0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67D55C73">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（2）</w:t>
            </w:r>
          </w:p>
        </w:tc>
        <w:tc>
          <w:tcPr>
            <w:tcW w:w="2154" w:type="dxa"/>
            <w:gridSpan w:val="2"/>
            <w:vAlign w:val="center"/>
          </w:tcPr>
          <w:p w14:paraId="7F489971">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技术人员</w:t>
            </w:r>
          </w:p>
        </w:tc>
        <w:tc>
          <w:tcPr>
            <w:tcW w:w="843" w:type="dxa"/>
            <w:vAlign w:val="center"/>
          </w:tcPr>
          <w:p w14:paraId="1F3372F2">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10</w:t>
            </w:r>
          </w:p>
        </w:tc>
        <w:tc>
          <w:tcPr>
            <w:tcW w:w="5978" w:type="dxa"/>
            <w:vAlign w:val="center"/>
          </w:tcPr>
          <w:p w14:paraId="13CD812A">
            <w:pPr>
              <w:adjustRightInd w:val="0"/>
              <w:snapToGrid w:val="0"/>
              <w:spacing w:after="0" w:line="400" w:lineRule="exact"/>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投标人配备相关专业技术职务资格的执业医师，每有1名中级及以上专业技术职务任职资格的执业医师加1分，加至标准分值止；（相关专业包括外科、内科、眼科、耳鼻喉科、超声科、医学影像科、医学检验科及妇产科）</w:t>
            </w:r>
          </w:p>
          <w:p w14:paraId="4DE0D42A">
            <w:pPr>
              <w:snapToGrid w:val="0"/>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2"/>
                <w14:ligatures w14:val="none"/>
              </w:rPr>
              <w:t>投标文件中须提供相关人员的身份证、劳动合同、职称证书和</w:t>
            </w:r>
            <w:r>
              <w:rPr>
                <w:rFonts w:hint="eastAsia" w:ascii="宋体" w:hAnsi="宋体" w:eastAsia="宋体" w:cs="宋体"/>
                <w:spacing w:val="-4"/>
                <w:sz w:val="21"/>
                <w:szCs w:val="22"/>
                <w14:ligatures w14:val="none"/>
              </w:rPr>
              <w:t>执业资格证书</w:t>
            </w:r>
            <w:r>
              <w:rPr>
                <w:rFonts w:hint="eastAsia" w:ascii="宋体" w:hAnsi="宋体" w:eastAsia="宋体" w:cs="Times New Roman"/>
                <w:sz w:val="21"/>
                <w:szCs w:val="22"/>
                <w14:ligatures w14:val="none"/>
              </w:rPr>
              <w:t>的复印件，否则不予计分。</w:t>
            </w:r>
          </w:p>
        </w:tc>
      </w:tr>
      <w:tr w14:paraId="4D68484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023" w:hRule="exact"/>
          <w:jc w:val="center"/>
        </w:trPr>
        <w:tc>
          <w:tcPr>
            <w:tcW w:w="735" w:type="dxa"/>
            <w:vMerge w:val="restart"/>
            <w:tcBorders>
              <w:right w:val="single" w:color="auto" w:sz="2" w:space="0"/>
            </w:tcBorders>
            <w:vAlign w:val="center"/>
          </w:tcPr>
          <w:p w14:paraId="19171887">
            <w:pPr>
              <w:snapToGrid w:val="0"/>
              <w:spacing w:after="0" w:line="240" w:lineRule="auto"/>
              <w:jc w:val="center"/>
              <w:rPr>
                <w:rFonts w:hint="eastAsia" w:ascii="宋体" w:hAnsi="宋体" w:eastAsia="宋体" w:cs="宋体"/>
                <w:bCs/>
                <w:w w:val="90"/>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w:t>
            </w:r>
            <w:r>
              <w:rPr>
                <w:rFonts w:ascii="宋体" w:hAnsi="宋体" w:eastAsia="宋体" w:cs="宋体"/>
                <w:bCs/>
                <w:w w:val="90"/>
                <w:sz w:val="21"/>
                <w:szCs w:val="21"/>
                <w14:ligatures w14:val="none"/>
              </w:rPr>
              <w:t>2</w:t>
            </w:r>
            <w:r>
              <w:rPr>
                <w:rFonts w:hint="eastAsia" w:ascii="宋体" w:hAnsi="宋体" w:eastAsia="宋体" w:cs="宋体"/>
                <w:bCs/>
                <w:w w:val="90"/>
                <w:sz w:val="21"/>
                <w:szCs w:val="21"/>
                <w14:ligatures w14:val="none"/>
              </w:rPr>
              <w:t>）</w:t>
            </w:r>
          </w:p>
        </w:tc>
        <w:tc>
          <w:tcPr>
            <w:tcW w:w="1030" w:type="dxa"/>
            <w:vMerge w:val="restart"/>
            <w:tcBorders>
              <w:left w:val="single" w:color="auto" w:sz="2" w:space="0"/>
              <w:right w:val="single" w:color="auto" w:sz="2" w:space="0"/>
            </w:tcBorders>
            <w:vAlign w:val="center"/>
          </w:tcPr>
          <w:p w14:paraId="2614C1CB">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服务方案</w:t>
            </w:r>
          </w:p>
          <w:p w14:paraId="055B5EEB">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w:t>
            </w:r>
            <w:r>
              <w:rPr>
                <w:rFonts w:ascii="宋体" w:hAnsi="宋体" w:eastAsia="宋体" w:cs="宋体"/>
                <w:bCs/>
                <w:sz w:val="21"/>
                <w:szCs w:val="21"/>
                <w14:ligatures w14:val="none"/>
              </w:rPr>
              <w:t>50</w:t>
            </w:r>
            <w:r>
              <w:rPr>
                <w:rFonts w:hint="eastAsia" w:ascii="宋体" w:hAnsi="宋体" w:eastAsia="宋体" w:cs="宋体"/>
                <w:bCs/>
                <w:sz w:val="21"/>
                <w:szCs w:val="21"/>
                <w14:ligatures w14:val="none"/>
              </w:rPr>
              <w:t>分）</w:t>
            </w:r>
          </w:p>
        </w:tc>
        <w:tc>
          <w:tcPr>
            <w:tcW w:w="1124" w:type="dxa"/>
            <w:tcBorders>
              <w:left w:val="single" w:color="auto" w:sz="2" w:space="0"/>
            </w:tcBorders>
            <w:vAlign w:val="center"/>
          </w:tcPr>
          <w:p w14:paraId="1D550C81">
            <w:pPr>
              <w:snapToGrid w:val="0"/>
              <w:spacing w:before="156" w:beforeLines="50" w:after="156" w:afterLines="5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项目团队专业素质及水平</w:t>
            </w:r>
          </w:p>
        </w:tc>
        <w:tc>
          <w:tcPr>
            <w:tcW w:w="843" w:type="dxa"/>
            <w:vAlign w:val="center"/>
          </w:tcPr>
          <w:p w14:paraId="62CD6E01">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10分</w:t>
            </w:r>
          </w:p>
        </w:tc>
        <w:tc>
          <w:tcPr>
            <w:tcW w:w="5978" w:type="dxa"/>
            <w:vAlign w:val="center"/>
          </w:tcPr>
          <w:p w14:paraId="7E01FE97">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根据投标人项目实施团队人员配备及专业素质水平优劣进行比较打分：</w:t>
            </w:r>
          </w:p>
          <w:p w14:paraId="2D90EC14">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 xml:space="preserve">第一档，实施团队人员配备完善、合理，团队人员构成专业性强、经验丰富符合项目特点的，得8-10分； </w:t>
            </w:r>
          </w:p>
          <w:p w14:paraId="2BBD939C">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 xml:space="preserve">第二档，实施团队人员配备健全、合理，团队人员构成和专业性较好，相关经验较丰富，符合项目需求的，得6-8分； </w:t>
            </w:r>
          </w:p>
          <w:p w14:paraId="22D48112">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第三档，实施团队人员配备人员构成基本合理，专业性和相关经验有欠缺或低于其他档次投标人，得6分。</w:t>
            </w:r>
          </w:p>
        </w:tc>
      </w:tr>
      <w:tr w14:paraId="06F5FFA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360" w:hRule="exact"/>
          <w:jc w:val="center"/>
        </w:trPr>
        <w:tc>
          <w:tcPr>
            <w:tcW w:w="735" w:type="dxa"/>
            <w:vMerge w:val="continue"/>
            <w:tcBorders>
              <w:right w:val="single" w:color="auto" w:sz="2" w:space="0"/>
            </w:tcBorders>
            <w:vAlign w:val="center"/>
          </w:tcPr>
          <w:p w14:paraId="34A8F913">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5168135C">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20BB98E0">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整体服务方案</w:t>
            </w:r>
          </w:p>
        </w:tc>
        <w:tc>
          <w:tcPr>
            <w:tcW w:w="843" w:type="dxa"/>
            <w:vAlign w:val="center"/>
          </w:tcPr>
          <w:p w14:paraId="57E484CB">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15分</w:t>
            </w:r>
          </w:p>
        </w:tc>
        <w:tc>
          <w:tcPr>
            <w:tcW w:w="5978" w:type="dxa"/>
            <w:vAlign w:val="center"/>
          </w:tcPr>
          <w:p w14:paraId="74C73B28">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服务方案、体检流程合理、措施保障有力，能提供优质体检服务的得12-15分；</w:t>
            </w:r>
          </w:p>
          <w:p w14:paraId="1A355E73">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服务方案、体检流程较合理、措施保障较有力，能提供较好的体检服务的得 9-12分；</w:t>
            </w:r>
          </w:p>
          <w:p w14:paraId="0C75316E">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服务方案、体检流程能满足基本要求，能够完成体检服务的得 9分。</w:t>
            </w:r>
          </w:p>
        </w:tc>
      </w:tr>
      <w:tr w14:paraId="4CE8778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27" w:hRule="exact"/>
          <w:jc w:val="center"/>
        </w:trPr>
        <w:tc>
          <w:tcPr>
            <w:tcW w:w="735" w:type="dxa"/>
            <w:vMerge w:val="continue"/>
            <w:tcBorders>
              <w:right w:val="single" w:color="auto" w:sz="2" w:space="0"/>
            </w:tcBorders>
            <w:vAlign w:val="center"/>
          </w:tcPr>
          <w:p w14:paraId="265DC0CD">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75BA3A1B">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04542283">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应急处理方案</w:t>
            </w:r>
          </w:p>
        </w:tc>
        <w:tc>
          <w:tcPr>
            <w:tcW w:w="843" w:type="dxa"/>
            <w:vAlign w:val="center"/>
          </w:tcPr>
          <w:p w14:paraId="2ABCA314">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15分</w:t>
            </w:r>
          </w:p>
        </w:tc>
        <w:tc>
          <w:tcPr>
            <w:tcW w:w="5978" w:type="dxa"/>
            <w:vAlign w:val="center"/>
          </w:tcPr>
          <w:p w14:paraId="21C9058B">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对各种突发情况应急处理方案科学合理、应对措施完善得12-15分；</w:t>
            </w:r>
          </w:p>
          <w:p w14:paraId="37E65FB7">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对各种突发情况应急处理方案较科学合理、应对措施较完善得 9-12分；</w:t>
            </w:r>
          </w:p>
          <w:p w14:paraId="1BF2CE7E">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对各种突发情况应急处理方案一般、应对措施一般得9分。</w:t>
            </w:r>
          </w:p>
        </w:tc>
      </w:tr>
      <w:tr w14:paraId="0EC3BE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65" w:hRule="atLeast"/>
          <w:jc w:val="center"/>
        </w:trPr>
        <w:tc>
          <w:tcPr>
            <w:tcW w:w="735" w:type="dxa"/>
            <w:vMerge w:val="continue"/>
            <w:tcBorders>
              <w:right w:val="single" w:color="auto" w:sz="2" w:space="0"/>
            </w:tcBorders>
            <w:vAlign w:val="center"/>
          </w:tcPr>
          <w:p w14:paraId="0D3EB2B7">
            <w:pPr>
              <w:snapToGrid w:val="0"/>
              <w:spacing w:after="0" w:line="240" w:lineRule="auto"/>
              <w:jc w:val="center"/>
              <w:rPr>
                <w:rFonts w:hint="eastAsia" w:ascii="宋体" w:hAnsi="宋体" w:eastAsia="宋体" w:cs="宋体"/>
                <w:bCs/>
                <w:w w:val="90"/>
                <w:sz w:val="21"/>
                <w:szCs w:val="21"/>
                <w14:ligatures w14:val="none"/>
              </w:rPr>
            </w:pPr>
          </w:p>
        </w:tc>
        <w:tc>
          <w:tcPr>
            <w:tcW w:w="1030" w:type="dxa"/>
            <w:vMerge w:val="continue"/>
            <w:tcBorders>
              <w:left w:val="single" w:color="auto" w:sz="2" w:space="0"/>
              <w:right w:val="single" w:color="auto" w:sz="2" w:space="0"/>
            </w:tcBorders>
            <w:vAlign w:val="center"/>
          </w:tcPr>
          <w:p w14:paraId="395AD831">
            <w:pPr>
              <w:snapToGrid w:val="0"/>
              <w:spacing w:after="0" w:line="240" w:lineRule="auto"/>
              <w:jc w:val="center"/>
              <w:rPr>
                <w:rFonts w:hint="eastAsia" w:ascii="宋体" w:hAnsi="宋体" w:eastAsia="宋体" w:cs="宋体"/>
                <w:bCs/>
                <w:sz w:val="21"/>
                <w:szCs w:val="21"/>
                <w14:ligatures w14:val="none"/>
              </w:rPr>
            </w:pPr>
          </w:p>
        </w:tc>
        <w:tc>
          <w:tcPr>
            <w:tcW w:w="1124" w:type="dxa"/>
            <w:tcBorders>
              <w:left w:val="single" w:color="auto" w:sz="2" w:space="0"/>
            </w:tcBorders>
            <w:vAlign w:val="center"/>
          </w:tcPr>
          <w:p w14:paraId="6D24B51A">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服务承诺</w:t>
            </w:r>
          </w:p>
        </w:tc>
        <w:tc>
          <w:tcPr>
            <w:tcW w:w="843" w:type="dxa"/>
            <w:vAlign w:val="center"/>
          </w:tcPr>
          <w:p w14:paraId="34449677">
            <w:pPr>
              <w:snapToGrid w:val="0"/>
              <w:spacing w:after="0" w:line="240" w:lineRule="auto"/>
              <w:jc w:val="center"/>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1</w:t>
            </w:r>
            <w:r>
              <w:rPr>
                <w:rFonts w:ascii="宋体" w:hAnsi="宋体" w:eastAsia="宋体" w:cs="仿宋"/>
                <w:bCs/>
                <w:sz w:val="21"/>
                <w:szCs w:val="21"/>
                <w14:ligatures w14:val="none"/>
              </w:rPr>
              <w:t>0</w:t>
            </w:r>
            <w:r>
              <w:rPr>
                <w:rFonts w:hint="eastAsia" w:ascii="宋体" w:hAnsi="宋体" w:eastAsia="宋体" w:cs="仿宋"/>
                <w:bCs/>
                <w:sz w:val="21"/>
                <w:szCs w:val="21"/>
                <w14:ligatures w14:val="none"/>
              </w:rPr>
              <w:t>分</w:t>
            </w:r>
          </w:p>
        </w:tc>
        <w:tc>
          <w:tcPr>
            <w:tcW w:w="5978" w:type="dxa"/>
            <w:vAlign w:val="center"/>
          </w:tcPr>
          <w:p w14:paraId="464D1BFC">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服务承诺系统全面、科学合理，得8-10分；</w:t>
            </w:r>
          </w:p>
          <w:p w14:paraId="17377AB3">
            <w:pPr>
              <w:snapToGrid w:val="0"/>
              <w:spacing w:after="0" w:line="400" w:lineRule="exact"/>
              <w:jc w:val="both"/>
              <w:rPr>
                <w:rFonts w:hint="eastAsia" w:ascii="宋体" w:hAnsi="宋体" w:eastAsia="宋体" w:cs="仿宋"/>
                <w:bCs/>
                <w:sz w:val="21"/>
                <w:szCs w:val="21"/>
                <w14:ligatures w14:val="none"/>
              </w:rPr>
            </w:pPr>
            <w:r>
              <w:rPr>
                <w:rFonts w:hint="eastAsia" w:ascii="宋体" w:hAnsi="宋体" w:eastAsia="宋体" w:cs="仿宋"/>
                <w:bCs/>
                <w:sz w:val="21"/>
                <w:szCs w:val="21"/>
                <w14:ligatures w14:val="none"/>
              </w:rPr>
              <w:t>服务承诺较完整、较科学，得6-8分；</w:t>
            </w:r>
          </w:p>
          <w:p w14:paraId="466AEAEF">
            <w:pPr>
              <w:snapToGrid w:val="0"/>
              <w:spacing w:after="0" w:line="240" w:lineRule="auto"/>
              <w:jc w:val="both"/>
              <w:rPr>
                <w:rFonts w:hint="eastAsia" w:ascii="宋体" w:hAnsi="宋体" w:eastAsia="宋体" w:cs="宋体"/>
                <w:bCs/>
                <w:sz w:val="21"/>
                <w:szCs w:val="21"/>
                <w14:ligatures w14:val="none"/>
              </w:rPr>
            </w:pPr>
            <w:r>
              <w:rPr>
                <w:rFonts w:hint="eastAsia" w:ascii="宋体" w:hAnsi="宋体" w:eastAsia="宋体" w:cs="仿宋"/>
                <w:bCs/>
                <w:sz w:val="21"/>
                <w:szCs w:val="21"/>
                <w14:ligatures w14:val="none"/>
              </w:rPr>
              <w:t>服务承诺不完整或不尽合理，得6分。</w:t>
            </w:r>
          </w:p>
        </w:tc>
      </w:tr>
      <w:tr w14:paraId="4DB77D4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14:paraId="06788844">
            <w:pPr>
              <w:spacing w:after="0" w:line="240" w:lineRule="auto"/>
              <w:jc w:val="center"/>
              <w:rPr>
                <w:rFonts w:hint="eastAsia" w:ascii="宋体" w:hAnsi="宋体" w:eastAsia="宋体" w:cs="宋体"/>
                <w:bCs/>
                <w:sz w:val="21"/>
                <w:szCs w:val="21"/>
                <w14:ligatures w14:val="none"/>
              </w:rPr>
            </w:pPr>
            <w:r>
              <w:rPr>
                <w:rFonts w:ascii="宋体" w:hAnsi="宋体" w:eastAsia="宋体" w:cs="宋体"/>
                <w:bCs/>
                <w:w w:val="90"/>
                <w:sz w:val="21"/>
                <w:szCs w:val="21"/>
                <w14:ligatures w14:val="none"/>
              </w:rPr>
              <w:t>2.2.4</w:t>
            </w:r>
            <w:r>
              <w:rPr>
                <w:rFonts w:hint="eastAsia" w:ascii="宋体" w:hAnsi="宋体" w:eastAsia="宋体" w:cs="宋体"/>
                <w:bCs/>
                <w:w w:val="90"/>
                <w:sz w:val="21"/>
                <w:szCs w:val="21"/>
                <w14:ligatures w14:val="none"/>
              </w:rPr>
              <w:t>（</w:t>
            </w:r>
            <w:r>
              <w:rPr>
                <w:rFonts w:ascii="宋体" w:hAnsi="宋体" w:eastAsia="宋体" w:cs="宋体"/>
                <w:bCs/>
                <w:w w:val="90"/>
                <w:sz w:val="21"/>
                <w:szCs w:val="21"/>
                <w14:ligatures w14:val="none"/>
              </w:rPr>
              <w:t>3</w:t>
            </w:r>
            <w:r>
              <w:rPr>
                <w:rFonts w:hint="eastAsia" w:ascii="宋体" w:hAnsi="宋体" w:eastAsia="宋体" w:cs="宋体"/>
                <w:bCs/>
                <w:w w:val="90"/>
                <w:sz w:val="21"/>
                <w:szCs w:val="21"/>
                <w14:ligatures w14:val="none"/>
              </w:rPr>
              <w:t>）</w:t>
            </w:r>
          </w:p>
        </w:tc>
        <w:tc>
          <w:tcPr>
            <w:tcW w:w="2154" w:type="dxa"/>
            <w:gridSpan w:val="2"/>
            <w:tcBorders>
              <w:left w:val="single" w:color="auto" w:sz="2" w:space="0"/>
            </w:tcBorders>
            <w:vAlign w:val="center"/>
          </w:tcPr>
          <w:p w14:paraId="59105000">
            <w:pPr>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评标价</w:t>
            </w:r>
          </w:p>
        </w:tc>
        <w:tc>
          <w:tcPr>
            <w:tcW w:w="843" w:type="dxa"/>
            <w:vAlign w:val="center"/>
          </w:tcPr>
          <w:p w14:paraId="61D9EBC9">
            <w:pPr>
              <w:spacing w:after="0" w:line="240" w:lineRule="auto"/>
              <w:jc w:val="center"/>
              <w:rPr>
                <w:rFonts w:hint="eastAsia" w:ascii="宋体" w:hAnsi="宋体" w:eastAsia="宋体" w:cs="宋体"/>
                <w:bCs/>
                <w:sz w:val="21"/>
                <w:szCs w:val="21"/>
                <w14:ligatures w14:val="none"/>
              </w:rPr>
            </w:pPr>
            <w:r>
              <w:rPr>
                <w:rFonts w:ascii="宋体" w:hAnsi="宋体" w:eastAsia="宋体" w:cs="宋体"/>
                <w:bCs/>
                <w:sz w:val="21"/>
                <w:szCs w:val="21"/>
                <w14:ligatures w14:val="none"/>
              </w:rPr>
              <w:t>30</w:t>
            </w:r>
            <w:r>
              <w:rPr>
                <w:rFonts w:hint="eastAsia" w:ascii="宋体" w:hAnsi="宋体" w:eastAsia="宋体" w:cs="宋体"/>
                <w:bCs/>
                <w:sz w:val="21"/>
                <w:szCs w:val="21"/>
                <w14:ligatures w14:val="none"/>
              </w:rPr>
              <w:t>分</w:t>
            </w:r>
          </w:p>
        </w:tc>
        <w:tc>
          <w:tcPr>
            <w:tcW w:w="5978" w:type="dxa"/>
            <w:vAlign w:val="center"/>
          </w:tcPr>
          <w:p w14:paraId="00376B6B">
            <w:pPr>
              <w:spacing w:after="0" w:line="240"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评标价得分计算公式示例：</w:t>
            </w:r>
          </w:p>
          <w:p w14:paraId="6920A2D6">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（1）如果投标人的评标价＞评标基准价，则评标价得分=F-（投标人评标价-评标基准价）/评标基准价×100×E1；</w:t>
            </w:r>
          </w:p>
          <w:p w14:paraId="2413EA13">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（2）如果投标人的评标价≤评标基准价，则评标价得分=F+(投标人评标价-评标基准价)/评标基准价×100×E2。</w:t>
            </w:r>
          </w:p>
          <w:p w14:paraId="2B07A635">
            <w:pPr>
              <w:spacing w:after="0" w:line="240" w:lineRule="auto"/>
              <w:ind w:firstLine="243" w:firstLineChars="116"/>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其中，F=</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0；E1=0.</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；E2=0.</w:t>
            </w:r>
            <w:r>
              <w:rPr>
                <w:rFonts w:ascii="宋体" w:hAnsi="宋体" w:eastAsia="宋体" w:cs="Times New Roman"/>
                <w:sz w:val="21"/>
                <w:szCs w:val="21"/>
                <w14:ligatures w14:val="none"/>
              </w:rPr>
              <w:t>1</w:t>
            </w:r>
            <w:r>
              <w:rPr>
                <w:rFonts w:hint="eastAsia" w:ascii="宋体" w:hAnsi="宋体" w:eastAsia="宋体" w:cs="Times New Roman"/>
                <w:sz w:val="21"/>
                <w:szCs w:val="21"/>
                <w14:ligatures w14:val="none"/>
              </w:rPr>
              <w:t>。</w:t>
            </w:r>
          </w:p>
          <w:p w14:paraId="5F8007C8">
            <w:pPr>
              <w:spacing w:after="0" w:line="240" w:lineRule="auto"/>
              <w:ind w:firstLine="243" w:firstLineChars="116"/>
              <w:jc w:val="both"/>
              <w:rPr>
                <w:rFonts w:ascii="Times New Roman" w:hAnsi="Times New Roman" w:eastAsia="宋体" w:cs="Times New Roman"/>
                <w:sz w:val="21"/>
                <w:szCs w:val="22"/>
                <w14:ligatures w14:val="none"/>
              </w:rPr>
            </w:pPr>
            <w:r>
              <w:rPr>
                <w:rFonts w:hint="eastAsia" w:ascii="宋体" w:hAnsi="宋体" w:eastAsia="宋体" w:cs="Times New Roman"/>
                <w:sz w:val="21"/>
                <w:szCs w:val="21"/>
                <w14:ligatures w14:val="none"/>
              </w:rPr>
              <w:t>评标价最低得分为0分，评标价得分保留两位小数，第三位四舍五入。</w:t>
            </w:r>
          </w:p>
        </w:tc>
      </w:tr>
      <w:tr w14:paraId="2B6A70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14:paraId="134D6BFA">
            <w:pPr>
              <w:spacing w:after="0" w:line="240" w:lineRule="auto"/>
              <w:jc w:val="center"/>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合计</w:t>
            </w:r>
          </w:p>
        </w:tc>
        <w:tc>
          <w:tcPr>
            <w:tcW w:w="843" w:type="dxa"/>
            <w:vAlign w:val="center"/>
          </w:tcPr>
          <w:p w14:paraId="1C341A3B">
            <w:pPr>
              <w:spacing w:after="0" w:line="240" w:lineRule="auto"/>
              <w:jc w:val="center"/>
              <w:rPr>
                <w:rFonts w:hint="eastAsia" w:ascii="宋体" w:hAnsi="宋体" w:eastAsia="宋体" w:cs="宋体"/>
                <w:bCs/>
                <w:sz w:val="21"/>
                <w:szCs w:val="21"/>
                <w14:ligatures w14:val="none"/>
              </w:rPr>
            </w:pPr>
            <w:r>
              <w:rPr>
                <w:rFonts w:ascii="宋体" w:hAnsi="宋体" w:eastAsia="宋体" w:cs="宋体"/>
                <w:bCs/>
                <w:sz w:val="21"/>
                <w:szCs w:val="21"/>
                <w14:ligatures w14:val="none"/>
              </w:rPr>
              <w:t>100</w:t>
            </w:r>
            <w:r>
              <w:rPr>
                <w:rFonts w:hint="eastAsia" w:ascii="宋体" w:hAnsi="宋体" w:eastAsia="宋体" w:cs="宋体"/>
                <w:bCs/>
                <w:sz w:val="21"/>
                <w:szCs w:val="21"/>
                <w14:ligatures w14:val="none"/>
              </w:rPr>
              <w:t>分</w:t>
            </w:r>
          </w:p>
        </w:tc>
        <w:tc>
          <w:tcPr>
            <w:tcW w:w="5978" w:type="dxa"/>
            <w:vAlign w:val="center"/>
          </w:tcPr>
          <w:p w14:paraId="15DF1D0E">
            <w:pPr>
              <w:spacing w:after="0" w:line="240" w:lineRule="auto"/>
              <w:jc w:val="center"/>
              <w:rPr>
                <w:rFonts w:hint="eastAsia" w:ascii="宋体" w:hAnsi="宋体" w:eastAsia="宋体" w:cs="宋体"/>
                <w:bCs/>
                <w:sz w:val="21"/>
                <w:szCs w:val="21"/>
                <w14:ligatures w14:val="none"/>
              </w:rPr>
            </w:pPr>
          </w:p>
        </w:tc>
      </w:tr>
    </w:tbl>
    <w:p w14:paraId="2D7797E9">
      <w:pPr>
        <w:spacing w:after="0" w:line="312" w:lineRule="auto"/>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注：1、各分项得分为各评委打分算术平均值，评委打分平均值保留两位小数，第三位四舍五入。</w:t>
      </w:r>
    </w:p>
    <w:p w14:paraId="600B9B23">
      <w:pPr>
        <w:spacing w:after="0" w:line="312" w:lineRule="auto"/>
        <w:ind w:firstLine="420" w:firstLineChars="200"/>
        <w:jc w:val="both"/>
        <w:rPr>
          <w:rFonts w:hint="eastAsia" w:ascii="宋体" w:hAnsi="宋体" w:eastAsia="宋体" w:cs="Times New Roman"/>
          <w:sz w:val="20"/>
          <w:szCs w:val="20"/>
          <w14:ligatures w14:val="none"/>
        </w:rPr>
      </w:pPr>
      <w:r>
        <w:rPr>
          <w:rFonts w:hint="eastAsia" w:ascii="宋体" w:hAnsi="宋体" w:eastAsia="宋体" w:cs="Times New Roman"/>
          <w:sz w:val="21"/>
          <w:szCs w:val="21"/>
          <w14:ligatures w14:val="none"/>
        </w:rPr>
        <w:t>2、服务方案缺项则该项得0分。</w:t>
      </w:r>
    </w:p>
    <w:bookmarkEnd w:id="0"/>
    <w:p w14:paraId="094B9F2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05EE5"/>
    <w:multiLevelType w:val="multilevel"/>
    <w:tmpl w:val="36F05EE5"/>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7E"/>
    <w:rsid w:val="001F7021"/>
    <w:rsid w:val="003D507E"/>
    <w:rsid w:val="00AC4F8E"/>
    <w:rsid w:val="00B62286"/>
    <w:rsid w:val="1AA85DA0"/>
    <w:rsid w:val="7329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3269</Words>
  <Characters>3512</Characters>
  <Lines>39</Lines>
  <Paragraphs>11</Paragraphs>
  <TotalTime>0</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2025-07-30T02:15:00Z</dcterms:created>
  <dc:creator>office</dc:creator>
  <cp:lastModifiedBy>左建</cp:lastModifiedBy>
  <dcterms:modified xsi:type="dcterms:W3CDTF">2025-07-30T02:26:46Z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eyJoZGlkIjoiMTdlNDYyNTVmMGUwYWU1ZDdiZTI0NGQyZTdjNjQxYzkiLCJ1c2VySWQiOiIxNjkyNDc3NjE0In0=</vt:lpwstr>
  </property>
  <property fmtid="{D5CDD505-2E9C-101B-9397-08002B2CF9AE}" pid="3" name="KSOProductBuildVer">
    <vt:lpwstr>2052-12.1.0.20305</vt:lpwstr>
  </property>
  <property fmtid="{D5CDD505-2E9C-101B-9397-08002B2CF9AE}" pid="4" name="ICV">
    <vt:lpwstr>27C5C0DADEAF4CC58C42C6BCE025813B_12</vt:lpwstr>
  </property>
</Properties>
</file>