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5041C">
      <w:pPr>
        <w:pStyle w:val="6"/>
        <w:rPr>
          <w:rFonts w:hint="eastAsia" w:ascii="Times New Roman" w:hAnsi="Times New Roman" w:eastAsia="宋体"/>
          <w:b/>
          <w:sz w:val="24"/>
          <w:szCs w:val="24"/>
        </w:rPr>
      </w:pPr>
      <w:r>
        <w:rPr>
          <w:rFonts w:hint="eastAsia" w:ascii="宋体" w:hAnsi="宋体"/>
          <w:b/>
          <w:sz w:val="24"/>
          <w:szCs w:val="24"/>
        </w:rPr>
        <w:t>附件</w:t>
      </w:r>
      <w:r>
        <w:rPr>
          <w:rFonts w:hint="eastAsia"/>
          <w:b/>
          <w:sz w:val="24"/>
          <w:szCs w:val="24"/>
        </w:rPr>
        <w:t>2</w:t>
      </w:r>
      <w:r>
        <w:rPr>
          <w:rFonts w:hint="eastAsia" w:ascii="宋体" w:hAnsi="宋体"/>
          <w:b/>
          <w:sz w:val="24"/>
          <w:szCs w:val="24"/>
        </w:rPr>
        <w:t>：评标办法</w:t>
      </w:r>
    </w:p>
    <w:p w14:paraId="4F3808B8">
      <w:pPr>
        <w:jc w:val="center"/>
        <w:rPr>
          <w:rFonts w:ascii="宋体" w:hAnsi="宋体"/>
          <w:b/>
          <w:sz w:val="24"/>
          <w:szCs w:val="24"/>
        </w:rPr>
      </w:pPr>
      <w:r>
        <w:rPr>
          <w:rFonts w:hint="eastAsia" w:ascii="宋体" w:hAnsi="宋体"/>
          <w:b/>
          <w:sz w:val="24"/>
          <w:szCs w:val="24"/>
        </w:rPr>
        <w:t xml:space="preserve"> </w:t>
      </w:r>
    </w:p>
    <w:p w14:paraId="4126F2D6">
      <w:pPr>
        <w:jc w:val="center"/>
        <w:rPr>
          <w:rFonts w:hint="eastAsia"/>
          <w:b/>
          <w:sz w:val="24"/>
          <w:szCs w:val="24"/>
        </w:rPr>
      </w:pPr>
      <w:r>
        <w:rPr>
          <w:rFonts w:hint="eastAsia" w:ascii="宋体" w:hAnsi="宋体"/>
          <w:b/>
          <w:sz w:val="24"/>
          <w:szCs w:val="24"/>
        </w:rPr>
        <w:t>评标办法（综合评估法）</w:t>
      </w:r>
    </w:p>
    <w:p w14:paraId="401BFABB">
      <w:pPr>
        <w:autoSpaceDE w:val="0"/>
        <w:autoSpaceDN w:val="0"/>
        <w:adjustRightInd w:val="0"/>
        <w:snapToGrid w:val="0"/>
        <w:spacing w:line="360" w:lineRule="auto"/>
        <w:ind w:left="119" w:right="113"/>
        <w:jc w:val="left"/>
        <w:rPr>
          <w:rFonts w:ascii="宋体" w:hAnsi="宋体"/>
        </w:rPr>
      </w:pPr>
      <w:r>
        <w:rPr>
          <w:rFonts w:hint="eastAsia" w:ascii="宋体" w:hAnsi="宋体"/>
        </w:rPr>
        <w:t>评标办法前附表</w:t>
      </w:r>
    </w:p>
    <w:tbl>
      <w:tblPr>
        <w:tblStyle w:val="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31"/>
        <w:gridCol w:w="7474"/>
      </w:tblGrid>
      <w:tr w14:paraId="2CA6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3573931">
            <w:pPr>
              <w:jc w:val="center"/>
              <w:rPr>
                <w:rFonts w:ascii="宋体" w:hAnsi="宋体"/>
              </w:rPr>
            </w:pPr>
            <w:r>
              <w:rPr>
                <w:rFonts w:hint="eastAsia" w:ascii="宋体" w:hAnsi="宋体"/>
              </w:rPr>
              <w:t>条款号</w:t>
            </w:r>
          </w:p>
        </w:tc>
        <w:tc>
          <w:tcPr>
            <w:tcW w:w="1231" w:type="dxa"/>
            <w:tcBorders>
              <w:top w:val="single" w:color="auto" w:sz="4" w:space="0"/>
              <w:left w:val="single" w:color="auto" w:sz="4" w:space="0"/>
              <w:bottom w:val="single" w:color="auto" w:sz="4" w:space="0"/>
              <w:right w:val="single" w:color="auto" w:sz="4" w:space="0"/>
            </w:tcBorders>
            <w:vAlign w:val="center"/>
          </w:tcPr>
          <w:p w14:paraId="1179C498">
            <w:pPr>
              <w:jc w:val="center"/>
              <w:rPr>
                <w:rFonts w:ascii="宋体" w:hAnsi="宋体"/>
              </w:rPr>
            </w:pPr>
            <w:r>
              <w:rPr>
                <w:rFonts w:hint="eastAsia" w:ascii="宋体" w:hAnsi="宋体"/>
              </w:rPr>
              <w:t>条款名称</w:t>
            </w:r>
          </w:p>
        </w:tc>
        <w:tc>
          <w:tcPr>
            <w:tcW w:w="7474" w:type="dxa"/>
            <w:tcBorders>
              <w:top w:val="single" w:color="auto" w:sz="4" w:space="0"/>
              <w:left w:val="single" w:color="auto" w:sz="4" w:space="0"/>
              <w:bottom w:val="single" w:color="auto" w:sz="4" w:space="0"/>
              <w:right w:val="single" w:color="auto" w:sz="4" w:space="0"/>
            </w:tcBorders>
            <w:vAlign w:val="center"/>
          </w:tcPr>
          <w:p w14:paraId="2B683677">
            <w:pPr>
              <w:jc w:val="center"/>
              <w:rPr>
                <w:rFonts w:ascii="宋体" w:hAnsi="宋体"/>
              </w:rPr>
            </w:pPr>
            <w:r>
              <w:rPr>
                <w:rFonts w:hint="eastAsia" w:ascii="宋体" w:hAnsi="宋体"/>
              </w:rPr>
              <w:t>评审因素与评审标准</w:t>
            </w:r>
          </w:p>
        </w:tc>
      </w:tr>
      <w:tr w14:paraId="59B0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5688EEF">
            <w:pPr>
              <w:jc w:val="center"/>
              <w:rPr>
                <w:rFonts w:ascii="宋体" w:hAnsi="宋体"/>
              </w:rPr>
            </w:pPr>
            <w:r>
              <w:rPr>
                <w:rFonts w:hint="eastAsia" w:ascii="宋体" w:hAnsi="宋体"/>
              </w:rPr>
              <w:t>1</w:t>
            </w:r>
          </w:p>
        </w:tc>
        <w:tc>
          <w:tcPr>
            <w:tcW w:w="1231" w:type="dxa"/>
            <w:tcBorders>
              <w:top w:val="single" w:color="auto" w:sz="4" w:space="0"/>
              <w:left w:val="single" w:color="auto" w:sz="4" w:space="0"/>
              <w:bottom w:val="single" w:color="auto" w:sz="4" w:space="0"/>
              <w:right w:val="single" w:color="auto" w:sz="4" w:space="0"/>
            </w:tcBorders>
            <w:vAlign w:val="center"/>
          </w:tcPr>
          <w:p w14:paraId="72A5B3A7">
            <w:pPr>
              <w:jc w:val="center"/>
              <w:rPr>
                <w:rFonts w:ascii="宋体" w:hAnsi="宋体"/>
              </w:rPr>
            </w:pPr>
            <w:r>
              <w:rPr>
                <w:rFonts w:hint="eastAsia" w:ascii="宋体" w:hAnsi="宋体"/>
              </w:rPr>
              <w:t>评标办法</w:t>
            </w:r>
          </w:p>
        </w:tc>
        <w:tc>
          <w:tcPr>
            <w:tcW w:w="7474" w:type="dxa"/>
            <w:tcBorders>
              <w:top w:val="single" w:color="auto" w:sz="4" w:space="0"/>
              <w:left w:val="single" w:color="auto" w:sz="4" w:space="0"/>
              <w:bottom w:val="single" w:color="auto" w:sz="4" w:space="0"/>
              <w:right w:val="single" w:color="auto" w:sz="4" w:space="0"/>
            </w:tcBorders>
            <w:vAlign w:val="center"/>
          </w:tcPr>
          <w:p w14:paraId="137589F9">
            <w:pPr>
              <w:spacing w:line="288" w:lineRule="auto"/>
              <w:ind w:left="-3" w:leftChars="-2" w:hanging="1"/>
              <w:jc w:val="left"/>
              <w:rPr>
                <w:rFonts w:ascii="宋体" w:hAnsi="宋体"/>
                <w:spacing w:val="-4"/>
              </w:rPr>
            </w:pPr>
            <w:r>
              <w:rPr>
                <w:rFonts w:hint="eastAsia" w:ascii="宋体" w:hAnsi="宋体"/>
              </w:rPr>
              <w:t>本次评标采用综合评估法，双信封形式。评标委员会对满足招标文件实质性要求的投标文件，按照本章第2.2款规定的评分标准进行打分，并按综合评分由高到低顺序推荐1-3名中标候选人。当</w:t>
            </w:r>
            <w:r>
              <w:rPr>
                <w:rFonts w:hint="eastAsia" w:ascii="宋体" w:hAnsi="宋体"/>
                <w:spacing w:val="-4"/>
              </w:rPr>
              <w:t>综合评分相等时，评标委员会依次按照以下优先顺序推荐中标候选人：</w:t>
            </w:r>
          </w:p>
          <w:p w14:paraId="025E194E">
            <w:pPr>
              <w:spacing w:line="288" w:lineRule="auto"/>
              <w:jc w:val="left"/>
              <w:rPr>
                <w:rFonts w:hint="eastAsia" w:ascii="宋体" w:hAnsi="宋体"/>
                <w:spacing w:val="-4"/>
              </w:rPr>
            </w:pPr>
            <w:r>
              <w:rPr>
                <w:rFonts w:hint="eastAsia" w:ascii="宋体" w:hAnsi="宋体"/>
                <w:spacing w:val="-4"/>
              </w:rPr>
              <w:t>（1）评标价低的投标人优先；</w:t>
            </w:r>
          </w:p>
          <w:p w14:paraId="59CF279F">
            <w:pPr>
              <w:spacing w:line="288" w:lineRule="auto"/>
              <w:jc w:val="left"/>
              <w:rPr>
                <w:rFonts w:hint="eastAsia" w:ascii="宋体" w:hAnsi="宋体"/>
                <w:spacing w:val="-4"/>
              </w:rPr>
            </w:pPr>
            <w:r>
              <w:rPr>
                <w:rFonts w:hint="eastAsia" w:ascii="宋体" w:hAnsi="宋体"/>
                <w:spacing w:val="-4"/>
              </w:rPr>
              <w:t>（2）</w:t>
            </w:r>
            <w:r>
              <w:rPr>
                <w:rFonts w:hint="eastAsia" w:ascii="宋体" w:hAnsi="宋体" w:cs="宋?"/>
                <w:kern w:val="0"/>
              </w:rPr>
              <w:t>实施方案得分</w:t>
            </w:r>
            <w:r>
              <w:rPr>
                <w:rFonts w:hint="eastAsia" w:ascii="宋体" w:hAnsi="宋体"/>
                <w:spacing w:val="-4"/>
              </w:rPr>
              <w:t>较高的投标人优先；</w:t>
            </w:r>
          </w:p>
          <w:p w14:paraId="05E7D7E2">
            <w:pPr>
              <w:spacing w:line="288" w:lineRule="auto"/>
              <w:jc w:val="left"/>
              <w:rPr>
                <w:rFonts w:ascii="宋体" w:hAnsi="宋体"/>
                <w:spacing w:val="-4"/>
              </w:rPr>
            </w:pPr>
            <w:r>
              <w:rPr>
                <w:rFonts w:hint="eastAsia" w:ascii="宋体" w:hAnsi="宋体"/>
                <w:spacing w:val="-4"/>
              </w:rPr>
              <w:t>（3）满足资格审查条件(业绩最低要求)的业绩累计金额高的优先。</w:t>
            </w:r>
          </w:p>
        </w:tc>
      </w:tr>
      <w:tr w14:paraId="7717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BFF9FC8">
            <w:pPr>
              <w:spacing w:line="264" w:lineRule="auto"/>
              <w:jc w:val="center"/>
              <w:rPr>
                <w:rFonts w:ascii="宋体" w:hAnsi="宋体"/>
              </w:rPr>
            </w:pPr>
            <w:r>
              <w:rPr>
                <w:rFonts w:hint="eastAsia" w:ascii="宋体" w:hAnsi="宋体"/>
              </w:rPr>
              <w:t>2.1.1</w:t>
            </w:r>
          </w:p>
          <w:p w14:paraId="3BF17759">
            <w:pPr>
              <w:spacing w:line="264" w:lineRule="auto"/>
              <w:jc w:val="center"/>
              <w:rPr>
                <w:rFonts w:ascii="宋体" w:hAnsi="宋体"/>
              </w:rPr>
            </w:pPr>
            <w:r>
              <w:rPr>
                <w:rFonts w:hint="eastAsia" w:ascii="宋体" w:hAnsi="宋体"/>
              </w:rPr>
              <w:t>2.1.3</w:t>
            </w:r>
          </w:p>
        </w:tc>
        <w:tc>
          <w:tcPr>
            <w:tcW w:w="1231" w:type="dxa"/>
            <w:tcBorders>
              <w:top w:val="single" w:color="auto" w:sz="4" w:space="0"/>
              <w:left w:val="single" w:color="auto" w:sz="4" w:space="0"/>
              <w:bottom w:val="single" w:color="auto" w:sz="4" w:space="0"/>
              <w:right w:val="single" w:color="auto" w:sz="4" w:space="0"/>
            </w:tcBorders>
            <w:vAlign w:val="center"/>
          </w:tcPr>
          <w:p w14:paraId="22D6F003">
            <w:pPr>
              <w:spacing w:line="264" w:lineRule="auto"/>
              <w:jc w:val="center"/>
              <w:rPr>
                <w:rFonts w:ascii="宋体" w:hAnsi="宋体"/>
              </w:rPr>
            </w:pPr>
            <w:r>
              <w:rPr>
                <w:rFonts w:hint="eastAsia" w:ascii="宋体" w:hAnsi="宋体"/>
              </w:rPr>
              <w:t>形式评审与响应性评审标准</w:t>
            </w:r>
          </w:p>
        </w:tc>
        <w:tc>
          <w:tcPr>
            <w:tcW w:w="7474" w:type="dxa"/>
            <w:tcBorders>
              <w:top w:val="single" w:color="auto" w:sz="4" w:space="0"/>
              <w:left w:val="single" w:color="auto" w:sz="4" w:space="0"/>
              <w:bottom w:val="single" w:color="auto" w:sz="4" w:space="0"/>
              <w:right w:val="single" w:color="auto" w:sz="4" w:space="0"/>
            </w:tcBorders>
          </w:tcPr>
          <w:p w14:paraId="09EFB55F">
            <w:pPr>
              <w:spacing w:line="320" w:lineRule="exact"/>
              <w:rPr>
                <w:rFonts w:ascii="宋体" w:hAnsi="宋体"/>
                <w:b/>
              </w:rPr>
            </w:pPr>
            <w:r>
              <w:rPr>
                <w:rFonts w:hint="eastAsia" w:ascii="宋体" w:hAnsi="宋体"/>
                <w:b/>
              </w:rPr>
              <w:t>第一个信封（商务及技术文件）评审标准：</w:t>
            </w:r>
          </w:p>
          <w:p w14:paraId="7B935BD8">
            <w:pPr>
              <w:spacing w:line="360" w:lineRule="exact"/>
              <w:rPr>
                <w:rFonts w:hint="eastAsia" w:ascii="宋体" w:hAnsi="宋体"/>
              </w:rPr>
            </w:pPr>
            <w:r>
              <w:rPr>
                <w:rFonts w:hint="eastAsia" w:ascii="宋体" w:hAnsi="宋体"/>
              </w:rPr>
              <w:t>（1）投标文件按照招标文件规定的格式、内容填写，字迹清晰可辨；</w:t>
            </w:r>
          </w:p>
          <w:p w14:paraId="528E59C7">
            <w:pPr>
              <w:spacing w:line="360" w:lineRule="exact"/>
              <w:ind w:firstLine="231" w:firstLineChars="110"/>
              <w:rPr>
                <w:rFonts w:hint="eastAsia" w:ascii="宋体" w:hAnsi="宋体"/>
              </w:rPr>
            </w:pPr>
            <w:r>
              <w:rPr>
                <w:rFonts w:hint="eastAsia" w:ascii="宋体" w:hAnsi="宋体"/>
              </w:rPr>
              <w:t>a.投标函按招标文件规定填报了项目名称、补遗书编号（如有）、质量要求、安全目标、服务期限；</w:t>
            </w:r>
          </w:p>
          <w:p w14:paraId="7F643633">
            <w:pPr>
              <w:spacing w:line="360" w:lineRule="exact"/>
              <w:ind w:firstLine="210" w:firstLineChars="100"/>
              <w:rPr>
                <w:rFonts w:hint="eastAsia" w:ascii="宋体" w:hAnsi="宋体"/>
              </w:rPr>
            </w:pPr>
            <w:r>
              <w:rPr>
                <w:rFonts w:hint="eastAsia" w:ascii="宋体" w:hAnsi="宋体"/>
              </w:rPr>
              <w:t>b.投标文件组成齐全完整、内容均按规定填写。</w:t>
            </w:r>
          </w:p>
          <w:p w14:paraId="58AA660A">
            <w:pPr>
              <w:spacing w:line="360" w:lineRule="exact"/>
              <w:rPr>
                <w:rFonts w:hint="eastAsia" w:ascii="宋体" w:hAnsi="宋体"/>
              </w:rPr>
            </w:pPr>
            <w:r>
              <w:rPr>
                <w:rFonts w:hint="eastAsia" w:ascii="宋体" w:hAnsi="宋体"/>
              </w:rPr>
              <w:t>（2）投标文件上法定代表人或其授权代理人签字、投标人的单位章齐全，符合招标文件规定；</w:t>
            </w:r>
          </w:p>
          <w:p w14:paraId="0F95F900">
            <w:pPr>
              <w:spacing w:line="360" w:lineRule="exact"/>
              <w:rPr>
                <w:rFonts w:hint="eastAsia" w:ascii="宋体" w:hAnsi="宋体"/>
              </w:rPr>
            </w:pPr>
            <w:r>
              <w:rPr>
                <w:rFonts w:hint="eastAsia" w:ascii="宋体" w:hAnsi="宋体"/>
              </w:rPr>
              <w:t>（3）投标人按照招标文件的规定提供了投标保证金，并符合投标人须知前附表3.4.1项的相关规定。</w:t>
            </w:r>
          </w:p>
          <w:p w14:paraId="4764864D">
            <w:pPr>
              <w:spacing w:line="360" w:lineRule="exact"/>
              <w:rPr>
                <w:rFonts w:hint="eastAsia" w:ascii="宋体" w:hAnsi="宋体"/>
              </w:rPr>
            </w:pPr>
            <w:r>
              <w:rPr>
                <w:rFonts w:hint="eastAsia" w:ascii="宋体" w:hAnsi="宋体"/>
              </w:rPr>
              <w:t>（4）投标人法定代表人授权委托代理人签署投标文件的，须提交授权委托书，授权委托书符合招标文件规定。</w:t>
            </w:r>
          </w:p>
          <w:p w14:paraId="73930B19">
            <w:pPr>
              <w:spacing w:line="320" w:lineRule="exact"/>
              <w:rPr>
                <w:rFonts w:hint="eastAsia" w:ascii="宋体" w:hAnsi="宋体"/>
              </w:rPr>
            </w:pPr>
            <w:r>
              <w:rPr>
                <w:rFonts w:hint="eastAsia" w:ascii="宋体" w:hAnsi="宋体"/>
              </w:rPr>
              <w:t>（5）投标人法定代表人亲自签署投标文件的，提供了法定代表人身份证明，并符合招标文件的规定。</w:t>
            </w:r>
          </w:p>
          <w:p w14:paraId="2CBB6734">
            <w:pPr>
              <w:spacing w:line="320" w:lineRule="exact"/>
              <w:rPr>
                <w:rFonts w:hint="eastAsia" w:ascii="宋体" w:hAnsi="宋体"/>
              </w:rPr>
            </w:pPr>
            <w:r>
              <w:rPr>
                <w:rFonts w:hint="eastAsia" w:ascii="宋体" w:hAnsi="宋体"/>
              </w:rPr>
              <w:t xml:space="preserve">（6）投标人未以联合体形式投标。 </w:t>
            </w:r>
          </w:p>
          <w:p w14:paraId="6EEDE741">
            <w:pPr>
              <w:spacing w:line="360" w:lineRule="exact"/>
              <w:rPr>
                <w:rFonts w:hint="eastAsia" w:ascii="宋体" w:hAnsi="宋体"/>
              </w:rPr>
            </w:pPr>
            <w:r>
              <w:rPr>
                <w:rFonts w:hint="eastAsia" w:ascii="宋体" w:hAnsi="宋体"/>
              </w:rPr>
              <w:t xml:space="preserve">（7）投标人未提出分包计划。 </w:t>
            </w:r>
          </w:p>
          <w:p w14:paraId="046AB559">
            <w:pPr>
              <w:spacing w:line="360" w:lineRule="exact"/>
              <w:rPr>
                <w:rFonts w:hint="eastAsia" w:ascii="宋体" w:hAnsi="宋体"/>
              </w:rPr>
            </w:pPr>
            <w:r>
              <w:rPr>
                <w:rFonts w:hint="eastAsia" w:ascii="宋体" w:hAnsi="宋体"/>
              </w:rPr>
              <w:t>（8）同一投标人未提交两个以上不同的投标文件。</w:t>
            </w:r>
          </w:p>
          <w:p w14:paraId="71D46007">
            <w:pPr>
              <w:spacing w:line="360" w:lineRule="exact"/>
              <w:rPr>
                <w:rFonts w:hint="eastAsia" w:ascii="宋体" w:hAnsi="宋体"/>
              </w:rPr>
            </w:pPr>
            <w:r>
              <w:rPr>
                <w:rFonts w:hint="eastAsia" w:ascii="宋体" w:hAnsi="宋体"/>
              </w:rPr>
              <w:t xml:space="preserve">（9）投标文件中未出现有关投标报价的内容。 </w:t>
            </w:r>
          </w:p>
          <w:p w14:paraId="278B67D0">
            <w:pPr>
              <w:spacing w:line="360" w:lineRule="exact"/>
              <w:rPr>
                <w:rFonts w:hint="eastAsia" w:ascii="宋体" w:hAnsi="宋体"/>
              </w:rPr>
            </w:pPr>
            <w:r>
              <w:rPr>
                <w:rFonts w:hint="eastAsia" w:ascii="宋体" w:hAnsi="宋体"/>
              </w:rPr>
              <w:t xml:space="preserve">（10）投标文件载明的招标项目完成期限未超过招标文件规定。 </w:t>
            </w:r>
          </w:p>
          <w:p w14:paraId="7A253CE3">
            <w:pPr>
              <w:spacing w:line="360" w:lineRule="exact"/>
              <w:rPr>
                <w:rFonts w:hint="eastAsia" w:ascii="宋体" w:hAnsi="宋体"/>
              </w:rPr>
            </w:pPr>
            <w:r>
              <w:rPr>
                <w:rFonts w:hint="eastAsia" w:ascii="宋体" w:hAnsi="宋体"/>
              </w:rPr>
              <w:t xml:space="preserve">（11）投标文件对招标文件的实质性要求和条件作出响应。 </w:t>
            </w:r>
          </w:p>
          <w:p w14:paraId="63B348B5">
            <w:pPr>
              <w:spacing w:line="360" w:lineRule="exact"/>
              <w:rPr>
                <w:rFonts w:hint="eastAsia" w:ascii="宋体" w:hAnsi="宋体"/>
              </w:rPr>
            </w:pPr>
            <w:r>
              <w:rPr>
                <w:rFonts w:hint="eastAsia" w:ascii="宋体" w:hAnsi="宋体"/>
              </w:rPr>
              <w:t>（12）权利义务符合招标文件规定：</w:t>
            </w:r>
          </w:p>
          <w:p w14:paraId="06E02432">
            <w:pPr>
              <w:spacing w:line="360" w:lineRule="exact"/>
              <w:rPr>
                <w:rFonts w:hint="eastAsia" w:ascii="宋体" w:hAnsi="宋体"/>
              </w:rPr>
            </w:pPr>
            <w:r>
              <w:rPr>
                <w:rFonts w:hint="eastAsia" w:ascii="宋体" w:hAnsi="宋体"/>
              </w:rPr>
              <w:t>a.投标人应接受招标文件规定的风险划分原则，未提出新的风险划分办法；</w:t>
            </w:r>
          </w:p>
          <w:p w14:paraId="4ED2C531">
            <w:pPr>
              <w:spacing w:line="360" w:lineRule="exact"/>
              <w:rPr>
                <w:rFonts w:hint="eastAsia" w:ascii="宋体" w:hAnsi="宋体"/>
              </w:rPr>
            </w:pPr>
            <w:r>
              <w:rPr>
                <w:rFonts w:hint="eastAsia" w:ascii="宋体" w:hAnsi="宋体"/>
              </w:rPr>
              <w:t xml:space="preserve">b.投标人未增加发包人的责任范围，或减少投标人义务； </w:t>
            </w:r>
          </w:p>
          <w:p w14:paraId="0085EE31">
            <w:pPr>
              <w:spacing w:line="360" w:lineRule="exact"/>
              <w:rPr>
                <w:rFonts w:hint="eastAsia" w:ascii="宋体" w:hAnsi="宋体"/>
              </w:rPr>
            </w:pPr>
            <w:r>
              <w:rPr>
                <w:rFonts w:hint="eastAsia" w:ascii="宋体" w:hAnsi="宋体"/>
              </w:rPr>
              <w:t xml:space="preserve">c.投标人未提出不同的支付办法； </w:t>
            </w:r>
          </w:p>
          <w:p w14:paraId="09849E05">
            <w:pPr>
              <w:spacing w:line="360" w:lineRule="exact"/>
              <w:rPr>
                <w:rFonts w:hint="eastAsia" w:ascii="宋体" w:hAnsi="宋体"/>
              </w:rPr>
            </w:pPr>
            <w:r>
              <w:rPr>
                <w:rFonts w:hint="eastAsia" w:ascii="宋体" w:hAnsi="宋体"/>
              </w:rPr>
              <w:t>d.投标人对合同纠纷、事故处理办法未提出异议；</w:t>
            </w:r>
          </w:p>
          <w:p w14:paraId="799D2454">
            <w:pPr>
              <w:spacing w:line="360" w:lineRule="exact"/>
              <w:rPr>
                <w:rFonts w:hint="eastAsia" w:ascii="宋体" w:hAnsi="宋体"/>
              </w:rPr>
            </w:pPr>
            <w:r>
              <w:rPr>
                <w:rFonts w:hint="eastAsia" w:ascii="宋体" w:hAnsi="宋体"/>
              </w:rPr>
              <w:t>e.投标人在投标活动中无欺诈行为；</w:t>
            </w:r>
          </w:p>
          <w:p w14:paraId="4F231E3C">
            <w:pPr>
              <w:spacing w:line="360" w:lineRule="exact"/>
              <w:rPr>
                <w:rFonts w:hint="eastAsia" w:ascii="宋体" w:hAnsi="宋体"/>
              </w:rPr>
            </w:pPr>
            <w:r>
              <w:rPr>
                <w:rFonts w:hint="eastAsia" w:ascii="宋体" w:hAnsi="宋体"/>
              </w:rPr>
              <w:t>f.投标人未对合同条款有重要保留。</w:t>
            </w:r>
          </w:p>
          <w:p w14:paraId="711E26DE">
            <w:pPr>
              <w:spacing w:line="320" w:lineRule="exact"/>
              <w:rPr>
                <w:rFonts w:hint="eastAsia" w:ascii="宋体" w:hAnsi="宋体"/>
                <w:b/>
              </w:rPr>
            </w:pPr>
            <w:r>
              <w:rPr>
                <w:rFonts w:hint="eastAsia" w:ascii="宋体" w:hAnsi="宋体"/>
                <w:b/>
              </w:rPr>
              <w:t>第二个信封（报价文件）评审标准：</w:t>
            </w:r>
          </w:p>
          <w:p w14:paraId="1544E6DE">
            <w:pPr>
              <w:spacing w:line="360" w:lineRule="exact"/>
              <w:rPr>
                <w:rFonts w:hint="eastAsia" w:ascii="宋体" w:hAnsi="宋体"/>
              </w:rPr>
            </w:pPr>
            <w:r>
              <w:rPr>
                <w:rFonts w:hint="eastAsia" w:ascii="宋体" w:hAnsi="宋体"/>
              </w:rPr>
              <w:t>（1）投标文件按照招标文件规定的格式、内容填写，字迹清晰可辨，内容齐全完整：</w:t>
            </w:r>
          </w:p>
          <w:p w14:paraId="7613C5F3">
            <w:pPr>
              <w:spacing w:line="360" w:lineRule="exact"/>
              <w:ind w:firstLine="231" w:firstLineChars="110"/>
              <w:rPr>
                <w:rFonts w:hint="eastAsia" w:ascii="宋体" w:hAnsi="宋体"/>
              </w:rPr>
            </w:pPr>
            <w:r>
              <w:rPr>
                <w:rFonts w:hint="eastAsia" w:ascii="宋体" w:hAnsi="宋体"/>
              </w:rPr>
              <w:t>a.投标函按招标文件规定填报了项目名称、补遗书编号（如有）、投标价（包括大写金额和小写金额）；</w:t>
            </w:r>
          </w:p>
          <w:p w14:paraId="059748E8">
            <w:pPr>
              <w:spacing w:line="360" w:lineRule="exact"/>
              <w:ind w:firstLine="231" w:firstLineChars="110"/>
              <w:rPr>
                <w:rFonts w:hint="eastAsia" w:ascii="宋体" w:hAnsi="宋体"/>
              </w:rPr>
            </w:pPr>
            <w:r>
              <w:rPr>
                <w:rFonts w:hint="eastAsia" w:ascii="宋体" w:hAnsi="宋体"/>
              </w:rPr>
              <w:t>b.投标文件组成齐全完整，内容均按规定填写。</w:t>
            </w:r>
          </w:p>
          <w:p w14:paraId="4B17D50D">
            <w:pPr>
              <w:spacing w:line="360" w:lineRule="exact"/>
              <w:rPr>
                <w:rFonts w:hint="eastAsia" w:ascii="宋体" w:hAnsi="宋体"/>
              </w:rPr>
            </w:pPr>
            <w:r>
              <w:rPr>
                <w:rFonts w:hint="eastAsia" w:ascii="宋体" w:hAnsi="宋体"/>
              </w:rPr>
              <w:t>（2）投标文件上法定代表人或其委托代理人签字、投标人的单位章齐全，符合招标文件规定；</w:t>
            </w:r>
          </w:p>
          <w:p w14:paraId="1F40E977">
            <w:pPr>
              <w:spacing w:line="320" w:lineRule="exact"/>
              <w:rPr>
                <w:rFonts w:hint="eastAsia" w:ascii="宋体" w:hAnsi="宋体"/>
              </w:rPr>
            </w:pPr>
            <w:r>
              <w:rPr>
                <w:rFonts w:hint="eastAsia" w:ascii="宋体" w:hAnsi="宋体"/>
              </w:rPr>
              <w:t>（3）投标报价未超过招标文件设定的最高投标限价。</w:t>
            </w:r>
          </w:p>
          <w:p w14:paraId="0B899213">
            <w:pPr>
              <w:spacing w:line="320" w:lineRule="exact"/>
              <w:rPr>
                <w:rFonts w:hint="eastAsia" w:ascii="宋体" w:hAnsi="宋体"/>
              </w:rPr>
            </w:pPr>
            <w:r>
              <w:rPr>
                <w:rFonts w:hint="eastAsia" w:ascii="宋体" w:hAnsi="宋体"/>
              </w:rPr>
              <w:t>（4）投标报价的大写金额能够确定具体数值。</w:t>
            </w:r>
          </w:p>
          <w:p w14:paraId="074E3400">
            <w:pPr>
              <w:spacing w:line="320" w:lineRule="exact"/>
              <w:rPr>
                <w:rFonts w:hint="eastAsia" w:ascii="宋体" w:hAnsi="宋体"/>
              </w:rPr>
            </w:pPr>
            <w:r>
              <w:rPr>
                <w:rFonts w:hint="eastAsia" w:ascii="宋体" w:hAnsi="宋体"/>
              </w:rPr>
              <w:t>（5）同一投标人未提交两个以上不同的投标报价。</w:t>
            </w:r>
          </w:p>
          <w:p w14:paraId="6D499001">
            <w:pPr>
              <w:spacing w:line="320" w:lineRule="exact"/>
              <w:rPr>
                <w:rFonts w:ascii="宋体" w:hAnsi="宋体"/>
              </w:rPr>
            </w:pPr>
            <w:r>
              <w:rPr>
                <w:rFonts w:hint="eastAsia" w:ascii="宋体" w:hAnsi="宋体"/>
              </w:rPr>
              <w:t>（6）报价清单中总报价和投标函大写金额报价一致。</w:t>
            </w:r>
          </w:p>
        </w:tc>
      </w:tr>
      <w:tr w14:paraId="615D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B202C50">
            <w:pPr>
              <w:jc w:val="center"/>
              <w:rPr>
                <w:rFonts w:ascii="宋体" w:hAnsi="宋体"/>
              </w:rPr>
            </w:pPr>
            <w:r>
              <w:rPr>
                <w:rFonts w:hint="eastAsia" w:ascii="宋体" w:hAnsi="宋体"/>
              </w:rPr>
              <w:t>2.1.2</w:t>
            </w:r>
          </w:p>
        </w:tc>
        <w:tc>
          <w:tcPr>
            <w:tcW w:w="1231" w:type="dxa"/>
            <w:tcBorders>
              <w:top w:val="single" w:color="auto" w:sz="4" w:space="0"/>
              <w:left w:val="single" w:color="auto" w:sz="4" w:space="0"/>
              <w:bottom w:val="single" w:color="auto" w:sz="4" w:space="0"/>
              <w:right w:val="single" w:color="auto" w:sz="4" w:space="0"/>
            </w:tcBorders>
            <w:vAlign w:val="center"/>
          </w:tcPr>
          <w:p w14:paraId="6C358C4E">
            <w:pPr>
              <w:jc w:val="center"/>
              <w:rPr>
                <w:rFonts w:ascii="宋体" w:hAnsi="宋体"/>
              </w:rPr>
            </w:pPr>
            <w:r>
              <w:rPr>
                <w:rFonts w:hint="eastAsia" w:ascii="宋体" w:hAnsi="宋体"/>
              </w:rPr>
              <w:t>资格评审标准</w:t>
            </w:r>
          </w:p>
        </w:tc>
        <w:tc>
          <w:tcPr>
            <w:tcW w:w="7474" w:type="dxa"/>
            <w:tcBorders>
              <w:top w:val="single" w:color="auto" w:sz="4" w:space="0"/>
              <w:left w:val="single" w:color="auto" w:sz="4" w:space="0"/>
              <w:bottom w:val="single" w:color="auto" w:sz="4" w:space="0"/>
              <w:right w:val="single" w:color="auto" w:sz="4" w:space="0"/>
            </w:tcBorders>
          </w:tcPr>
          <w:p w14:paraId="2C1DCF61">
            <w:pPr>
              <w:spacing w:line="360" w:lineRule="exact"/>
              <w:rPr>
                <w:rFonts w:ascii="宋体" w:hAnsi="宋体"/>
                <w:spacing w:val="-4"/>
              </w:rPr>
            </w:pPr>
            <w:r>
              <w:rPr>
                <w:rFonts w:hint="eastAsia" w:ascii="宋体" w:hAnsi="宋体"/>
              </w:rPr>
              <w:t>（</w:t>
            </w:r>
            <w:r>
              <w:rPr>
                <w:rFonts w:hint="eastAsia" w:ascii="宋体" w:hAnsi="宋体"/>
                <w:spacing w:val="-4"/>
              </w:rPr>
              <w:t>1）投标人具有有效的营业执照或事业单位法人证书、医疗机构执业许可证书、三级甲等及以上等级证书、基本账户开户许可证或基本存款账户信息。</w:t>
            </w:r>
          </w:p>
          <w:p w14:paraId="65B0CD3F">
            <w:pPr>
              <w:spacing w:line="360" w:lineRule="exact"/>
              <w:rPr>
                <w:rFonts w:hint="eastAsia" w:ascii="宋体" w:hAnsi="宋体"/>
                <w:spacing w:val="-4"/>
              </w:rPr>
            </w:pPr>
            <w:r>
              <w:rPr>
                <w:rFonts w:hint="eastAsia" w:ascii="宋体" w:hAnsi="宋体"/>
                <w:spacing w:val="-4"/>
              </w:rPr>
              <w:t>（2）投标人的资质等级符合招标文件规定；</w:t>
            </w:r>
          </w:p>
          <w:p w14:paraId="100F9D3D">
            <w:pPr>
              <w:spacing w:line="360" w:lineRule="exact"/>
              <w:rPr>
                <w:rFonts w:hint="eastAsia" w:ascii="宋体" w:hAnsi="宋体"/>
                <w:spacing w:val="-4"/>
              </w:rPr>
            </w:pPr>
            <w:r>
              <w:rPr>
                <w:rFonts w:hint="eastAsia" w:ascii="宋体" w:hAnsi="宋体"/>
                <w:spacing w:val="-4"/>
              </w:rPr>
              <w:t>（3）投标人的业绩符合招标文件规定；</w:t>
            </w:r>
          </w:p>
          <w:p w14:paraId="6FA84F2F">
            <w:pPr>
              <w:spacing w:line="360" w:lineRule="exact"/>
              <w:rPr>
                <w:rFonts w:hint="eastAsia" w:ascii="宋体" w:hAnsi="宋体"/>
                <w:spacing w:val="-4"/>
              </w:rPr>
            </w:pPr>
            <w:r>
              <w:rPr>
                <w:rFonts w:hint="eastAsia" w:ascii="宋体" w:hAnsi="宋体"/>
                <w:spacing w:val="-4"/>
              </w:rPr>
              <w:t xml:space="preserve">（4）投标人的信誉符合招标文件规定； </w:t>
            </w:r>
          </w:p>
          <w:p w14:paraId="42546F25">
            <w:pPr>
              <w:spacing w:line="360" w:lineRule="exact"/>
              <w:rPr>
                <w:rFonts w:ascii="宋体" w:hAnsi="宋体"/>
                <w:spacing w:val="-4"/>
              </w:rPr>
            </w:pPr>
            <w:r>
              <w:rPr>
                <w:rFonts w:hint="eastAsia" w:ascii="宋体" w:hAnsi="宋体"/>
                <w:spacing w:val="-4"/>
              </w:rPr>
              <w:t>（5）投标人不存在第二章“投标人须知”第1.4.3项或第1.4.4项规定的任何一种情形；</w:t>
            </w:r>
          </w:p>
        </w:tc>
      </w:tr>
      <w:tr w14:paraId="26CE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79B315A">
            <w:pPr>
              <w:jc w:val="center"/>
              <w:rPr>
                <w:rFonts w:ascii="宋体" w:hAnsi="宋体"/>
              </w:rPr>
            </w:pPr>
            <w:r>
              <w:rPr>
                <w:rFonts w:hint="eastAsia" w:ascii="宋体" w:hAnsi="宋体"/>
              </w:rPr>
              <w:t>2.2.1</w:t>
            </w:r>
          </w:p>
        </w:tc>
        <w:tc>
          <w:tcPr>
            <w:tcW w:w="1231" w:type="dxa"/>
            <w:tcBorders>
              <w:top w:val="single" w:color="auto" w:sz="4" w:space="0"/>
              <w:left w:val="single" w:color="auto" w:sz="4" w:space="0"/>
              <w:bottom w:val="single" w:color="auto" w:sz="4" w:space="0"/>
              <w:right w:val="single" w:color="auto" w:sz="4" w:space="0"/>
            </w:tcBorders>
            <w:vAlign w:val="center"/>
          </w:tcPr>
          <w:p w14:paraId="03906F3C">
            <w:pPr>
              <w:jc w:val="center"/>
              <w:rPr>
                <w:rFonts w:ascii="宋体" w:hAnsi="宋体"/>
              </w:rPr>
            </w:pPr>
            <w:r>
              <w:rPr>
                <w:rFonts w:hint="eastAsia" w:ascii="宋体" w:hAnsi="宋体"/>
              </w:rPr>
              <w:t>分值构成</w:t>
            </w:r>
          </w:p>
        </w:tc>
        <w:tc>
          <w:tcPr>
            <w:tcW w:w="7474" w:type="dxa"/>
            <w:tcBorders>
              <w:top w:val="single" w:color="auto" w:sz="4" w:space="0"/>
              <w:left w:val="single" w:color="auto" w:sz="4" w:space="0"/>
              <w:bottom w:val="single" w:color="auto" w:sz="4" w:space="0"/>
              <w:right w:val="single" w:color="auto" w:sz="4" w:space="0"/>
            </w:tcBorders>
            <w:vAlign w:val="center"/>
          </w:tcPr>
          <w:p w14:paraId="166613F2">
            <w:pPr>
              <w:autoSpaceDE w:val="0"/>
              <w:autoSpaceDN w:val="0"/>
              <w:adjustRightInd w:val="0"/>
              <w:ind w:left="107"/>
              <w:jc w:val="left"/>
              <w:rPr>
                <w:rFonts w:ascii="宋体" w:hAnsi="宋体"/>
                <w:b/>
                <w:kern w:val="0"/>
              </w:rPr>
            </w:pPr>
            <w:r>
              <w:rPr>
                <w:rFonts w:hint="eastAsia" w:ascii="宋体" w:hAnsi="宋体"/>
                <w:b/>
                <w:kern w:val="0"/>
              </w:rPr>
              <w:t>第一个信封 （商务及技术文件）评分分值构成：</w:t>
            </w:r>
          </w:p>
          <w:p w14:paraId="4FEC052E">
            <w:pPr>
              <w:autoSpaceDE w:val="0"/>
              <w:autoSpaceDN w:val="0"/>
              <w:adjustRightInd w:val="0"/>
              <w:ind w:left="107"/>
              <w:jc w:val="left"/>
              <w:rPr>
                <w:rFonts w:hint="eastAsia" w:ascii="宋体" w:hAnsi="宋体" w:cs="宋?"/>
                <w:kern w:val="0"/>
              </w:rPr>
            </w:pPr>
            <w:r>
              <w:rPr>
                <w:rFonts w:hint="eastAsia" w:ascii="宋体" w:hAnsi="宋体" w:cs="宋?"/>
                <w:kern w:val="0"/>
              </w:rPr>
              <w:t>实施方案：50分</w:t>
            </w:r>
          </w:p>
          <w:p w14:paraId="35C56284">
            <w:pPr>
              <w:autoSpaceDE w:val="0"/>
              <w:autoSpaceDN w:val="0"/>
              <w:adjustRightInd w:val="0"/>
              <w:ind w:left="107"/>
              <w:jc w:val="left"/>
              <w:rPr>
                <w:rFonts w:hint="eastAsia" w:ascii="宋体" w:hAnsi="宋体"/>
                <w:kern w:val="0"/>
              </w:rPr>
            </w:pPr>
            <w:r>
              <w:rPr>
                <w:rFonts w:hint="eastAsia" w:ascii="宋体" w:hAnsi="宋体"/>
                <w:kern w:val="0"/>
              </w:rPr>
              <w:t>其他因素：20分</w:t>
            </w:r>
          </w:p>
          <w:p w14:paraId="1960EAE8">
            <w:pPr>
              <w:autoSpaceDE w:val="0"/>
              <w:autoSpaceDN w:val="0"/>
              <w:adjustRightInd w:val="0"/>
              <w:ind w:left="107"/>
              <w:jc w:val="left"/>
              <w:rPr>
                <w:rFonts w:hint="eastAsia" w:ascii="宋体" w:hAnsi="宋体"/>
                <w:b/>
                <w:kern w:val="0"/>
              </w:rPr>
            </w:pPr>
            <w:r>
              <w:rPr>
                <w:rFonts w:hint="eastAsia" w:ascii="宋体" w:hAnsi="宋体"/>
                <w:b/>
                <w:kern w:val="0"/>
              </w:rPr>
              <w:t>第二个信封 （报价文件）评分分值构成：</w:t>
            </w:r>
          </w:p>
          <w:p w14:paraId="63403FDF">
            <w:pPr>
              <w:autoSpaceDE w:val="0"/>
              <w:autoSpaceDN w:val="0"/>
              <w:adjustRightInd w:val="0"/>
              <w:ind w:left="107"/>
              <w:jc w:val="left"/>
              <w:rPr>
                <w:rFonts w:ascii="宋体" w:hAnsi="宋体"/>
              </w:rPr>
            </w:pPr>
            <w:r>
              <w:rPr>
                <w:rFonts w:hint="eastAsia" w:ascii="宋体" w:hAnsi="宋体"/>
              </w:rPr>
              <w:t>评 标 价：30分</w:t>
            </w:r>
          </w:p>
        </w:tc>
      </w:tr>
      <w:tr w14:paraId="4BD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BE10F07">
            <w:pPr>
              <w:ind w:right="113"/>
              <w:jc w:val="center"/>
              <w:rPr>
                <w:rFonts w:ascii="宋体" w:hAnsi="宋体"/>
              </w:rPr>
            </w:pPr>
            <w:r>
              <w:rPr>
                <w:rFonts w:hint="eastAsia" w:ascii="宋体" w:hAnsi="宋体"/>
              </w:rPr>
              <w:t>2.2.2</w:t>
            </w:r>
          </w:p>
        </w:tc>
        <w:tc>
          <w:tcPr>
            <w:tcW w:w="1231" w:type="dxa"/>
            <w:tcBorders>
              <w:top w:val="single" w:color="auto" w:sz="4" w:space="0"/>
              <w:left w:val="single" w:color="auto" w:sz="4" w:space="0"/>
              <w:bottom w:val="single" w:color="auto" w:sz="4" w:space="0"/>
              <w:right w:val="single" w:color="auto" w:sz="4" w:space="0"/>
            </w:tcBorders>
            <w:vAlign w:val="center"/>
          </w:tcPr>
          <w:p w14:paraId="2170B317">
            <w:pPr>
              <w:ind w:left="2"/>
              <w:jc w:val="center"/>
              <w:rPr>
                <w:rFonts w:ascii="宋体" w:hAnsi="宋体"/>
              </w:rPr>
            </w:pPr>
            <w:r>
              <w:rPr>
                <w:rFonts w:hint="eastAsia" w:ascii="宋体" w:hAnsi="宋体"/>
              </w:rPr>
              <w:t>评标基准价计算方法</w:t>
            </w:r>
          </w:p>
        </w:tc>
        <w:tc>
          <w:tcPr>
            <w:tcW w:w="7474" w:type="dxa"/>
            <w:tcBorders>
              <w:top w:val="single" w:color="auto" w:sz="4" w:space="0"/>
              <w:left w:val="single" w:color="auto" w:sz="4" w:space="0"/>
              <w:bottom w:val="single" w:color="auto" w:sz="4" w:space="0"/>
              <w:right w:val="single" w:color="auto" w:sz="4" w:space="0"/>
            </w:tcBorders>
            <w:vAlign w:val="center"/>
          </w:tcPr>
          <w:p w14:paraId="3BD9EBA8">
            <w:pPr>
              <w:spacing w:line="340" w:lineRule="exact"/>
              <w:ind w:right="113"/>
              <w:rPr>
                <w:rFonts w:ascii="宋体" w:hAnsi="宋体"/>
              </w:rPr>
            </w:pPr>
            <w:r>
              <w:rPr>
                <w:rFonts w:hint="eastAsia" w:ascii="宋体" w:hAnsi="宋体"/>
              </w:rPr>
              <w:t>评标基准价的计算：</w:t>
            </w:r>
          </w:p>
          <w:p w14:paraId="60674957">
            <w:pPr>
              <w:spacing w:line="340" w:lineRule="exact"/>
              <w:ind w:left="113" w:right="113" w:firstLine="210" w:firstLineChars="100"/>
              <w:rPr>
                <w:rFonts w:hint="eastAsia" w:ascii="宋体" w:hAnsi="宋体"/>
              </w:rPr>
            </w:pPr>
            <w:r>
              <w:rPr>
                <w:rFonts w:hint="eastAsia" w:ascii="宋体" w:hAnsi="宋体"/>
              </w:rPr>
              <w:t>在开标现场，招标人将当场计算并宣布评标基准价。</w:t>
            </w:r>
          </w:p>
          <w:p w14:paraId="2E76A736">
            <w:pPr>
              <w:spacing w:line="340" w:lineRule="exact"/>
              <w:ind w:left="113" w:right="113" w:firstLine="210" w:firstLineChars="100"/>
              <w:rPr>
                <w:rFonts w:hint="eastAsia" w:ascii="宋体" w:hAnsi="宋体"/>
              </w:rPr>
            </w:pPr>
            <w:r>
              <w:rPr>
                <w:rFonts w:hint="eastAsia" w:ascii="宋体" w:hAnsi="宋体"/>
              </w:rPr>
              <w:t>（1）评标价的确定：</w:t>
            </w:r>
          </w:p>
          <w:p w14:paraId="2ECB1C85">
            <w:pPr>
              <w:spacing w:line="340" w:lineRule="exact"/>
              <w:ind w:left="113" w:right="113" w:firstLine="210" w:firstLineChars="100"/>
              <w:rPr>
                <w:rFonts w:hint="eastAsia" w:ascii="宋体" w:hAnsi="宋体"/>
              </w:rPr>
            </w:pPr>
            <w:r>
              <w:rPr>
                <w:rFonts w:hint="eastAsia" w:ascii="宋体" w:hAnsi="宋体"/>
              </w:rPr>
              <w:t>评标价=投标函文字报价</w:t>
            </w:r>
          </w:p>
          <w:p w14:paraId="152E63AA">
            <w:pPr>
              <w:spacing w:line="340" w:lineRule="exact"/>
              <w:ind w:left="113" w:right="113" w:firstLine="210" w:firstLineChars="100"/>
              <w:rPr>
                <w:rFonts w:hint="eastAsia" w:ascii="宋体" w:hAnsi="宋体"/>
              </w:rPr>
            </w:pPr>
            <w:r>
              <w:rPr>
                <w:rFonts w:hint="eastAsia" w:ascii="宋体" w:hAnsi="宋体"/>
              </w:rPr>
              <w:t>（2）评标价平均值的计算：</w:t>
            </w:r>
          </w:p>
          <w:p w14:paraId="1A957283">
            <w:pPr>
              <w:spacing w:line="340" w:lineRule="exact"/>
              <w:ind w:left="113" w:right="113" w:firstLine="210" w:firstLineChars="100"/>
              <w:rPr>
                <w:rFonts w:hint="eastAsia" w:ascii="宋体" w:hAnsi="宋体"/>
              </w:rPr>
            </w:pPr>
            <w:r>
              <w:rPr>
                <w:rFonts w:hint="eastAsia" w:ascii="宋体" w:hAnsi="宋体"/>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不含5家）时，则计算评标价平均值时不去掉最高值和最低值）。</w:t>
            </w:r>
          </w:p>
          <w:p w14:paraId="01A3788B">
            <w:pPr>
              <w:spacing w:line="340" w:lineRule="exact"/>
              <w:ind w:right="113" w:firstLine="426" w:firstLineChars="203"/>
              <w:rPr>
                <w:rFonts w:hint="eastAsia" w:ascii="宋体" w:hAnsi="宋体"/>
              </w:rPr>
            </w:pPr>
            <w:r>
              <w:rPr>
                <w:rFonts w:hint="eastAsia" w:ascii="宋体" w:hAnsi="宋体"/>
              </w:rPr>
              <w:t>（3）评标基准价的确定：</w:t>
            </w:r>
          </w:p>
          <w:p w14:paraId="285FF531">
            <w:pPr>
              <w:spacing w:line="340" w:lineRule="exact"/>
              <w:ind w:right="113" w:firstLine="426" w:firstLineChars="203"/>
              <w:rPr>
                <w:rFonts w:hint="eastAsia" w:ascii="宋体" w:hAnsi="宋体"/>
              </w:rPr>
            </w:pPr>
            <w:r>
              <w:rPr>
                <w:rFonts w:hint="eastAsia" w:ascii="宋体" w:hAnsi="宋体"/>
              </w:rPr>
              <w:t>将评标价平均值直接作为评标基准价（评标基准价保留小数点后两位，小数点后第三位四舍五入）。</w:t>
            </w:r>
          </w:p>
          <w:p w14:paraId="6316F335">
            <w:pPr>
              <w:spacing w:line="340" w:lineRule="exact"/>
              <w:ind w:right="113" w:firstLine="426" w:firstLineChars="203"/>
              <w:rPr>
                <w:rFonts w:ascii="宋体" w:hAnsi="宋体"/>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7E28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81488B4">
            <w:pPr>
              <w:ind w:right="113"/>
              <w:jc w:val="center"/>
              <w:rPr>
                <w:rFonts w:ascii="宋体" w:hAnsi="宋体"/>
              </w:rPr>
            </w:pPr>
            <w:r>
              <w:rPr>
                <w:rFonts w:hint="eastAsia" w:ascii="宋体" w:hAnsi="宋体"/>
              </w:rPr>
              <w:t>2.2.3</w:t>
            </w:r>
          </w:p>
        </w:tc>
        <w:tc>
          <w:tcPr>
            <w:tcW w:w="1231" w:type="dxa"/>
            <w:tcBorders>
              <w:top w:val="single" w:color="auto" w:sz="4" w:space="0"/>
              <w:left w:val="single" w:color="auto" w:sz="4" w:space="0"/>
              <w:bottom w:val="single" w:color="auto" w:sz="4" w:space="0"/>
              <w:right w:val="single" w:color="auto" w:sz="4" w:space="0"/>
            </w:tcBorders>
            <w:vAlign w:val="center"/>
          </w:tcPr>
          <w:p w14:paraId="268347AD">
            <w:pPr>
              <w:ind w:left="-31" w:leftChars="-15" w:firstLine="42" w:firstLineChars="20"/>
              <w:jc w:val="center"/>
              <w:rPr>
                <w:rFonts w:ascii="宋体" w:hAnsi="宋体"/>
              </w:rPr>
            </w:pPr>
            <w:r>
              <w:rPr>
                <w:rFonts w:hint="eastAsia" w:ascii="宋体" w:hAnsi="宋体"/>
              </w:rPr>
              <w:t>评标价的偏差率计算公式</w:t>
            </w:r>
          </w:p>
        </w:tc>
        <w:tc>
          <w:tcPr>
            <w:tcW w:w="7474" w:type="dxa"/>
            <w:tcBorders>
              <w:top w:val="single" w:color="auto" w:sz="4" w:space="0"/>
              <w:left w:val="single" w:color="auto" w:sz="4" w:space="0"/>
              <w:bottom w:val="single" w:color="auto" w:sz="4" w:space="0"/>
              <w:right w:val="single" w:color="auto" w:sz="4" w:space="0"/>
            </w:tcBorders>
            <w:vAlign w:val="center"/>
          </w:tcPr>
          <w:p w14:paraId="313C68E8">
            <w:pPr>
              <w:ind w:left="113" w:right="113" w:firstLine="210" w:firstLineChars="100"/>
              <w:rPr>
                <w:rFonts w:ascii="宋体" w:hAnsi="宋体"/>
              </w:rPr>
            </w:pPr>
            <w:r>
              <w:rPr>
                <w:rFonts w:hint="eastAsia" w:ascii="宋体" w:hAnsi="宋体"/>
              </w:rPr>
              <w:t>偏差率=100%×（投标人评标价-评标基准价）/评标基准价</w:t>
            </w:r>
          </w:p>
        </w:tc>
      </w:tr>
    </w:tbl>
    <w:p w14:paraId="1582A164">
      <w:pPr>
        <w:pStyle w:val="2"/>
        <w:snapToGrid w:val="0"/>
        <w:spacing w:line="360" w:lineRule="auto"/>
        <w:jc w:val="left"/>
        <w:rPr>
          <w:rFonts w:hint="eastAsia" w:hAnsi="宋体"/>
          <w:color w:val="000000"/>
          <w:sz w:val="24"/>
          <w:szCs w:val="24"/>
        </w:rPr>
      </w:pPr>
      <w:bookmarkStart w:id="0" w:name="_GoBack"/>
      <w:bookmarkEnd w:id="0"/>
      <w:r>
        <w:rPr>
          <w:rFonts w:hint="eastAsia" w:ascii="黑体" w:hAnsi="黑体"/>
          <w:color w:val="000000"/>
          <w:sz w:val="24"/>
          <w:szCs w:val="24"/>
        </w:rPr>
        <w:t>具体评分标准如下：</w:t>
      </w:r>
    </w:p>
    <w:tbl>
      <w:tblPr>
        <w:tblStyle w:val="4"/>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92"/>
        <w:gridCol w:w="850"/>
        <w:gridCol w:w="950"/>
        <w:gridCol w:w="43"/>
        <w:gridCol w:w="708"/>
        <w:gridCol w:w="187"/>
        <w:gridCol w:w="5237"/>
      </w:tblGrid>
      <w:tr w14:paraId="1B73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2" w:type="dxa"/>
            <w:gridSpan w:val="6"/>
            <w:tcBorders>
              <w:top w:val="single" w:color="auto" w:sz="4" w:space="0"/>
              <w:left w:val="single" w:color="auto" w:sz="4" w:space="0"/>
              <w:bottom w:val="single" w:color="auto" w:sz="4" w:space="0"/>
              <w:right w:val="single" w:color="auto" w:sz="4" w:space="0"/>
            </w:tcBorders>
            <w:vAlign w:val="center"/>
          </w:tcPr>
          <w:p w14:paraId="3E799ACD">
            <w:pPr>
              <w:pStyle w:val="3"/>
              <w:spacing w:line="240" w:lineRule="atLeast"/>
              <w:jc w:val="center"/>
              <w:rPr>
                <w:rFonts w:hAnsi="宋体" w:cs="Times New Roman"/>
              </w:rPr>
            </w:pPr>
            <w:r>
              <w:rPr>
                <w:rFonts w:hint="eastAsia" w:hAnsi="宋体" w:cs="Times New Roman"/>
              </w:rPr>
              <w:t>评分因素与权重分值</w:t>
            </w:r>
          </w:p>
        </w:tc>
        <w:tc>
          <w:tcPr>
            <w:tcW w:w="5424" w:type="dxa"/>
            <w:gridSpan w:val="2"/>
            <w:vMerge w:val="restart"/>
            <w:tcBorders>
              <w:top w:val="single" w:color="auto" w:sz="4" w:space="0"/>
              <w:left w:val="single" w:color="auto" w:sz="4" w:space="0"/>
              <w:bottom w:val="single" w:color="auto" w:sz="4" w:space="0"/>
              <w:right w:val="single" w:color="auto" w:sz="4" w:space="0"/>
            </w:tcBorders>
            <w:vAlign w:val="center"/>
          </w:tcPr>
          <w:p w14:paraId="69458360">
            <w:pPr>
              <w:pStyle w:val="3"/>
              <w:spacing w:line="240" w:lineRule="atLeast"/>
              <w:jc w:val="center"/>
              <w:rPr>
                <w:rFonts w:hAnsi="宋体" w:cs="Times New Roman"/>
              </w:rPr>
            </w:pPr>
            <w:r>
              <w:rPr>
                <w:rFonts w:hint="eastAsia" w:hAnsi="宋体" w:cs="Times New Roman"/>
              </w:rPr>
              <w:t>评分标准</w:t>
            </w:r>
          </w:p>
        </w:tc>
      </w:tr>
      <w:tr w14:paraId="7D67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7EF6F45E">
            <w:pPr>
              <w:pStyle w:val="3"/>
              <w:spacing w:line="240" w:lineRule="atLeast"/>
              <w:jc w:val="center"/>
              <w:rPr>
                <w:rFonts w:hAnsi="宋体" w:cs="Times New Roman"/>
              </w:rPr>
            </w:pPr>
            <w:r>
              <w:rPr>
                <w:rFonts w:hint="eastAsia" w:hAnsi="宋体" w:cs="Times New Roman"/>
              </w:rPr>
              <w:t>条款号</w:t>
            </w:r>
          </w:p>
        </w:tc>
        <w:tc>
          <w:tcPr>
            <w:tcW w:w="992" w:type="dxa"/>
            <w:tcBorders>
              <w:top w:val="single" w:color="auto" w:sz="4" w:space="0"/>
              <w:left w:val="single" w:color="auto" w:sz="4" w:space="0"/>
              <w:bottom w:val="single" w:color="auto" w:sz="4" w:space="0"/>
              <w:right w:val="single" w:color="auto" w:sz="4" w:space="0"/>
            </w:tcBorders>
            <w:vAlign w:val="center"/>
          </w:tcPr>
          <w:p w14:paraId="36087CF4">
            <w:pPr>
              <w:pStyle w:val="3"/>
              <w:spacing w:line="240" w:lineRule="atLeast"/>
              <w:jc w:val="center"/>
              <w:rPr>
                <w:rFonts w:hAnsi="宋体" w:cs="Times New Roman"/>
              </w:rPr>
            </w:pPr>
            <w:r>
              <w:rPr>
                <w:rFonts w:hint="eastAsia" w:hAnsi="宋体" w:cs="Times New Roman"/>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14:paraId="5ACCA5C2">
            <w:pPr>
              <w:pStyle w:val="3"/>
              <w:spacing w:line="240" w:lineRule="atLeast"/>
              <w:ind w:left="-71" w:leftChars="-34" w:right="-105" w:rightChars="-50" w:firstLine="1"/>
              <w:jc w:val="center"/>
              <w:rPr>
                <w:rFonts w:hAnsi="宋体" w:cs="Times New Roman"/>
              </w:rPr>
            </w:pPr>
            <w:r>
              <w:rPr>
                <w:rFonts w:hint="eastAsia" w:hAnsi="宋体" w:cs="Times New Roman"/>
              </w:rPr>
              <w:t>评分因素 权重分值</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5D0D038">
            <w:pPr>
              <w:pStyle w:val="3"/>
              <w:spacing w:line="240" w:lineRule="atLeast"/>
              <w:jc w:val="center"/>
              <w:rPr>
                <w:rFonts w:hAnsi="宋体" w:cs="Times New Roman"/>
              </w:rPr>
            </w:pPr>
            <w:r>
              <w:rPr>
                <w:rStyle w:val="7"/>
                <w:rFonts w:hint="default"/>
              </w:rPr>
              <w:t>各评分因素细分项</w:t>
            </w:r>
          </w:p>
        </w:tc>
        <w:tc>
          <w:tcPr>
            <w:tcW w:w="708" w:type="dxa"/>
            <w:tcBorders>
              <w:top w:val="single" w:color="auto" w:sz="4" w:space="0"/>
              <w:left w:val="single" w:color="auto" w:sz="4" w:space="0"/>
              <w:bottom w:val="single" w:color="auto" w:sz="4" w:space="0"/>
              <w:right w:val="single" w:color="auto" w:sz="4" w:space="0"/>
            </w:tcBorders>
            <w:vAlign w:val="center"/>
          </w:tcPr>
          <w:p w14:paraId="74C69CF3">
            <w:pPr>
              <w:pStyle w:val="3"/>
              <w:spacing w:line="240" w:lineRule="atLeast"/>
              <w:jc w:val="center"/>
              <w:rPr>
                <w:rFonts w:hAnsi="宋体" w:cs="Times New Roman"/>
              </w:rPr>
            </w:pPr>
            <w:r>
              <w:rPr>
                <w:rFonts w:hint="eastAsia" w:hAnsi="宋体" w:cs="Times New Roman"/>
              </w:rPr>
              <w:t>分值</w:t>
            </w:r>
          </w:p>
        </w:tc>
        <w:tc>
          <w:tcPr>
            <w:tcW w:w="5837" w:type="dxa"/>
            <w:gridSpan w:val="2"/>
            <w:vMerge w:val="continue"/>
            <w:tcBorders>
              <w:top w:val="single" w:color="auto" w:sz="4" w:space="0"/>
              <w:left w:val="single" w:color="auto" w:sz="4" w:space="0"/>
              <w:bottom w:val="single" w:color="auto" w:sz="4" w:space="0"/>
              <w:right w:val="single" w:color="auto" w:sz="4" w:space="0"/>
            </w:tcBorders>
            <w:vAlign w:val="center"/>
          </w:tcPr>
          <w:p w14:paraId="749ABA50">
            <w:pPr>
              <w:widowControl/>
              <w:jc w:val="left"/>
              <w:rPr>
                <w:rFonts w:ascii="宋体" w:hAnsi="宋体"/>
              </w:rPr>
            </w:pPr>
          </w:p>
        </w:tc>
      </w:tr>
      <w:tr w14:paraId="0DF9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9" w:type="dxa"/>
            <w:vMerge w:val="restart"/>
            <w:tcBorders>
              <w:top w:val="nil"/>
              <w:left w:val="single" w:color="auto" w:sz="4" w:space="0"/>
              <w:bottom w:val="single" w:color="auto" w:sz="4" w:space="0"/>
              <w:right w:val="single" w:color="auto" w:sz="4" w:space="0"/>
            </w:tcBorders>
            <w:vAlign w:val="center"/>
          </w:tcPr>
          <w:p w14:paraId="7913945B">
            <w:pPr>
              <w:pStyle w:val="3"/>
              <w:spacing w:line="240" w:lineRule="atLeast"/>
              <w:jc w:val="center"/>
              <w:rPr>
                <w:rFonts w:hAnsi="宋体" w:cs="Times New Roman"/>
              </w:rPr>
            </w:pPr>
            <w:r>
              <w:rPr>
                <w:rFonts w:hint="eastAsia" w:hAnsi="宋体" w:cs="Times New Roman"/>
              </w:rPr>
              <w:t>2.2.4（1）</w:t>
            </w:r>
          </w:p>
        </w:tc>
        <w:tc>
          <w:tcPr>
            <w:tcW w:w="992" w:type="dxa"/>
            <w:vMerge w:val="restart"/>
            <w:tcBorders>
              <w:top w:val="nil"/>
              <w:left w:val="single" w:color="auto" w:sz="4" w:space="0"/>
              <w:bottom w:val="single" w:color="auto" w:sz="4" w:space="0"/>
              <w:right w:val="single" w:color="auto" w:sz="4" w:space="0"/>
            </w:tcBorders>
            <w:vAlign w:val="center"/>
          </w:tcPr>
          <w:p w14:paraId="755FF2C0">
            <w:pPr>
              <w:pStyle w:val="3"/>
              <w:spacing w:line="240" w:lineRule="atLeast"/>
              <w:ind w:left="-48" w:leftChars="-23" w:right="-88" w:rightChars="-42"/>
              <w:jc w:val="center"/>
              <w:rPr>
                <w:rFonts w:hAnsi="宋体" w:cs="Times New Roman"/>
              </w:rPr>
            </w:pPr>
            <w:r>
              <w:rPr>
                <w:rFonts w:hint="eastAsia" w:hAnsi="宋体" w:cs="Times New Roman"/>
              </w:rPr>
              <w:t>实施方案</w:t>
            </w:r>
          </w:p>
        </w:tc>
        <w:tc>
          <w:tcPr>
            <w:tcW w:w="850" w:type="dxa"/>
            <w:vMerge w:val="restart"/>
            <w:tcBorders>
              <w:top w:val="nil"/>
              <w:left w:val="single" w:color="auto" w:sz="4" w:space="0"/>
              <w:bottom w:val="single" w:color="auto" w:sz="4" w:space="0"/>
              <w:right w:val="single" w:color="auto" w:sz="4" w:space="0"/>
            </w:tcBorders>
            <w:vAlign w:val="center"/>
          </w:tcPr>
          <w:p w14:paraId="16CD2ECD">
            <w:pPr>
              <w:pStyle w:val="3"/>
              <w:spacing w:line="240" w:lineRule="atLeast"/>
              <w:jc w:val="center"/>
              <w:rPr>
                <w:rFonts w:hAnsi="宋体" w:cs="Times New Roman"/>
              </w:rPr>
            </w:pPr>
            <w:r>
              <w:rPr>
                <w:rFonts w:hint="eastAsia" w:hAnsi="宋体" w:cs="Times New Roman"/>
              </w:rPr>
              <w:t>50分</w:t>
            </w:r>
          </w:p>
        </w:tc>
        <w:tc>
          <w:tcPr>
            <w:tcW w:w="993" w:type="dxa"/>
            <w:gridSpan w:val="2"/>
            <w:vMerge w:val="restart"/>
            <w:tcBorders>
              <w:top w:val="nil"/>
              <w:left w:val="single" w:color="auto" w:sz="4" w:space="0"/>
              <w:bottom w:val="single" w:color="auto" w:sz="4" w:space="0"/>
              <w:right w:val="single" w:color="auto" w:sz="4" w:space="0"/>
            </w:tcBorders>
            <w:vAlign w:val="center"/>
          </w:tcPr>
          <w:p w14:paraId="45843406">
            <w:pPr>
              <w:pStyle w:val="3"/>
              <w:rPr>
                <w:rFonts w:hAnsi="宋体" w:cs="Times New Roman"/>
              </w:rPr>
            </w:pPr>
            <w:r>
              <w:rPr>
                <w:rFonts w:hint="eastAsia" w:hAnsi="宋体" w:cs="Times New Roman"/>
              </w:rPr>
              <w:t>体检方</w:t>
            </w:r>
          </w:p>
          <w:p w14:paraId="210957B6">
            <w:pPr>
              <w:pStyle w:val="3"/>
              <w:rPr>
                <w:rFonts w:hint="eastAsia" w:hAnsi="宋体" w:cs="Times New Roman"/>
              </w:rPr>
            </w:pPr>
            <w:r>
              <w:rPr>
                <w:rFonts w:hint="eastAsia" w:hAnsi="宋体" w:cs="Times New Roman"/>
              </w:rPr>
              <w:t>案及保</w:t>
            </w:r>
          </w:p>
          <w:p w14:paraId="710E504B">
            <w:pPr>
              <w:pStyle w:val="3"/>
              <w:rPr>
                <w:rFonts w:hAnsi="宋体" w:cs="Times New Roman"/>
                <w:highlight w:val="yellow"/>
              </w:rPr>
            </w:pPr>
            <w:r>
              <w:rPr>
                <w:rFonts w:hint="eastAsia" w:hAnsi="宋体" w:cs="Times New Roman"/>
              </w:rPr>
              <w:t>证措施</w:t>
            </w:r>
          </w:p>
        </w:tc>
        <w:tc>
          <w:tcPr>
            <w:tcW w:w="708" w:type="dxa"/>
            <w:vMerge w:val="restart"/>
            <w:tcBorders>
              <w:top w:val="nil"/>
              <w:left w:val="single" w:color="auto" w:sz="4" w:space="0"/>
              <w:bottom w:val="single" w:color="auto" w:sz="4" w:space="0"/>
              <w:right w:val="single" w:color="auto" w:sz="4" w:space="0"/>
            </w:tcBorders>
            <w:vAlign w:val="center"/>
          </w:tcPr>
          <w:p w14:paraId="17D522C7">
            <w:pPr>
              <w:pStyle w:val="3"/>
              <w:spacing w:line="240" w:lineRule="atLeast"/>
              <w:jc w:val="center"/>
              <w:rPr>
                <w:rFonts w:hAnsi="宋体" w:cs="Times New Roman"/>
              </w:rPr>
            </w:pPr>
            <w:r>
              <w:rPr>
                <w:rFonts w:hint="eastAsia" w:hAnsi="宋体" w:cs="Times New Roman"/>
              </w:rPr>
              <w:t>20分</w:t>
            </w: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492BDC4D">
            <w:pPr>
              <w:pStyle w:val="3"/>
              <w:spacing w:line="300" w:lineRule="exact"/>
              <w:jc w:val="left"/>
              <w:rPr>
                <w:rFonts w:hAnsi="宋体" w:cs="Times New Roman"/>
              </w:rPr>
            </w:pPr>
            <w:r>
              <w:rPr>
                <w:rFonts w:hint="eastAsia" w:hAnsi="宋体" w:cs="Times New Roman"/>
              </w:rPr>
              <w:t>体检方案及保证措施一般，得12分；</w:t>
            </w:r>
          </w:p>
        </w:tc>
      </w:tr>
      <w:tr w14:paraId="3E28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297592E5">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03F799B9">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4671049F">
            <w:pPr>
              <w:widowControl/>
              <w:jc w:val="left"/>
              <w:rPr>
                <w:rFonts w:ascii="宋体" w:hAnsi="宋体"/>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1BDEFDF8">
            <w:pPr>
              <w:widowControl/>
              <w:jc w:val="left"/>
              <w:rPr>
                <w:rFonts w:ascii="宋体" w:hAnsi="宋体"/>
                <w:highlight w:val="yellow"/>
              </w:rPr>
            </w:pPr>
          </w:p>
        </w:tc>
        <w:tc>
          <w:tcPr>
            <w:tcW w:w="300" w:type="dxa"/>
            <w:vMerge w:val="continue"/>
            <w:tcBorders>
              <w:top w:val="nil"/>
              <w:left w:val="single" w:color="auto" w:sz="4" w:space="0"/>
              <w:bottom w:val="single" w:color="auto" w:sz="4" w:space="0"/>
              <w:right w:val="single" w:color="auto" w:sz="4" w:space="0"/>
            </w:tcBorders>
            <w:vAlign w:val="center"/>
          </w:tcPr>
          <w:p w14:paraId="5CAF3D19">
            <w:pPr>
              <w:widowControl/>
              <w:jc w:val="left"/>
              <w:rPr>
                <w:rFonts w:ascii="宋体" w:hAnsi="宋体"/>
              </w:rPr>
            </w:pP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7427595D">
            <w:pPr>
              <w:pStyle w:val="3"/>
              <w:spacing w:line="300" w:lineRule="exact"/>
              <w:jc w:val="left"/>
              <w:rPr>
                <w:rFonts w:hAnsi="宋体" w:cs="Times New Roman"/>
              </w:rPr>
            </w:pPr>
            <w:r>
              <w:rPr>
                <w:rFonts w:hint="eastAsia" w:hAnsi="宋体" w:cs="Times New Roman"/>
              </w:rPr>
              <w:t>体检方案及保证措施较全面合理，得12-16分；</w:t>
            </w:r>
          </w:p>
        </w:tc>
      </w:tr>
      <w:tr w14:paraId="4042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605578F7">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45FA22A6">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2118AD6D">
            <w:pPr>
              <w:widowControl/>
              <w:jc w:val="left"/>
              <w:rPr>
                <w:rFonts w:ascii="宋体" w:hAnsi="宋体"/>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6A7D4AD9">
            <w:pPr>
              <w:widowControl/>
              <w:jc w:val="left"/>
              <w:rPr>
                <w:rFonts w:ascii="宋体" w:hAnsi="宋体"/>
                <w:highlight w:val="yellow"/>
              </w:rPr>
            </w:pPr>
          </w:p>
        </w:tc>
        <w:tc>
          <w:tcPr>
            <w:tcW w:w="300" w:type="dxa"/>
            <w:vMerge w:val="continue"/>
            <w:tcBorders>
              <w:top w:val="nil"/>
              <w:left w:val="single" w:color="auto" w:sz="4" w:space="0"/>
              <w:bottom w:val="single" w:color="auto" w:sz="4" w:space="0"/>
              <w:right w:val="single" w:color="auto" w:sz="4" w:space="0"/>
            </w:tcBorders>
            <w:vAlign w:val="center"/>
          </w:tcPr>
          <w:p w14:paraId="7CEA136E">
            <w:pPr>
              <w:widowControl/>
              <w:jc w:val="left"/>
              <w:rPr>
                <w:rFonts w:ascii="宋体" w:hAnsi="宋体"/>
              </w:rPr>
            </w:pP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22716E9C">
            <w:pPr>
              <w:pStyle w:val="3"/>
              <w:spacing w:line="300" w:lineRule="exact"/>
              <w:jc w:val="left"/>
              <w:rPr>
                <w:rFonts w:hAnsi="宋体" w:cs="Times New Roman"/>
              </w:rPr>
            </w:pPr>
            <w:r>
              <w:rPr>
                <w:rFonts w:hint="eastAsia" w:hAnsi="宋体" w:cs="Times New Roman"/>
              </w:rPr>
              <w:t>体检方案及保证措施全面合理，得 16-2 分。</w:t>
            </w:r>
          </w:p>
        </w:tc>
      </w:tr>
      <w:tr w14:paraId="5186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1ED8362C">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0FA6D777">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7668C0E4">
            <w:pPr>
              <w:widowControl/>
              <w:jc w:val="left"/>
              <w:rPr>
                <w:rFonts w:ascii="宋体" w:hAnsi="宋体"/>
              </w:rPr>
            </w:pPr>
          </w:p>
        </w:tc>
        <w:tc>
          <w:tcPr>
            <w:tcW w:w="993" w:type="dxa"/>
            <w:gridSpan w:val="2"/>
            <w:vMerge w:val="restart"/>
            <w:tcBorders>
              <w:top w:val="nil"/>
              <w:left w:val="single" w:color="auto" w:sz="4" w:space="0"/>
              <w:bottom w:val="single" w:color="auto" w:sz="4" w:space="0"/>
              <w:right w:val="single" w:color="auto" w:sz="4" w:space="0"/>
            </w:tcBorders>
            <w:vAlign w:val="center"/>
          </w:tcPr>
          <w:p w14:paraId="7B04A668">
            <w:pPr>
              <w:pStyle w:val="3"/>
              <w:jc w:val="center"/>
              <w:rPr>
                <w:rFonts w:hAnsi="宋体" w:cs="Times New Roman"/>
              </w:rPr>
            </w:pPr>
            <w:r>
              <w:rPr>
                <w:rFonts w:hint="eastAsia" w:hAnsi="宋体" w:cs="Times New Roman"/>
              </w:rPr>
              <w:t>服务承</w:t>
            </w:r>
          </w:p>
          <w:p w14:paraId="7D12C863">
            <w:pPr>
              <w:pStyle w:val="3"/>
              <w:jc w:val="center"/>
              <w:rPr>
                <w:rFonts w:hint="eastAsia" w:hAnsi="宋体" w:cs="Times New Roman"/>
              </w:rPr>
            </w:pPr>
            <w:r>
              <w:rPr>
                <w:rFonts w:hint="eastAsia" w:hAnsi="宋体" w:cs="Times New Roman"/>
              </w:rPr>
              <w:t>诺及违</w:t>
            </w:r>
          </w:p>
          <w:p w14:paraId="23902400">
            <w:pPr>
              <w:pStyle w:val="3"/>
              <w:jc w:val="center"/>
              <w:rPr>
                <w:rFonts w:hint="eastAsia" w:hAnsi="宋体" w:cs="Times New Roman"/>
              </w:rPr>
            </w:pPr>
            <w:r>
              <w:rPr>
                <w:rFonts w:hint="eastAsia" w:hAnsi="宋体" w:cs="Times New Roman"/>
              </w:rPr>
              <w:t>约责任</w:t>
            </w:r>
          </w:p>
          <w:p w14:paraId="0A97E25D">
            <w:pPr>
              <w:pStyle w:val="3"/>
              <w:jc w:val="center"/>
              <w:rPr>
                <w:rFonts w:hAnsi="宋体" w:cs="Times New Roman"/>
                <w:highlight w:val="yellow"/>
              </w:rPr>
            </w:pPr>
            <w:r>
              <w:rPr>
                <w:rFonts w:hint="eastAsia" w:hAnsi="宋体" w:cs="Times New Roman"/>
              </w:rPr>
              <w:t>承诺</w:t>
            </w:r>
          </w:p>
        </w:tc>
        <w:tc>
          <w:tcPr>
            <w:tcW w:w="708" w:type="dxa"/>
            <w:vMerge w:val="restart"/>
            <w:tcBorders>
              <w:top w:val="nil"/>
              <w:left w:val="single" w:color="auto" w:sz="4" w:space="0"/>
              <w:bottom w:val="single" w:color="auto" w:sz="4" w:space="0"/>
              <w:right w:val="single" w:color="auto" w:sz="4" w:space="0"/>
            </w:tcBorders>
            <w:vAlign w:val="center"/>
          </w:tcPr>
          <w:p w14:paraId="78F94670">
            <w:pPr>
              <w:pStyle w:val="3"/>
              <w:spacing w:line="240" w:lineRule="atLeast"/>
              <w:jc w:val="center"/>
              <w:rPr>
                <w:rFonts w:hAnsi="宋体" w:cs="Times New Roman"/>
              </w:rPr>
            </w:pPr>
            <w:r>
              <w:rPr>
                <w:rFonts w:hint="eastAsia" w:hAnsi="宋体" w:cs="Times New Roman"/>
              </w:rPr>
              <w:t>10分</w:t>
            </w: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283DB5E7">
            <w:pPr>
              <w:pStyle w:val="3"/>
              <w:rPr>
                <w:rFonts w:hAnsi="宋体" w:cs="Times New Roman"/>
              </w:rPr>
            </w:pPr>
            <w:r>
              <w:rPr>
                <w:rFonts w:hint="eastAsia" w:hAnsi="宋体" w:cs="Times New Roman"/>
              </w:rPr>
              <w:t>服务承诺及违约责任承诺一般，得6分；</w:t>
            </w:r>
          </w:p>
        </w:tc>
      </w:tr>
      <w:tr w14:paraId="51EF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21D4F1FC">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7751E94C">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20A2E196">
            <w:pPr>
              <w:widowControl/>
              <w:jc w:val="left"/>
              <w:rPr>
                <w:rFonts w:ascii="宋体" w:hAnsi="宋体"/>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00A4D5DE">
            <w:pPr>
              <w:widowControl/>
              <w:jc w:val="left"/>
              <w:rPr>
                <w:rFonts w:ascii="宋体" w:hAnsi="宋体"/>
                <w:highlight w:val="yellow"/>
              </w:rPr>
            </w:pPr>
          </w:p>
        </w:tc>
        <w:tc>
          <w:tcPr>
            <w:tcW w:w="300" w:type="dxa"/>
            <w:vMerge w:val="continue"/>
            <w:tcBorders>
              <w:top w:val="nil"/>
              <w:left w:val="single" w:color="auto" w:sz="4" w:space="0"/>
              <w:bottom w:val="single" w:color="auto" w:sz="4" w:space="0"/>
              <w:right w:val="single" w:color="auto" w:sz="4" w:space="0"/>
            </w:tcBorders>
            <w:vAlign w:val="center"/>
          </w:tcPr>
          <w:p w14:paraId="49D8856B">
            <w:pPr>
              <w:widowControl/>
              <w:jc w:val="left"/>
              <w:rPr>
                <w:rFonts w:ascii="宋体" w:hAnsi="宋体"/>
              </w:rPr>
            </w:pP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5FBB069B">
            <w:pPr>
              <w:pStyle w:val="3"/>
              <w:spacing w:line="300" w:lineRule="exact"/>
              <w:jc w:val="left"/>
              <w:rPr>
                <w:rFonts w:hAnsi="宋体" w:cs="Times New Roman"/>
              </w:rPr>
            </w:pPr>
            <w:r>
              <w:rPr>
                <w:rFonts w:hint="eastAsia" w:hAnsi="宋体" w:cs="Times New Roman"/>
              </w:rPr>
              <w:t>服务承诺及违约责任承诺较合理，得6-8分；</w:t>
            </w:r>
          </w:p>
        </w:tc>
      </w:tr>
      <w:tr w14:paraId="280E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07F99C87">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719F5367">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1B4DBE00">
            <w:pPr>
              <w:widowControl/>
              <w:jc w:val="left"/>
              <w:rPr>
                <w:rFonts w:ascii="宋体" w:hAnsi="宋体"/>
              </w:rPr>
            </w:pPr>
          </w:p>
        </w:tc>
        <w:tc>
          <w:tcPr>
            <w:tcW w:w="600" w:type="dxa"/>
            <w:gridSpan w:val="2"/>
            <w:vMerge w:val="continue"/>
            <w:tcBorders>
              <w:top w:val="nil"/>
              <w:left w:val="single" w:color="auto" w:sz="4" w:space="0"/>
              <w:bottom w:val="single" w:color="auto" w:sz="4" w:space="0"/>
              <w:right w:val="single" w:color="auto" w:sz="4" w:space="0"/>
            </w:tcBorders>
            <w:vAlign w:val="center"/>
          </w:tcPr>
          <w:p w14:paraId="56131784">
            <w:pPr>
              <w:widowControl/>
              <w:jc w:val="left"/>
              <w:rPr>
                <w:rFonts w:ascii="宋体" w:hAnsi="宋体"/>
                <w:highlight w:val="yellow"/>
              </w:rPr>
            </w:pPr>
          </w:p>
        </w:tc>
        <w:tc>
          <w:tcPr>
            <w:tcW w:w="300" w:type="dxa"/>
            <w:vMerge w:val="continue"/>
            <w:tcBorders>
              <w:top w:val="nil"/>
              <w:left w:val="single" w:color="auto" w:sz="4" w:space="0"/>
              <w:bottom w:val="single" w:color="auto" w:sz="4" w:space="0"/>
              <w:right w:val="single" w:color="auto" w:sz="4" w:space="0"/>
            </w:tcBorders>
            <w:vAlign w:val="center"/>
          </w:tcPr>
          <w:p w14:paraId="273BCB6D">
            <w:pPr>
              <w:widowControl/>
              <w:jc w:val="left"/>
              <w:rPr>
                <w:rFonts w:ascii="宋体" w:hAnsi="宋体"/>
              </w:rPr>
            </w:pP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006708D0">
            <w:pPr>
              <w:pStyle w:val="3"/>
              <w:spacing w:line="300" w:lineRule="exact"/>
              <w:jc w:val="left"/>
              <w:rPr>
                <w:rFonts w:hAnsi="宋体" w:cs="Times New Roman"/>
              </w:rPr>
            </w:pPr>
            <w:r>
              <w:rPr>
                <w:rFonts w:hint="eastAsia" w:hAnsi="宋体" w:cs="Times New Roman"/>
              </w:rPr>
              <w:t>服务承诺及违约责任承诺合理，得 8-10分。</w:t>
            </w:r>
          </w:p>
        </w:tc>
      </w:tr>
      <w:tr w14:paraId="0630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4656E04E">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5339F7BA">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3ADE749A">
            <w:pPr>
              <w:widowControl/>
              <w:jc w:val="left"/>
              <w:rPr>
                <w:rFonts w:ascii="宋体" w:hAnsi="宋体"/>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E2FB44F">
            <w:pPr>
              <w:pStyle w:val="3"/>
              <w:jc w:val="center"/>
              <w:rPr>
                <w:rFonts w:hAnsi="宋体" w:cs="Times New Roman"/>
              </w:rPr>
            </w:pPr>
            <w:r>
              <w:rPr>
                <w:rFonts w:hint="eastAsia" w:hAnsi="宋体" w:cs="Times New Roman"/>
              </w:rPr>
              <w:t>延伸服</w:t>
            </w:r>
          </w:p>
          <w:p w14:paraId="060BD390">
            <w:pPr>
              <w:pStyle w:val="3"/>
              <w:jc w:val="center"/>
              <w:rPr>
                <w:rFonts w:hAnsi="宋体" w:cs="Times New Roman"/>
                <w:highlight w:val="yellow"/>
              </w:rPr>
            </w:pPr>
            <w:r>
              <w:rPr>
                <w:rFonts w:hint="eastAsia" w:hAnsi="宋体" w:cs="Times New Roman"/>
              </w:rPr>
              <w:t>务</w:t>
            </w:r>
          </w:p>
        </w:tc>
        <w:tc>
          <w:tcPr>
            <w:tcW w:w="708" w:type="dxa"/>
            <w:tcBorders>
              <w:top w:val="single" w:color="auto" w:sz="4" w:space="0"/>
              <w:left w:val="single" w:color="auto" w:sz="4" w:space="0"/>
              <w:bottom w:val="single" w:color="auto" w:sz="4" w:space="0"/>
              <w:right w:val="single" w:color="auto" w:sz="4" w:space="0"/>
            </w:tcBorders>
            <w:vAlign w:val="center"/>
          </w:tcPr>
          <w:p w14:paraId="13B39591">
            <w:pPr>
              <w:pStyle w:val="3"/>
              <w:spacing w:line="240" w:lineRule="atLeast"/>
              <w:jc w:val="center"/>
              <w:rPr>
                <w:rFonts w:hAnsi="宋体" w:cs="Times New Roman"/>
              </w:rPr>
            </w:pPr>
            <w:r>
              <w:rPr>
                <w:rFonts w:hint="eastAsia" w:hAnsi="宋体" w:cs="Times New Roman"/>
              </w:rPr>
              <w:t>20分</w:t>
            </w:r>
          </w:p>
        </w:tc>
        <w:tc>
          <w:tcPr>
            <w:tcW w:w="5424" w:type="dxa"/>
            <w:gridSpan w:val="2"/>
            <w:tcBorders>
              <w:top w:val="single" w:color="auto" w:sz="4" w:space="0"/>
              <w:left w:val="single" w:color="auto" w:sz="4" w:space="0"/>
              <w:bottom w:val="single" w:color="auto" w:sz="4" w:space="0"/>
              <w:right w:val="single" w:color="auto" w:sz="4" w:space="0"/>
            </w:tcBorders>
            <w:vAlign w:val="center"/>
          </w:tcPr>
          <w:p w14:paraId="4642457E">
            <w:pPr>
              <w:pStyle w:val="3"/>
              <w:spacing w:line="300" w:lineRule="exact"/>
              <w:jc w:val="left"/>
              <w:rPr>
                <w:rFonts w:hAnsi="宋体" w:cs="Times New Roman"/>
                <w:spacing w:val="-10"/>
              </w:rPr>
            </w:pPr>
            <w:r>
              <w:rPr>
                <w:rFonts w:hint="eastAsia" w:hAnsi="宋体" w:cs="Times New Roman"/>
                <w:spacing w:val="-10"/>
              </w:rPr>
              <w:t>从制定个性化的体检方案、检后一对一的报告解读、体检单</w:t>
            </w:r>
          </w:p>
          <w:p w14:paraId="22CE5E39">
            <w:pPr>
              <w:pStyle w:val="3"/>
              <w:spacing w:line="300" w:lineRule="exact"/>
              <w:jc w:val="left"/>
              <w:rPr>
                <w:rFonts w:hint="eastAsia" w:hAnsi="宋体" w:cs="Times New Roman"/>
                <w:spacing w:val="-10"/>
              </w:rPr>
            </w:pPr>
            <w:r>
              <w:rPr>
                <w:rFonts w:hint="eastAsia" w:hAnsi="宋体" w:cs="Times New Roman"/>
                <w:spacing w:val="-10"/>
              </w:rPr>
              <w:t>位健康状态的分析、健康生活方式宣讲及特殊需求的保健服</w:t>
            </w:r>
          </w:p>
          <w:p w14:paraId="7F614E50">
            <w:pPr>
              <w:pStyle w:val="3"/>
              <w:spacing w:line="300" w:lineRule="exact"/>
              <w:jc w:val="left"/>
              <w:rPr>
                <w:rFonts w:hint="eastAsia" w:hAnsi="宋体" w:cs="Times New Roman"/>
                <w:spacing w:val="-10"/>
              </w:rPr>
            </w:pPr>
            <w:r>
              <w:rPr>
                <w:rFonts w:hint="eastAsia" w:hAnsi="宋体" w:cs="Times New Roman"/>
                <w:spacing w:val="-10"/>
              </w:rPr>
              <w:t>务等方面进行评审</w:t>
            </w:r>
          </w:p>
          <w:p w14:paraId="41D71847">
            <w:pPr>
              <w:pStyle w:val="3"/>
              <w:spacing w:line="300" w:lineRule="exact"/>
              <w:jc w:val="left"/>
              <w:rPr>
                <w:rFonts w:hint="eastAsia" w:hAnsi="宋体" w:cs="Times New Roman"/>
                <w:spacing w:val="-10"/>
              </w:rPr>
            </w:pPr>
            <w:r>
              <w:rPr>
                <w:rFonts w:hint="eastAsia" w:hAnsi="宋体" w:cs="Times New Roman"/>
                <w:spacing w:val="-10"/>
              </w:rPr>
              <w:t>一般得12分</w:t>
            </w:r>
          </w:p>
          <w:p w14:paraId="48E24A89">
            <w:pPr>
              <w:pStyle w:val="3"/>
              <w:spacing w:line="300" w:lineRule="exact"/>
              <w:jc w:val="left"/>
              <w:rPr>
                <w:rFonts w:hint="eastAsia" w:hAnsi="宋体" w:cs="Times New Roman"/>
                <w:spacing w:val="-10"/>
              </w:rPr>
            </w:pPr>
            <w:r>
              <w:rPr>
                <w:rFonts w:hint="eastAsia" w:hAnsi="宋体" w:cs="Times New Roman"/>
                <w:spacing w:val="-10"/>
              </w:rPr>
              <w:t>较合理得12-16分</w:t>
            </w:r>
          </w:p>
          <w:p w14:paraId="3E88217F">
            <w:pPr>
              <w:pStyle w:val="3"/>
              <w:spacing w:line="300" w:lineRule="exact"/>
              <w:jc w:val="left"/>
              <w:rPr>
                <w:rFonts w:hAnsi="宋体" w:cs="Times New Roman"/>
                <w:spacing w:val="-10"/>
              </w:rPr>
            </w:pPr>
            <w:r>
              <w:rPr>
                <w:rFonts w:hint="eastAsia" w:hAnsi="宋体" w:cs="Times New Roman"/>
                <w:spacing w:val="-10"/>
              </w:rPr>
              <w:t>合理得16-20分</w:t>
            </w:r>
          </w:p>
        </w:tc>
      </w:tr>
      <w:tr w14:paraId="5D26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12DFDBC">
            <w:pPr>
              <w:pStyle w:val="3"/>
              <w:spacing w:line="240" w:lineRule="atLeast"/>
              <w:jc w:val="center"/>
              <w:rPr>
                <w:rFonts w:hAnsi="宋体" w:cs="Times New Roman"/>
              </w:rPr>
            </w:pPr>
            <w:r>
              <w:rPr>
                <w:rFonts w:hint="eastAsia" w:hAnsi="宋体" w:cs="Times New Roman"/>
              </w:rPr>
              <w:t>2.2.4（3）</w:t>
            </w:r>
          </w:p>
        </w:tc>
        <w:tc>
          <w:tcPr>
            <w:tcW w:w="992" w:type="dxa"/>
            <w:tcBorders>
              <w:top w:val="single" w:color="auto" w:sz="4" w:space="0"/>
              <w:left w:val="single" w:color="auto" w:sz="4" w:space="0"/>
              <w:bottom w:val="single" w:color="auto" w:sz="4" w:space="0"/>
              <w:right w:val="single" w:color="auto" w:sz="4" w:space="0"/>
            </w:tcBorders>
            <w:vAlign w:val="center"/>
          </w:tcPr>
          <w:p w14:paraId="1D51A849">
            <w:pPr>
              <w:pStyle w:val="3"/>
              <w:spacing w:line="240" w:lineRule="atLeast"/>
              <w:jc w:val="center"/>
              <w:rPr>
                <w:rFonts w:hAnsi="宋体" w:cs="Times New Roman"/>
              </w:rPr>
            </w:pPr>
            <w:r>
              <w:rPr>
                <w:rFonts w:hint="eastAsia" w:hAnsi="宋体" w:cs="Times New Roman"/>
              </w:rPr>
              <w:t>评标价</w:t>
            </w:r>
          </w:p>
        </w:tc>
        <w:tc>
          <w:tcPr>
            <w:tcW w:w="850" w:type="dxa"/>
            <w:tcBorders>
              <w:top w:val="single" w:color="auto" w:sz="4" w:space="0"/>
              <w:left w:val="single" w:color="auto" w:sz="4" w:space="0"/>
              <w:bottom w:val="single" w:color="auto" w:sz="4" w:space="0"/>
              <w:right w:val="single" w:color="auto" w:sz="4" w:space="0"/>
            </w:tcBorders>
            <w:vAlign w:val="center"/>
          </w:tcPr>
          <w:p w14:paraId="7D97C740">
            <w:pPr>
              <w:pStyle w:val="3"/>
              <w:spacing w:line="240" w:lineRule="atLeast"/>
              <w:jc w:val="center"/>
              <w:rPr>
                <w:rFonts w:hAnsi="宋体" w:cs="Times New Roman"/>
              </w:rPr>
            </w:pPr>
            <w:r>
              <w:rPr>
                <w:rFonts w:hint="eastAsia" w:hAnsi="宋体" w:cs="Times New Roman"/>
              </w:rPr>
              <w:t>30分</w:t>
            </w:r>
          </w:p>
        </w:tc>
        <w:tc>
          <w:tcPr>
            <w:tcW w:w="7125" w:type="dxa"/>
            <w:gridSpan w:val="5"/>
            <w:tcBorders>
              <w:top w:val="single" w:color="auto" w:sz="4" w:space="0"/>
              <w:left w:val="single" w:color="auto" w:sz="4" w:space="0"/>
              <w:bottom w:val="single" w:color="auto" w:sz="4" w:space="0"/>
              <w:right w:val="single" w:color="auto" w:sz="4" w:space="0"/>
            </w:tcBorders>
            <w:vAlign w:val="center"/>
          </w:tcPr>
          <w:p w14:paraId="67667A3D">
            <w:pPr>
              <w:rPr>
                <w:rFonts w:ascii="宋体" w:hAnsi="宋体"/>
              </w:rPr>
            </w:pPr>
            <w:r>
              <w:rPr>
                <w:rFonts w:hint="eastAsia" w:ascii="宋体" w:hAnsi="宋体"/>
              </w:rPr>
              <w:t>评标价得分计算公式示例：</w:t>
            </w:r>
          </w:p>
          <w:p w14:paraId="24F5FAEC">
            <w:pPr>
              <w:rPr>
                <w:rFonts w:hint="eastAsia" w:ascii="宋体" w:hAnsi="宋体"/>
              </w:rPr>
            </w:pPr>
            <w:r>
              <w:rPr>
                <w:rFonts w:hint="eastAsia" w:ascii="宋体" w:hAnsi="宋体"/>
              </w:rPr>
              <w:t>（1）如果投标人的评标价＞评标基准价，则评标价得分=F-（投标人评标价-评标基准价）/评标基准价×100×E1；</w:t>
            </w:r>
          </w:p>
          <w:p w14:paraId="7D839EAC">
            <w:pPr>
              <w:rPr>
                <w:rFonts w:hint="eastAsia" w:ascii="宋体" w:hAnsi="宋体"/>
              </w:rPr>
            </w:pPr>
            <w:r>
              <w:rPr>
                <w:rFonts w:hint="eastAsia" w:ascii="宋体" w:hAnsi="宋体"/>
              </w:rPr>
              <w:t>（2）如果投标人的评标价≤评标基准价，则评标价得分=F+(投标人评标价-评标基准价)/评标基准价×100×E2。</w:t>
            </w:r>
          </w:p>
          <w:p w14:paraId="0C82978F">
            <w:pPr>
              <w:jc w:val="left"/>
              <w:rPr>
                <w:rFonts w:ascii="宋体" w:hAnsi="宋体"/>
              </w:rPr>
            </w:pPr>
            <w:r>
              <w:rPr>
                <w:rFonts w:hint="eastAsia" w:ascii="宋体" w:hAnsi="宋体"/>
              </w:rPr>
              <w:t>其中，F=30；E1=0.4；E2=0.2；评标价最低得分为0分,结果保留2位小数。</w:t>
            </w:r>
          </w:p>
        </w:tc>
      </w:tr>
      <w:tr w14:paraId="3D83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9" w:type="dxa"/>
            <w:vMerge w:val="restart"/>
            <w:tcBorders>
              <w:top w:val="nil"/>
              <w:left w:val="single" w:color="auto" w:sz="4" w:space="0"/>
              <w:bottom w:val="single" w:color="auto" w:sz="4" w:space="0"/>
              <w:right w:val="single" w:color="auto" w:sz="4" w:space="0"/>
            </w:tcBorders>
            <w:vAlign w:val="center"/>
          </w:tcPr>
          <w:p w14:paraId="32EA9C0B">
            <w:pPr>
              <w:pStyle w:val="3"/>
              <w:spacing w:line="240" w:lineRule="atLeast"/>
              <w:jc w:val="center"/>
              <w:rPr>
                <w:rFonts w:hAnsi="宋体" w:cs="Times New Roman"/>
              </w:rPr>
            </w:pPr>
            <w:r>
              <w:rPr>
                <w:rFonts w:hint="eastAsia" w:hAnsi="宋体" w:cs="Times New Roman"/>
              </w:rPr>
              <w:t>2.2.4（4）</w:t>
            </w:r>
          </w:p>
        </w:tc>
        <w:tc>
          <w:tcPr>
            <w:tcW w:w="992" w:type="dxa"/>
            <w:vMerge w:val="restart"/>
            <w:tcBorders>
              <w:top w:val="nil"/>
              <w:left w:val="single" w:color="auto" w:sz="4" w:space="0"/>
              <w:bottom w:val="single" w:color="auto" w:sz="4" w:space="0"/>
              <w:right w:val="single" w:color="auto" w:sz="4" w:space="0"/>
            </w:tcBorders>
            <w:vAlign w:val="center"/>
          </w:tcPr>
          <w:p w14:paraId="18E1DFBB">
            <w:pPr>
              <w:pStyle w:val="3"/>
              <w:spacing w:line="240" w:lineRule="atLeast"/>
              <w:jc w:val="center"/>
              <w:rPr>
                <w:rFonts w:hAnsi="宋体" w:cs="Times New Roman"/>
              </w:rPr>
            </w:pPr>
            <w:r>
              <w:rPr>
                <w:rFonts w:hint="eastAsia" w:hAnsi="宋体" w:cs="Times New Roman"/>
              </w:rPr>
              <w:t>其他因素</w:t>
            </w:r>
          </w:p>
        </w:tc>
        <w:tc>
          <w:tcPr>
            <w:tcW w:w="850" w:type="dxa"/>
            <w:vMerge w:val="restart"/>
            <w:tcBorders>
              <w:top w:val="nil"/>
              <w:left w:val="single" w:color="auto" w:sz="4" w:space="0"/>
              <w:bottom w:val="single" w:color="auto" w:sz="4" w:space="0"/>
              <w:right w:val="single" w:color="auto" w:sz="4" w:space="0"/>
            </w:tcBorders>
            <w:vAlign w:val="center"/>
          </w:tcPr>
          <w:p w14:paraId="42993E05">
            <w:pPr>
              <w:pStyle w:val="3"/>
              <w:spacing w:line="240" w:lineRule="atLeast"/>
              <w:jc w:val="center"/>
              <w:rPr>
                <w:rFonts w:hAnsi="宋体" w:cs="Times New Roman"/>
              </w:rPr>
            </w:pPr>
            <w:r>
              <w:rPr>
                <w:rFonts w:hint="eastAsia" w:hAnsi="宋体" w:cs="Times New Roman"/>
              </w:rPr>
              <w:t>20分</w:t>
            </w:r>
          </w:p>
        </w:tc>
        <w:tc>
          <w:tcPr>
            <w:tcW w:w="950" w:type="dxa"/>
            <w:tcBorders>
              <w:top w:val="single" w:color="auto" w:sz="4" w:space="0"/>
              <w:left w:val="single" w:color="auto" w:sz="4" w:space="0"/>
              <w:bottom w:val="single" w:color="auto" w:sz="4" w:space="0"/>
              <w:right w:val="single" w:color="auto" w:sz="4" w:space="0"/>
            </w:tcBorders>
            <w:vAlign w:val="center"/>
          </w:tcPr>
          <w:p w14:paraId="34AE40B7">
            <w:pPr>
              <w:rPr>
                <w:rFonts w:ascii="宋体" w:hAnsi="宋体"/>
              </w:rPr>
            </w:pPr>
            <w:r>
              <w:rPr>
                <w:rFonts w:hint="eastAsia" w:ascii="宋体" w:hAnsi="宋体"/>
              </w:rPr>
              <w:t>业绩</w:t>
            </w:r>
          </w:p>
        </w:tc>
        <w:tc>
          <w:tcPr>
            <w:tcW w:w="938" w:type="dxa"/>
            <w:gridSpan w:val="3"/>
            <w:tcBorders>
              <w:top w:val="single" w:color="auto" w:sz="4" w:space="0"/>
              <w:left w:val="single" w:color="auto" w:sz="4" w:space="0"/>
              <w:bottom w:val="single" w:color="auto" w:sz="4" w:space="0"/>
              <w:right w:val="single" w:color="auto" w:sz="4" w:space="0"/>
            </w:tcBorders>
            <w:vAlign w:val="center"/>
          </w:tcPr>
          <w:p w14:paraId="3DA3CDAF">
            <w:pPr>
              <w:rPr>
                <w:rFonts w:ascii="宋体" w:hAnsi="宋体"/>
              </w:rPr>
            </w:pPr>
            <w:r>
              <w:rPr>
                <w:rFonts w:hint="eastAsia" w:ascii="宋体" w:hAnsi="宋体"/>
              </w:rPr>
              <w:t>16分</w:t>
            </w:r>
          </w:p>
        </w:tc>
        <w:tc>
          <w:tcPr>
            <w:tcW w:w="5237" w:type="dxa"/>
            <w:tcBorders>
              <w:top w:val="single" w:color="auto" w:sz="4" w:space="0"/>
              <w:left w:val="single" w:color="auto" w:sz="4" w:space="0"/>
              <w:bottom w:val="single" w:color="auto" w:sz="4" w:space="0"/>
              <w:right w:val="single" w:color="auto" w:sz="4" w:space="0"/>
            </w:tcBorders>
            <w:vAlign w:val="center"/>
          </w:tcPr>
          <w:p w14:paraId="14F971FF">
            <w:pPr>
              <w:rPr>
                <w:rFonts w:ascii="宋体" w:hAnsi="宋体"/>
              </w:rPr>
            </w:pPr>
            <w:r>
              <w:rPr>
                <w:rFonts w:hint="eastAsia" w:ascii="宋体" w:hAnsi="宋体"/>
              </w:rPr>
              <w:t>满足资格审查条件(业绩最低要求)得 10分；</w:t>
            </w:r>
          </w:p>
          <w:p w14:paraId="54B48E3C">
            <w:pPr>
              <w:rPr>
                <w:rFonts w:ascii="宋体" w:hAnsi="宋体"/>
              </w:rPr>
            </w:pPr>
            <w:r>
              <w:rPr>
                <w:rFonts w:hint="eastAsia" w:ascii="宋体" w:hAnsi="宋体"/>
              </w:rPr>
              <w:t>每增加一项满足资格审查条件(业绩最低要求)的业绩加 3分，最高加 6 分。</w:t>
            </w:r>
          </w:p>
        </w:tc>
      </w:tr>
      <w:tr w14:paraId="132C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34520B10">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39C7C99A">
            <w:pPr>
              <w:widowControl/>
              <w:jc w:val="left"/>
              <w:rPr>
                <w:rFonts w:ascii="宋体" w:hAnsi="宋体"/>
              </w:rPr>
            </w:pPr>
          </w:p>
        </w:tc>
        <w:tc>
          <w:tcPr>
            <w:tcW w:w="300" w:type="dxa"/>
            <w:vMerge w:val="continue"/>
            <w:tcBorders>
              <w:top w:val="nil"/>
              <w:left w:val="single" w:color="auto" w:sz="4" w:space="0"/>
              <w:bottom w:val="single" w:color="auto" w:sz="4" w:space="0"/>
              <w:right w:val="single" w:color="auto" w:sz="4" w:space="0"/>
            </w:tcBorders>
            <w:vAlign w:val="center"/>
          </w:tcPr>
          <w:p w14:paraId="657CC79A">
            <w:pPr>
              <w:widowControl/>
              <w:jc w:val="left"/>
              <w:rPr>
                <w:rFonts w:ascii="宋体" w:hAnsi="宋体"/>
              </w:rPr>
            </w:pPr>
          </w:p>
        </w:tc>
        <w:tc>
          <w:tcPr>
            <w:tcW w:w="950" w:type="dxa"/>
            <w:tcBorders>
              <w:top w:val="single" w:color="auto" w:sz="4" w:space="0"/>
              <w:left w:val="single" w:color="auto" w:sz="4" w:space="0"/>
              <w:bottom w:val="single" w:color="auto" w:sz="4" w:space="0"/>
              <w:right w:val="single" w:color="auto" w:sz="4" w:space="0"/>
            </w:tcBorders>
            <w:vAlign w:val="center"/>
          </w:tcPr>
          <w:p w14:paraId="6D1EB226">
            <w:pPr>
              <w:rPr>
                <w:rFonts w:ascii="宋体" w:hAnsi="宋体"/>
              </w:rPr>
            </w:pPr>
            <w:r>
              <w:rPr>
                <w:rFonts w:hint="eastAsia" w:ascii="宋体" w:hAnsi="宋体"/>
              </w:rPr>
              <w:t>体检场所</w:t>
            </w:r>
          </w:p>
        </w:tc>
        <w:tc>
          <w:tcPr>
            <w:tcW w:w="938" w:type="dxa"/>
            <w:gridSpan w:val="3"/>
            <w:tcBorders>
              <w:top w:val="single" w:color="auto" w:sz="4" w:space="0"/>
              <w:left w:val="single" w:color="auto" w:sz="4" w:space="0"/>
              <w:bottom w:val="single" w:color="auto" w:sz="4" w:space="0"/>
              <w:right w:val="single" w:color="auto" w:sz="4" w:space="0"/>
            </w:tcBorders>
            <w:vAlign w:val="center"/>
          </w:tcPr>
          <w:p w14:paraId="1755BD9F">
            <w:pPr>
              <w:rPr>
                <w:rFonts w:ascii="宋体" w:hAnsi="宋体"/>
              </w:rPr>
            </w:pPr>
            <w:r>
              <w:rPr>
                <w:rFonts w:hint="eastAsia" w:ascii="宋体" w:hAnsi="宋体"/>
              </w:rPr>
              <w:t>4</w:t>
            </w:r>
          </w:p>
        </w:tc>
        <w:tc>
          <w:tcPr>
            <w:tcW w:w="5237" w:type="dxa"/>
            <w:tcBorders>
              <w:top w:val="single" w:color="auto" w:sz="4" w:space="0"/>
              <w:left w:val="single" w:color="auto" w:sz="4" w:space="0"/>
              <w:bottom w:val="single" w:color="auto" w:sz="4" w:space="0"/>
              <w:right w:val="single" w:color="auto" w:sz="4" w:space="0"/>
            </w:tcBorders>
            <w:vAlign w:val="center"/>
          </w:tcPr>
          <w:p w14:paraId="2654E2BB">
            <w:pPr>
              <w:rPr>
                <w:rFonts w:ascii="宋体" w:hAnsi="宋体"/>
              </w:rPr>
            </w:pPr>
            <w:r>
              <w:rPr>
                <w:rFonts w:hint="eastAsia" w:ascii="宋体" w:hAnsi="宋体"/>
              </w:rPr>
              <w:t>投标人在邢台市有独立的体检场所得4分，没有独立的体检场所不得分。</w:t>
            </w:r>
          </w:p>
          <w:p w14:paraId="2DAC6200">
            <w:pPr>
              <w:rPr>
                <w:rFonts w:ascii="宋体" w:hAnsi="宋体"/>
              </w:rPr>
            </w:pPr>
            <w:r>
              <w:rPr>
                <w:rFonts w:hint="eastAsia" w:ascii="宋体" w:hAnsi="宋体"/>
              </w:rPr>
              <w:t>注：独立的体检场所需提供证明材料的复印件。</w:t>
            </w:r>
          </w:p>
        </w:tc>
      </w:tr>
      <w:tr w14:paraId="21A9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A7F3B76">
            <w:pPr>
              <w:pStyle w:val="3"/>
              <w:spacing w:line="240" w:lineRule="atLeast"/>
              <w:jc w:val="center"/>
              <w:rPr>
                <w:rFonts w:hAnsi="宋体" w:cs="Times New Roman"/>
              </w:rPr>
            </w:pPr>
            <w:r>
              <w:rPr>
                <w:rFonts w:hint="eastAsia" w:hAnsi="宋体" w:cs="Times New Roman"/>
              </w:rPr>
              <w:t>3.6.1</w:t>
            </w:r>
          </w:p>
        </w:tc>
        <w:tc>
          <w:tcPr>
            <w:tcW w:w="992" w:type="dxa"/>
            <w:tcBorders>
              <w:top w:val="single" w:color="auto" w:sz="4" w:space="0"/>
              <w:left w:val="single" w:color="auto" w:sz="4" w:space="0"/>
              <w:bottom w:val="single" w:color="auto" w:sz="4" w:space="0"/>
              <w:right w:val="single" w:color="auto" w:sz="4" w:space="0"/>
            </w:tcBorders>
            <w:vAlign w:val="center"/>
          </w:tcPr>
          <w:p w14:paraId="6A2833C5">
            <w:pPr>
              <w:pStyle w:val="3"/>
              <w:spacing w:line="240" w:lineRule="atLeast"/>
              <w:jc w:val="center"/>
              <w:rPr>
                <w:rFonts w:hAnsi="宋体" w:cs="Times New Roman"/>
              </w:rPr>
            </w:pPr>
            <w:r>
              <w:rPr>
                <w:rFonts w:hint="eastAsia" w:hAnsi="宋体" w:cs="Times New Roman"/>
              </w:rPr>
              <w:t>投标文件相关信息核查</w:t>
            </w:r>
          </w:p>
        </w:tc>
        <w:tc>
          <w:tcPr>
            <w:tcW w:w="7975" w:type="dxa"/>
            <w:gridSpan w:val="6"/>
            <w:tcBorders>
              <w:top w:val="single" w:color="auto" w:sz="4" w:space="0"/>
              <w:left w:val="single" w:color="auto" w:sz="4" w:space="0"/>
              <w:bottom w:val="single" w:color="auto" w:sz="4" w:space="0"/>
              <w:right w:val="single" w:color="auto" w:sz="4" w:space="0"/>
            </w:tcBorders>
            <w:vAlign w:val="center"/>
          </w:tcPr>
          <w:p w14:paraId="4D5D4D35">
            <w:pPr>
              <w:rPr>
                <w:rFonts w:ascii="宋体" w:hAnsi="宋体"/>
              </w:rPr>
            </w:pPr>
            <w:r>
              <w:rPr>
                <w:rFonts w:hint="eastAsia" w:ascii="宋体" w:hAnsi="宋体"/>
              </w:rPr>
              <w:t>本款修改为：</w:t>
            </w:r>
          </w:p>
          <w:p w14:paraId="434469D1">
            <w:pPr>
              <w:ind w:firstLine="420" w:firstLineChars="200"/>
              <w:rPr>
                <w:rFonts w:hint="eastAsia" w:ascii="宋体" w:hAnsi="宋体"/>
              </w:rPr>
            </w:pPr>
            <w:r>
              <w:rPr>
                <w:rFonts w:hint="eastAsia" w:ascii="宋体" w:hAnsi="宋体"/>
              </w:rPr>
              <w:t>（1）投标人信用情况网页截图内容与在“国家企业信用信息公示系统”中严重违法失信名单（黑名单）信息（不含分公司）（事业单位不适用）或在“信用中国”网站中失信被执行人、企业经营(活动)异常名录、重大税收违法失信主体、政府采购严重违法 失信行为记录名单（均不含分公司）的复核结果一致。如投标人未提供相关网页截图或所附截图与复核结果不一致，评标委员会应否决其投标。</w:t>
            </w:r>
          </w:p>
          <w:p w14:paraId="4CEC8D7B">
            <w:pPr>
              <w:ind w:firstLine="420" w:firstLineChars="200"/>
              <w:rPr>
                <w:rFonts w:hint="eastAsia"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14:paraId="32E82AAF">
            <w:pPr>
              <w:ind w:firstLine="420" w:firstLineChars="200"/>
              <w:rPr>
                <w:rFonts w:ascii="宋体" w:hAnsi="宋体"/>
              </w:rPr>
            </w:pPr>
            <w:r>
              <w:rPr>
                <w:rFonts w:hint="eastAsia" w:ascii="宋体" w:hAnsi="宋体"/>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46AC287A">
      <w:pPr>
        <w:pStyle w:val="2"/>
        <w:snapToGrid w:val="0"/>
        <w:spacing w:line="360" w:lineRule="auto"/>
        <w:jc w:val="left"/>
        <w:rPr>
          <w:rFonts w:hint="eastAsia" w:hAnsi="宋体"/>
          <w:color w:val="000000"/>
          <w:sz w:val="24"/>
          <w:szCs w:val="24"/>
        </w:rPr>
      </w:pPr>
      <w:r>
        <w:rPr>
          <w:rFonts w:hint="eastAsia" w:hAnsi="宋体"/>
          <w:color w:val="000000"/>
          <w:sz w:val="24"/>
          <w:szCs w:val="24"/>
        </w:rPr>
        <w:t xml:space="preserve"> </w:t>
      </w:r>
    </w:p>
    <w:p w14:paraId="65EC4B86">
      <w:pPr>
        <w:pStyle w:val="3"/>
        <w:rPr>
          <w:rFonts w:hint="eastAsia" w:hAnsi="宋体" w:cs="Times New Roman"/>
          <w:color w:val="000000"/>
        </w:rPr>
      </w:pPr>
      <w:r>
        <w:rPr>
          <w:rFonts w:hint="eastAsia" w:hAnsi="宋体" w:cs="Times New Roman"/>
          <w:color w:val="000000"/>
        </w:rPr>
        <w:t>注：1、各评分因素得分应以评标委员会各成员的打分平均值确定。</w:t>
      </w:r>
    </w:p>
    <w:p w14:paraId="54B5FB6C">
      <w:pPr>
        <w:rPr>
          <w:rFonts w:hint="eastAsia"/>
        </w:rPr>
      </w:pPr>
      <w:r>
        <w:rPr>
          <w:rFonts w:hint="eastAsia" w:ascii="宋体" w:hAnsi="宋体"/>
          <w:color w:val="000000"/>
        </w:rPr>
        <w:t>2、评分因素所列项目存在缺项的，则该项计0分。</w:t>
      </w:r>
    </w:p>
    <w:p w14:paraId="0A4B66FF"/>
    <w:p w14:paraId="3E105F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F2EEC"/>
    <w:rsid w:val="7D1F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spacing w:line="412" w:lineRule="auto"/>
      <w:outlineLvl w:val="1"/>
    </w:pPr>
    <w:rPr>
      <w:rFonts w:ascii="Arial" w:hAnsi="Arial" w:eastAsia="黑体" w:cs="Arial"/>
      <w:b/>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nhideWhenUsed/>
    <w:uiPriority w:val="99"/>
    <w:rPr>
      <w:rFonts w:ascii="宋体" w:hAnsi="Courier New" w:cs="宋体"/>
    </w:rPr>
  </w:style>
  <w:style w:type="paragraph" w:customStyle="1" w:styleId="6">
    <w:name w:val="目录1"/>
    <w:basedOn w:val="1"/>
    <w:uiPriority w:val="0"/>
    <w:rPr>
      <w:rFonts w:ascii="黑体" w:hAnsi="黑体" w:eastAsia="黑体" w:cs="宋体"/>
      <w:sz w:val="52"/>
      <w:szCs w:val="52"/>
    </w:rPr>
  </w:style>
  <w:style w:type="character" w:customStyle="1" w:styleId="7">
    <w:name w:val="15"/>
    <w:basedOn w:val="5"/>
    <w:uiPriority w:val="0"/>
    <w:rPr>
      <w:rFonts w:hint="eastAsia" w:ascii="宋体" w:hAnsi="宋体" w:eastAsia="宋体"/>
      <w:color w:val="000000"/>
      <w:spacing w:val="0"/>
      <w:sz w:val="21"/>
      <w:szCs w:val="21"/>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2025-06-26T06:57:00Z</dcterms:created>
  <dc:creator>王兴华</dc:creator>
  <cp:lastModifiedBy>王兴华</cp:lastModifiedBy>
  <dcterms:modified xsi:type="dcterms:W3CDTF">2025-06-26T06:57:53Z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3F55CDD462694206B3E2F17CFCD23B22_11</vt:lpwstr>
  </property>
  <property fmtid="{D5CDD505-2E9C-101B-9397-08002B2CF9AE}" pid="4" name="KSOTemplateDocerSaveRecord">
    <vt:lpwstr>eyJoZGlkIjoiZGYyNjU1MzNkZmI1YmYzNWY4ZmE2MjRlYzQ5MzExNzQiLCJ1c2VySWQiOiIxNjYxODkxMDAwIn0=</vt:lpwstr>
  </property>
</Properties>
</file>